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1846" w14:textId="77777777" w:rsidR="00CC245C" w:rsidRPr="00EB5750" w:rsidRDefault="00894D9D" w:rsidP="00EB5750">
      <w:pPr>
        <w:spacing w:after="80"/>
        <w:jc w:val="center"/>
        <w:rPr>
          <w:rFonts w:ascii="Times New Roman" w:hAnsi="Times New Roman" w:cs="Times New Roman"/>
          <w:sz w:val="32"/>
          <w:szCs w:val="32"/>
        </w:rPr>
      </w:pPr>
      <w:r>
        <w:rPr>
          <w:rFonts w:ascii="Times New Roman" w:hAnsi="Times New Roman" w:cs="Times New Roman"/>
          <w:b/>
          <w:bCs/>
          <w:sz w:val="32"/>
          <w:szCs w:val="32"/>
        </w:rPr>
        <w:t>A COMPARATIVE EMPIRICAL ANALYSIS ON STRATEGIC FEASIBILITY AND VIABILITY OF PROJECT FINANCING IN SELECTED MANUFACTURING FIRMS</w:t>
      </w:r>
    </w:p>
    <w:p w14:paraId="16CB1065" w14:textId="77777777" w:rsidR="00CC245C" w:rsidRPr="00894D9D" w:rsidRDefault="00CC245C" w:rsidP="00EB5750">
      <w:pPr>
        <w:pBdr>
          <w:bottom w:val="single" w:sz="4" w:space="0" w:color="2E5FA3"/>
        </w:pBdr>
        <w:spacing w:before="80" w:after="80"/>
        <w:jc w:val="both"/>
        <w:rPr>
          <w:rFonts w:ascii="Times New Roman" w:hAnsi="Times New Roman" w:cs="Times New Roman"/>
          <w:sz w:val="24"/>
          <w:szCs w:val="24"/>
        </w:rPr>
      </w:pPr>
    </w:p>
    <w:p w14:paraId="0740B9CD" w14:textId="77777777" w:rsidR="00CC245C" w:rsidRPr="00894D9D" w:rsidRDefault="00CC245C" w:rsidP="00894D9D">
      <w:pPr>
        <w:jc w:val="both"/>
        <w:rPr>
          <w:rFonts w:ascii="Times New Roman" w:hAnsi="Times New Roman" w:cs="Times New Roman"/>
          <w:sz w:val="24"/>
          <w:szCs w:val="24"/>
        </w:rPr>
      </w:pPr>
    </w:p>
    <w:p w14:paraId="5924AF69" w14:textId="77777777" w:rsidR="00894D9D" w:rsidRPr="00894D9D" w:rsidRDefault="00894D9D" w:rsidP="00913F8E">
      <w:pPr>
        <w:jc w:val="center"/>
        <w:rPr>
          <w:rFonts w:ascii="Times New Roman" w:hAnsi="Times New Roman" w:cs="Times New Roman"/>
          <w:sz w:val="28"/>
          <w:szCs w:val="28"/>
        </w:rPr>
      </w:pPr>
      <w:r>
        <w:rPr>
          <w:rFonts w:ascii="Times New Roman" w:hAnsi="Times New Roman" w:cs="Times New Roman"/>
          <w:b/>
          <w:bCs/>
          <w:sz w:val="28"/>
          <w:szCs w:val="28"/>
        </w:rPr>
        <w:t>ABSTRACT</w:t>
      </w:r>
    </w:p>
    <w:p w14:paraId="6F6A22FD" w14:textId="77777777" w:rsidR="00AA693F" w:rsidRDefault="00AA693F" w:rsidP="00894D9D">
      <w:pPr>
        <w:jc w:val="both"/>
        <w:rPr>
          <w:rFonts w:ascii="Times New Roman" w:hAnsi="Times New Roman" w:cs="Times New Roman"/>
          <w:b/>
          <w:bCs/>
          <w:sz w:val="24"/>
          <w:szCs w:val="24"/>
        </w:rPr>
      </w:pPr>
      <w:r>
        <w:rPr>
          <w:rFonts w:ascii="Times New Roman" w:hAnsi="Times New Roman" w:cs="Times New Roman"/>
          <w:sz w:val="24"/>
          <w:szCs w:val="24"/>
        </w:rPr>
        <w:t>The decision of whether to fund an initiative is one of the most important decisions made in corporate finance; however, it is an area that has not received much attention when looking at a few specific types of manufacturing companies that have different financial profiles (for instance, growing manufacturers versus mature manufacturers). This research study is a comparative empirical investigation of the strategic feasibility and viability of making a project finance decision among three different manufacturers (Company A, Company B, and Company C) using a six-tool analytical framework (ratio analysis; capital budgeting tools such as NPV, IRR, WACC, payback period; break-even analysis; sensitivity analysis; linear trend forecasting; and Altman Z-score). The results indicate that Company A is the company with the strongest liquidity and profitability, lowest level of leverage, and a Z-score measurement at or above the "safe zone," making Company A the most probable candidate for immediate financing of a project. Although Company B appears to be in the process of recovery, the company’s DSCR shows a worrisome trend; whereas, Company C has produced some of the best returns for investors but also has an extremely high level of debt, which puts Company C in a zone of financial distress. The study will offer recommendations for each of the three companies.</w:t>
      </w:r>
    </w:p>
    <w:p w14:paraId="55CD2790" w14:textId="77777777" w:rsidR="00894D9D" w:rsidRPr="00894D9D" w:rsidRDefault="00894D9D" w:rsidP="00894D9D">
      <w:pPr>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Strategic Feasibility, Project Financing, Altman Z-Score, Capital Budgeting, Ratio Analysis, Viability Assessment, Financial Distress, NPV, IRR</w:t>
      </w:r>
    </w:p>
    <w:p w14:paraId="3A73AFA1" w14:textId="77777777" w:rsidR="00CC245C" w:rsidRPr="00894D9D" w:rsidRDefault="00894D9D" w:rsidP="00894D9D">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1D0EF2" wp14:editId="61D32F08">
                <wp:simplePos x="0" y="0"/>
                <wp:positionH relativeFrom="column">
                  <wp:posOffset>9525</wp:posOffset>
                </wp:positionH>
                <wp:positionV relativeFrom="paragraph">
                  <wp:posOffset>123190</wp:posOffset>
                </wp:positionV>
                <wp:extent cx="6115050" cy="28575"/>
                <wp:effectExtent l="0" t="0" r="25400" b="28575"/>
                <wp:wrapNone/>
                <wp:docPr id="1" name="Straight Connector 1"/>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35342"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7pt" to="482.25pt,1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s2cxAEAANEDAAAOAAAAZHJzL2Uyb0RvYy54bWysU02P0zAQvSPtf7B83yap1GUVNd1DV3BZ QcUCd68zbiz5S2PTpP+esdMGtCAkEBfLH/PezHsz3j5M1rATYNTedbxZ1ZyBk77X7tjxL5/f3d5z FpNwvTDeQcfPEPnD7ubNdgwtrP3gTQ/IiMTFdgwdH1IKbVVFOYAVceUDOHpUHq1IdMRj1aMYid2a al3Xd9XosQ/oJcRIt4/zI98VfqVApo9KRUjMdJxqS2XFsr7ktdptRXtEEQYtL2WIf6jCCu0o6UL1 KJJg31D/QmW1RB+9SivpbeWV0hKKBlLT1K/UPA8iQNFC5sSw2BT/H638cDog0z31jjMnLLXoOaHQ xyGxvXeODPTImuzTGGJL4Xt3wMsphgNm0ZNCy5TR4WumyTckjE3F5fPiMkyJSbq8a5pNvaFmSHpb 32/ebjJ7NdNkcMCY3oO3LG86brTLJohWnJ5imkOvIYTLZc2FlF06G8jBxn0CRcIo4VxSGSnYG2Qn QcMgpASXijBKXaIzTGljFmBd0v4ReInPUCjj9jfgBVEye5cWsNXO4++yp+lasprjrw7MurMFL74/ lxYVa2huirmXGc+D+fO5wH/8xN13AAAA//8DAFBLAwQUAAYACAAAACEAok8cudwAAAAHAQAADwAA AGRycy9kb3ducmV2LnhtbEyOwU7DMBBE70j8g7VIXBB1CKUiIU6FEHAopxaQ4LaJlyRqvI5iNw1/ z3KC02p2RjOvWM+uVxONofNs4GqRgCKuve24MfD2+nR5CypEZIu9ZzLwTQHW5elJgbn1R97StIuN khIOORpoYxxyrUPdksOw8AOxeF9+dBhFjo22Ix6l3PU6TZKVdtixLLQ40ENL9X53cAY+gw+P75tq et5vNzNevMT0o7bGnJ/N93egIs3xLwy/+IIOpTBV/sA2qF70jQTlZEtQYmerpTwqA+l1Bros9H/+ 8gcAAP//AwBQSwECLQAUAAYACAAAACEAtoM4kv4AAADhAQAAEwAAAAAAAAAAAAAAAAAAAAAAW0Nv bnRlbnRfVHlwZXNdLnhtbFBLAQItABQABgAIAAAAIQA4/SH/1gAAAJQBAAALAAAAAAAAAAAAAAAA AC8BAABfcmVscy8ucmVsc1BLAQItABQABgAIAAAAIQCpUs2cxAEAANEDAAAOAAAAAAAAAAAAAAAA AC4CAABkcnMvZTJvRG9jLnhtbFBLAQItABQABgAIAAAAIQCiTxy53AAAAAcBAAAPAAAAAAAAAAAA AAAAAB4EAABkcnMvZG93bnJldi54bWxQSwUGAAAAAAQABADzAAAAJwUAAAAA " strokecolor="#5b9bd5 [3204]" strokeweight=".5pt">
                <v:stroke joinstyle="miter"/>
              </v:line>
            </w:pict>
          </mc:Fallback>
        </mc:AlternateContent>
      </w:r>
    </w:p>
    <w:p w14:paraId="0325980C" w14:textId="77777777" w:rsidR="00CC245C" w:rsidRPr="00894D9D" w:rsidRDefault="00894D9D" w:rsidP="00894D9D">
      <w:pPr>
        <w:pStyle w:val="Heading1"/>
        <w:jc w:val="both"/>
        <w:rPr>
          <w:rFonts w:ascii="Times New Roman" w:hAnsi="Times New Roman" w:cs="Times New Roman"/>
          <w:color w:val="auto"/>
          <w:sz w:val="28"/>
          <w:szCs w:val="28"/>
        </w:rPr>
      </w:pPr>
      <w:r>
        <w:rPr>
          <w:rFonts w:ascii="Times New Roman" w:hAnsi="Times New Roman" w:cs="Times New Roman"/>
          <w:color w:val="auto"/>
          <w:sz w:val="28"/>
          <w:szCs w:val="28"/>
        </w:rPr>
        <w:t>1. INTRODUCTION</w:t>
      </w:r>
    </w:p>
    <w:p w14:paraId="72EC5374" w14:textId="021EA29D" w:rsidR="00F73822" w:rsidRDefault="00F73822" w:rsidP="004A3814">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Whether a project is eligible for finance and the type of financing remains the most significant of decisions in corporate finance. However, the comparison of the suitability of a project for financing across different firms with different financial profiles remains inadequately examined. It is in the manufacturing sector especially where such comparative studies are few. In this paper a comparative empirical analysis of the strategic suitability and financial viability of project financing is attempted for three manufacturing firms selected from different sub-sectors, covering financial profiles from very strong financially to distress level.</w:t>
      </w:r>
    </w:p>
    <w:p w14:paraId="5353BEA3" w14:textId="77777777" w:rsidR="00F73822" w:rsidRDefault="00F73822" w:rsidP="00894D9D">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nature of project finance has been entirely revolutionised over the last few decades. The debate has moved unequivocally away from balance sheet strength to cash flow adequacy - the question is no longer "who is borrowing?", but "will the project be capable of paying off its debt?". The implications are most significant for manufacturing concerns - large capital inputs, long asset lives, individual project health can vary considerably from the parent's, thus requiring it to take strategic feasibility as seriously as it would its financial statements - its essence is not a technical evaluation, but an analytical basis for sound financing. The empirical literature unequivocally backs this up - Jain and Kumar (2020) confirm that carefully constructed financial statements are crucial to reliable feasibility and Bjee and Gil (2022) argue that regulation risk, investors and risk allocation are also important elements and so financial modelling must be undertaken as part of the risk assessment in its infancy. Nandi and </w:t>
        <w:lastRenderedPageBreak/>
        <w:t>Ahluwalia (2024) show that for 500 infrastructure projects, over-leveraging is likely to decrease equity return and Tirumala and Tiwari (2023) illustrate for India that there is an ongoing move from a collateral-based approach to sophisticated cash-flow-based arrangements.</w:t>
      </w:r>
    </w:p>
    <w:p w14:paraId="49FD3136" w14:textId="62818269" w:rsidR="00F73822" w:rsidRPr="00F73822" w:rsidRDefault="00F73822" w:rsidP="00F73822">
      <w:p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Looking at the evaluation side, cash flow stability, and financing structure design proved to be equally important as intrinsic market conditions by Agrawal and Kumar (2024), Credit appraisal was found to encompass a range beyond just the numbers – a factor that includes management efficiency, regulatory behavior, market conditions by Singh and Bajaj (2024), while changing the mix of equity-debt was found to have a direct impact on IRR and ROI by Singh and Goel (2025). Further recent evidence from Chandrasekaran and Sharma (2025) supported NPV and IRR to remain the premier benchmarks for capital budgeting; probabilistic risk modeling showed to drastically reduce project delays and cost overrun by Sancheti and Rajesh (2025), and manufacturing companies operating in specialized sub-sectors could develop feasible financing structure by employing proper analytical framework as proved by Shetty and Ramaprasad (2026).</w:t>
      </w:r>
    </w:p>
    <w:p w14:paraId="0218E1B6" w14:textId="77777777" w:rsidR="00F73822" w:rsidRDefault="00F73822" w:rsidP="00F73822">
      <w:p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all the evidence it can be concluded that a single measure cannot assess suitability for project financing, a composite and multidimensional approach needs to be undertaken covering liquidity, profitability, leverage, rate of return, riskiness of investment, and probability of insolvency. Considering all the parameters in lieu, the proposed study aims to investigate feasibility of project financing for three manufacturing companies by employing six tools, ratio analysis, capital budgeting tools (NPV, IRR, WACC, Payback period), break even and sensitivity analysis, linear trend forecasting, and Altman Z-score to arrive at an empirically grounded answer for lenders, investors and finance consultants in India.</w:t>
      </w:r>
    </w:p>
    <w:p w14:paraId="336D76D4" w14:textId="55C8595B" w:rsidR="00CC245C" w:rsidRPr="00F73822" w:rsidRDefault="00EB5750" w:rsidP="00F73822">
      <w:p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8"/>
          <w:szCs w:val="28"/>
        </w:rPr>
        <w:t>2. REVIEW OF LITERATURE</w:t>
      </w:r>
    </w:p>
    <w:p w14:paraId="60E20EEF" w14:textId="5F0192C9"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Jain and Kumar (2020), a residential project in Gurgaon was selected in order to test the way financial modeling assists the decision of feasibility of a project. This is achieved with carefully organized financial statement, including the pro- forma balance sheets, income statements, and cash flows. This way, all stake holders will be able to make the decision on the project's profitability and viability before its implementation and therefore this kind of financial modelling serves as the "first line of defense" tool of a decision process and it is not a simple administrative work.</w:t>
      </w:r>
    </w:p>
    <w:p w14:paraId="5B63CEC0" w14:textId="77777777"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Bjee and Gil (2022), sustainable financial practices for project financing were analyzed in different developed countries such as, the UK, the US and Singapore to determine what factors are responsible for successful or unsuccessful financial realization. In most of the cases the gap between financing intention and successful financial realization was due to regulations risk and behavior of investors but not only financial factors. External and institutional environment should be integrated in the process of project feasibility besides financial quantitative data.</w:t>
      </w:r>
    </w:p>
    <w:p w14:paraId="1EFF731E" w14:textId="0459867C"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Tirumala and Tiwari (2023), the trends in project financing in India are constantly moving from the collateral-based financial arrangement toward cash flow-based. This process was mostly influenced by increase of multilateral financing agencies, pension funds and private developers’ participation in project finance. Although the new structures are more robust but are now much more complex and demanding.</w:t>
      </w:r>
    </w:p>
    <w:p w14:paraId="48F017CB" w14:textId="097D0526"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lastRenderedPageBreak/>
        <w:t>According to Nandi and Ahluwalia (2024), 500 Indian infrastructure projects were analyzed to check the impact of debt financing and equity financing in the project. Debt financing is found more successful in small lower-risk project but it makes the returns from equity financing suffer, which is generally not understood by the project promoters during the initial financial modeling phase of the capital structure.</w:t>
      </w:r>
    </w:p>
    <w:p w14:paraId="3DCDB50A" w14:textId="77777777"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Agrawal and Kumar (2024), analysis of financial structure of Hybrid Annuity Model showed how it could help attract and maintain private participation. Cash flow predictability of the project and soundness of concession are both significant for the project's successful financial outcome apart from market conditions and a poorly developed financing structure always leads to lower financial results regardless of any condition in the market.</w:t>
      </w:r>
    </w:p>
    <w:p w14:paraId="17A728DC" w14:textId="77777777"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Singh and Bajaj (2024), by interviewing several bank and financial institution professional it was observed that a lending institution carries out project financing proposal in multiple dimensions including the capability of management, the compliance and also the environment the project is placed in rather than using the financial ratios solely. This can be said to be similar to the methodology adopted in this current study as well.</w:t>
      </w:r>
    </w:p>
    <w:p w14:paraId="02D74CCD" w14:textId="77777777"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Singh and Goel (2025), by using a waterfall financial model, we test out in how the investment return are impacted by a projects financing structure and in that case a project situated in Gurugram and Pune for development of real estate was tested. Even a minute change in capital structure can cause a variation of the IRR and ROI in a projects financing structure, for example; if the capital mix of equity and debt increases slightly, that may be a good indication for an investment with capital structure.</w:t>
      </w:r>
    </w:p>
    <w:p w14:paraId="18AA15E3" w14:textId="77777777"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Chandrasekaran and Sharma (2025), it is a review to see how the applications of capital budgeting method in the long term investment decision making are performed and from it one can infer that NPV and IRR is the best tool for project analysis in any business organization and as expected companies using those methods tend to perform better investment-wise over the period.</w:t>
      </w:r>
    </w:p>
    <w:p w14:paraId="50166EE5" w14:textId="77777777" w:rsidR="00913F8E" w:rsidRP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Sancheti and Rajesh (2025), by using Monte Carlo simulation the costs associated with infrastructure projects are modeled, to check whether conventional deterministic cost estimate methods are reliable or not. The use of probabilistic modeling leads to much efficient cost contingency estimations with less over-spending. Infrastructure development projects, especially, are benefited by this method as they constantly fail to meet their planned schedule and budget in the Indian sector.</w:t>
      </w:r>
    </w:p>
    <w:p w14:paraId="7B850826" w14:textId="1C4F299D" w:rsidR="00913F8E" w:rsidRDefault="00913F8E" w:rsidP="00913F8E">
      <w:pPr>
        <w:spacing w:before="60" w:after="40"/>
        <w:jc w:val="both"/>
        <w:rPr>
          <w:rFonts w:ascii="Times New Roman" w:hAnsi="Times New Roman" w:cs="Times New Roman"/>
          <w:sz w:val="24"/>
          <w:szCs w:val="24"/>
        </w:rPr>
      </w:pPr>
      <w:r>
        <w:rPr>
          <w:rFonts w:ascii="Times New Roman" w:hAnsi="Times New Roman" w:cs="Times New Roman"/>
          <w:sz w:val="24"/>
          <w:szCs w:val="24"/>
        </w:rPr>
        <w:t>According to Shetty and Ramaprasad (2026), financial viability of the green micro-financing projects for a specific manufacturing sector was investigated and found that it can become economically viable with low financial risk with governmental backing and analytical framework. Green financing in specific manufacturing sectors shows great opportunity for financially viable projects even on small scales.</w:t>
      </w:r>
    </w:p>
    <w:p w14:paraId="01730A87" w14:textId="2FC098E3" w:rsidR="00CC245C" w:rsidRPr="00894D9D" w:rsidRDefault="00EB5750" w:rsidP="00913F8E">
      <w:pPr>
        <w:spacing w:before="60" w:after="40"/>
        <w:jc w:val="both"/>
        <w:rPr>
          <w:rFonts w:ascii="Times New Roman" w:hAnsi="Times New Roman" w:cs="Times New Roman"/>
          <w:sz w:val="28"/>
          <w:szCs w:val="28"/>
        </w:rPr>
      </w:pPr>
      <w:r>
        <w:rPr>
          <w:rFonts w:ascii="Times New Roman" w:hAnsi="Times New Roman" w:cs="Times New Roman"/>
          <w:sz w:val="28"/>
          <w:szCs w:val="28"/>
        </w:rPr>
        <w:t xml:space="preserve">3. OBJECTIVES </w:t>
      </w:r>
    </w:p>
    <w:p w14:paraId="3567A041" w14:textId="77777777"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3.1 Primary Objective</w:t>
      </w:r>
    </w:p>
    <w:p w14:paraId="46745B2F" w14:textId="77777777" w:rsidR="00D112C2" w:rsidRDefault="00D112C2" w:rsidP="00894D9D">
      <w:pPr>
        <w:pStyle w:val="Heading2"/>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This research is to assess the feasibility and financial viability of project financing by certain selected manufacturing companies in order to find their respective appropriateness as project finance candidates.</w:t>
      </w:r>
    </w:p>
    <w:p w14:paraId="1BD51ECE" w14:textId="3447EDA3"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3.2 Secondary Objectives</w:t>
      </w:r>
    </w:p>
    <w:p w14:paraId="358787CD" w14:textId="3D76A4AC" w:rsidR="00D112C2" w:rsidRPr="00D112C2" w:rsidRDefault="00D112C2" w:rsidP="00D112C2">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t>Analyze the profitability and overall financial performance of selected companies for the period of study (2022-2025) with reference to several earning and returns variables.</w:t>
      </w:r>
    </w:p>
    <w:p w14:paraId="2B7193DF" w14:textId="007E69F0" w:rsidR="00D112C2" w:rsidRPr="00D112C2" w:rsidRDefault="00D112C2" w:rsidP="00D112C2">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t>Assess the liquidity, solvency and stability condition of selected companies for their ability to fulfill short-term and long-term financial commitment.</w:t>
      </w:r>
    </w:p>
    <w:p w14:paraId="3F42A808" w14:textId="7C5E5D81" w:rsidR="00D112C2" w:rsidRPr="00D112C2" w:rsidRDefault="00D112C2" w:rsidP="00D112C2">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t>Analyze the cash flow status and debt repayment ability of selected companies to ensure the viability of project financing for the period of study.</w:t>
      </w:r>
    </w:p>
    <w:p w14:paraId="7B350276" w14:textId="0749B744" w:rsidR="00D112C2" w:rsidRPr="00D112C2" w:rsidRDefault="00D112C2" w:rsidP="00D112C2">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lastRenderedPageBreak/>
        <w:t>Discuss the effect of financial risks and market uncertainty on the long-term viability of project financing across the selected companies.</w:t>
      </w:r>
    </w:p>
    <w:p w14:paraId="0DE7BBB6" w14:textId="1E883ECD" w:rsidR="00D112C2" w:rsidRPr="00913F8E" w:rsidRDefault="00D112C2" w:rsidP="00894D9D">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t>Forecast financial performance trend of selected companies for future (2025-2028) with linear trend analysis and investigate their respective insolvency risk profile by using Altman Z-Score model.</w:t>
      </w:r>
    </w:p>
    <w:p w14:paraId="3CA1F2B1" w14:textId="77777777" w:rsidR="00CC245C" w:rsidRDefault="00CC245C" w:rsidP="00894D9D">
      <w:pPr>
        <w:pStyle w:val="Heading1"/>
        <w:jc w:val="both"/>
        <w:rPr>
          <w:rFonts w:ascii="Times New Roman" w:hAnsi="Times New Roman" w:cs="Times New Roman"/>
          <w:color w:val="auto"/>
          <w:sz w:val="28"/>
          <w:szCs w:val="28"/>
        </w:rPr>
      </w:pPr>
      <w:r>
        <w:rPr>
          <w:rFonts w:ascii="Times New Roman" w:hAnsi="Times New Roman" w:cs="Times New Roman"/>
          <w:color w:val="auto"/>
          <w:sz w:val="28"/>
          <w:szCs w:val="28"/>
        </w:rPr>
        <w:t>3A. MANUFACTURING FIRMS SELECTED FOR THE RESEARCH STUDY</w:t>
      </w:r>
    </w:p>
    <w:p w14:paraId="3CA1F2B2" w14:textId="77777777" w:rsidR="00CC245C" w:rsidRDefault="00CC245C" w:rsidP="00894D9D">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The first firm selected for this study is a privately held steel manufacturing company incorporated in India, engaged in the fabrication and supply of precision-engineered steel components and assemblies for industrial applications. Established with a focus on quality-driven production, the firm has demonstrated consistent revenue generation and strong operational efficiency over the study period. Its financial profile is characterised by minimal leverage, robust liquidity reserves, and steadily improving profitability margins, positioning it among the more financially stable entities within the Indian steel manufacturing segment. The company’s conservative approach to debt management and its sustained investment in operational capacity have contributed to its strong creditworthiness profile. It operates primarily within the domestic market and has progressively strengthened its equity base over successive financial years.</w:t>
      </w:r>
    </w:p>
    <w:p w14:paraId="3CA1F2B3" w14:textId="77777777" w:rsidR="00CC245C" w:rsidRDefault="00CC245C" w:rsidP="00894D9D">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The second firm is a publicly listed agro-technology manufacturing enterprise engaged in the development and commercialisation of agricultural machinery, equipment, and technology-driven solutions for the farming sector. Operating at the intersection of agriculture and manufacturing, the firm has pursued an active growth strategy characterised by progressive investment in product innovation and market expansion. Its financial trajectory over the study period reflects a recovery phase, with improving gross profit margins and declining leverage ratios, although its debt service capacity remains a critical area requiring sustained attention. The firm’s alignment with India’s agricultural modernisation agenda positions it strategically within an evolving and policy-supported market segment. Its listing status provides it with access to capital markets, which is an important consideration in evaluating its long-term financing viability.</w:t>
      </w:r>
    </w:p>
    <w:p w14:paraId="3CA1F2B4" w14:textId="77777777" w:rsidR="00CC245C" w:rsidRDefault="00CC245C" w:rsidP="00894D9D">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The third firm is a privately held agro-engineering manufacturing company engaged in the production and distribution of mechanised agricultural equipment and engine-based machinery for rural and semi-urban markets across southern India. The firm has demonstrated notable operational improvement over the study period, with recovering gross profit margins and a rising internal rate of return; however, its capital structure reflects significant financial stress, characterised by an exceptionally high debt-equity ratio and a distress-level Altman Z-Score. Despite generating competitive investment returns, the firm’s extreme reliance on debt financing represents the most critical risk factor in its project financing assessment. Its operational footprint and market positioning within the regional agricultural equipment sector offer long-term growth potential, contingent upon successful capital restructuring.</w:t>
      </w:r>
    </w:p>
    <w:p w14:paraId="3CA1F2B0" w14:textId="124C9F4B" w:rsidR="00CC245C" w:rsidRPr="00894D9D" w:rsidRDefault="00EB5750" w:rsidP="00894D9D">
      <w:pPr>
        <w:pStyle w:val="Heading1"/>
        <w:jc w:val="both"/>
        <w:rPr>
          <w:rFonts w:ascii="Times New Roman" w:hAnsi="Times New Roman" w:cs="Times New Roman"/>
          <w:color w:val="auto"/>
          <w:sz w:val="28"/>
          <w:szCs w:val="28"/>
        </w:rPr>
      </w:pPr>
      <w:r>
        <w:rPr>
          <w:rFonts w:ascii="Times New Roman" w:hAnsi="Times New Roman" w:cs="Times New Roman"/>
          <w:color w:val="auto"/>
          <w:sz w:val="28"/>
          <w:szCs w:val="28"/>
        </w:rPr>
        <w:t>4.METHODOLOGY</w:t>
      </w:r>
    </w:p>
    <w:p w14:paraId="2BE82ABF" w14:textId="77777777"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4.1 Research Design</w:t>
      </w:r>
    </w:p>
    <w:p w14:paraId="04BCAEF1" w14:textId="77777777" w:rsidR="00CC245C" w:rsidRPr="00894D9D" w:rsidRDefault="00894D9D" w:rsidP="00894D9D">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This study uses an Analytical Research Design — examining existing financial data to uncover performance trends, relationships between variables, and the underlying drivers of financial health across the three companies. Rather than collecting new primary data, the focus is on extracting meaningful insights from structured secondary data through the systematic application of financial analysis tools.</w:t>
      </w:r>
    </w:p>
    <w:p w14:paraId="559006F3" w14:textId="77777777"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4.2 Data Collection</w:t>
      </w:r>
    </w:p>
    <w:p w14:paraId="11678959" w14:textId="77777777" w:rsidR="00CC245C" w:rsidRPr="00894D9D" w:rsidRDefault="00894D9D" w:rsidP="00EB5750">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All data is sourced from the audited annual financial statements of Company A, Company B, and Company C for the period 2022-2025. Documents used include Balance Sheets, Profit and Loss Accounts, Income Statements, and Cash Flow Statements. The three companies were selected because they represent meaningfully different financial profiles — from financially stable to critically distressed — making comparison both meaningful and instructive.</w:t>
      </w:r>
    </w:p>
    <w:p w14:paraId="4C0CD27B" w14:textId="77777777" w:rsidR="00EB5750" w:rsidRDefault="00EB5750" w:rsidP="00EB5750">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5. DATA ANALYSIS AND INTERPRETATION</w:t>
      </w:r>
    </w:p>
    <w:p w14:paraId="22F38689" w14:textId="77777777" w:rsidR="00CC245C" w:rsidRPr="00894D9D" w:rsidRDefault="00EB5750" w:rsidP="00EB5750">
      <w:pPr>
        <w:pStyle w:val="Heading1"/>
        <w:jc w:val="both"/>
        <w:rPr>
          <w:rFonts w:ascii="Times New Roman" w:hAnsi="Times New Roman" w:cs="Times New Roman"/>
          <w:color w:val="auto"/>
          <w:sz w:val="24"/>
          <w:szCs w:val="24"/>
        </w:rPr>
      </w:pPr>
      <w:r>
        <w:rPr>
          <w:rFonts w:ascii="Times New Roman" w:hAnsi="Times New Roman" w:cs="Times New Roman"/>
          <w:color w:val="auto"/>
          <w:sz w:val="24"/>
          <w:szCs w:val="24"/>
        </w:rPr>
        <w:t>5.1 Liquidity Analysis</w:t>
      </w:r>
    </w:p>
    <w:p w14:paraId="248939D1" w14:textId="77777777" w:rsidR="003C6B5E" w:rsidRPr="003C6B5E" w:rsidRDefault="003C6B5E" w:rsidP="003C6B5E">
      <w:pPr>
        <w:spacing w:before="40" w:after="100"/>
        <w:jc w:val="both"/>
        <w:rPr>
          <w:rFonts w:ascii="Times New Roman" w:hAnsi="Times New Roman" w:cs="Times New Roman"/>
          <w:sz w:val="24"/>
          <w:szCs w:val="24"/>
          <w:lang w:val="en-US"/>
        </w:rPr>
      </w:pPr>
      <w:r>
        <w:rPr>
          <w:rFonts w:ascii="Times New Roman" w:hAnsi="Times New Roman" w:cs="Times New Roman"/>
          <w:sz w:val="24"/>
          <w:szCs w:val="24"/>
          <w:lang w:val="en-US"/>
        </w:rPr>
        <w:t>Liquidity assesses a company’s ability to meet its short-term obligations. Profitable though it may be, a company may face a liquidity crisis if it cannot convert its assets quickly enough to generate cash to pay its creditors. The relevant ratios are listed below for each of the three companies:</w:t>
      </w:r>
    </w:p>
    <w:p w14:paraId="1E375795"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2: Current Ratio (2022-2025)</w:t>
      </w:r>
    </w:p>
    <w:tbl>
      <w:tblPr>
        <w:tblW w:w="9200" w:type="dxa"/>
        <w:jc w:val="center"/>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37F75012" w14:textId="77777777" w:rsidTr="002D2752">
        <w:trPr>
          <w:tblHeader/>
          <w:jc w:val="cent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C27A7D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85F1CE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3E59BE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A9B6ED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2EAB62E1" w14:textId="77777777" w:rsidTr="002D2752">
        <w:trPr>
          <w:jc w:val="center"/>
        </w:trPr>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5C79E0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606441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4.46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96E0BA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DC0F60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1.53</w:t>
            </w:r>
          </w:p>
        </w:tc>
      </w:tr>
      <w:tr w:rsidR="00894D9D" w:rsidRPr="00894D9D" w14:paraId="4F529AA7" w14:textId="77777777" w:rsidTr="002D2752">
        <w:trPr>
          <w:jc w:val="center"/>
        </w:trPr>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7FFD20A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CD9F15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4.76</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00BA40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2.18</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9A0F7E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2.10</w:t>
            </w:r>
          </w:p>
        </w:tc>
      </w:tr>
      <w:tr w:rsidR="00894D9D" w:rsidRPr="00894D9D" w14:paraId="0D9DDE89" w14:textId="77777777" w:rsidTr="002D2752">
        <w:trPr>
          <w:jc w:val="center"/>
        </w:trPr>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F03D4A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102F32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5.05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936CDC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2.70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680FE0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1.37</w:t>
            </w:r>
          </w:p>
        </w:tc>
      </w:tr>
    </w:tbl>
    <w:p w14:paraId="1A000001"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7C6EE3A4" w14:textId="77777777" w:rsidR="00CC245C" w:rsidRPr="00894D9D" w:rsidRDefault="00CC245C" w:rsidP="00894D9D">
      <w:pPr>
        <w:jc w:val="both"/>
        <w:rPr>
          <w:rFonts w:ascii="Times New Roman" w:hAnsi="Times New Roman" w:cs="Times New Roman"/>
          <w:sz w:val="24"/>
          <w:szCs w:val="24"/>
        </w:rPr>
      </w:pPr>
    </w:p>
    <w:p w14:paraId="59BFC25A" w14:textId="28366777" w:rsidR="003C6B5E" w:rsidRDefault="003C6B5E" w:rsidP="00894D9D">
      <w:pPr>
        <w:spacing w:before="40" w:after="100"/>
        <w:jc w:val="both"/>
        <w:rPr>
          <w:rFonts w:ascii="Times New Roman" w:hAnsi="Times New Roman" w:cs="Times New Roman"/>
          <w:sz w:val="24"/>
          <w:szCs w:val="24"/>
        </w:rPr>
      </w:pPr>
      <w:r>
        <w:rPr>
          <w:rFonts w:ascii="Times New Roman" w:hAnsi="Times New Roman" w:cs="Times New Roman"/>
          <w:sz w:val="24"/>
          <w:szCs w:val="24"/>
        </w:rPr>
        <w:t>Company A’s current ratio has been steadily improving from 4.46 to 5.05. The ratio is well beyond the satisfactory level, indicating strong working capital management. Company B's current ratio also shows a clear upward trend, rising from 1.84 to 2.70 in three years, showing that it is becoming financially more mature. However, Company C exhibits a worrying deterioration, its current ratio improved from 1.91 to 2.10 in 2023-24 but falls to a worrisome 1.37 in 2024-25, highlighting potential cashflow problems to a potential creditor evaluating short-term repayment capabilities.</w:t>
      </w:r>
    </w:p>
    <w:p w14:paraId="76FD26FD" w14:textId="10EFC75C"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3: Quick Ratio (2022-2025)</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7665DC54"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8CDA00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lastRenderedPageBreak/>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3824BD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8A57D7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FCBBED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314C2A1B"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CC27DA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C5A276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3.75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9A5C6A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7C2A54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1.26</w:t>
            </w:r>
          </w:p>
        </w:tc>
      </w:tr>
      <w:tr w:rsidR="00894D9D" w:rsidRPr="00894D9D" w14:paraId="50FE40E5"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1F80AF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3C8EE8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4.03</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E72D01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1.90</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5A5B42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1.69</w:t>
            </w:r>
          </w:p>
        </w:tc>
      </w:tr>
      <w:tr w:rsidR="00894D9D" w:rsidRPr="00894D9D" w14:paraId="4C9F56A6"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50C788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A784C4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4.31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413F27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2.40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C49F74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0.86</w:t>
            </w:r>
          </w:p>
        </w:tc>
      </w:tr>
    </w:tbl>
    <w:p w14:paraId="1A000002"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17CBF693" w14:textId="77777777" w:rsidR="00CC245C" w:rsidRPr="00894D9D" w:rsidRDefault="00CC245C" w:rsidP="00894D9D">
      <w:pPr>
        <w:jc w:val="both"/>
        <w:rPr>
          <w:rFonts w:ascii="Times New Roman" w:hAnsi="Times New Roman" w:cs="Times New Roman"/>
          <w:sz w:val="24"/>
          <w:szCs w:val="24"/>
        </w:rPr>
      </w:pPr>
    </w:p>
    <w:p w14:paraId="0A170AD9" w14:textId="176A07CD" w:rsidR="003C6B5E" w:rsidRDefault="003C6B5E" w:rsidP="00894D9D">
      <w:pPr>
        <w:pStyle w:val="Heading2"/>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The quick ratio excludes inventory, giving a better picture of immediate liquidity. Company C's quick ratio falls to 0.86, well below the target level of 1.0, suggesting that the company cannot satisfy its short-term obligations from its immediate liquid resources. This is a major area of concern. Company A (4.31) and B (2.40) maintain satisfactory quick ratio values, and show consistent improvements.</w:t>
      </w:r>
    </w:p>
    <w:p w14:paraId="6C020338" w14:textId="678F9369"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5.2 Profitability Analysis</w:t>
      </w:r>
    </w:p>
    <w:p w14:paraId="094E18A5" w14:textId="77777777" w:rsidR="003C6B5E" w:rsidRPr="003C6B5E" w:rsidRDefault="003C6B5E" w:rsidP="003C6B5E">
      <w:pPr>
        <w:spacing w:before="40" w:after="100"/>
        <w:jc w:val="both"/>
        <w:rPr>
          <w:rFonts w:ascii="Times New Roman" w:hAnsi="Times New Roman" w:cs="Times New Roman"/>
          <w:sz w:val="24"/>
          <w:szCs w:val="24"/>
          <w:lang w:val="en-US"/>
        </w:rPr>
      </w:pPr>
      <w:r>
        <w:rPr>
          <w:rFonts w:ascii="Times New Roman" w:hAnsi="Times New Roman" w:cs="Times New Roman"/>
          <w:sz w:val="24"/>
          <w:szCs w:val="24"/>
          <w:lang w:val="en-US"/>
        </w:rPr>
        <w:t>Profitability analysis measures the ability of a business to generate earnings from its operations. Four profitability ratios are analysed below for all three companies.</w:t>
      </w:r>
    </w:p>
    <w:p w14:paraId="229F1D3C" w14:textId="5B3DEC51"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4: Gross Profit Margin Ratio (2022-2025)</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41C1F3AA"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D313E1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527FA8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9C2144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590094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0A0D151B"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8ADA40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87AE0F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21.53%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D15023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5.82%</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A03422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(6.52%)</w:t>
            </w:r>
          </w:p>
        </w:tc>
      </w:tr>
      <w:tr w:rsidR="00894D9D" w:rsidRPr="00894D9D" w14:paraId="0D2F4D4A"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2EF5ED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41704A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22.08%</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21A2F4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9.40%</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194312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2.60%</w:t>
            </w:r>
          </w:p>
        </w:tc>
      </w:tr>
      <w:tr w:rsidR="00894D9D" w:rsidRPr="00894D9D" w14:paraId="1FBE834A"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AB4BD5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2D17C7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22.73%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99FC4D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12.80%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14FDC2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6.17%</w:t>
            </w:r>
          </w:p>
        </w:tc>
      </w:tr>
    </w:tbl>
    <w:p w14:paraId="1A000003"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6ABF78BC" w14:textId="77777777" w:rsidR="00CC245C" w:rsidRPr="00894D9D" w:rsidRDefault="00CC245C" w:rsidP="00894D9D">
      <w:pPr>
        <w:jc w:val="both"/>
        <w:rPr>
          <w:rFonts w:ascii="Times New Roman" w:hAnsi="Times New Roman" w:cs="Times New Roman"/>
          <w:sz w:val="24"/>
          <w:szCs w:val="24"/>
        </w:rPr>
      </w:pPr>
    </w:p>
    <w:p w14:paraId="4E87AFBE"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5: Net Profit Margin Ratio (2022-2025)</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7DB47A6B"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66DF7F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3CFC1A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44549E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13231F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2F3153DD"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FC94DF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8C0BBB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36.54%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4EF5F0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20.29%</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E1CBAA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12.50%</w:t>
            </w:r>
          </w:p>
        </w:tc>
      </w:tr>
      <w:tr w:rsidR="00894D9D" w:rsidRPr="00894D9D" w14:paraId="1677395D"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26B0BF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FB6016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36.69%</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7460B8F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22.59%</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DA5A35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15.70%</w:t>
            </w:r>
          </w:p>
        </w:tc>
      </w:tr>
      <w:tr w:rsidR="00894D9D" w:rsidRPr="00894D9D" w14:paraId="27C1777D"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6E05D9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872EAD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36.91%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BA7AEC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25.88%</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AE96B2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18.40%</w:t>
            </w:r>
          </w:p>
        </w:tc>
      </w:tr>
    </w:tbl>
    <w:p w14:paraId="1A000004"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4411BD98" w14:textId="77777777" w:rsidR="00CC245C" w:rsidRPr="00894D9D" w:rsidRDefault="00CC245C" w:rsidP="00894D9D">
      <w:pPr>
        <w:jc w:val="both"/>
        <w:rPr>
          <w:rFonts w:ascii="Times New Roman" w:hAnsi="Times New Roman" w:cs="Times New Roman"/>
          <w:sz w:val="24"/>
          <w:szCs w:val="24"/>
        </w:rPr>
      </w:pPr>
    </w:p>
    <w:p w14:paraId="77A3391F"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6: Operating Profit Margin Ratio (2022-2025)</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44D57809"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BD3505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4BE4A5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337981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6D1AC8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047C549B"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C6AD0C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8D9390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35.73%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06D218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5.00%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5ACE28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(46.50%)</w:t>
            </w:r>
          </w:p>
        </w:tc>
      </w:tr>
      <w:tr w:rsidR="00894D9D" w:rsidRPr="00894D9D" w14:paraId="5AB33BAC"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0C6766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8BA35A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32.57%</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AA9EDE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5.34%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418E91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19.10%</w:t>
            </w:r>
          </w:p>
        </w:tc>
      </w:tr>
      <w:tr w:rsidR="00894D9D" w:rsidRPr="00894D9D" w14:paraId="7D31C14B"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9051C4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41AFE7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36.05%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AA06B2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5.71%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73A934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17.20%</w:t>
            </w:r>
          </w:p>
        </w:tc>
      </w:tr>
    </w:tbl>
    <w:p w14:paraId="1A000005"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78D14FA8" w14:textId="77777777" w:rsidR="00CC245C" w:rsidRPr="00894D9D" w:rsidRDefault="00CC245C" w:rsidP="00894D9D">
      <w:pPr>
        <w:jc w:val="both"/>
        <w:rPr>
          <w:rFonts w:ascii="Times New Roman" w:hAnsi="Times New Roman" w:cs="Times New Roman"/>
          <w:sz w:val="24"/>
          <w:szCs w:val="24"/>
        </w:rPr>
      </w:pPr>
    </w:p>
    <w:p w14:paraId="73306A41" w14:textId="65894BEA" w:rsidR="00894D9D" w:rsidRPr="003C6B5E" w:rsidRDefault="003C6B5E" w:rsidP="003C6B5E">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Company A’s Net Profit Margin has been remarkably stable between 36% and 37% over the study period, signifying consistent financial discipline and high operating efficiency. The increase from 20.29% to 25.88% for Company B's net profit margin highlights that the improvement has been driven by more than just revenue, indicating strong operational progress. In contrast, Company C, after operating at a significant loss in 2022-23, turned around operationally in only two years. From an operating loss of (46.50%) in 2022-23, it reached positive 17.20% in 2024-25. While this turnaround is outstanding, the drag of the financial structure limits the apparent gain.</w:t>
      </w:r>
    </w:p>
    <w:p w14:paraId="2369254B"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7: Return on Investment - ROI (2022-2025)</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4AEFD7FB"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3C8747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lastRenderedPageBreak/>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C28678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51944C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570FEE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729AFCC0"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E3D9FE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D2B89E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18.2%</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A57276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C909B1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6.4%</w:t>
            </w:r>
          </w:p>
        </w:tc>
      </w:tr>
      <w:tr w:rsidR="00894D9D" w:rsidRPr="00894D9D" w14:paraId="668AA27A"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EDF367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438DEC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19.4%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4C73B9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20.1%</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A457AF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8.2%</w:t>
            </w:r>
          </w:p>
        </w:tc>
      </w:tr>
      <w:tr w:rsidR="00894D9D" w:rsidRPr="00894D9D" w14:paraId="3EC0EA1F"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F88193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33CD06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21.3%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F134BC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18.7%</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24F7ED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10.5%</w:t>
            </w:r>
          </w:p>
        </w:tc>
      </w:tr>
    </w:tbl>
    <w:p w14:paraId="1A000006"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09E28B12" w14:textId="77777777" w:rsidR="00CC245C" w:rsidRPr="00894D9D" w:rsidRDefault="00CC245C" w:rsidP="00894D9D">
      <w:pPr>
        <w:jc w:val="both"/>
        <w:rPr>
          <w:rFonts w:ascii="Times New Roman" w:hAnsi="Times New Roman" w:cs="Times New Roman"/>
          <w:sz w:val="24"/>
          <w:szCs w:val="24"/>
        </w:rPr>
      </w:pPr>
    </w:p>
    <w:p w14:paraId="09502775" w14:textId="097E07C7" w:rsidR="003C6B5E" w:rsidRDefault="003C6B5E" w:rsidP="00894D9D">
      <w:pPr>
        <w:pStyle w:val="Heading2"/>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Company A's ROI of 21.3% is the highest and still improving over the study period. Company B’s ROI reached a peak of 20.1% in 2023-24 before slipping slightly to 18.7%, still excellent but less consistent than A's. Company C's ROI at 10.5% may seem modest, but it indicates good progress from a 6.4% in just two years. However, will the progress hold in light of the company’s financial difficulties?</w:t>
      </w:r>
    </w:p>
    <w:p w14:paraId="7469980A" w14:textId="1AF6CE2C"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5.3 Solvency and Coverage Analysis</w:t>
      </w:r>
    </w:p>
    <w:p w14:paraId="11FAB883" w14:textId="77777777" w:rsidR="00CC245C" w:rsidRPr="00894D9D" w:rsidRDefault="00894D9D" w:rsidP="00894D9D">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Solvency ratios tell us how well a company can handle its long-term debts. For project financing, these are particularly important — lenders want assurance that a company will still be standing five or ten years from now.</w:t>
      </w:r>
    </w:p>
    <w:p w14:paraId="5A853D40"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8: Debt-Equity Ratio (2022-2025)</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00959D8A"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48B9AE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AC2D49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F6310B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685A84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0FF37FE6"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6C9606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684C5E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0.24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EAA37B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1.94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328D15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3.99</w:t>
            </w:r>
          </w:p>
        </w:tc>
      </w:tr>
      <w:tr w:rsidR="00894D9D" w:rsidRPr="00894D9D" w14:paraId="4938B21F"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B7E621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A86B7E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0.13</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D4A93D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1.09</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116F81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3.65</w:t>
            </w:r>
          </w:p>
        </w:tc>
      </w:tr>
      <w:tr w:rsidR="00894D9D" w:rsidRPr="00894D9D" w14:paraId="7B913DFD"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F161D5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E70506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0.08</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5CA137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0.69</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459294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9.27</w:t>
            </w:r>
          </w:p>
        </w:tc>
      </w:tr>
    </w:tbl>
    <w:p w14:paraId="1A000007"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0E0411C4" w14:textId="77777777" w:rsidR="00CC245C" w:rsidRPr="00894D9D" w:rsidRDefault="00CC245C" w:rsidP="00894D9D">
      <w:pPr>
        <w:jc w:val="both"/>
        <w:rPr>
          <w:rFonts w:ascii="Times New Roman" w:hAnsi="Times New Roman" w:cs="Times New Roman"/>
          <w:sz w:val="24"/>
          <w:szCs w:val="24"/>
        </w:rPr>
      </w:pPr>
    </w:p>
    <w:p w14:paraId="013BF91B" w14:textId="77777777" w:rsidR="003C6B5E" w:rsidRDefault="003C6B5E" w:rsidP="00894D9D">
      <w:pPr>
        <w:spacing w:before="40" w:after="100"/>
        <w:jc w:val="both"/>
        <w:rPr>
          <w:rFonts w:ascii="Times New Roman" w:hAnsi="Times New Roman" w:cs="Times New Roman"/>
          <w:sz w:val="24"/>
          <w:szCs w:val="24"/>
        </w:rPr>
      </w:pPr>
      <w:r>
        <w:rPr>
          <w:rFonts w:ascii="Times New Roman" w:hAnsi="Times New Roman" w:cs="Times New Roman"/>
          <w:sz w:val="24"/>
          <w:szCs w:val="24"/>
        </w:rPr>
        <w:t>These ratios highlight the contrasting fortunes of the three companies.Company A has almost no relative debt. Its debt to equity ratio of 0.08 signifies that the equity is substantially larger than the debt. Company B's debt to equity ratio has also significantly improved, falling from 1.94 to 0.69, demonstrating excellent progress towards financial discipline. The exact opposite has happened to Company C where the debt to equity ratio has dramatically risen from 3.65 to 9.27 over the space of one year. It is not financially sustainable for any company to have debt almost nine times its equity. This represents the biggest risk element.</w:t>
      </w:r>
    </w:p>
    <w:p w14:paraId="6BD6657B" w14:textId="375CE14C"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9: Interest Coverage Ratio (2022-2025)</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2CF85945"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B00096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B75C00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F53F5C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308A03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5A55049B"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E85718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0610A2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12.45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5CE75C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4.12</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C88E20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(1.85)</w:t>
            </w:r>
          </w:p>
        </w:tc>
      </w:tr>
      <w:tr w:rsidR="00894D9D" w:rsidRPr="00894D9D" w14:paraId="05560CCF"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A9EA02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271C21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15.30</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12FDDB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4.85</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459D53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2.10</w:t>
            </w:r>
          </w:p>
        </w:tc>
      </w:tr>
      <w:tr w:rsidR="00894D9D" w:rsidRPr="00894D9D" w14:paraId="0FE133A4"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136028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00C61D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18.90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611682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5.20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4D5F9E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1.65</w:t>
            </w:r>
          </w:p>
        </w:tc>
      </w:tr>
    </w:tbl>
    <w:p w14:paraId="1A000008"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649FD94E"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10: Debt Service Coverage Ratio - DSCR (2022-2025)</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0A0B26E6"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36078A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701670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BDB230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0DBC46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7BAF635B"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8DFF9D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38123A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2.36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C41C52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234B92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2.41</w:t>
            </w:r>
          </w:p>
        </w:tc>
      </w:tr>
      <w:tr w:rsidR="00894D9D" w:rsidRPr="00894D9D" w14:paraId="2FA96772"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2838CA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BB6A59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2.60</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8FCBA4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1.11</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281FBE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2.73</w:t>
            </w:r>
          </w:p>
        </w:tc>
      </w:tr>
      <w:tr w:rsidR="00894D9D" w:rsidRPr="00894D9D" w14:paraId="3432F6D1"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0F23F6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8782F9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2.93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5C6520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4469E4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2.70</w:t>
            </w:r>
          </w:p>
        </w:tc>
      </w:tr>
    </w:tbl>
    <w:p w14:paraId="1A000009"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22336E6B" w14:textId="77777777" w:rsidR="00CC245C" w:rsidRPr="00894D9D" w:rsidRDefault="00CC245C" w:rsidP="00894D9D">
      <w:pPr>
        <w:jc w:val="both"/>
        <w:rPr>
          <w:rFonts w:ascii="Times New Roman" w:hAnsi="Times New Roman" w:cs="Times New Roman"/>
          <w:sz w:val="24"/>
          <w:szCs w:val="24"/>
        </w:rPr>
      </w:pPr>
    </w:p>
    <w:p w14:paraId="0B5E1A4F" w14:textId="1D74E14B" w:rsidR="003C6B5E" w:rsidRDefault="003C6B5E" w:rsidP="00EB5750">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With an ICR of 18.90, Company A has almost no chance of defaulting on its interest payments. Company C's ICR was negative in 2022-23, meaning it could not even meet its interest payment from its earnings. Since then, it has managed to turn it to 1.65, which is still dangerously low. At 1.25, Company B's DSCR is technically above the required 1.20 but it leaves minimal room for error going forward.</w:t>
      </w:r>
    </w:p>
    <w:p w14:paraId="1FD871AD" w14:textId="6DBD1F13" w:rsidR="00CC245C" w:rsidRPr="00894D9D" w:rsidRDefault="00EB5750" w:rsidP="00EB5750">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5.4 Capital Budgeting Analysis</w:t>
      </w:r>
    </w:p>
    <w:p w14:paraId="24DB16C9" w14:textId="77777777" w:rsidR="003C6B5E" w:rsidRDefault="003C6B5E" w:rsidP="00894D9D">
      <w:pPr>
        <w:spacing w:before="40" w:after="100"/>
        <w:jc w:val="both"/>
        <w:rPr>
          <w:rFonts w:ascii="Times New Roman" w:hAnsi="Times New Roman" w:cs="Times New Roman"/>
          <w:sz w:val="24"/>
          <w:szCs w:val="24"/>
        </w:rPr>
      </w:pPr>
      <w:r>
        <w:rPr>
          <w:rFonts w:ascii="Times New Roman" w:hAnsi="Times New Roman" w:cs="Times New Roman"/>
          <w:sz w:val="24"/>
          <w:szCs w:val="24"/>
        </w:rPr>
        <w:t>The key capital budgeting measures translate future expectations into current value terms. The table below assesses these indicators for each of the three companies:</w:t>
      </w:r>
    </w:p>
    <w:p w14:paraId="50029208" w14:textId="347FC5FC" w:rsidR="00CC245C" w:rsidRPr="00894D9D" w:rsidRDefault="003C6B5E" w:rsidP="00894D9D">
      <w:pPr>
        <w:spacing w:before="40" w:after="10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i/>
          <w:iCs/>
          <w:sz w:val="24"/>
          <w:szCs w:val="24"/>
        </w:rPr>
        <w:t>Table 11: Net Present Value - NPV (Rs. Lakhs)</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3D1E6FDB"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DA90A9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Client Company</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908C40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054698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162247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2024-2025</w:t>
            </w:r>
          </w:p>
        </w:tc>
      </w:tr>
      <w:tr w:rsidR="00894D9D" w:rsidRPr="00894D9D" w14:paraId="1E8D72EC"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3B5F0F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5EAD7E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Rs.6,052.38</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D688E8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Rs.6,303.07</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F30CF4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Rs.6,634.37</w:t>
            </w:r>
          </w:p>
        </w:tc>
      </w:tr>
      <w:tr w:rsidR="00894D9D" w:rsidRPr="00894D9D" w14:paraId="7B3A2361"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37E992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AC7649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Rs.1,148.29</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E699C8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Rs.1,172.02</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4A724C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Rs.1,661.84</w:t>
            </w:r>
          </w:p>
        </w:tc>
      </w:tr>
      <w:tr w:rsidR="00894D9D" w:rsidRPr="00894D9D" w14:paraId="359A78D4"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06C389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Company C</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2C32E7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Rs.69.11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4D9E3D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Rs.90.11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605BFC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Rs.93.96</w:t>
            </w:r>
          </w:p>
        </w:tc>
      </w:tr>
    </w:tbl>
    <w:p w14:paraId="1A00000A"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021A2075" w14:textId="77777777" w:rsidR="00CC245C" w:rsidRPr="00894D9D" w:rsidRDefault="00CC245C" w:rsidP="00894D9D">
      <w:pPr>
        <w:jc w:val="both"/>
        <w:rPr>
          <w:rFonts w:ascii="Times New Roman" w:hAnsi="Times New Roman" w:cs="Times New Roman"/>
          <w:sz w:val="24"/>
          <w:szCs w:val="24"/>
        </w:rPr>
      </w:pPr>
    </w:p>
    <w:p w14:paraId="3F5BC7E6"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12: Internal Rate of Return - IRR</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6405F3A5"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F10A08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Client Company</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BEAD04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A44217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2C4693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2024-2025</w:t>
            </w:r>
          </w:p>
        </w:tc>
      </w:tr>
      <w:tr w:rsidR="00894D9D" w:rsidRPr="00894D9D" w14:paraId="06492F23"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360DA6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5A79CF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25.00%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A3DEA7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27.00%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458307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29.48%</w:t>
            </w:r>
          </w:p>
        </w:tc>
      </w:tr>
      <w:tr w:rsidR="00894D9D" w:rsidRPr="00894D9D" w14:paraId="379CE9F5"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0A211A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48B250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15.40%</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917773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16.80%</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4449F3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18.20%</w:t>
            </w:r>
          </w:p>
        </w:tc>
      </w:tr>
      <w:tr w:rsidR="00894D9D" w:rsidRPr="00894D9D" w14:paraId="37B18C85"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9C821D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Company C</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DC6F3A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0.00%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47EDAA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16.20%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19762A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34.28%</w:t>
            </w:r>
          </w:p>
        </w:tc>
      </w:tr>
    </w:tbl>
    <w:p w14:paraId="1A00000B"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3168A5F4" w14:textId="77777777" w:rsidR="00CC245C" w:rsidRPr="00894D9D" w:rsidRDefault="00CC245C" w:rsidP="00894D9D">
      <w:pPr>
        <w:jc w:val="both"/>
        <w:rPr>
          <w:rFonts w:ascii="Times New Roman" w:hAnsi="Times New Roman" w:cs="Times New Roman"/>
          <w:sz w:val="24"/>
          <w:szCs w:val="24"/>
        </w:rPr>
      </w:pPr>
    </w:p>
    <w:p w14:paraId="16B3611A"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13: Payback Period and WACC</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372593DC"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AA0E5A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Metric / Company</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997354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8E29C3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88F93C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2CC05BFD"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7A632E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Payback Period</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DFC2C9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4.18 years</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E47D18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4.50 years</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43D3FA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3.15 years</w:t>
            </w:r>
          </w:p>
        </w:tc>
      </w:tr>
      <w:tr w:rsidR="00894D9D" w:rsidRPr="00894D9D" w14:paraId="07B9471E"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A95BCB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WACC (2022-23)</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D75C77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10.76%</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7A7129C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8.86%</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25C3DB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9.15%</w:t>
            </w:r>
          </w:p>
        </w:tc>
      </w:tr>
      <w:tr w:rsidR="00894D9D" w:rsidRPr="00894D9D" w14:paraId="6F07EE77"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9E9FA0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WACC (2023-24)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028C35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11.21%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6DBC02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9.67%</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768155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8.98%</w:t>
            </w:r>
          </w:p>
        </w:tc>
      </w:tr>
      <w:tr w:rsidR="00894D9D" w:rsidRPr="00894D9D" w14:paraId="61DB1A2C"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E54443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WACC (2024-25)</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1CABF7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11.58%</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7A20E46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8.81%</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AE6C33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8.45%</w:t>
            </w:r>
          </w:p>
        </w:tc>
      </w:tr>
    </w:tbl>
    <w:p w14:paraId="1A00000C"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2D87EEFD" w14:textId="77777777" w:rsidR="00CC245C" w:rsidRPr="00894D9D" w:rsidRDefault="00CC245C" w:rsidP="00894D9D">
      <w:pPr>
        <w:jc w:val="both"/>
        <w:rPr>
          <w:rFonts w:ascii="Times New Roman" w:hAnsi="Times New Roman" w:cs="Times New Roman"/>
          <w:sz w:val="24"/>
          <w:szCs w:val="24"/>
        </w:rPr>
      </w:pPr>
    </w:p>
    <w:p w14:paraId="031EB386" w14:textId="4BD9DCA4" w:rsidR="003C6B5E" w:rsidRDefault="003C6B5E" w:rsidP="00894D9D">
      <w:pPr>
        <w:pStyle w:val="Heading2"/>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NPV of Rs.6,634 lakhs and an IRR of 29.48% for Company A make it the best investment choice. The IRR of 34.28% in Company C is attractive but needs to be interpreted with caution. When coupled with an extremely low Z-Score, it is likely that the return is derived more from extreme financial leverage and taking risks rather than underlying operational strength. The investment for Company B provides steady NPV growth, an IRR that is consistently increasing, and a reasonable payback period of 4.50 years, demonstrating a sensible approach.</w:t>
      </w:r>
    </w:p>
    <w:p w14:paraId="3121D640" w14:textId="7047874E"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5.5 Break-Even and Sensitivity Analysis</w:t>
      </w:r>
    </w:p>
    <w:p w14:paraId="7A2534EE"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lastRenderedPageBreak/>
        <w:t>Table 14: Break-Even Point (BEP) - % of Sales</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29DFA037"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06C8CF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F67C46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AE68ED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A03ABB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2CBCDEAE"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31226D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A67C25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19.36%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996859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52.36%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E8F5BA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16.73%</w:t>
            </w:r>
          </w:p>
        </w:tc>
      </w:tr>
      <w:tr w:rsidR="00894D9D" w:rsidRPr="00894D9D" w14:paraId="52AA65B7"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4B7831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F2CE6F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16.18%</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8A4805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47.45%</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9DD87A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14.03%</w:t>
            </w:r>
          </w:p>
        </w:tc>
      </w:tr>
      <w:tr w:rsidR="00894D9D" w:rsidRPr="00894D9D" w14:paraId="057ECFD8"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E0CF8F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2B8139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13.00%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AD55FD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42.69%</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6CB04A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11.35%</w:t>
            </w:r>
          </w:p>
        </w:tc>
      </w:tr>
    </w:tbl>
    <w:p w14:paraId="1A00000D"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6CF83C07" w14:textId="77777777" w:rsidR="00CC245C" w:rsidRPr="00894D9D" w:rsidRDefault="00CC245C" w:rsidP="00894D9D">
      <w:pPr>
        <w:jc w:val="both"/>
        <w:rPr>
          <w:rFonts w:ascii="Times New Roman" w:hAnsi="Times New Roman" w:cs="Times New Roman"/>
          <w:sz w:val="24"/>
          <w:szCs w:val="24"/>
        </w:rPr>
      </w:pPr>
    </w:p>
    <w:p w14:paraId="0A23B8FB"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15: Margin of Safety (MoS)</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01CBE8DF"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77C1FF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FE33C1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B84434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C14B76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2DF3FB72"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6B1645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E623ED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80.64%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A11662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47.64%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889EA7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83.27%</w:t>
            </w:r>
          </w:p>
        </w:tc>
      </w:tr>
      <w:tr w:rsidR="00894D9D" w:rsidRPr="00894D9D" w14:paraId="7EDF9587"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4020AB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D61370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83.82%</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7589557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52.55%</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09FD5F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85.97%</w:t>
            </w:r>
          </w:p>
        </w:tc>
      </w:tr>
      <w:tr w:rsidR="00894D9D" w:rsidRPr="00894D9D" w14:paraId="1B901DA5"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2785C7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E804E5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87.00%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B497AC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57.31%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CF7053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88.65%</w:t>
            </w:r>
          </w:p>
        </w:tc>
      </w:tr>
    </w:tbl>
    <w:p w14:paraId="1A00000E"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02CE16CA" w14:textId="77777777" w:rsidR="00CC245C" w:rsidRPr="00894D9D" w:rsidRDefault="00CC245C" w:rsidP="00894D9D">
      <w:pPr>
        <w:jc w:val="both"/>
        <w:rPr>
          <w:rFonts w:ascii="Times New Roman" w:hAnsi="Times New Roman" w:cs="Times New Roman"/>
          <w:sz w:val="24"/>
          <w:szCs w:val="24"/>
        </w:rPr>
      </w:pPr>
    </w:p>
    <w:p w14:paraId="374D00AD"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16: Sensitivity Analysis - Project Viability Index</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3B4C3969"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01FB6A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Scenario</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7BAF124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65D70C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9BB8E3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2CFEFF1F"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643520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As Projected</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FAEAB1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AE55A7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1.95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BCC059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1.86</w:t>
            </w:r>
          </w:p>
        </w:tc>
      </w:tr>
      <w:tr w:rsidR="00894D9D" w:rsidRPr="00894D9D" w14:paraId="1E08A66A"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D8E018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Revenue -5%</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BDCA95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1.83</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B5A96D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1.72</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D59EDE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1.54</w:t>
            </w:r>
          </w:p>
        </w:tc>
      </w:tr>
      <w:tr w:rsidR="00894D9D" w:rsidRPr="00894D9D" w14:paraId="56E5F891"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CE4EEC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Expenses +5%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5A8F99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E7C29F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C63ACB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1.62</w:t>
            </w:r>
          </w:p>
        </w:tc>
      </w:tr>
      <w:tr w:rsidR="00894D9D" w:rsidRPr="00894D9D" w14:paraId="31B64B2F"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F7DB7D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Both Change</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502221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1.95</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DE2EA0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1.85</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53808C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1.41</w:t>
            </w:r>
          </w:p>
        </w:tc>
      </w:tr>
    </w:tbl>
    <w:p w14:paraId="1A00000F"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396F1215" w14:textId="77777777" w:rsidR="00CC245C" w:rsidRPr="00894D9D" w:rsidRDefault="00CC245C" w:rsidP="00894D9D">
      <w:pPr>
        <w:jc w:val="both"/>
        <w:rPr>
          <w:rFonts w:ascii="Times New Roman" w:hAnsi="Times New Roman" w:cs="Times New Roman"/>
          <w:sz w:val="24"/>
          <w:szCs w:val="24"/>
        </w:rPr>
      </w:pPr>
    </w:p>
    <w:p w14:paraId="26DD9AE2" w14:textId="77777777" w:rsidR="00F4572D" w:rsidRDefault="00F4572D" w:rsidP="00894D9D">
      <w:pPr>
        <w:pStyle w:val="Heading2"/>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Company B’s Break-even point of 42.69% highlights that it will have to earn almost half of its revenue just to cover its fixed costs before it can actually make any profit. Both A and C have a significantly smaller break-even percentage thus have greater flexibility. In sensitivity analysis, Company A shows a Viability Index of 1.95 where revenues decrease and costs increase, this highlights the companies stability. A combined stress test for Company C showed the viability index fall to 1.41, demonstrating its vulnerability to adverse market conditions.</w:t>
      </w:r>
    </w:p>
    <w:p w14:paraId="53BB0F9F" w14:textId="4884B9ED"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5.6 Trend Forecasting (2025-2026 to 2027-2028)</w:t>
      </w:r>
    </w:p>
    <w:p w14:paraId="4A532EFD" w14:textId="77777777" w:rsidR="00894D9D" w:rsidRPr="00894D9D" w:rsidRDefault="00894D9D" w:rsidP="00894D9D">
      <w:pPr>
        <w:spacing w:before="60" w:after="60" w:line="360" w:lineRule="auto"/>
        <w:jc w:val="both"/>
        <w:rPr>
          <w:rFonts w:ascii="Times New Roman" w:hAnsi="Times New Roman" w:cs="Times New Roman"/>
          <w:sz w:val="24"/>
          <w:szCs w:val="24"/>
        </w:rPr>
      </w:pPr>
      <w:r>
        <w:rPr>
          <w:rFonts w:ascii="Times New Roman" w:hAnsi="Times New Roman" w:cs="Times New Roman"/>
          <w:sz w:val="24"/>
          <w:szCs w:val="24"/>
        </w:rPr>
        <w:t>Using linear trend analysis, key financial ratios were projected forward to 2027-2028. These forecasts are based on observed historical patterns and are intended to identify likely trajectories — and early warning signals — for each company.</w:t>
      </w:r>
    </w:p>
    <w:p w14:paraId="743E6CC9"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17: Current Ratio - Trend Forecast</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734CC524"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9E042C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B6F559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934492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5E6D38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7FCA8A85"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333E8A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2025-2026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970D17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5.35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81FAB2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3.10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1F6AFF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1.51</w:t>
            </w:r>
          </w:p>
        </w:tc>
      </w:tr>
      <w:tr w:rsidR="00894D9D" w:rsidRPr="00894D9D" w14:paraId="69362D4E"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8311C0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2026-2027</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F0E3C2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5.64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026495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3.58</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7D81F5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1.07</w:t>
            </w:r>
          </w:p>
        </w:tc>
      </w:tr>
      <w:tr w:rsidR="00894D9D" w:rsidRPr="00894D9D" w14:paraId="00EF44A2"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E75031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2027-2028</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A048FE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5.93</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C1259A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4.00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70549D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1.01</w:t>
            </w:r>
          </w:p>
        </w:tc>
      </w:tr>
    </w:tbl>
    <w:p w14:paraId="1A000010"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7628A7CE" w14:textId="77777777" w:rsidR="00CC245C" w:rsidRPr="00894D9D" w:rsidRDefault="00CC245C" w:rsidP="00894D9D">
      <w:pPr>
        <w:jc w:val="both"/>
        <w:rPr>
          <w:rFonts w:ascii="Times New Roman" w:hAnsi="Times New Roman" w:cs="Times New Roman"/>
          <w:sz w:val="24"/>
          <w:szCs w:val="24"/>
        </w:rPr>
      </w:pPr>
    </w:p>
    <w:p w14:paraId="10BA8971"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18: Gross Profit Margin - Trend Forecast</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746C4713"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F377FF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F348D8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E27593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696DB6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4F3EE6D3"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8EF8E5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2025-2026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935D71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23.37%</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18840B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16.30%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327F71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12.50%</w:t>
            </w:r>
          </w:p>
        </w:tc>
      </w:tr>
      <w:tr w:rsidR="00894D9D" w:rsidRPr="00894D9D" w14:paraId="6D696EB5"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B2A12B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lastRenderedPageBreak/>
              <w:t>2026-2027</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81C6C5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24.02%</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57617F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19.80%</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E82DD1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18.06%</w:t>
            </w:r>
          </w:p>
        </w:tc>
      </w:tr>
      <w:tr w:rsidR="00894D9D" w:rsidRPr="00894D9D" w14:paraId="135F9E1C"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0C9196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2027-2028</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DE063C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24.69%</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461921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23.30%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E2DF01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25.16%</w:t>
            </w:r>
          </w:p>
        </w:tc>
      </w:tr>
    </w:tbl>
    <w:p w14:paraId="1A000011"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56415B28" w14:textId="77777777" w:rsidR="00CC245C" w:rsidRPr="00894D9D" w:rsidRDefault="00CC245C" w:rsidP="00894D9D">
      <w:pPr>
        <w:jc w:val="both"/>
        <w:rPr>
          <w:rFonts w:ascii="Times New Roman" w:hAnsi="Times New Roman" w:cs="Times New Roman"/>
          <w:sz w:val="24"/>
          <w:szCs w:val="24"/>
        </w:rPr>
      </w:pPr>
    </w:p>
    <w:p w14:paraId="2452F635"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19: DSCR - Trend Forecast</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40AFAB6E"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DBC1F9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5143FD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4E1009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46E0FF5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0F623506"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E506F1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2025-2026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EC337F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3.20</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2472B2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0.94</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F4EDC3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2.90</w:t>
            </w:r>
          </w:p>
        </w:tc>
      </w:tr>
      <w:tr w:rsidR="00894D9D" w:rsidRPr="00894D9D" w14:paraId="21F1A6ED"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598DCE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2026-2027</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45F6CD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3.49</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BDEAB8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0.75</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86626F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3.05</w:t>
            </w:r>
          </w:p>
        </w:tc>
      </w:tr>
      <w:tr w:rsidR="00894D9D" w:rsidRPr="00894D9D" w14:paraId="6A8ECEF8"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E9D99B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2027-2028</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F1F674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3.77</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2CA38E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0.55</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2F4F60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3.19</w:t>
            </w:r>
          </w:p>
        </w:tc>
      </w:tr>
    </w:tbl>
    <w:p w14:paraId="1A000012"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03A6DFEE" w14:textId="77777777" w:rsidR="00CC245C" w:rsidRPr="00894D9D" w:rsidRDefault="00CC245C" w:rsidP="00894D9D">
      <w:pPr>
        <w:jc w:val="both"/>
        <w:rPr>
          <w:rFonts w:ascii="Times New Roman" w:hAnsi="Times New Roman" w:cs="Times New Roman"/>
          <w:sz w:val="24"/>
          <w:szCs w:val="24"/>
        </w:rPr>
      </w:pPr>
    </w:p>
    <w:p w14:paraId="33E96D27"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20: Debt-Equity Ratio - Trend Forecast</w:t>
      </w:r>
    </w:p>
    <w:tbl>
      <w:tblPr>
        <w:tblW w:w="9200" w:type="dxa"/>
        <w:tblCellMar>
          <w:left w:w="10" w:type="dxa"/>
          <w:right w:w="10" w:type="dxa"/>
        </w:tblCellMar>
        <w:tblLook w:val="04A0" w:firstRow="1" w:lastRow="0" w:firstColumn="1" w:lastColumn="0" w:noHBand="0" w:noVBand="1"/>
      </w:tblPr>
      <w:tblGrid>
        <w:gridCol w:w="1799"/>
        <w:gridCol w:w="2467"/>
        <w:gridCol w:w="2467"/>
        <w:gridCol w:w="2467"/>
      </w:tblGrid>
      <w:tr w:rsidR="00894D9D" w:rsidRPr="00894D9D" w14:paraId="3BD78D18" w14:textId="77777777">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D0D33C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E88457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CDEB15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46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64623C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535E0F16"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74C989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2025-2026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0871F5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(0.01)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ACA2CD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(0.01)</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9260A1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10.92</w:t>
            </w:r>
          </w:p>
        </w:tc>
      </w:tr>
      <w:tr w:rsidR="00894D9D" w:rsidRPr="00894D9D" w14:paraId="4599CD18"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A75AD1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2026-2027</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F7D122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(0.09)</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C2D7B9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(0.64)</w:t>
            </w:r>
          </w:p>
        </w:tc>
        <w:tc>
          <w:tcPr>
            <w:tcW w:w="2466"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7EB369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13.56</w:t>
            </w:r>
          </w:p>
        </w:tc>
      </w:tr>
      <w:tr w:rsidR="00894D9D" w:rsidRPr="00894D9D" w14:paraId="1715EC33" w14:textId="77777777">
        <w:tc>
          <w:tcPr>
            <w:tcW w:w="18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85DD8D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2027-2028</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353FEF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(0.17)</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868AA7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(1.26)</w:t>
            </w:r>
          </w:p>
        </w:tc>
        <w:tc>
          <w:tcPr>
            <w:tcW w:w="246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2613AB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16.19</w:t>
            </w:r>
          </w:p>
        </w:tc>
      </w:tr>
    </w:tbl>
    <w:p w14:paraId="1A000013"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3F132E14" w14:textId="77777777" w:rsidR="00CC245C" w:rsidRPr="00894D9D" w:rsidRDefault="00CC245C" w:rsidP="00894D9D">
      <w:pPr>
        <w:jc w:val="both"/>
        <w:rPr>
          <w:rFonts w:ascii="Times New Roman" w:hAnsi="Times New Roman" w:cs="Times New Roman"/>
          <w:sz w:val="24"/>
          <w:szCs w:val="24"/>
        </w:rPr>
      </w:pPr>
    </w:p>
    <w:p w14:paraId="4C3803A3" w14:textId="77777777" w:rsidR="00F4572D" w:rsidRDefault="00F4572D" w:rsidP="00894D9D">
      <w:pPr>
        <w:pStyle w:val="Heading2"/>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It is clear from these forecasts that Company A is only getting stronger. For Company B, while the gross profit margin has shown significant positive improvements, the projected fall of its DSCR from 0.94 to 0.55 by 2027-28, needs immediate and urgent action. Company C's projected debt-to-equity of 16.19 by 2027-28 is extremely concerning. It's redeeming factor is that it can indeed improve its gross profit margin to 25.16%, however this will only be useful if its financial structure is rectified immediately.</w:t>
      </w:r>
    </w:p>
    <w:p w14:paraId="09672973" w14:textId="3494D18E" w:rsidR="00CC245C" w:rsidRPr="00894D9D" w:rsidRDefault="00EB5750"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5.7 Altman Z-Score Analysis</w:t>
      </w:r>
    </w:p>
    <w:p w14:paraId="1BEEAC7D" w14:textId="77777777" w:rsidR="00F4572D" w:rsidRPr="00F4572D" w:rsidRDefault="00F4572D" w:rsidP="00F4572D">
      <w:pPr>
        <w:spacing w:before="40" w:after="100"/>
        <w:jc w:val="both"/>
        <w:rPr>
          <w:rFonts w:ascii="Times New Roman" w:hAnsi="Times New Roman" w:cs="Times New Roman"/>
          <w:sz w:val="24"/>
          <w:szCs w:val="24"/>
          <w:lang w:val="en-US"/>
        </w:rPr>
      </w:pPr>
      <w:r>
        <w:rPr>
          <w:rFonts w:ascii="Times New Roman" w:hAnsi="Times New Roman" w:cs="Times New Roman"/>
          <w:sz w:val="24"/>
          <w:szCs w:val="24"/>
          <w:lang w:val="en-US"/>
        </w:rPr>
        <w:t>Altman Z-Score, a combination of five different financial ratios, predicts a companies probability of bankruptcy. A score above 2.99 means the company is safe, between 1.23 and 2.99 means it needs to be carefully monitored, while below 1.23 is evidence of financial distress.</w:t>
      </w:r>
    </w:p>
    <w:p w14:paraId="0AC29B9F"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21: Comparative Altman Z-Score Analysis</w:t>
      </w:r>
    </w:p>
    <w:tbl>
      <w:tblPr>
        <w:tblW w:w="9200" w:type="dxa"/>
        <w:tblCellMar>
          <w:left w:w="10" w:type="dxa"/>
          <w:right w:w="10" w:type="dxa"/>
        </w:tblCellMar>
        <w:tblLook w:val="04A0" w:firstRow="1" w:lastRow="0" w:firstColumn="1" w:lastColumn="0" w:noHBand="0" w:noVBand="1"/>
      </w:tblPr>
      <w:tblGrid>
        <w:gridCol w:w="1600"/>
        <w:gridCol w:w="1700"/>
        <w:gridCol w:w="1700"/>
        <w:gridCol w:w="1700"/>
        <w:gridCol w:w="2500"/>
      </w:tblGrid>
      <w:tr w:rsidR="00894D9D" w:rsidRPr="00894D9D" w14:paraId="37674E21" w14:textId="77777777">
        <w:trPr>
          <w:tblHeader/>
        </w:trPr>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66D8E2E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Year</w:t>
            </w:r>
          </w:p>
        </w:tc>
        <w:tc>
          <w:tcPr>
            <w:tcW w:w="17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9857DF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17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013EB34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17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D71050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c>
          <w:tcPr>
            <w:tcW w:w="25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53DBEEDC" w14:textId="77777777" w:rsidR="00CC245C" w:rsidRPr="00894D9D" w:rsidRDefault="00894D9D" w:rsidP="00894D9D">
            <w:pPr>
              <w:jc w:val="both"/>
              <w:rPr>
                <w:rFonts w:ascii="Times New Roman" w:hAnsi="Times New Roman" w:cs="Times New Roman"/>
                <w:sz w:val="24"/>
                <w:szCs w:val="24"/>
              </w:rPr>
            </w:pPr>
            <w:r>
              <w:rPr>
                <w:rFonts w:ascii="Times New Roman" w:hAnsi="Times New Roman" w:cs="Times New Roman"/>
                <w:b/>
                <w:bCs/>
                <w:sz w:val="24"/>
                <w:szCs w:val="24"/>
              </w:rPr>
              <w:t>Assessment</w:t>
            </w:r>
          </w:p>
        </w:tc>
      </w:tr>
      <w:tr w:rsidR="00894D9D" w:rsidRPr="00894D9D" w14:paraId="096A476C" w14:textId="77777777">
        <w:tc>
          <w:tcPr>
            <w:tcW w:w="16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12D2A8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2022-2023</w:t>
            </w:r>
          </w:p>
        </w:tc>
        <w:tc>
          <w:tcPr>
            <w:tcW w:w="1700" w:type="dxa"/>
            <w:tcBorders>
              <w:top w:val="single" w:sz="1" w:space="0" w:color="AAAAAA"/>
              <w:left w:val="single" w:sz="1" w:space="0" w:color="AAAAAA"/>
              <w:bottom w:val="single" w:sz="1" w:space="0" w:color="AAAAAA"/>
              <w:right w:val="single" w:sz="1" w:space="0" w:color="AAAAAA"/>
            </w:tcBorders>
            <w:shd w:val="clear" w:color="auto" w:fill="C6EFCE"/>
            <w:tcMar>
              <w:top w:w="60" w:type="dxa"/>
              <w:left w:w="120" w:type="dxa"/>
              <w:bottom w:w="60" w:type="dxa"/>
              <w:right w:w="120" w:type="dxa"/>
            </w:tcMar>
            <w:vAlign w:val="center"/>
          </w:tcPr>
          <w:p w14:paraId="0CC504B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3.60 - Safe</w:t>
            </w:r>
          </w:p>
        </w:tc>
        <w:tc>
          <w:tcPr>
            <w:tcW w:w="1700" w:type="dxa"/>
            <w:tcBorders>
              <w:top w:val="single" w:sz="1" w:space="0" w:color="AAAAAA"/>
              <w:left w:val="single" w:sz="1" w:space="0" w:color="AAAAAA"/>
              <w:bottom w:val="single" w:sz="1" w:space="0" w:color="AAAAAA"/>
              <w:right w:val="single" w:sz="1" w:space="0" w:color="AAAAAA"/>
            </w:tcBorders>
            <w:shd w:val="clear" w:color="auto" w:fill="FFC7CE"/>
            <w:tcMar>
              <w:top w:w="60" w:type="dxa"/>
              <w:left w:w="120" w:type="dxa"/>
              <w:bottom w:w="60" w:type="dxa"/>
              <w:right w:w="120" w:type="dxa"/>
            </w:tcMar>
            <w:vAlign w:val="center"/>
          </w:tcPr>
          <w:p w14:paraId="7D519BA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0.74 - Distress</w:t>
            </w:r>
          </w:p>
        </w:tc>
        <w:tc>
          <w:tcPr>
            <w:tcW w:w="1700" w:type="dxa"/>
            <w:tcBorders>
              <w:top w:val="single" w:sz="1" w:space="0" w:color="AAAAAA"/>
              <w:left w:val="single" w:sz="1" w:space="0" w:color="AAAAAA"/>
              <w:bottom w:val="single" w:sz="1" w:space="0" w:color="AAAAAA"/>
              <w:right w:val="single" w:sz="1" w:space="0" w:color="AAAAAA"/>
            </w:tcBorders>
            <w:shd w:val="clear" w:color="auto" w:fill="FFC7CE"/>
            <w:tcMar>
              <w:top w:w="60" w:type="dxa"/>
              <w:left w:w="120" w:type="dxa"/>
              <w:bottom w:w="60" w:type="dxa"/>
              <w:right w:w="120" w:type="dxa"/>
            </w:tcMar>
            <w:vAlign w:val="center"/>
          </w:tcPr>
          <w:p w14:paraId="3ECCDC4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0.32 - Distress</w:t>
            </w:r>
          </w:p>
        </w:tc>
        <w:tc>
          <w:tcPr>
            <w:tcW w:w="2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42ACF94" w14:textId="77777777" w:rsidR="00CC245C" w:rsidRPr="00894D9D" w:rsidRDefault="00894D9D" w:rsidP="00894D9D">
            <w:pPr>
              <w:jc w:val="both"/>
              <w:rPr>
                <w:rFonts w:ascii="Times New Roman" w:hAnsi="Times New Roman" w:cs="Times New Roman"/>
                <w:sz w:val="24"/>
                <w:szCs w:val="24"/>
              </w:rPr>
            </w:pPr>
            <w:r>
              <w:rPr>
                <w:rFonts w:ascii="Times New Roman" w:hAnsi="Times New Roman" w:cs="Times New Roman"/>
                <w:sz w:val="24"/>
                <w:szCs w:val="24"/>
              </w:rPr>
              <w:t>A: Safe | B &amp; C: Distress</w:t>
            </w:r>
          </w:p>
        </w:tc>
      </w:tr>
      <w:tr w:rsidR="00894D9D" w:rsidRPr="00894D9D" w14:paraId="14340BCC" w14:textId="77777777">
        <w:tc>
          <w:tcPr>
            <w:tcW w:w="16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D42A7D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2023-2024</w:t>
            </w:r>
          </w:p>
        </w:tc>
        <w:tc>
          <w:tcPr>
            <w:tcW w:w="1700" w:type="dxa"/>
            <w:tcBorders>
              <w:top w:val="single" w:sz="1" w:space="0" w:color="AAAAAA"/>
              <w:left w:val="single" w:sz="1" w:space="0" w:color="AAAAAA"/>
              <w:bottom w:val="single" w:sz="1" w:space="0" w:color="AAAAAA"/>
              <w:right w:val="single" w:sz="1" w:space="0" w:color="AAAAAA"/>
            </w:tcBorders>
            <w:shd w:val="clear" w:color="auto" w:fill="C6EFCE"/>
            <w:tcMar>
              <w:top w:w="60" w:type="dxa"/>
              <w:left w:w="120" w:type="dxa"/>
              <w:bottom w:w="60" w:type="dxa"/>
              <w:right w:w="120" w:type="dxa"/>
            </w:tcMar>
            <w:vAlign w:val="center"/>
          </w:tcPr>
          <w:p w14:paraId="112EBAE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3.68 - Safe</w:t>
            </w:r>
          </w:p>
        </w:tc>
        <w:tc>
          <w:tcPr>
            <w:tcW w:w="1700" w:type="dxa"/>
            <w:tcBorders>
              <w:top w:val="single" w:sz="1" w:space="0" w:color="AAAAAA"/>
              <w:left w:val="single" w:sz="1" w:space="0" w:color="AAAAAA"/>
              <w:bottom w:val="single" w:sz="1" w:space="0" w:color="AAAAAA"/>
              <w:right w:val="single" w:sz="1" w:space="0" w:color="AAAAAA"/>
            </w:tcBorders>
            <w:shd w:val="clear" w:color="auto" w:fill="FFEB9C"/>
            <w:tcMar>
              <w:top w:w="60" w:type="dxa"/>
              <w:left w:w="120" w:type="dxa"/>
              <w:bottom w:w="60" w:type="dxa"/>
              <w:right w:w="120" w:type="dxa"/>
            </w:tcMar>
            <w:vAlign w:val="center"/>
          </w:tcPr>
          <w:p w14:paraId="48C40B4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1.82 - Grey</w:t>
            </w:r>
          </w:p>
        </w:tc>
        <w:tc>
          <w:tcPr>
            <w:tcW w:w="1700" w:type="dxa"/>
            <w:tcBorders>
              <w:top w:val="single" w:sz="1" w:space="0" w:color="AAAAAA"/>
              <w:left w:val="single" w:sz="1" w:space="0" w:color="AAAAAA"/>
              <w:bottom w:val="single" w:sz="1" w:space="0" w:color="AAAAAA"/>
              <w:right w:val="single" w:sz="1" w:space="0" w:color="AAAAAA"/>
            </w:tcBorders>
            <w:shd w:val="clear" w:color="auto" w:fill="FFC7CE"/>
            <w:tcMar>
              <w:top w:w="60" w:type="dxa"/>
              <w:left w:w="120" w:type="dxa"/>
              <w:bottom w:w="60" w:type="dxa"/>
              <w:right w:w="120" w:type="dxa"/>
            </w:tcMar>
            <w:vAlign w:val="center"/>
          </w:tcPr>
          <w:p w14:paraId="23F2605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0.48 - Distress</w:t>
            </w:r>
          </w:p>
        </w:tc>
        <w:tc>
          <w:tcPr>
            <w:tcW w:w="25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466BB81" w14:textId="77777777" w:rsidR="00CC245C" w:rsidRPr="00894D9D" w:rsidRDefault="00894D9D" w:rsidP="00894D9D">
            <w:pPr>
              <w:jc w:val="both"/>
              <w:rPr>
                <w:rFonts w:ascii="Times New Roman" w:hAnsi="Times New Roman" w:cs="Times New Roman"/>
                <w:sz w:val="24"/>
                <w:szCs w:val="24"/>
              </w:rPr>
            </w:pPr>
            <w:r>
              <w:rPr>
                <w:rFonts w:ascii="Times New Roman" w:hAnsi="Times New Roman" w:cs="Times New Roman"/>
                <w:sz w:val="24"/>
                <w:szCs w:val="24"/>
              </w:rPr>
              <w:t>A: Safe | B: Grey | C: Distress</w:t>
            </w:r>
          </w:p>
        </w:tc>
      </w:tr>
      <w:tr w:rsidR="00894D9D" w:rsidRPr="00894D9D" w14:paraId="7330C9E8" w14:textId="77777777">
        <w:tc>
          <w:tcPr>
            <w:tcW w:w="16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BB552F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2024-2025</w:t>
            </w:r>
          </w:p>
        </w:tc>
        <w:tc>
          <w:tcPr>
            <w:tcW w:w="1700" w:type="dxa"/>
            <w:tcBorders>
              <w:top w:val="single" w:sz="1" w:space="0" w:color="AAAAAA"/>
              <w:left w:val="single" w:sz="1" w:space="0" w:color="AAAAAA"/>
              <w:bottom w:val="single" w:sz="1" w:space="0" w:color="AAAAAA"/>
              <w:right w:val="single" w:sz="1" w:space="0" w:color="AAAAAA"/>
            </w:tcBorders>
            <w:shd w:val="clear" w:color="auto" w:fill="C6EFCE"/>
            <w:tcMar>
              <w:top w:w="60" w:type="dxa"/>
              <w:left w:w="120" w:type="dxa"/>
              <w:bottom w:w="60" w:type="dxa"/>
              <w:right w:w="120" w:type="dxa"/>
            </w:tcMar>
            <w:vAlign w:val="center"/>
          </w:tcPr>
          <w:p w14:paraId="663CE75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3.97 - Safe</w:t>
            </w:r>
          </w:p>
        </w:tc>
        <w:tc>
          <w:tcPr>
            <w:tcW w:w="1700" w:type="dxa"/>
            <w:tcBorders>
              <w:top w:val="single" w:sz="1" w:space="0" w:color="AAAAAA"/>
              <w:left w:val="single" w:sz="1" w:space="0" w:color="AAAAAA"/>
              <w:bottom w:val="single" w:sz="1" w:space="0" w:color="AAAAAA"/>
              <w:right w:val="single" w:sz="1" w:space="0" w:color="AAAAAA"/>
            </w:tcBorders>
            <w:shd w:val="clear" w:color="auto" w:fill="FFEB9C"/>
            <w:tcMar>
              <w:top w:w="60" w:type="dxa"/>
              <w:left w:w="120" w:type="dxa"/>
              <w:bottom w:w="60" w:type="dxa"/>
              <w:right w:w="120" w:type="dxa"/>
            </w:tcMar>
            <w:vAlign w:val="center"/>
          </w:tcPr>
          <w:p w14:paraId="49838FA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2.41 - Grey</w:t>
            </w:r>
          </w:p>
        </w:tc>
        <w:tc>
          <w:tcPr>
            <w:tcW w:w="1700" w:type="dxa"/>
            <w:tcBorders>
              <w:top w:val="single" w:sz="1" w:space="0" w:color="AAAAAA"/>
              <w:left w:val="single" w:sz="1" w:space="0" w:color="AAAAAA"/>
              <w:bottom w:val="single" w:sz="1" w:space="0" w:color="AAAAAA"/>
              <w:right w:val="single" w:sz="1" w:space="0" w:color="AAAAAA"/>
            </w:tcBorders>
            <w:shd w:val="clear" w:color="auto" w:fill="FFC7CE"/>
            <w:tcMar>
              <w:top w:w="60" w:type="dxa"/>
              <w:left w:w="120" w:type="dxa"/>
              <w:bottom w:w="60" w:type="dxa"/>
              <w:right w:w="120" w:type="dxa"/>
            </w:tcMar>
            <w:vAlign w:val="center"/>
          </w:tcPr>
          <w:p w14:paraId="572AE97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0.71 - Distress</w:t>
            </w:r>
          </w:p>
        </w:tc>
        <w:tc>
          <w:tcPr>
            <w:tcW w:w="25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44B2E02" w14:textId="77777777" w:rsidR="00CC245C" w:rsidRPr="00894D9D" w:rsidRDefault="00894D9D" w:rsidP="00894D9D">
            <w:pPr>
              <w:jc w:val="both"/>
              <w:rPr>
                <w:rFonts w:ascii="Times New Roman" w:hAnsi="Times New Roman" w:cs="Times New Roman"/>
                <w:sz w:val="24"/>
                <w:szCs w:val="24"/>
              </w:rPr>
            </w:pPr>
            <w:r>
              <w:rPr>
                <w:rFonts w:ascii="Times New Roman" w:hAnsi="Times New Roman" w:cs="Times New Roman"/>
                <w:sz w:val="24"/>
                <w:szCs w:val="24"/>
              </w:rPr>
              <w:t>A: Safe | B: Grey | C: Distress</w:t>
            </w:r>
          </w:p>
        </w:tc>
      </w:tr>
    </w:tbl>
    <w:p w14:paraId="1A000014"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31BEB88D" w14:textId="77777777" w:rsidR="00CC245C" w:rsidRPr="00894D9D" w:rsidRDefault="00CC245C" w:rsidP="00894D9D">
      <w:pPr>
        <w:jc w:val="both"/>
        <w:rPr>
          <w:rFonts w:ascii="Times New Roman" w:hAnsi="Times New Roman" w:cs="Times New Roman"/>
          <w:sz w:val="24"/>
          <w:szCs w:val="24"/>
        </w:rPr>
      </w:pPr>
    </w:p>
    <w:p w14:paraId="2539FF57" w14:textId="2D8F0580" w:rsidR="00F4572D" w:rsidRPr="00F4572D" w:rsidRDefault="00F4572D" w:rsidP="00F4572D">
      <w:p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Altman Z-Score for Company A at 3.97 shows it to be in the safe zone and steadily improving. Company B has shown great progress from 0.74 to 2.41 in three years, signifying it is on the way to a safer place, although it still has further to go. Company C’s Altman Z-Score of 0.71 puts it deeply into the distress zone. Even a high IRR will mean little if it can't even meet the minimal standard that is laid down by Altman.</w:t>
      </w:r>
    </w:p>
    <w:p w14:paraId="24BEAFD1" w14:textId="77777777" w:rsidR="00CC245C" w:rsidRPr="00B7411D" w:rsidRDefault="00EB5750" w:rsidP="00B7411D">
      <w:pPr>
        <w:spacing w:before="60" w:after="6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6. SUMMARY OF KEY FINDINGS</w:t>
      </w:r>
    </w:p>
    <w:p w14:paraId="426BA716" w14:textId="77777777" w:rsidR="00CC245C" w:rsidRPr="00894D9D" w:rsidRDefault="00894D9D" w:rsidP="00894D9D">
      <w:pPr>
        <w:spacing w:before="40" w:after="100"/>
        <w:jc w:val="both"/>
        <w:rPr>
          <w:rFonts w:ascii="Times New Roman" w:hAnsi="Times New Roman" w:cs="Times New Roman"/>
          <w:sz w:val="24"/>
          <w:szCs w:val="24"/>
        </w:rPr>
      </w:pPr>
      <w:r>
        <w:rPr>
          <w:rFonts w:ascii="Times New Roman" w:hAnsi="Times New Roman" w:cs="Times New Roman"/>
          <w:b/>
          <w:bCs/>
          <w:i/>
          <w:iCs/>
          <w:sz w:val="24"/>
          <w:szCs w:val="24"/>
        </w:rPr>
        <w:t>Table 22: Comprehensive Comparative Summary - Company A, Company B, and Company C</w:t>
      </w:r>
    </w:p>
    <w:tbl>
      <w:tblPr>
        <w:tblW w:w="9200" w:type="dxa"/>
        <w:tblCellMar>
          <w:left w:w="10" w:type="dxa"/>
          <w:right w:w="10" w:type="dxa"/>
        </w:tblCellMar>
        <w:tblLook w:val="04A0" w:firstRow="1" w:lastRow="0" w:firstColumn="1" w:lastColumn="0" w:noHBand="0" w:noVBand="1"/>
      </w:tblPr>
      <w:tblGrid>
        <w:gridCol w:w="3200"/>
        <w:gridCol w:w="2000"/>
        <w:gridCol w:w="2000"/>
        <w:gridCol w:w="2000"/>
      </w:tblGrid>
      <w:tr w:rsidR="00894D9D" w:rsidRPr="00894D9D" w14:paraId="0A30EA07" w14:textId="77777777">
        <w:trPr>
          <w:tblHeader/>
        </w:trPr>
        <w:tc>
          <w:tcPr>
            <w:tcW w:w="3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36F5DFB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Financial Parameter</w:t>
            </w:r>
          </w:p>
        </w:tc>
        <w:tc>
          <w:tcPr>
            <w:tcW w:w="2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1195535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A</w:t>
            </w:r>
          </w:p>
        </w:tc>
        <w:tc>
          <w:tcPr>
            <w:tcW w:w="2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8AA155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B</w:t>
            </w:r>
          </w:p>
        </w:tc>
        <w:tc>
          <w:tcPr>
            <w:tcW w:w="2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vAlign w:val="center"/>
          </w:tcPr>
          <w:p w14:paraId="2002101D"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Company C</w:t>
            </w:r>
          </w:p>
        </w:tc>
      </w:tr>
      <w:tr w:rsidR="00894D9D" w:rsidRPr="00894D9D" w14:paraId="5DE6B749"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18EB89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Current Ratio (2024-25)</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B4BDBC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5.05 - Strong</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83B759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2.70 - Good</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C1A742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1.37 - Weak</w:t>
            </w:r>
          </w:p>
        </w:tc>
      </w:tr>
      <w:tr w:rsidR="00894D9D" w:rsidRPr="00894D9D" w14:paraId="4314CF1B"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7712516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Quick Ratio (2024-25)</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4CA774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4.31</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64E869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2.40</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7D8DC6E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0.86 - Below 1.0</w:t>
            </w:r>
          </w:p>
        </w:tc>
      </w:tr>
      <w:tr w:rsidR="00894D9D" w:rsidRPr="00894D9D" w14:paraId="061BCF4E"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05A1F6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Net Profit Margin (2024-25)</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C731E5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36.91%</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175FAF5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25.88%</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CD7992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18.40%</w:t>
            </w:r>
          </w:p>
        </w:tc>
      </w:tr>
      <w:tr w:rsidR="00894D9D" w:rsidRPr="00894D9D" w14:paraId="40BB90AC"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73EC9E2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ROI (2024-25)</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77C2E8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21.3%</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2130F7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18.7%</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4045618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10.5%</w:t>
            </w:r>
          </w:p>
        </w:tc>
      </w:tr>
      <w:tr w:rsidR="00894D9D" w:rsidRPr="00894D9D" w14:paraId="518D0897"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6A9F065"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Debt-Equity Ratio (2024-25)</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07851B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0.08 - Low</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2E2EF0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0.69 - Moderate</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6F7F55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9.27 - High</w:t>
            </w:r>
          </w:p>
        </w:tc>
      </w:tr>
      <w:tr w:rsidR="00894D9D" w:rsidRPr="00894D9D" w14:paraId="7C9B2EC1"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A8F62D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Interest Coverage Ratio (2024-25)</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9CFD81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18.90</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5A1486A"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5.20</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6763D97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1.65</w:t>
            </w:r>
          </w:p>
        </w:tc>
      </w:tr>
      <w:tr w:rsidR="00894D9D" w:rsidRPr="00894D9D" w14:paraId="4598CE8A"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85D919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DSCR (2024-25)</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8A7CBE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2.93 - Strong</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08478DDB"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1.25 - Marginal</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3C19D1F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2.70 - Adequate</w:t>
            </w:r>
          </w:p>
        </w:tc>
      </w:tr>
      <w:tr w:rsidR="00894D9D" w:rsidRPr="00894D9D" w14:paraId="3EFA9036"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2386DD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NPV (2024-25, Rs. Lakhs)</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9DB4FB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Rs.6,634.37</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D8DDB3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Rs.1,661.84</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61F047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Rs.93.96</w:t>
            </w:r>
          </w:p>
        </w:tc>
      </w:tr>
      <w:tr w:rsidR="00894D9D" w:rsidRPr="00894D9D" w14:paraId="32E8640C"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D7B38B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IRR (2024-25)</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6B3AA64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29.48%</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40AED8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18.20%</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7247432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34.28% *</w:t>
            </w:r>
          </w:p>
        </w:tc>
      </w:tr>
      <w:tr w:rsidR="00894D9D" w:rsidRPr="00894D9D" w14:paraId="30BEFDEC"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852E66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Payback Period</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F5E6A57"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4.18 years</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42272C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4.50 years</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89A411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3.15 years</w:t>
            </w:r>
          </w:p>
        </w:tc>
      </w:tr>
      <w:tr w:rsidR="00894D9D" w:rsidRPr="00894D9D" w14:paraId="19F6EA13"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A200AEC"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Break-Even Point (2024-25)</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2A4FBE73"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13.00% - Low</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504A1CE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42.69% - High</w:t>
            </w:r>
          </w:p>
        </w:tc>
        <w:tc>
          <w:tcPr>
            <w:tcW w:w="20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6432BDF"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11.35% - Low</w:t>
            </w:r>
          </w:p>
        </w:tc>
      </w:tr>
      <w:tr w:rsidR="00894D9D" w:rsidRPr="00894D9D" w14:paraId="6794BA85"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307E8922"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Margin of Safety (2024-25)</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015FB9F8"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87.00%</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506DFFB0"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57.31%</w:t>
            </w:r>
          </w:p>
        </w:tc>
        <w:tc>
          <w:tcPr>
            <w:tcW w:w="20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26F6DD4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88.65%</w:t>
            </w:r>
          </w:p>
        </w:tc>
      </w:tr>
      <w:tr w:rsidR="00894D9D" w:rsidRPr="00894D9D" w14:paraId="77628571" w14:textId="77777777">
        <w:tc>
          <w:tcPr>
            <w:tcW w:w="3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vAlign w:val="center"/>
          </w:tcPr>
          <w:p w14:paraId="4FC48191"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Altman Z-Score (2024-25)</w:t>
            </w:r>
          </w:p>
        </w:tc>
        <w:tc>
          <w:tcPr>
            <w:tcW w:w="2000" w:type="dxa"/>
            <w:tcBorders>
              <w:top w:val="single" w:sz="1" w:space="0" w:color="AAAAAA"/>
              <w:left w:val="single" w:sz="1" w:space="0" w:color="AAAAAA"/>
              <w:bottom w:val="single" w:sz="1" w:space="0" w:color="AAAAAA"/>
              <w:right w:val="single" w:sz="1" w:space="0" w:color="AAAAAA"/>
            </w:tcBorders>
            <w:shd w:val="clear" w:color="auto" w:fill="C6EFCE"/>
            <w:tcMar>
              <w:top w:w="60" w:type="dxa"/>
              <w:left w:w="120" w:type="dxa"/>
              <w:bottom w:w="60" w:type="dxa"/>
              <w:right w:w="120" w:type="dxa"/>
            </w:tcMar>
            <w:vAlign w:val="center"/>
          </w:tcPr>
          <w:p w14:paraId="40AB7E2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3.97 - SAFE</w:t>
            </w:r>
          </w:p>
        </w:tc>
        <w:tc>
          <w:tcPr>
            <w:tcW w:w="2000" w:type="dxa"/>
            <w:tcBorders>
              <w:top w:val="single" w:sz="1" w:space="0" w:color="AAAAAA"/>
              <w:left w:val="single" w:sz="1" w:space="0" w:color="AAAAAA"/>
              <w:bottom w:val="single" w:sz="1" w:space="0" w:color="AAAAAA"/>
              <w:right w:val="single" w:sz="1" w:space="0" w:color="AAAAAA"/>
            </w:tcBorders>
            <w:shd w:val="clear" w:color="auto" w:fill="FFEB9C"/>
            <w:tcMar>
              <w:top w:w="60" w:type="dxa"/>
              <w:left w:w="120" w:type="dxa"/>
              <w:bottom w:w="60" w:type="dxa"/>
              <w:right w:w="120" w:type="dxa"/>
            </w:tcMar>
            <w:vAlign w:val="center"/>
          </w:tcPr>
          <w:p w14:paraId="0E1470C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2.41 - GREY</w:t>
            </w:r>
          </w:p>
        </w:tc>
        <w:tc>
          <w:tcPr>
            <w:tcW w:w="2000" w:type="dxa"/>
            <w:tcBorders>
              <w:top w:val="single" w:sz="1" w:space="0" w:color="AAAAAA"/>
              <w:left w:val="single" w:sz="1" w:space="0" w:color="AAAAAA"/>
              <w:bottom w:val="single" w:sz="1" w:space="0" w:color="AAAAAA"/>
              <w:right w:val="single" w:sz="1" w:space="0" w:color="AAAAAA"/>
            </w:tcBorders>
            <w:shd w:val="clear" w:color="auto" w:fill="FFC7CE"/>
            <w:tcMar>
              <w:top w:w="60" w:type="dxa"/>
              <w:left w:w="120" w:type="dxa"/>
              <w:bottom w:w="60" w:type="dxa"/>
              <w:right w:w="120" w:type="dxa"/>
            </w:tcMar>
            <w:vAlign w:val="center"/>
          </w:tcPr>
          <w:p w14:paraId="41370909"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0.71 - DISTRESS</w:t>
            </w:r>
          </w:p>
        </w:tc>
      </w:tr>
      <w:tr w:rsidR="00894D9D" w:rsidRPr="00894D9D" w14:paraId="49DC3C46" w14:textId="77777777">
        <w:tc>
          <w:tcPr>
            <w:tcW w:w="3200" w:type="dxa"/>
            <w:tcBorders>
              <w:top w:val="single" w:sz="1" w:space="0" w:color="AAAAAA"/>
              <w:left w:val="single" w:sz="1" w:space="0" w:color="AAAAAA"/>
              <w:bottom w:val="single" w:sz="1" w:space="0" w:color="AAAAAA"/>
              <w:right w:val="single" w:sz="1" w:space="0" w:color="AAAAAA"/>
            </w:tcBorders>
            <w:shd w:val="clear" w:color="auto" w:fill="F2F7FF"/>
            <w:tcMar>
              <w:top w:w="60" w:type="dxa"/>
              <w:left w:w="120" w:type="dxa"/>
              <w:bottom w:w="60" w:type="dxa"/>
              <w:right w:w="120" w:type="dxa"/>
            </w:tcMar>
            <w:vAlign w:val="center"/>
          </w:tcPr>
          <w:p w14:paraId="19A644D4"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sz w:val="24"/>
                <w:szCs w:val="24"/>
              </w:rPr>
              <w:t>Project Financing Suitability</w:t>
            </w:r>
          </w:p>
        </w:tc>
        <w:tc>
          <w:tcPr>
            <w:tcW w:w="2000" w:type="dxa"/>
            <w:tcBorders>
              <w:top w:val="single" w:sz="1" w:space="0" w:color="AAAAAA"/>
              <w:left w:val="single" w:sz="1" w:space="0" w:color="AAAAAA"/>
              <w:bottom w:val="single" w:sz="1" w:space="0" w:color="AAAAAA"/>
              <w:right w:val="single" w:sz="1" w:space="0" w:color="AAAAAA"/>
            </w:tcBorders>
            <w:shd w:val="clear" w:color="auto" w:fill="C6EFCE"/>
            <w:tcMar>
              <w:top w:w="60" w:type="dxa"/>
              <w:left w:w="120" w:type="dxa"/>
              <w:bottom w:w="60" w:type="dxa"/>
              <w:right w:w="120" w:type="dxa"/>
            </w:tcMar>
            <w:vAlign w:val="center"/>
          </w:tcPr>
          <w:p w14:paraId="1AAB2766"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HIGHLY SUITABLE</w:t>
            </w:r>
          </w:p>
        </w:tc>
        <w:tc>
          <w:tcPr>
            <w:tcW w:w="2000" w:type="dxa"/>
            <w:tcBorders>
              <w:top w:val="single" w:sz="1" w:space="0" w:color="AAAAAA"/>
              <w:left w:val="single" w:sz="1" w:space="0" w:color="AAAAAA"/>
              <w:bottom w:val="single" w:sz="1" w:space="0" w:color="AAAAAA"/>
              <w:right w:val="single" w:sz="1" w:space="0" w:color="AAAAAA"/>
            </w:tcBorders>
            <w:shd w:val="clear" w:color="auto" w:fill="FFEB9C"/>
            <w:tcMar>
              <w:top w:w="60" w:type="dxa"/>
              <w:left w:w="120" w:type="dxa"/>
              <w:bottom w:w="60" w:type="dxa"/>
              <w:right w:w="120" w:type="dxa"/>
            </w:tcMar>
            <w:vAlign w:val="center"/>
          </w:tcPr>
          <w:p w14:paraId="3313383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MODERATELY SUITABLE</w:t>
            </w:r>
          </w:p>
        </w:tc>
        <w:tc>
          <w:tcPr>
            <w:tcW w:w="2000" w:type="dxa"/>
            <w:tcBorders>
              <w:top w:val="single" w:sz="1" w:space="0" w:color="AAAAAA"/>
              <w:left w:val="single" w:sz="1" w:space="0" w:color="AAAAAA"/>
              <w:bottom w:val="single" w:sz="1" w:space="0" w:color="AAAAAA"/>
              <w:right w:val="single" w:sz="1" w:space="0" w:color="AAAAAA"/>
            </w:tcBorders>
            <w:shd w:val="clear" w:color="auto" w:fill="FFC7CE"/>
            <w:tcMar>
              <w:top w:w="60" w:type="dxa"/>
              <w:left w:w="120" w:type="dxa"/>
              <w:bottom w:w="60" w:type="dxa"/>
              <w:right w:w="120" w:type="dxa"/>
            </w:tcMar>
            <w:vAlign w:val="center"/>
          </w:tcPr>
          <w:p w14:paraId="0361613E" w14:textId="77777777" w:rsidR="00CC245C" w:rsidRPr="00894D9D" w:rsidRDefault="00894D9D" w:rsidP="002D2752">
            <w:pPr>
              <w:jc w:val="center"/>
              <w:rPr>
                <w:rFonts w:ascii="Times New Roman" w:hAnsi="Times New Roman" w:cs="Times New Roman"/>
                <w:sz w:val="24"/>
                <w:szCs w:val="24"/>
              </w:rPr>
            </w:pPr>
            <w:r>
              <w:rPr>
                <w:rFonts w:ascii="Times New Roman" w:hAnsi="Times New Roman" w:cs="Times New Roman"/>
                <w:b/>
                <w:bCs/>
                <w:sz w:val="24"/>
                <w:szCs w:val="24"/>
              </w:rPr>
              <w:t>CONDITIONAL</w:t>
            </w:r>
          </w:p>
        </w:tc>
      </w:tr>
    </w:tbl>
    <w:p w14:paraId="1A000015" w14:textId="77777777" w:rsidR="00CC245C" w:rsidRDefault="00CC245C" w:rsidP="00894D9D">
      <w:pPr>
        <w:spacing w:before="40" w:after="40" w:line="240" w:lineRule="auto"/>
        <w:jc w:val="left"/>
        <w:rPr>
          <w:i/>
          <w:iCs/>
          <w:rFonts w:ascii="Times New Roman" w:hAnsi="Times New Roman" w:cs="Times New Roman"/>
          <w:sz w:val="20"/>
          <w:szCs w:val="20"/>
        </w:rPr>
      </w:pPr>
      <w:r>
        <w:rPr>
          <w:i/>
          <w:iCs/>
          <w:rFonts w:ascii="Times New Roman" w:hAnsi="Times New Roman" w:cs="Times New Roman"/>
          <w:sz w:val="20"/>
          <w:szCs w:val="20"/>
        </w:rPr>
        <w:t>Source: Secondary Data – Selected Manufacturing Firms</w:t>
      </w:r>
    </w:p>
    <w:p w14:paraId="21011E7A" w14:textId="77777777" w:rsidR="00CC245C" w:rsidRPr="00894D9D" w:rsidRDefault="00894D9D" w:rsidP="00894D9D">
      <w:pPr>
        <w:spacing w:before="40" w:after="60"/>
        <w:jc w:val="both"/>
        <w:rPr>
          <w:rFonts w:ascii="Times New Roman" w:hAnsi="Times New Roman" w:cs="Times New Roman"/>
          <w:sz w:val="24"/>
          <w:szCs w:val="24"/>
        </w:rPr>
      </w:pPr>
      <w:r>
        <w:rPr>
          <w:rFonts w:ascii="Times New Roman" w:hAnsi="Times New Roman" w:cs="Times New Roman"/>
          <w:i/>
          <w:iCs/>
          <w:sz w:val="24"/>
          <w:szCs w:val="24"/>
        </w:rPr>
        <w:t>* Company C IRR of 34.28% is offset by a Distress-level Z-Score (0.71) and extreme leverage (D/E: 9.27).</w:t>
      </w:r>
    </w:p>
    <w:p w14:paraId="42FAE804" w14:textId="77777777" w:rsidR="00CC245C" w:rsidRPr="00B7411D" w:rsidRDefault="00CC245C" w:rsidP="00894D9D">
      <w:pPr>
        <w:jc w:val="both"/>
        <w:rPr>
          <w:rFonts w:ascii="Times New Roman" w:hAnsi="Times New Roman" w:cs="Times New Roman"/>
          <w:b/>
          <w:bCs/>
          <w:sz w:val="28"/>
          <w:szCs w:val="28"/>
        </w:rPr>
      </w:pPr>
    </w:p>
    <w:p w14:paraId="2EA3B60C" w14:textId="77777777" w:rsidR="00CC245C" w:rsidRPr="00B7411D" w:rsidRDefault="00EC0FC6" w:rsidP="00894D9D">
      <w:pPr>
        <w:pStyle w:val="Heading1"/>
        <w:jc w:val="both"/>
        <w:rPr>
          <w:rFonts w:ascii="Times New Roman" w:hAnsi="Times New Roman" w:cs="Times New Roman"/>
          <w:color w:val="auto"/>
          <w:sz w:val="28"/>
          <w:szCs w:val="28"/>
        </w:rPr>
      </w:pPr>
      <w:r>
        <w:rPr>
          <w:rFonts w:ascii="Times New Roman" w:hAnsi="Times New Roman" w:cs="Times New Roman"/>
          <w:color w:val="auto"/>
          <w:sz w:val="28"/>
          <w:szCs w:val="28"/>
        </w:rPr>
        <w:t>7. SUGGESTIONS AND RECOMMENDATIONS</w:t>
      </w:r>
    </w:p>
    <w:p w14:paraId="598BC6F8" w14:textId="77777777" w:rsidR="00CC245C" w:rsidRPr="00894D9D" w:rsidRDefault="00EC0FC6"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7.1 For Company C</w:t>
      </w:r>
    </w:p>
    <w:p w14:paraId="295BBC47" w14:textId="634AFD56" w:rsidR="00F4572D" w:rsidRDefault="00F4572D" w:rsidP="00894D9D">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t>A rolling cash flow forecast over 13 weeks should be implemented in one go, to manage the current Quick Ratio of 0.86 and reduce the dependency of inventory for the financing of short-term liabilities.</w:t>
      </w:r>
    </w:p>
    <w:p w14:paraId="4C47C2DA" w14:textId="77777777" w:rsidR="00F4572D" w:rsidRDefault="00F4572D" w:rsidP="00894D9D">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t>Initiate capital restructure simultaneously with the present, unsustainable 9.27 Debt-Equity ratio which is projected to touch 16.19 in 2027-28 to rule out exclusion of future borrowing facilities.</w:t>
      </w:r>
    </w:p>
    <w:p w14:paraId="30A98425" w14:textId="77777777" w:rsidR="00F4572D" w:rsidRPr="00F4572D" w:rsidRDefault="00F4572D" w:rsidP="00F4572D">
      <w:pPr>
        <w:pStyle w:val="Heading2"/>
        <w:numPr>
          <w:ilvl w:val="0"/>
          <w:numId w:val="2"/>
        </w:numPr>
        <w:spacing w:before="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Focus on improving the assets efficiency and operating profit margins to elevate the present 0.71 Altman Z-Score towards the 1.23 borderline (gray area).</w:t>
      </w:r>
    </w:p>
    <w:p w14:paraId="7A5EFB81" w14:textId="77777777" w:rsidR="00F4572D" w:rsidRDefault="00F4572D" w:rsidP="00F4572D">
      <w:pPr>
        <w:pStyle w:val="Heading2"/>
        <w:numPr>
          <w:ilvl w:val="0"/>
          <w:numId w:val="2"/>
        </w:numPr>
        <w:spacing w:before="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Minimize the present cost of financing (1.65 Interest Coverage Ratio) to reach the minimum acceptable ratio of 2.5.</w:t>
      </w:r>
    </w:p>
    <w:p w14:paraId="2C47B7C2" w14:textId="4A7EB7D3" w:rsidR="00CC245C" w:rsidRPr="00894D9D" w:rsidRDefault="00EC0FC6" w:rsidP="00F4572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7.2 For Company B</w:t>
      </w:r>
    </w:p>
    <w:p w14:paraId="566166F1" w14:textId="77777777" w:rsidR="00CC245C" w:rsidRPr="00894D9D" w:rsidRDefault="00894D9D" w:rsidP="00894D9D">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t>Address cost volatility through regular variance analysis and tighter expense controls to stabilize net profit margins.</w:t>
      </w:r>
    </w:p>
    <w:p w14:paraId="307EDFB1" w14:textId="77777777" w:rsidR="00F4572D" w:rsidRPr="00F4572D" w:rsidRDefault="00F4572D" w:rsidP="00F4572D">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t>Draw up a detailed strategy for improving the DSCR from the current 1.25 to a minimum of 1.00 (projected 0.55 in 2027-28) and make substantial repayment on existing debts.</w:t>
      </w:r>
    </w:p>
    <w:p w14:paraId="14A46705" w14:textId="03F21A97" w:rsidR="00CC245C" w:rsidRPr="00894D9D" w:rsidRDefault="00F4572D" w:rsidP="00F4572D">
      <w:pPr>
        <w:pStyle w:val="ListParagraph"/>
        <w:numPr>
          <w:ilvl w:val="0"/>
          <w:numId w:val="2"/>
        </w:numPr>
        <w:spacing w:before="30" w:after="30"/>
        <w:jc w:val="both"/>
        <w:rPr>
          <w:rFonts w:ascii="Times New Roman" w:hAnsi="Times New Roman" w:cs="Times New Roman"/>
          <w:sz w:val="24"/>
          <w:szCs w:val="24"/>
        </w:rPr>
      </w:pPr>
      <w:r>
        <w:rPr>
          <w:rFonts w:ascii="Times New Roman" w:hAnsi="Times New Roman" w:cs="Times New Roman"/>
          <w:sz w:val="24"/>
          <w:szCs w:val="24"/>
        </w:rPr>
        <w:lastRenderedPageBreak/>
        <w:t>Push down the break-even point of 42.69% by improving Contribution Margin Ratio.</w:t>
      </w:r>
    </w:p>
    <w:p w14:paraId="48836FDC" w14:textId="77777777" w:rsidR="00F4572D" w:rsidRDefault="00F4572D" w:rsidP="00F4572D">
      <w:pPr>
        <w:pStyle w:val="Heading2"/>
        <w:numPr>
          <w:ilvl w:val="0"/>
          <w:numId w:val="2"/>
        </w:numPr>
        <w:spacing w:before="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Consolidate efforts for raising the present 0.74 Altman Z-Score to the above safe zone (2.99) to the acceptable 2.41 levels.</w:t>
      </w:r>
    </w:p>
    <w:p w14:paraId="53872ECE" w14:textId="77777777" w:rsidR="00F4572D" w:rsidRDefault="00F4572D" w:rsidP="00F4572D">
      <w:pPr>
        <w:pStyle w:val="Heading2"/>
        <w:spacing w:before="0"/>
        <w:ind w:left="720"/>
        <w:jc w:val="both"/>
        <w:rPr>
          <w:rFonts w:ascii="Times New Roman" w:hAnsi="Times New Roman" w:cs="Times New Roman"/>
          <w:b w:val="0"/>
          <w:bCs w:val="0"/>
          <w:color w:val="auto"/>
          <w:sz w:val="24"/>
          <w:szCs w:val="24"/>
        </w:rPr>
      </w:pPr>
    </w:p>
    <w:p w14:paraId="5FE709FB" w14:textId="1EA55A3C" w:rsidR="00CC245C" w:rsidRPr="00894D9D" w:rsidRDefault="00EC0FC6"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7.3 General Recommendations</w:t>
      </w:r>
    </w:p>
    <w:p w14:paraId="04DFE918" w14:textId="77777777" w:rsidR="000D3465" w:rsidRPr="000D3465" w:rsidRDefault="000D3465" w:rsidP="000D3465">
      <w:pPr>
        <w:pStyle w:val="Heading1"/>
        <w:numPr>
          <w:ilvl w:val="0"/>
          <w:numId w:val="5"/>
        </w:numPr>
        <w:spacing w:before="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All project appraisals in manufacturing companies with varying financial situations should integrate multi-scenario financial modeling - comprising optimism, base and stress case estimations - into project analysis on a regular basis, better equipping companies against shocks in both markets and demand.</w:t>
      </w:r>
    </w:p>
    <w:p w14:paraId="1CFE02E1" w14:textId="77777777" w:rsidR="000D3465" w:rsidRPr="000D3465" w:rsidRDefault="000D3465" w:rsidP="000D3465">
      <w:pPr>
        <w:pStyle w:val="Heading1"/>
        <w:numPr>
          <w:ilvl w:val="0"/>
          <w:numId w:val="5"/>
        </w:numPr>
        <w:spacing w:before="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All companies should move away from reactive financial reporting to proactive financial planning by incorporating rolling forecasts, real-time performance dashboards and leading financial indicators into regular management processes and decision making.</w:t>
      </w:r>
    </w:p>
    <w:p w14:paraId="7A21F16D" w14:textId="77777777" w:rsidR="000D3465" w:rsidRDefault="000D3465" w:rsidP="000D3465">
      <w:pPr>
        <w:pStyle w:val="Heading1"/>
        <w:numPr>
          <w:ilvl w:val="0"/>
          <w:numId w:val="5"/>
        </w:numPr>
        <w:spacing w:before="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Companies interested in long-term financing viability must actively search for ESG-compliant instruments of finance such as green bonds, sustainability-linked loans, and impact investment vehicles that are becoming increasingly common in the changing dynamics of financing Indian manufacturing and also offer better pricing and payment terms as against traditional instruments of finance.</w:t>
      </w:r>
    </w:p>
    <w:p w14:paraId="60EB095D" w14:textId="2ECBC64F" w:rsidR="000D3465" w:rsidRPr="000D3465" w:rsidRDefault="00EC0FC6" w:rsidP="000D3465">
      <w:pPr>
        <w:pStyle w:val="Heading1"/>
        <w:jc w:val="both"/>
        <w:rPr>
          <w:rFonts w:ascii="Times New Roman" w:hAnsi="Times New Roman" w:cs="Times New Roman"/>
          <w:color w:val="auto"/>
          <w:sz w:val="28"/>
          <w:szCs w:val="28"/>
        </w:rPr>
      </w:pPr>
      <w:r>
        <w:rPr>
          <w:rFonts w:ascii="Times New Roman" w:hAnsi="Times New Roman" w:cs="Times New Roman"/>
          <w:color w:val="auto"/>
          <w:sz w:val="28"/>
          <w:szCs w:val="28"/>
        </w:rPr>
        <w:t>8. CONCLUSION</w:t>
      </w:r>
    </w:p>
    <w:p w14:paraId="33D33031" w14:textId="06DEA060" w:rsidR="000D3465" w:rsidRPr="000D3465" w:rsidRDefault="000D3465" w:rsidP="000D3465">
      <w:pPr>
        <w:pBdr>
          <w:bottom w:val="single" w:sz="4" w:space="1" w:color="2E5FA3"/>
        </w:pBdr>
        <w:spacing w:after="80"/>
        <w:jc w:val="both"/>
        <w:rPr>
          <w:rFonts w:ascii="Times New Roman" w:hAnsi="Times New Roman" w:cs="Times New Roman"/>
          <w:sz w:val="24"/>
          <w:szCs w:val="24"/>
        </w:rPr>
      </w:pPr>
      <w:r>
        <w:rPr>
          <w:rFonts w:ascii="Times New Roman" w:hAnsi="Times New Roman" w:cs="Times New Roman"/>
          <w:sz w:val="24"/>
          <w:szCs w:val="24"/>
        </w:rPr>
        <w:t>This research presented a comparative empirical evaluation of the strategic and financial feasibility of undertaking project finance, in three manufacturing companies selected. Six tools were applied to the audited financial statements of the companies for the three-year period from 2022 to 2025, as follows: ratios, capital budgeting (net present value, internal rate of return, profitability index), break-even analysis, sensitivity analysis, trend forecasting, and the Altman Z-score. As anticipated the results produced quite distinct assessments for each company, yet overall underscored the importance of utilizing a number of analytical tools to asses project finance feasibility.</w:t>
      </w:r>
    </w:p>
    <w:p w14:paraId="47ECA7DC" w14:textId="77777777" w:rsidR="000D3465" w:rsidRPr="000D3465" w:rsidRDefault="000D3465" w:rsidP="000D3465">
      <w:pPr>
        <w:pBdr>
          <w:bottom w:val="single" w:sz="4" w:space="1" w:color="2E5FA3"/>
        </w:pBdr>
        <w:spacing w:after="80"/>
        <w:jc w:val="both"/>
        <w:rPr>
          <w:rFonts w:ascii="Times New Roman" w:hAnsi="Times New Roman" w:cs="Times New Roman"/>
          <w:sz w:val="24"/>
          <w:szCs w:val="24"/>
        </w:rPr>
      </w:pPr>
    </w:p>
    <w:p w14:paraId="5CF07784" w14:textId="25BB48A3" w:rsidR="000D3465" w:rsidRPr="000D3465" w:rsidRDefault="000D3465" w:rsidP="000D3465">
      <w:pPr>
        <w:pBdr>
          <w:bottom w:val="single" w:sz="4" w:space="1" w:color="2E5FA3"/>
        </w:pBdr>
        <w:spacing w:after="80"/>
        <w:jc w:val="both"/>
        <w:rPr>
          <w:rFonts w:ascii="Times New Roman" w:hAnsi="Times New Roman" w:cs="Times New Roman"/>
          <w:sz w:val="24"/>
          <w:szCs w:val="24"/>
        </w:rPr>
      </w:pPr>
      <w:r>
        <w:rPr>
          <w:rFonts w:ascii="Times New Roman" w:hAnsi="Times New Roman" w:cs="Times New Roman"/>
          <w:sz w:val="24"/>
          <w:szCs w:val="24"/>
        </w:rPr>
        <w:t>Of the three firms considered, the first company had strong financials on all measures; liquid throughout the period, consistently profitable with a high proportion of net margin in operating margin, low leverage and high investment returns and a healthy 3.97 on the Altman Z-Score placing it safely in the zone, making it ideal to pursue immediate and unconditional project finance. The second company was showing a positive trend with profit and leverage ratio on the improve, however, with a low DSCR of1.25 (dropping to 0.55 from 2027-28) it was ideal for a conditional and corrective approach, if, only after improving its debt repayment capacity significantly. While the third company showed significant improvement operationally and strategically in terms of IRR (34.28%) and recovering gross profit margin (50.39%), the highly skewed DE ratio of 9.27 and the low Z-Score of 0.71 confirmed that it was not suitable for project financing without a credible capital restructuring scheme being successfully put into operation.</w:t>
      </w:r>
    </w:p>
    <w:p w14:paraId="1025DF91" w14:textId="77777777" w:rsidR="000D3465" w:rsidRPr="000D3465" w:rsidRDefault="000D3465" w:rsidP="000D3465">
      <w:pPr>
        <w:pBdr>
          <w:bottom w:val="single" w:sz="4" w:space="1" w:color="2E5FA3"/>
        </w:pBdr>
        <w:spacing w:after="80"/>
        <w:jc w:val="both"/>
        <w:rPr>
          <w:rFonts w:ascii="Times New Roman" w:hAnsi="Times New Roman" w:cs="Times New Roman"/>
          <w:sz w:val="24"/>
          <w:szCs w:val="24"/>
        </w:rPr>
      </w:pPr>
    </w:p>
    <w:p w14:paraId="47C0048D" w14:textId="17FE84A3" w:rsidR="00CC245C" w:rsidRDefault="000D3465" w:rsidP="000D3465">
      <w:pPr>
        <w:pBdr>
          <w:bottom w:val="single" w:sz="4" w:space="1" w:color="2E5FA3"/>
        </w:pBdr>
        <w:spacing w:after="80"/>
        <w:jc w:val="both"/>
        <w:rPr>
          <w:rFonts w:ascii="Times New Roman" w:hAnsi="Times New Roman" w:cs="Times New Roman"/>
          <w:sz w:val="24"/>
          <w:szCs w:val="24"/>
        </w:rPr>
      </w:pPr>
      <w:r>
        <w:rPr>
          <w:rFonts w:ascii="Times New Roman" w:hAnsi="Times New Roman" w:cs="Times New Roman"/>
          <w:sz w:val="24"/>
          <w:szCs w:val="24"/>
        </w:rPr>
        <w:t>In conclusion this research supports the existing body of literature regarding the use of financial metrics to asses project finance viability, specifically focusing on Indian manufacturing; illustrating that one alone is insufficient. The holistic 6-tool approach used in this paper provided a robust and reproducible method applicable to bankers, lenders, investors and financial advisors involved in the process of assessing project finance viability in any of the many sub-sectoral manufacturing industries available in India. It would be beneficial for further research to expand this approach to a larger data set, over a longer time frame and perhaps within individual manufacturing sectors.</w:t>
      </w:r>
    </w:p>
    <w:p w14:paraId="173598DD" w14:textId="77777777" w:rsidR="000D3465" w:rsidRPr="00894D9D" w:rsidRDefault="000D3465" w:rsidP="000D3465">
      <w:pPr>
        <w:pBdr>
          <w:bottom w:val="single" w:sz="4" w:space="1" w:color="2E5FA3"/>
        </w:pBdr>
        <w:spacing w:before="80" w:after="80"/>
        <w:jc w:val="both"/>
        <w:rPr>
          <w:rFonts w:ascii="Times New Roman" w:hAnsi="Times New Roman" w:cs="Times New Roman"/>
          <w:sz w:val="24"/>
          <w:szCs w:val="24"/>
        </w:rPr>
      </w:pPr>
    </w:p>
    <w:p w14:paraId="2C7B7608" w14:textId="77777777" w:rsidR="00CC245C" w:rsidRPr="00894D9D" w:rsidRDefault="00CC245C" w:rsidP="00894D9D">
      <w:pPr>
        <w:jc w:val="both"/>
        <w:rPr>
          <w:rFonts w:ascii="Times New Roman" w:hAnsi="Times New Roman" w:cs="Times New Roman"/>
          <w:sz w:val="24"/>
          <w:szCs w:val="24"/>
        </w:rPr>
      </w:pPr>
    </w:p>
    <w:p w14:paraId="176BDE76" w14:textId="77777777" w:rsidR="00CC245C" w:rsidRPr="00B7411D" w:rsidRDefault="00894D9D" w:rsidP="00894D9D">
      <w:pPr>
        <w:pStyle w:val="Heading1"/>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REFERENCES</w:t>
      </w:r>
    </w:p>
    <w:p w14:paraId="20420845" w14:textId="77777777" w:rsidR="00CC245C" w:rsidRPr="00894D9D" w:rsidRDefault="00894D9D"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Journal Articles</w:t>
      </w:r>
    </w:p>
    <w:p w14:paraId="204409C6"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Jain, R., &amp; Kumar, A. (2020). Financial Modelling and Feasibility Analysis of Housing Projects. Journal of Finance and Investment, 12(3), 45-60.</w:t>
      </w:r>
    </w:p>
    <w:p w14:paraId="6D37A813"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Bjee, A., &amp; Gil, S. (2022). Sustainable Project Financing in Construction Industry. International Journal of Project Finance, 8(2), 33-48.</w:t>
      </w:r>
    </w:p>
    <w:p w14:paraId="0B37D51F"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Tirumala, R. D., &amp; Tiwari, P. (2023). Project Finance Transformation in Emerging Markets. Journal of Infrastructure Finance, 15(1), 21-39.</w:t>
      </w:r>
    </w:p>
    <w:p w14:paraId="77F7AF3F"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Nandi, S., &amp; Ahluwalia, M. (2024). Debt vs Equity Financing in Infrastructure Projects. Journal of Corporate Finance Studies, 10(4), 50-66.</w:t>
      </w:r>
    </w:p>
    <w:p w14:paraId="740AEB6F"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Agrawal, M., &amp; Kumar, S. (2024). Financial Viability of Hybrid Annuity Model Projects. International Journal of Financial Research, 9(2), 41-57.</w:t>
      </w:r>
    </w:p>
    <w:p w14:paraId="61F702B9"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Singh, S., &amp; Bajaj, G. L. (2024). Project Appraisal Techniques Used by Financial Institutions. Journal of Banking and Finance, 7(3), 29-44.</w:t>
      </w:r>
    </w:p>
    <w:p w14:paraId="5C3067B8"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Singh, A. K., &amp; Goel, R. (2025). Effect of Capital Structure on IRR and ROI. Journal of Investment Analysis, 11(1), 62-78.</w:t>
      </w:r>
    </w:p>
    <w:p w14:paraId="4807E8FE"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Chandrasekaran, M., &amp; Sharma, P. (2025). Capital Budgeting Techniques in Project Evaluation. Journal of Management Finance, 6(2), 14-30.</w:t>
      </w:r>
    </w:p>
    <w:p w14:paraId="7282285E"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Sancheti, S., &amp; Rajesh, K. (2025). Quantitative Risk Analysis in Infrastructure Projects. International Journal of Risk Management, 14(3), 55-70.</w:t>
      </w:r>
    </w:p>
    <w:p w14:paraId="0653A506"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Shetty, N., &amp; Ramaprasad, B. S. (2026). Financial Feasibility of Green Financing Projects. Journal of Sustainable Finance, 5(1), 18-34.</w:t>
      </w:r>
    </w:p>
    <w:p w14:paraId="51EE88DB" w14:textId="77777777" w:rsidR="00CC245C" w:rsidRPr="00894D9D" w:rsidRDefault="00894D9D" w:rsidP="00894D9D">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Books</w:t>
      </w:r>
    </w:p>
    <w:p w14:paraId="470523CF"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Pandey, I. M. (2010). Financial Management. Vikas Publishing House Pvt. Ltd., New Delhi.</w:t>
      </w:r>
    </w:p>
    <w:p w14:paraId="2B3B8568"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Chandra, P. (2019). Financial Management: Theory and Practice. McGraw Hill Education, New Delhi.</w:t>
      </w:r>
    </w:p>
    <w:p w14:paraId="2579AC04"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Maheshwari, S. N. (2012). Management Accounting. Sultan Chand &amp; Sons, New Delhi.</w:t>
      </w:r>
    </w:p>
    <w:p w14:paraId="47C8E8FF"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Chitkara, K. K. (2011). Project Management and Appraisal. Tata McGraw Hill, New Delhi.</w:t>
      </w:r>
    </w:p>
    <w:p w14:paraId="019F6CC9" w14:textId="77777777" w:rsidR="00CC245C" w:rsidRPr="00894D9D" w:rsidRDefault="00894D9D" w:rsidP="00894D9D">
      <w:pPr>
        <w:pStyle w:val="ListParagraph"/>
        <w:numPr>
          <w:ilvl w:val="0"/>
          <w:numId w:val="3"/>
        </w:numPr>
        <w:spacing w:before="30" w:after="30"/>
        <w:jc w:val="both"/>
        <w:rPr>
          <w:rFonts w:ascii="Times New Roman" w:hAnsi="Times New Roman" w:cs="Times New Roman"/>
          <w:sz w:val="24"/>
          <w:szCs w:val="24"/>
        </w:rPr>
      </w:pPr>
      <w:r>
        <w:rPr>
          <w:rFonts w:ascii="Times New Roman" w:hAnsi="Times New Roman" w:cs="Times New Roman"/>
          <w:sz w:val="24"/>
          <w:szCs w:val="24"/>
        </w:rPr>
        <w:t>Berk, J., &amp; DeMarzo, P. (2017). Corporate Finance. Pearson Education.</w:t>
      </w:r>
    </w:p>
    <w:sectPr w:rsidR="00CC245C" w:rsidRPr="00894D9D">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7C69" w14:textId="77777777" w:rsidR="002774E8" w:rsidRDefault="002774E8">
      <w:r>
        <w:separator/>
      </w:r>
    </w:p>
  </w:endnote>
  <w:endnote w:type="continuationSeparator" w:id="0">
    <w:p w14:paraId="38D66B4F" w14:textId="77777777" w:rsidR="002774E8" w:rsidRDefault="0027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ABFC" w14:textId="77777777" w:rsidR="002774E8" w:rsidRDefault="002774E8">
      <w:r>
        <w:separator/>
      </w:r>
    </w:p>
  </w:footnote>
  <w:footnote w:type="continuationSeparator" w:id="0">
    <w:p w14:paraId="6A79F6BD" w14:textId="77777777" w:rsidR="002774E8" w:rsidRDefault="00277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F82"/>
    <w:multiLevelType w:val="hybridMultilevel"/>
    <w:tmpl w:val="53D6BCDA"/>
    <w:lvl w:ilvl="0" w:tplc="CA3ABE24">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4734E"/>
    <w:multiLevelType w:val="hybridMultilevel"/>
    <w:tmpl w:val="958A6F08"/>
    <w:lvl w:ilvl="0" w:tplc="DFD0BB42">
      <w:start w:val="1"/>
      <w:numFmt w:val="decimal"/>
      <w:lvlText w:val="%1."/>
      <w:lvlJc w:val="left"/>
      <w:pPr>
        <w:ind w:left="720" w:hanging="360"/>
      </w:pPr>
    </w:lvl>
    <w:lvl w:ilvl="1" w:tplc="46B4DA74">
      <w:numFmt w:val="decimal"/>
      <w:lvlText w:val=""/>
      <w:lvlJc w:val="left"/>
    </w:lvl>
    <w:lvl w:ilvl="2" w:tplc="4440ABAC">
      <w:numFmt w:val="decimal"/>
      <w:lvlText w:val=""/>
      <w:lvlJc w:val="left"/>
    </w:lvl>
    <w:lvl w:ilvl="3" w:tplc="91E47FD6">
      <w:numFmt w:val="decimal"/>
      <w:lvlText w:val=""/>
      <w:lvlJc w:val="left"/>
    </w:lvl>
    <w:lvl w:ilvl="4" w:tplc="C53C3D2A">
      <w:numFmt w:val="decimal"/>
      <w:lvlText w:val=""/>
      <w:lvlJc w:val="left"/>
    </w:lvl>
    <w:lvl w:ilvl="5" w:tplc="E52A044C">
      <w:numFmt w:val="decimal"/>
      <w:lvlText w:val=""/>
      <w:lvlJc w:val="left"/>
    </w:lvl>
    <w:lvl w:ilvl="6" w:tplc="3A0A0B04">
      <w:numFmt w:val="decimal"/>
      <w:lvlText w:val=""/>
      <w:lvlJc w:val="left"/>
    </w:lvl>
    <w:lvl w:ilvl="7" w:tplc="0C127834">
      <w:numFmt w:val="decimal"/>
      <w:lvlText w:val=""/>
      <w:lvlJc w:val="left"/>
    </w:lvl>
    <w:lvl w:ilvl="8" w:tplc="FFD895EE">
      <w:numFmt w:val="decimal"/>
      <w:lvlText w:val=""/>
      <w:lvlJc w:val="left"/>
    </w:lvl>
  </w:abstractNum>
  <w:abstractNum w:abstractNumId="2" w15:restartNumberingAfterBreak="0">
    <w:nsid w:val="66982183"/>
    <w:multiLevelType w:val="hybridMultilevel"/>
    <w:tmpl w:val="A64406D0"/>
    <w:lvl w:ilvl="0" w:tplc="9350E77A">
      <w:start w:val="1"/>
      <w:numFmt w:val="bullet"/>
      <w:lvlText w:val="●"/>
      <w:lvlJc w:val="left"/>
      <w:pPr>
        <w:ind w:left="720" w:hanging="360"/>
      </w:pPr>
    </w:lvl>
    <w:lvl w:ilvl="1" w:tplc="EC82CA7A">
      <w:start w:val="1"/>
      <w:numFmt w:val="bullet"/>
      <w:lvlText w:val="○"/>
      <w:lvlJc w:val="left"/>
      <w:pPr>
        <w:ind w:left="1440" w:hanging="360"/>
      </w:pPr>
    </w:lvl>
    <w:lvl w:ilvl="2" w:tplc="6058A19C">
      <w:start w:val="1"/>
      <w:numFmt w:val="bullet"/>
      <w:lvlText w:val="■"/>
      <w:lvlJc w:val="left"/>
      <w:pPr>
        <w:ind w:left="2160" w:hanging="360"/>
      </w:pPr>
    </w:lvl>
    <w:lvl w:ilvl="3" w:tplc="68A4D23C">
      <w:start w:val="1"/>
      <w:numFmt w:val="bullet"/>
      <w:lvlText w:val="●"/>
      <w:lvlJc w:val="left"/>
      <w:pPr>
        <w:ind w:left="2880" w:hanging="360"/>
      </w:pPr>
    </w:lvl>
    <w:lvl w:ilvl="4" w:tplc="EB18AB06">
      <w:start w:val="1"/>
      <w:numFmt w:val="bullet"/>
      <w:lvlText w:val="○"/>
      <w:lvlJc w:val="left"/>
      <w:pPr>
        <w:ind w:left="3600" w:hanging="360"/>
      </w:pPr>
    </w:lvl>
    <w:lvl w:ilvl="5" w:tplc="8C9494EA">
      <w:start w:val="1"/>
      <w:numFmt w:val="bullet"/>
      <w:lvlText w:val="■"/>
      <w:lvlJc w:val="left"/>
      <w:pPr>
        <w:ind w:left="4320" w:hanging="360"/>
      </w:pPr>
    </w:lvl>
    <w:lvl w:ilvl="6" w:tplc="573C35B8">
      <w:start w:val="1"/>
      <w:numFmt w:val="bullet"/>
      <w:lvlText w:val="●"/>
      <w:lvlJc w:val="left"/>
      <w:pPr>
        <w:ind w:left="5040" w:hanging="360"/>
      </w:pPr>
    </w:lvl>
    <w:lvl w:ilvl="7" w:tplc="52F01F4C">
      <w:start w:val="1"/>
      <w:numFmt w:val="bullet"/>
      <w:lvlText w:val="●"/>
      <w:lvlJc w:val="left"/>
      <w:pPr>
        <w:ind w:left="5760" w:hanging="360"/>
      </w:pPr>
    </w:lvl>
    <w:lvl w:ilvl="8" w:tplc="EF02C938">
      <w:start w:val="1"/>
      <w:numFmt w:val="bullet"/>
      <w:lvlText w:val="●"/>
      <w:lvlJc w:val="left"/>
      <w:pPr>
        <w:ind w:left="6480" w:hanging="360"/>
      </w:pPr>
    </w:lvl>
  </w:abstractNum>
  <w:abstractNum w:abstractNumId="3" w15:restartNumberingAfterBreak="0">
    <w:nsid w:val="758A1097"/>
    <w:multiLevelType w:val="hybridMultilevel"/>
    <w:tmpl w:val="F22298DE"/>
    <w:lvl w:ilvl="0" w:tplc="CA3ABE24">
      <w:start w:val="1"/>
      <w:numFmt w:val="bullet"/>
      <w:lvlText w:val="•"/>
      <w:lvlJc w:val="left"/>
      <w:pPr>
        <w:ind w:left="720" w:hanging="360"/>
      </w:pPr>
    </w:lvl>
    <w:lvl w:ilvl="1" w:tplc="19E48302">
      <w:numFmt w:val="decimal"/>
      <w:lvlText w:val=""/>
      <w:lvlJc w:val="left"/>
    </w:lvl>
    <w:lvl w:ilvl="2" w:tplc="63DA38B0">
      <w:numFmt w:val="decimal"/>
      <w:lvlText w:val=""/>
      <w:lvlJc w:val="left"/>
    </w:lvl>
    <w:lvl w:ilvl="3" w:tplc="0BDEC56E">
      <w:numFmt w:val="decimal"/>
      <w:lvlText w:val=""/>
      <w:lvlJc w:val="left"/>
    </w:lvl>
    <w:lvl w:ilvl="4" w:tplc="BAC0F3C8">
      <w:numFmt w:val="decimal"/>
      <w:lvlText w:val=""/>
      <w:lvlJc w:val="left"/>
    </w:lvl>
    <w:lvl w:ilvl="5" w:tplc="DB24821C">
      <w:numFmt w:val="decimal"/>
      <w:lvlText w:val=""/>
      <w:lvlJc w:val="left"/>
    </w:lvl>
    <w:lvl w:ilvl="6" w:tplc="0D34EA58">
      <w:numFmt w:val="decimal"/>
      <w:lvlText w:val=""/>
      <w:lvlJc w:val="left"/>
    </w:lvl>
    <w:lvl w:ilvl="7" w:tplc="F43C69A2">
      <w:numFmt w:val="decimal"/>
      <w:lvlText w:val=""/>
      <w:lvlJc w:val="left"/>
    </w:lvl>
    <w:lvl w:ilvl="8" w:tplc="EEE0AA1C">
      <w:numFmt w:val="decimal"/>
      <w:lvlText w:val=""/>
      <w:lvlJc w:val="left"/>
    </w:lvl>
  </w:abstractNum>
  <w:num w:numId="1" w16cid:durableId="527959357">
    <w:abstractNumId w:val="2"/>
    <w:lvlOverride w:ilvl="0">
      <w:startOverride w:val="1"/>
    </w:lvlOverride>
  </w:num>
  <w:num w:numId="2" w16cid:durableId="780031816">
    <w:abstractNumId w:val="3"/>
  </w:num>
  <w:num w:numId="3" w16cid:durableId="220406493">
    <w:abstractNumId w:val="1"/>
    <w:lvlOverride w:ilvl="0">
      <w:startOverride w:val="1"/>
    </w:lvlOverride>
  </w:num>
  <w:num w:numId="4" w16cid:durableId="839320730">
    <w:abstractNumId w:val="3"/>
  </w:num>
  <w:num w:numId="5" w16cid:durableId="160572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5C"/>
    <w:rsid w:val="000872A7"/>
    <w:rsid w:val="000D3465"/>
    <w:rsid w:val="001F4A30"/>
    <w:rsid w:val="002774E8"/>
    <w:rsid w:val="002D2752"/>
    <w:rsid w:val="003136FD"/>
    <w:rsid w:val="003C6B5E"/>
    <w:rsid w:val="004A3814"/>
    <w:rsid w:val="00500DC0"/>
    <w:rsid w:val="00894D9D"/>
    <w:rsid w:val="00913F8E"/>
    <w:rsid w:val="00AA693F"/>
    <w:rsid w:val="00B7411D"/>
    <w:rsid w:val="00C404D2"/>
    <w:rsid w:val="00C72E25"/>
    <w:rsid w:val="00C82CAF"/>
    <w:rsid w:val="00CC245C"/>
    <w:rsid w:val="00D112C2"/>
    <w:rsid w:val="00E735A2"/>
    <w:rsid w:val="00E86A51"/>
    <w:rsid w:val="00EB5750"/>
    <w:rsid w:val="00EC0FC6"/>
    <w:rsid w:val="00F4572D"/>
    <w:rsid w:val="00F73822"/>
    <w:rsid w:val="00F8746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740B"/>
  <w15:docId w15:val="{74484654-8B9B-423B-9525-DDC01060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spacing w:before="300" w:after="140"/>
      <w:outlineLvl w:val="0"/>
    </w:pPr>
    <w:rPr>
      <w:b/>
      <w:bCs/>
      <w:color w:val="1F3864"/>
      <w:sz w:val="26"/>
      <w:szCs w:val="26"/>
    </w:rPr>
  </w:style>
  <w:style w:type="paragraph" w:styleId="Heading2">
    <w:name w:val="heading 2"/>
    <w:qFormat/>
    <w:pPr>
      <w:spacing w:before="200" w:after="100"/>
      <w:outlineLvl w:val="1"/>
    </w:pPr>
    <w:rPr>
      <w:b/>
      <w:bCs/>
      <w:color w:val="2E5FA3"/>
      <w:sz w:val="22"/>
      <w:szCs w:val="22"/>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94D9D"/>
    <w:pPr>
      <w:tabs>
        <w:tab w:val="center" w:pos="4513"/>
        <w:tab w:val="right" w:pos="9026"/>
      </w:tabs>
    </w:pPr>
  </w:style>
  <w:style w:type="character" w:customStyle="1" w:styleId="HeaderChar">
    <w:name w:val="Header Char"/>
    <w:basedOn w:val="DefaultParagraphFont"/>
    <w:link w:val="Header"/>
    <w:uiPriority w:val="99"/>
    <w:rsid w:val="00894D9D"/>
  </w:style>
  <w:style w:type="paragraph" w:styleId="Footer">
    <w:name w:val="footer"/>
    <w:basedOn w:val="Normal"/>
    <w:link w:val="FooterChar"/>
    <w:uiPriority w:val="99"/>
    <w:unhideWhenUsed/>
    <w:rsid w:val="00894D9D"/>
    <w:pPr>
      <w:tabs>
        <w:tab w:val="center" w:pos="4513"/>
        <w:tab w:val="right" w:pos="9026"/>
      </w:tabs>
    </w:pPr>
  </w:style>
  <w:style w:type="character" w:customStyle="1" w:styleId="FooterChar">
    <w:name w:val="Footer Char"/>
    <w:basedOn w:val="DefaultParagraphFont"/>
    <w:link w:val="Footer"/>
    <w:uiPriority w:val="99"/>
    <w:rsid w:val="00894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4491</Words>
  <Characters>25600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Santhosh Kumar</cp:lastModifiedBy>
  <cp:revision>4</cp:revision>
  <dcterms:created xsi:type="dcterms:W3CDTF">2026-04-18T12:57:00Z</dcterms:created>
  <dcterms:modified xsi:type="dcterms:W3CDTF">2026-04-18T14:28:00Z</dcterms:modified>
</cp:coreProperties>
</file>