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0B29F" w14:textId="77777777" w:rsidR="00A3227C" w:rsidRDefault="00A3227C" w:rsidP="00351A0D">
      <w:pPr>
        <w:rPr>
          <w:rFonts w:ascii="Times New Roman" w:hAnsi="Times New Roman" w:cs="Times New Roman"/>
          <w:b/>
          <w:sz w:val="28"/>
        </w:rPr>
      </w:pPr>
      <w:r w:rsidRPr="00A3227C">
        <w:rPr>
          <w:rFonts w:ascii="Times New Roman" w:hAnsi="Times New Roman" w:cs="Times New Roman"/>
          <w:b/>
          <w:sz w:val="28"/>
        </w:rPr>
        <w:t>Satellite Observation of Aerosol Optical Depth Anomalies Associated with Major Earthquakes in the Indian Region</w:t>
      </w:r>
    </w:p>
    <w:p w14:paraId="0CD16850" w14:textId="2FBC86FA" w:rsidR="0037399D" w:rsidRPr="003C4B84" w:rsidRDefault="003C4B84" w:rsidP="00351A0D">
      <w:pPr>
        <w:rPr>
          <w:rFonts w:ascii="Times New Roman" w:hAnsi="Times New Roman" w:cs="Times New Roman"/>
          <w:b/>
          <w:sz w:val="24"/>
        </w:rPr>
      </w:pPr>
      <w:r>
        <w:rPr>
          <w:rFonts w:ascii="Times New Roman" w:hAnsi="Times New Roman" w:cs="Times New Roman"/>
          <w:b/>
          <w:sz w:val="24"/>
        </w:rPr>
        <w:t xml:space="preserve">                  </w:t>
      </w:r>
      <w:r w:rsidR="0037399D" w:rsidRPr="003C4B84">
        <w:rPr>
          <w:rFonts w:ascii="Times New Roman" w:hAnsi="Times New Roman" w:cs="Times New Roman"/>
          <w:b/>
          <w:sz w:val="24"/>
        </w:rPr>
        <w:t xml:space="preserve">Anil </w:t>
      </w:r>
      <w:r w:rsidR="007728E1">
        <w:rPr>
          <w:rFonts w:ascii="Times New Roman" w:hAnsi="Times New Roman" w:cs="Times New Roman"/>
          <w:b/>
          <w:sz w:val="24"/>
        </w:rPr>
        <w:t>K</w:t>
      </w:r>
      <w:r w:rsidR="0037399D" w:rsidRPr="003C4B84">
        <w:rPr>
          <w:rFonts w:ascii="Times New Roman" w:hAnsi="Times New Roman" w:cs="Times New Roman"/>
          <w:b/>
          <w:sz w:val="24"/>
        </w:rPr>
        <w:t xml:space="preserve"> Das</w:t>
      </w:r>
      <w:r w:rsidR="00ED7404" w:rsidRPr="003C4B84">
        <w:rPr>
          <w:rFonts w:ascii="Times New Roman" w:hAnsi="Times New Roman" w:cs="Times New Roman"/>
          <w:b/>
          <w:sz w:val="24"/>
          <w:vertAlign w:val="superscript"/>
        </w:rPr>
        <w:t>1</w:t>
      </w:r>
      <w:r w:rsidR="0037399D" w:rsidRPr="003C4B84">
        <w:rPr>
          <w:rFonts w:ascii="Times New Roman" w:hAnsi="Times New Roman" w:cs="Times New Roman"/>
          <w:b/>
          <w:sz w:val="24"/>
        </w:rPr>
        <w:t>, Vikram Singh</w:t>
      </w:r>
      <w:r w:rsidR="00ED7404" w:rsidRPr="003C4B84">
        <w:rPr>
          <w:rFonts w:ascii="Times New Roman" w:hAnsi="Times New Roman" w:cs="Times New Roman"/>
          <w:b/>
          <w:sz w:val="24"/>
          <w:vertAlign w:val="superscript"/>
        </w:rPr>
        <w:t>1</w:t>
      </w:r>
      <w:r w:rsidR="00ED7404" w:rsidRPr="003C4B84">
        <w:rPr>
          <w:rFonts w:ascii="Times New Roman" w:hAnsi="Times New Roman" w:cs="Times New Roman"/>
          <w:b/>
          <w:sz w:val="24"/>
        </w:rPr>
        <w:t>, Reena Garg</w:t>
      </w:r>
      <w:r w:rsidR="00ED7404" w:rsidRPr="003C4B84">
        <w:rPr>
          <w:rFonts w:ascii="Times New Roman" w:hAnsi="Times New Roman" w:cs="Times New Roman"/>
          <w:b/>
          <w:sz w:val="24"/>
          <w:vertAlign w:val="superscript"/>
        </w:rPr>
        <w:t>2</w:t>
      </w:r>
      <w:r w:rsidR="0037399D" w:rsidRPr="003C4B84">
        <w:rPr>
          <w:rFonts w:ascii="Times New Roman" w:hAnsi="Times New Roman" w:cs="Times New Roman"/>
          <w:b/>
          <w:sz w:val="24"/>
        </w:rPr>
        <w:t>, Vishal Chauahan</w:t>
      </w:r>
      <w:r w:rsidR="00ED7404" w:rsidRPr="003C4B84">
        <w:rPr>
          <w:rFonts w:ascii="Times New Roman" w:hAnsi="Times New Roman" w:cs="Times New Roman"/>
          <w:b/>
          <w:sz w:val="24"/>
          <w:vertAlign w:val="superscript"/>
        </w:rPr>
        <w:t>3</w:t>
      </w:r>
    </w:p>
    <w:p w14:paraId="589B83C7" w14:textId="77777777" w:rsidR="0037399D" w:rsidRPr="00ED7404" w:rsidRDefault="00ED7404" w:rsidP="007618BE">
      <w:pPr>
        <w:pStyle w:val="ListParagraph"/>
        <w:numPr>
          <w:ilvl w:val="0"/>
          <w:numId w:val="1"/>
        </w:numPr>
        <w:spacing w:after="120" w:line="240" w:lineRule="auto"/>
        <w:rPr>
          <w:rFonts w:ascii="Times New Roman" w:hAnsi="Times New Roman" w:cs="Times New Roman"/>
          <w:b/>
          <w:sz w:val="24"/>
        </w:rPr>
      </w:pPr>
      <w:r w:rsidRPr="00ED7404">
        <w:rPr>
          <w:rFonts w:ascii="Times New Roman" w:hAnsi="Times New Roman" w:cs="Times New Roman"/>
          <w:b/>
          <w:sz w:val="24"/>
        </w:rPr>
        <w:t>Department of Physics, St. John’s College, Agra-282002, India</w:t>
      </w:r>
    </w:p>
    <w:p w14:paraId="611B4467" w14:textId="77777777" w:rsidR="00ED7404" w:rsidRPr="00ED7404" w:rsidRDefault="0034462C" w:rsidP="007618BE">
      <w:pPr>
        <w:pStyle w:val="ListParagraph"/>
        <w:numPr>
          <w:ilvl w:val="0"/>
          <w:numId w:val="1"/>
        </w:numPr>
        <w:spacing w:after="120" w:line="240" w:lineRule="auto"/>
        <w:rPr>
          <w:rFonts w:ascii="Times New Roman" w:hAnsi="Times New Roman" w:cs="Times New Roman"/>
          <w:b/>
          <w:sz w:val="24"/>
        </w:rPr>
      </w:pPr>
      <w:r>
        <w:rPr>
          <w:rFonts w:ascii="Times New Roman" w:hAnsi="Times New Roman" w:cs="Times New Roman"/>
          <w:b/>
          <w:sz w:val="24"/>
        </w:rPr>
        <w:t>Department of  Computer Science</w:t>
      </w:r>
      <w:r w:rsidR="00ED7404" w:rsidRPr="00ED7404">
        <w:rPr>
          <w:rFonts w:ascii="Times New Roman" w:hAnsi="Times New Roman" w:cs="Times New Roman"/>
          <w:b/>
          <w:sz w:val="24"/>
        </w:rPr>
        <w:t>, St. John’s College, Agra-282002, India</w:t>
      </w:r>
    </w:p>
    <w:p w14:paraId="6E1C1ED3" w14:textId="77777777" w:rsidR="00ED7404" w:rsidRPr="00ED7404" w:rsidRDefault="00ED7404" w:rsidP="007618BE">
      <w:pPr>
        <w:pStyle w:val="ListParagraph"/>
        <w:numPr>
          <w:ilvl w:val="0"/>
          <w:numId w:val="1"/>
        </w:numPr>
        <w:spacing w:after="120" w:line="240" w:lineRule="auto"/>
        <w:rPr>
          <w:rFonts w:ascii="Times New Roman" w:hAnsi="Times New Roman" w:cs="Times New Roman"/>
          <w:b/>
          <w:sz w:val="24"/>
        </w:rPr>
      </w:pPr>
      <w:r w:rsidRPr="00ED7404">
        <w:rPr>
          <w:rFonts w:ascii="Times New Roman" w:hAnsi="Times New Roman" w:cs="Times New Roman"/>
          <w:b/>
          <w:sz w:val="24"/>
        </w:rPr>
        <w:t>Department of Physics, Graphic Era Hill university, Dehradun-248002, India</w:t>
      </w:r>
    </w:p>
    <w:p w14:paraId="47D764B6" w14:textId="77777777" w:rsidR="00351A0D" w:rsidRPr="00DA2B6A" w:rsidRDefault="00351A0D" w:rsidP="00351A0D">
      <w:pPr>
        <w:rPr>
          <w:rFonts w:ascii="Times New Roman" w:hAnsi="Times New Roman" w:cs="Times New Roman"/>
          <w:b/>
          <w:sz w:val="24"/>
          <w:szCs w:val="24"/>
        </w:rPr>
      </w:pPr>
      <w:r w:rsidRPr="00DA2B6A">
        <w:rPr>
          <w:rFonts w:ascii="Times New Roman" w:hAnsi="Times New Roman" w:cs="Times New Roman"/>
          <w:b/>
          <w:sz w:val="24"/>
          <w:szCs w:val="24"/>
        </w:rPr>
        <w:t>Abstract</w:t>
      </w:r>
    </w:p>
    <w:p w14:paraId="2D3F6EDD" w14:textId="77777777" w:rsidR="003F08D0" w:rsidRPr="00DA2B6A" w:rsidRDefault="00351A0D" w:rsidP="00C23C87">
      <w:pPr>
        <w:pStyle w:val="NormalWeb"/>
        <w:jc w:val="both"/>
      </w:pPr>
      <w:r w:rsidRPr="00DA2B6A">
        <w:tab/>
      </w:r>
      <w:r w:rsidR="003F08D0" w:rsidRPr="00DA2B6A">
        <w:t xml:space="preserve">Many studies on </w:t>
      </w:r>
      <w:r w:rsidR="003F08D0" w:rsidRPr="00DA2B6A">
        <w:rPr>
          <w:rStyle w:val="Strong"/>
          <w:b w:val="0"/>
        </w:rPr>
        <w:t>precursor signals of seismic activity</w:t>
      </w:r>
      <w:r w:rsidR="003F08D0" w:rsidRPr="00DA2B6A">
        <w:t xml:space="preserve"> are currently being conducted. Among these, </w:t>
      </w:r>
      <w:r w:rsidR="003F08D0" w:rsidRPr="00DA2B6A">
        <w:rPr>
          <w:rStyle w:val="Strong"/>
          <w:b w:val="0"/>
        </w:rPr>
        <w:t>electromagnetic signals, thermal variations, ionospheric disturbances, and chlorophyll changes near seashores</w:t>
      </w:r>
      <w:r w:rsidR="003F08D0" w:rsidRPr="00DA2B6A">
        <w:t xml:space="preserve"> have received considerable attention. Recently, researchers have also started focusing on </w:t>
      </w:r>
      <w:r w:rsidR="003F08D0" w:rsidRPr="00DA2B6A">
        <w:rPr>
          <w:rStyle w:val="Strong"/>
          <w:b w:val="0"/>
        </w:rPr>
        <w:t>lower atmospheric parameters</w:t>
      </w:r>
      <w:r w:rsidR="003F08D0" w:rsidRPr="00DA2B6A">
        <w:t xml:space="preserve">, such as aerosols. Aerosols are found up to an altitude of about </w:t>
      </w:r>
      <w:r w:rsidR="003F08D0" w:rsidRPr="00DA2B6A">
        <w:rPr>
          <w:rStyle w:val="Strong"/>
          <w:b w:val="0"/>
        </w:rPr>
        <w:t>50 km above the Earth's surface</w:t>
      </w:r>
      <w:r w:rsidR="003F08D0" w:rsidRPr="00DA2B6A">
        <w:t xml:space="preserve">. It has been observed that the </w:t>
      </w:r>
      <w:r w:rsidR="003F08D0" w:rsidRPr="00DA2B6A">
        <w:rPr>
          <w:rStyle w:val="Strong"/>
          <w:b w:val="0"/>
        </w:rPr>
        <w:t>density and vertical distribution of aerosols change before and during earthquakes</w:t>
      </w:r>
      <w:r w:rsidR="003F08D0" w:rsidRPr="00DA2B6A">
        <w:t xml:space="preserve">. These observations are now being extensively studied to explore the </w:t>
      </w:r>
      <w:r w:rsidR="003F08D0" w:rsidRPr="00DA2B6A">
        <w:rPr>
          <w:rStyle w:val="Strong"/>
          <w:b w:val="0"/>
        </w:rPr>
        <w:t>possibility of earthquake prediction</w:t>
      </w:r>
      <w:r w:rsidR="003F08D0" w:rsidRPr="00DA2B6A">
        <w:t xml:space="preserve"> and to better understand the </w:t>
      </w:r>
      <w:r w:rsidR="003F08D0" w:rsidRPr="00DA2B6A">
        <w:rPr>
          <w:rStyle w:val="Strong"/>
          <w:b w:val="0"/>
        </w:rPr>
        <w:t>Earth–</w:t>
      </w:r>
      <w:r w:rsidR="00FF5FE4" w:rsidRPr="00DA2B6A">
        <w:rPr>
          <w:rStyle w:val="Strong"/>
          <w:b w:val="0"/>
        </w:rPr>
        <w:t>atmospheric</w:t>
      </w:r>
      <w:r w:rsidR="003F08D0" w:rsidRPr="00DA2B6A">
        <w:rPr>
          <w:rStyle w:val="Strong"/>
          <w:b w:val="0"/>
        </w:rPr>
        <w:t xml:space="preserve"> coupling mechanism</w:t>
      </w:r>
      <w:r w:rsidR="003F08D0" w:rsidRPr="00DA2B6A">
        <w:t>.</w:t>
      </w:r>
    </w:p>
    <w:p w14:paraId="758CD878" w14:textId="77777777" w:rsidR="003F08D0" w:rsidRPr="00DA2B6A" w:rsidRDefault="003F08D0" w:rsidP="00C23C87">
      <w:pPr>
        <w:pStyle w:val="NormalWeb"/>
        <w:jc w:val="both"/>
        <w:rPr>
          <w:b/>
        </w:rPr>
      </w:pPr>
      <w:r w:rsidRPr="00DA2B6A">
        <w:t xml:space="preserve">In this study, we analyzed </w:t>
      </w:r>
      <w:r w:rsidRPr="00DA2B6A">
        <w:rPr>
          <w:rStyle w:val="Strong"/>
          <w:b w:val="0"/>
        </w:rPr>
        <w:t>Aerosol Optical Depth (AOD)</w:t>
      </w:r>
      <w:r w:rsidRPr="00DA2B6A">
        <w:t xml:space="preserve"> data obtained from the </w:t>
      </w:r>
      <w:r w:rsidRPr="00DA2B6A">
        <w:rPr>
          <w:rStyle w:val="Strong"/>
          <w:b w:val="0"/>
        </w:rPr>
        <w:t>MODIS satellite</w:t>
      </w:r>
      <w:r w:rsidRPr="00DA2B6A">
        <w:t xml:space="preserve"> to examine the effects of two earthquakes with magnitudes greater than </w:t>
      </w:r>
      <w:r w:rsidRPr="00DA2B6A">
        <w:rPr>
          <w:rStyle w:val="Strong"/>
        </w:rPr>
        <w:t>7.0</w:t>
      </w:r>
      <w:r w:rsidRPr="00DA2B6A">
        <w:t xml:space="preserve"> in the Indian region. The results indicate that</w:t>
      </w:r>
      <w:r w:rsidRPr="00DA2B6A">
        <w:rPr>
          <w:b/>
        </w:rPr>
        <w:t xml:space="preserve"> </w:t>
      </w:r>
      <w:r w:rsidRPr="00DA2B6A">
        <w:rPr>
          <w:rStyle w:val="Strong"/>
          <w:b w:val="0"/>
        </w:rPr>
        <w:t>AOD anomalies were observed both before and during these earthquakes</w:t>
      </w:r>
      <w:r w:rsidRPr="00DA2B6A">
        <w:rPr>
          <w:b/>
        </w:rPr>
        <w:t>.</w:t>
      </w:r>
    </w:p>
    <w:p w14:paraId="375958AC" w14:textId="77777777" w:rsidR="00351A0D" w:rsidRPr="00DA2B6A" w:rsidRDefault="00D31ECA" w:rsidP="00C96626">
      <w:pPr>
        <w:rPr>
          <w:rFonts w:ascii="Times New Roman" w:hAnsi="Times New Roman" w:cs="Times New Roman"/>
          <w:b/>
          <w:sz w:val="24"/>
          <w:szCs w:val="24"/>
        </w:rPr>
      </w:pPr>
      <w:r w:rsidRPr="00DA2B6A">
        <w:rPr>
          <w:rFonts w:ascii="Times New Roman" w:hAnsi="Times New Roman" w:cs="Times New Roman"/>
          <w:b/>
          <w:sz w:val="24"/>
          <w:szCs w:val="24"/>
        </w:rPr>
        <w:t>Introduction</w:t>
      </w:r>
    </w:p>
    <w:p w14:paraId="79AB99AB" w14:textId="77777777" w:rsidR="00213B4C" w:rsidRPr="00DA2B6A" w:rsidRDefault="005058D5" w:rsidP="00C23C87">
      <w:pPr>
        <w:pStyle w:val="NormalWeb"/>
        <w:jc w:val="both"/>
      </w:pPr>
      <w:r w:rsidRPr="00DA2B6A">
        <w:rPr>
          <w:b/>
        </w:rPr>
        <w:tab/>
      </w:r>
      <w:r w:rsidR="00213B4C" w:rsidRPr="00DA2B6A">
        <w:t>Earthquakes are among the most devastating natural geophysical phenomena. Various techniques have been developed and used by scientists to study and predict earthquakes. Several researchers have reported the effects of earthquakes on different geophysical parameters such as Very Low Frequency (VLF) transmitter signals, Ultra Low Frequency (ULF) magnetic fields, and ionospheric parameters. The effects of earthquakes on the atmosphere and ionosphere have been explained on the basis of mechanisms such as electromagnetic emissions, gravity wave generation, and gas emanation during crustal movements.</w:t>
      </w:r>
    </w:p>
    <w:p w14:paraId="4733377F" w14:textId="77777777" w:rsidR="00213B4C" w:rsidRDefault="00213B4C" w:rsidP="00C23C87">
      <w:pPr>
        <w:spacing w:before="100" w:beforeAutospacing="1" w:after="100" w:afterAutospacing="1" w:line="240" w:lineRule="auto"/>
        <w:jc w:val="both"/>
        <w:rPr>
          <w:rFonts w:ascii="Times New Roman" w:eastAsia="Times New Roman" w:hAnsi="Times New Roman" w:cs="Times New Roman"/>
          <w:sz w:val="24"/>
          <w:szCs w:val="24"/>
        </w:rPr>
      </w:pPr>
      <w:r w:rsidRPr="00213B4C">
        <w:rPr>
          <w:rFonts w:ascii="Times New Roman" w:eastAsia="Times New Roman" w:hAnsi="Times New Roman" w:cs="Times New Roman"/>
          <w:sz w:val="24"/>
          <w:szCs w:val="24"/>
        </w:rPr>
        <w:t>Changes in lower atmospheric parameters, particularly aerosols, during earthquakes have been reported by many researchers. Ping Lu et al. (2025) reported aerosol anomalies associated with multiple shallow earthquakes using MODIS Aerosol Optical Depth (AOD) products. Their study showed that aerosol anomalies were observed up to four days before and after the occurrence of earthquakes. Mehdi et al. (2016) analyzed the time series of AOD derived from the MODIS sensor onboard the TERRA satellite for 16 major earthquakes and found seismic-related anomalies both before and after the events. They suggested that before large earthquakes, the rate of AOD increases due to pre-seismic processes that release gaseous molecules into the atmosphere, thereby enhancing aerosol concentration.</w:t>
      </w:r>
    </w:p>
    <w:p w14:paraId="12E4DF14" w14:textId="77777777" w:rsidR="00CC4CB5" w:rsidRPr="00213B4C" w:rsidRDefault="00CC4CB5" w:rsidP="00C23C87">
      <w:pPr>
        <w:spacing w:before="100" w:beforeAutospacing="1" w:after="100" w:afterAutospacing="1" w:line="240" w:lineRule="auto"/>
        <w:jc w:val="both"/>
        <w:rPr>
          <w:rFonts w:ascii="Times New Roman" w:eastAsia="Times New Roman" w:hAnsi="Times New Roman" w:cs="Times New Roman"/>
          <w:sz w:val="24"/>
          <w:szCs w:val="24"/>
        </w:rPr>
      </w:pPr>
      <w:r w:rsidRPr="00CC4CB5">
        <w:rPr>
          <w:rFonts w:ascii="Times New Roman" w:eastAsia="Times New Roman" w:hAnsi="Times New Roman" w:cs="Times New Roman"/>
          <w:sz w:val="24"/>
          <w:szCs w:val="24"/>
        </w:rPr>
        <w:lastRenderedPageBreak/>
        <w:t>Satellite observations have indicated that such AOD anomalies may appear several days before strong earthquakes. For example, Guo and Wang (2008) reported abnormal variations in satellite-derived aerosol parameters prior to major seismic events. Similarly, Qiang et al. (2011) found that significant aerosol anomalies were detected over epicentral regions before several strong earthquakes using satellite observations. These anomalies are often observed within a limited spatial region around the epicenter, typically within about 1°–3° latitude and longitude, and may occur approximately one to several days before the earthquake.</w:t>
      </w:r>
    </w:p>
    <w:p w14:paraId="714EB0DE" w14:textId="77777777" w:rsidR="00213B4C" w:rsidRDefault="00213B4C" w:rsidP="00C23C87">
      <w:pPr>
        <w:spacing w:before="100" w:beforeAutospacing="1" w:after="100" w:afterAutospacing="1" w:line="240" w:lineRule="auto"/>
        <w:jc w:val="both"/>
        <w:rPr>
          <w:rFonts w:ascii="Times New Roman" w:eastAsia="Times New Roman" w:hAnsi="Times New Roman" w:cs="Times New Roman"/>
          <w:sz w:val="24"/>
          <w:szCs w:val="24"/>
        </w:rPr>
      </w:pPr>
      <w:r w:rsidRPr="00213B4C">
        <w:rPr>
          <w:rFonts w:ascii="Times New Roman" w:eastAsia="Times New Roman" w:hAnsi="Times New Roman" w:cs="Times New Roman"/>
          <w:sz w:val="24"/>
          <w:szCs w:val="24"/>
        </w:rPr>
        <w:t>Ganguly (2016) reported that Aerosol Optical Depth (AOD) and columnar ozone increased by about 40% and 6%, respectively, prior to the massive earthquake that struck Nepal on 25 April 2015 with a moment magnitude of 7.9 Mw. Qinqin Liu et al. (2019) also reported abnormal fluctuations in AOD before and after the 2008 Wenchuan and 2013 Lushan earthquakes. Similarly, Okada et al. (2004) analyzed aerosol parameters using SeaWiFS satellite data and reported higher AOD values following the Mw 7.7 Gujarat earthquake of 26 January 2001.</w:t>
      </w:r>
    </w:p>
    <w:p w14:paraId="72E43419" w14:textId="77777777" w:rsidR="00B14504" w:rsidRDefault="00B14504" w:rsidP="00213B4C">
      <w:pPr>
        <w:spacing w:before="100" w:beforeAutospacing="1" w:after="100" w:afterAutospacing="1" w:line="240" w:lineRule="auto"/>
        <w:rPr>
          <w:rFonts w:ascii="Times New Roman" w:eastAsia="Times New Roman" w:hAnsi="Times New Roman" w:cs="Times New Roman"/>
          <w:b/>
          <w:sz w:val="24"/>
          <w:szCs w:val="24"/>
        </w:rPr>
      </w:pPr>
      <w:r w:rsidRPr="00B14504">
        <w:rPr>
          <w:rFonts w:ascii="Times New Roman" w:eastAsia="Times New Roman" w:hAnsi="Times New Roman" w:cs="Times New Roman"/>
          <w:b/>
          <w:sz w:val="24"/>
          <w:szCs w:val="24"/>
        </w:rPr>
        <w:t>Data analysis</w:t>
      </w:r>
    </w:p>
    <w:p w14:paraId="37AFA23C" w14:textId="77777777" w:rsidR="003536F0" w:rsidRDefault="003536F0" w:rsidP="00C23C87">
      <w:pPr>
        <w:spacing w:before="100" w:beforeAutospacing="1" w:after="100" w:afterAutospacing="1" w:line="240" w:lineRule="auto"/>
        <w:jc w:val="both"/>
        <w:rPr>
          <w:rFonts w:ascii="Times New Roman" w:hAnsi="Times New Roman" w:cs="Times New Roman"/>
          <w:sz w:val="24"/>
          <w:szCs w:val="24"/>
        </w:rPr>
      </w:pPr>
      <w:r w:rsidRPr="003536F0">
        <w:rPr>
          <w:rFonts w:ascii="Times New Roman" w:eastAsia="Times New Roman" w:hAnsi="Times New Roman" w:cs="Times New Roman"/>
          <w:sz w:val="24"/>
          <w:szCs w:val="24"/>
        </w:rPr>
        <w:t xml:space="preserve">In this study, we used data from the </w:t>
      </w:r>
      <w:r w:rsidRPr="003536F0">
        <w:rPr>
          <w:rFonts w:ascii="Times New Roman" w:eastAsia="Times New Roman" w:hAnsi="Times New Roman" w:cs="Times New Roman"/>
          <w:bCs/>
          <w:sz w:val="24"/>
          <w:szCs w:val="24"/>
        </w:rPr>
        <w:t>MODIS sensor</w:t>
      </w:r>
      <w:r w:rsidRPr="003536F0">
        <w:rPr>
          <w:rFonts w:ascii="Times New Roman" w:eastAsia="Times New Roman" w:hAnsi="Times New Roman" w:cs="Times New Roman"/>
          <w:sz w:val="24"/>
          <w:szCs w:val="24"/>
        </w:rPr>
        <w:t xml:space="preserve"> to analyze </w:t>
      </w:r>
      <w:r w:rsidRPr="003536F0">
        <w:rPr>
          <w:rFonts w:ascii="Times New Roman" w:eastAsia="Times New Roman" w:hAnsi="Times New Roman" w:cs="Times New Roman"/>
          <w:bCs/>
          <w:sz w:val="24"/>
          <w:szCs w:val="24"/>
        </w:rPr>
        <w:t>Aerosol Optical Depth (AOD)</w:t>
      </w:r>
      <w:r w:rsidRPr="003536F0">
        <w:rPr>
          <w:rFonts w:ascii="Times New Roman" w:eastAsia="Times New Roman" w:hAnsi="Times New Roman" w:cs="Times New Roman"/>
          <w:sz w:val="24"/>
          <w:szCs w:val="24"/>
        </w:rPr>
        <w:t xml:space="preserve"> corresp</w:t>
      </w:r>
      <w:r w:rsidR="005E2134">
        <w:rPr>
          <w:rFonts w:ascii="Times New Roman" w:eastAsia="Times New Roman" w:hAnsi="Times New Roman" w:cs="Times New Roman"/>
          <w:sz w:val="24"/>
          <w:szCs w:val="24"/>
        </w:rPr>
        <w:t xml:space="preserve">onding to two earthquakes </w:t>
      </w:r>
      <w:r w:rsidR="00A47899">
        <w:rPr>
          <w:rFonts w:ascii="Times New Roman" w:eastAsia="Times New Roman" w:hAnsi="Times New Roman" w:cs="Times New Roman"/>
          <w:sz w:val="24"/>
          <w:szCs w:val="24"/>
        </w:rPr>
        <w:t>(</w:t>
      </w:r>
      <w:r w:rsidR="001C67FC">
        <w:t>NASA, 2023</w:t>
      </w:r>
      <w:r w:rsidR="005E2134" w:rsidRPr="00A47899">
        <w:rPr>
          <w:rFonts w:ascii="Times New Roman" w:eastAsia="Times New Roman" w:hAnsi="Times New Roman" w:cs="Times New Roman"/>
          <w:sz w:val="24"/>
          <w:szCs w:val="24"/>
        </w:rPr>
        <w:t>)</w:t>
      </w:r>
      <w:r w:rsidRPr="003536F0">
        <w:rPr>
          <w:rFonts w:ascii="Times New Roman" w:eastAsia="Times New Roman" w:hAnsi="Times New Roman" w:cs="Times New Roman"/>
          <w:sz w:val="24"/>
          <w:szCs w:val="24"/>
        </w:rPr>
        <w:t xml:space="preserve"> These earthquakes have magnitudes greater than 7. </w:t>
      </w:r>
      <w:r w:rsidR="00F572B8">
        <w:rPr>
          <w:rFonts w:ascii="Times New Roman" w:eastAsia="Times New Roman" w:hAnsi="Times New Roman" w:cs="Times New Roman"/>
          <w:sz w:val="24"/>
          <w:szCs w:val="24"/>
        </w:rPr>
        <w:t xml:space="preserve"> </w:t>
      </w:r>
      <w:r w:rsidR="00F572B8" w:rsidRPr="00F572B8">
        <w:rPr>
          <w:rFonts w:ascii="Times New Roman" w:hAnsi="Times New Roman" w:cs="Times New Roman"/>
          <w:sz w:val="24"/>
        </w:rPr>
        <w:t xml:space="preserve">The earthquake data used in this study were obtained from the </w:t>
      </w:r>
      <w:r w:rsidR="00F572B8" w:rsidRPr="00F572B8">
        <w:rPr>
          <w:rStyle w:val="whitespace-normal"/>
          <w:rFonts w:ascii="Times New Roman" w:hAnsi="Times New Roman" w:cs="Times New Roman"/>
          <w:sz w:val="24"/>
        </w:rPr>
        <w:t>United States Geological Survey</w:t>
      </w:r>
      <w:r w:rsidR="00F572B8" w:rsidRPr="00F572B8">
        <w:rPr>
          <w:rFonts w:ascii="Times New Roman" w:hAnsi="Times New Roman" w:cs="Times New Roman"/>
          <w:sz w:val="24"/>
        </w:rPr>
        <w:t xml:space="preserve"> (USGS) earthquake catalogue, and the details are presented in Table</w:t>
      </w:r>
      <w:r w:rsidR="00F572B8" w:rsidRPr="00F572B8">
        <w:rPr>
          <w:sz w:val="24"/>
        </w:rPr>
        <w:t xml:space="preserve"> </w:t>
      </w:r>
      <w:r w:rsidR="00F572B8">
        <w:t>1</w:t>
      </w:r>
      <w:r w:rsidR="007A67CB">
        <w:t>.</w:t>
      </w:r>
      <w:r w:rsidR="007A67CB" w:rsidRPr="007A67CB">
        <w:t xml:space="preserve"> </w:t>
      </w:r>
      <w:r w:rsidR="007A67CB" w:rsidRPr="007A67CB">
        <w:rPr>
          <w:rFonts w:ascii="Times New Roman" w:hAnsi="Times New Roman" w:cs="Times New Roman"/>
          <w:sz w:val="24"/>
          <w:szCs w:val="24"/>
        </w:rPr>
        <w:t>The locations of the earthquakes are shown on the map in Figure 1</w:t>
      </w:r>
    </w:p>
    <w:p w14:paraId="67EFBB13" w14:textId="77777777" w:rsidR="00DB4237" w:rsidRDefault="00DB4237" w:rsidP="00DB4237">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A7FFC31" wp14:editId="5AFAB6BF">
            <wp:extent cx="3150238" cy="3075420"/>
            <wp:effectExtent l="0" t="0" r="0" b="0"/>
            <wp:docPr id="4" name="Picture 4" descr="C:\Users\user\Desktop\figur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figure 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56177" cy="3081218"/>
                    </a:xfrm>
                    <a:prstGeom prst="rect">
                      <a:avLst/>
                    </a:prstGeom>
                    <a:noFill/>
                    <a:ln>
                      <a:noFill/>
                    </a:ln>
                  </pic:spPr>
                </pic:pic>
              </a:graphicData>
            </a:graphic>
          </wp:inline>
        </w:drawing>
      </w:r>
    </w:p>
    <w:p w14:paraId="72E8BB97" w14:textId="77777777" w:rsidR="00DB4237" w:rsidRPr="007A67CB" w:rsidRDefault="00DB4237" w:rsidP="00DB4237">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Figure.1</w:t>
      </w:r>
    </w:p>
    <w:p w14:paraId="65717B13" w14:textId="77777777" w:rsidR="003536F0" w:rsidRPr="003536F0" w:rsidRDefault="003536F0" w:rsidP="00C23C87">
      <w:pPr>
        <w:spacing w:before="100" w:beforeAutospacing="1" w:after="100" w:afterAutospacing="1" w:line="240" w:lineRule="auto"/>
        <w:jc w:val="both"/>
        <w:rPr>
          <w:rFonts w:ascii="Times New Roman" w:eastAsia="Times New Roman" w:hAnsi="Times New Roman" w:cs="Times New Roman"/>
          <w:sz w:val="24"/>
          <w:szCs w:val="24"/>
        </w:rPr>
      </w:pPr>
      <w:r w:rsidRPr="003536F0">
        <w:rPr>
          <w:rFonts w:ascii="Times New Roman" w:eastAsia="Times New Roman" w:hAnsi="Times New Roman" w:cs="Times New Roman"/>
          <w:sz w:val="24"/>
          <w:szCs w:val="24"/>
        </w:rPr>
        <w:t xml:space="preserve">For the analysis, we selected an area of </w:t>
      </w:r>
      <w:r w:rsidR="00F572B8">
        <w:rPr>
          <w:rFonts w:ascii="Times New Roman" w:eastAsia="Times New Roman" w:hAnsi="Times New Roman" w:cs="Times New Roman"/>
          <w:bCs/>
          <w:sz w:val="24"/>
          <w:szCs w:val="24"/>
        </w:rPr>
        <w:t>4° × 4</w:t>
      </w:r>
      <w:r w:rsidRPr="003536F0">
        <w:rPr>
          <w:rFonts w:ascii="Times New Roman" w:eastAsia="Times New Roman" w:hAnsi="Times New Roman" w:cs="Times New Roman"/>
          <w:bCs/>
          <w:sz w:val="24"/>
          <w:szCs w:val="24"/>
        </w:rPr>
        <w:t>° around the earthquake epicenter</w:t>
      </w:r>
      <w:r w:rsidRPr="003536F0">
        <w:rPr>
          <w:rFonts w:ascii="Times New Roman" w:eastAsia="Times New Roman" w:hAnsi="Times New Roman" w:cs="Times New Roman"/>
          <w:sz w:val="24"/>
          <w:szCs w:val="24"/>
        </w:rPr>
        <w:t xml:space="preserve">. AOD represents the amount of sunlight that is </w:t>
      </w:r>
      <w:r w:rsidRPr="003536F0">
        <w:rPr>
          <w:rFonts w:ascii="Times New Roman" w:eastAsia="Times New Roman" w:hAnsi="Times New Roman" w:cs="Times New Roman"/>
          <w:bCs/>
          <w:sz w:val="24"/>
          <w:szCs w:val="24"/>
        </w:rPr>
        <w:t>scattered or absorbed by aerosol particles in the atmosphere</w:t>
      </w:r>
      <w:r w:rsidRPr="003536F0">
        <w:rPr>
          <w:rFonts w:ascii="Times New Roman" w:eastAsia="Times New Roman" w:hAnsi="Times New Roman" w:cs="Times New Roman"/>
          <w:sz w:val="24"/>
          <w:szCs w:val="24"/>
        </w:rPr>
        <w:t xml:space="preserve">. The MODIS sensor measures the </w:t>
      </w:r>
      <w:r w:rsidRPr="003536F0">
        <w:rPr>
          <w:rFonts w:ascii="Times New Roman" w:eastAsia="Times New Roman" w:hAnsi="Times New Roman" w:cs="Times New Roman"/>
          <w:bCs/>
          <w:sz w:val="24"/>
          <w:szCs w:val="24"/>
        </w:rPr>
        <w:t>top-of-atmosphere (TOA) reflected radiance</w:t>
      </w:r>
      <w:r w:rsidRPr="003536F0">
        <w:rPr>
          <w:rFonts w:ascii="Times New Roman" w:eastAsia="Times New Roman" w:hAnsi="Times New Roman" w:cs="Times New Roman"/>
          <w:sz w:val="24"/>
          <w:szCs w:val="24"/>
        </w:rPr>
        <w:t xml:space="preserve"> in several spectral </w:t>
      </w:r>
      <w:r w:rsidRPr="003536F0">
        <w:rPr>
          <w:rFonts w:ascii="Times New Roman" w:eastAsia="Times New Roman" w:hAnsi="Times New Roman" w:cs="Times New Roman"/>
          <w:sz w:val="24"/>
          <w:szCs w:val="24"/>
        </w:rPr>
        <w:lastRenderedPageBreak/>
        <w:t>bands in the visible and near-infrared regions</w:t>
      </w:r>
      <w:r w:rsidR="009A3AEC">
        <w:rPr>
          <w:rFonts w:ascii="Times New Roman" w:eastAsia="Times New Roman" w:hAnsi="Times New Roman" w:cs="Times New Roman"/>
          <w:sz w:val="24"/>
          <w:szCs w:val="24"/>
        </w:rPr>
        <w:t>(</w:t>
      </w:r>
      <w:r w:rsidR="00F572B8" w:rsidRPr="004C2974">
        <w:rPr>
          <w:rStyle w:val="whitespace-normal"/>
          <w:rFonts w:ascii="Times New Roman" w:hAnsi="Times New Roman" w:cs="Times New Roman"/>
          <w:bCs/>
          <w:sz w:val="24"/>
        </w:rPr>
        <w:t>Salomonson et al.,</w:t>
      </w:r>
      <w:r w:rsidR="001C67FC" w:rsidRPr="004C2974">
        <w:rPr>
          <w:rStyle w:val="Strong"/>
          <w:rFonts w:ascii="Times New Roman" w:hAnsi="Times New Roman" w:cs="Times New Roman"/>
          <w:b w:val="0"/>
          <w:sz w:val="24"/>
        </w:rPr>
        <w:t>1989</w:t>
      </w:r>
      <w:r w:rsidR="005E2134" w:rsidRPr="00F572B8">
        <w:rPr>
          <w:rStyle w:val="Strong"/>
          <w:b w:val="0"/>
        </w:rPr>
        <w:t>).</w:t>
      </w:r>
      <w:r w:rsidRPr="003536F0">
        <w:rPr>
          <w:rFonts w:ascii="Times New Roman" w:eastAsia="Times New Roman" w:hAnsi="Times New Roman" w:cs="Times New Roman"/>
          <w:sz w:val="24"/>
          <w:szCs w:val="24"/>
        </w:rPr>
        <w:t>From these measurements, AOD values are retrieved using standard atmospheric algorithms</w:t>
      </w:r>
      <w:r w:rsidRPr="00F572B8">
        <w:rPr>
          <w:rFonts w:ascii="Times New Roman" w:eastAsia="Times New Roman" w:hAnsi="Times New Roman" w:cs="Times New Roman"/>
          <w:sz w:val="24"/>
          <w:szCs w:val="24"/>
        </w:rPr>
        <w:t>.</w:t>
      </w:r>
      <w:r w:rsidR="005E2134" w:rsidRPr="00F572B8">
        <w:rPr>
          <w:rFonts w:ascii="Times New Roman" w:eastAsia="Times New Roman" w:hAnsi="Times New Roman" w:cs="Times New Roman"/>
          <w:sz w:val="24"/>
          <w:szCs w:val="24"/>
        </w:rPr>
        <w:t>(</w:t>
      </w:r>
      <w:r w:rsidR="005E2134" w:rsidRPr="00F572B8">
        <w:rPr>
          <w:rStyle w:val="whitespace-normal"/>
          <w:bCs/>
        </w:rPr>
        <w:t xml:space="preserve"> </w:t>
      </w:r>
      <w:r w:rsidR="005E2134" w:rsidRPr="004C2974">
        <w:rPr>
          <w:rStyle w:val="whitespace-normal"/>
          <w:rFonts w:ascii="Times New Roman" w:hAnsi="Times New Roman" w:cs="Times New Roman"/>
          <w:bCs/>
          <w:sz w:val="24"/>
        </w:rPr>
        <w:t xml:space="preserve">Remer </w:t>
      </w:r>
      <w:r w:rsidR="00F572B8" w:rsidRPr="004C2974">
        <w:rPr>
          <w:rStyle w:val="whitespace-normal"/>
          <w:rFonts w:ascii="Times New Roman" w:hAnsi="Times New Roman" w:cs="Times New Roman"/>
          <w:bCs/>
          <w:sz w:val="24"/>
        </w:rPr>
        <w:t>et al.,</w:t>
      </w:r>
      <w:r w:rsidR="001C67FC" w:rsidRPr="004C2974">
        <w:rPr>
          <w:rStyle w:val="whitespace-normal"/>
          <w:rFonts w:ascii="Times New Roman" w:hAnsi="Times New Roman" w:cs="Times New Roman"/>
          <w:bCs/>
          <w:sz w:val="24"/>
        </w:rPr>
        <w:t>2005</w:t>
      </w:r>
      <w:r w:rsidR="005E2134" w:rsidRPr="00F572B8">
        <w:rPr>
          <w:rStyle w:val="whitespace-normal"/>
          <w:bCs/>
        </w:rPr>
        <w:t>)</w:t>
      </w:r>
      <w:r w:rsidR="005E2134" w:rsidRPr="00F572B8">
        <w:rPr>
          <w:rStyle w:val="Strong"/>
        </w:rPr>
        <w:t>,</w:t>
      </w:r>
    </w:p>
    <w:p w14:paraId="4D8B8568" w14:textId="77777777" w:rsidR="003536F0" w:rsidRDefault="003536F0" w:rsidP="00C23C87">
      <w:pPr>
        <w:spacing w:before="100" w:beforeAutospacing="1" w:after="100" w:afterAutospacing="1" w:line="240" w:lineRule="auto"/>
        <w:jc w:val="both"/>
        <w:rPr>
          <w:rFonts w:ascii="Times New Roman" w:eastAsia="Times New Roman" w:hAnsi="Times New Roman" w:cs="Times New Roman"/>
          <w:sz w:val="24"/>
          <w:szCs w:val="24"/>
        </w:rPr>
      </w:pPr>
      <w:r w:rsidRPr="003536F0">
        <w:rPr>
          <w:rFonts w:ascii="Times New Roman" w:eastAsia="Times New Roman" w:hAnsi="Times New Roman" w:cs="Times New Roman"/>
          <w:sz w:val="24"/>
          <w:szCs w:val="24"/>
        </w:rPr>
        <w:t xml:space="preserve">In the present study, we used </w:t>
      </w:r>
      <w:r w:rsidRPr="003536F0">
        <w:rPr>
          <w:rFonts w:ascii="Times New Roman" w:eastAsia="Times New Roman" w:hAnsi="Times New Roman" w:cs="Times New Roman"/>
          <w:bCs/>
          <w:sz w:val="24"/>
          <w:szCs w:val="24"/>
        </w:rPr>
        <w:t>AOD at a wavelength of 0.55 µm (550 nm)</w:t>
      </w:r>
      <w:r w:rsidRPr="003536F0">
        <w:rPr>
          <w:rFonts w:ascii="Times New Roman" w:eastAsia="Times New Roman" w:hAnsi="Times New Roman" w:cs="Times New Roman"/>
          <w:sz w:val="24"/>
          <w:szCs w:val="24"/>
        </w:rPr>
        <w:t xml:space="preserve">. We analyzed the AOD data for a period of </w:t>
      </w:r>
      <w:r w:rsidR="00C84071">
        <w:rPr>
          <w:rFonts w:ascii="Times New Roman" w:eastAsia="Times New Roman" w:hAnsi="Times New Roman" w:cs="Times New Roman"/>
          <w:bCs/>
          <w:sz w:val="24"/>
          <w:szCs w:val="24"/>
        </w:rPr>
        <w:t>7</w:t>
      </w:r>
      <w:r w:rsidRPr="003536F0">
        <w:rPr>
          <w:rFonts w:ascii="Times New Roman" w:eastAsia="Times New Roman" w:hAnsi="Times New Roman" w:cs="Times New Roman"/>
          <w:bCs/>
          <w:sz w:val="24"/>
          <w:szCs w:val="24"/>
        </w:rPr>
        <w:t xml:space="preserve">days before and </w:t>
      </w:r>
      <w:r w:rsidR="00C84071">
        <w:rPr>
          <w:rFonts w:ascii="Times New Roman" w:eastAsia="Times New Roman" w:hAnsi="Times New Roman" w:cs="Times New Roman"/>
          <w:bCs/>
          <w:sz w:val="24"/>
          <w:szCs w:val="24"/>
        </w:rPr>
        <w:t>7</w:t>
      </w:r>
      <w:r w:rsidRPr="003536F0">
        <w:rPr>
          <w:rFonts w:ascii="Times New Roman" w:eastAsia="Times New Roman" w:hAnsi="Times New Roman" w:cs="Times New Roman"/>
          <w:bCs/>
          <w:sz w:val="24"/>
          <w:szCs w:val="24"/>
        </w:rPr>
        <w:t xml:space="preserve"> days after the occurrence of each earthquake</w:t>
      </w:r>
      <w:r w:rsidRPr="003536F0">
        <w:rPr>
          <w:rFonts w:ascii="Times New Roman" w:eastAsia="Times New Roman" w:hAnsi="Times New Roman" w:cs="Times New Roman"/>
          <w:sz w:val="24"/>
          <w:szCs w:val="24"/>
        </w:rPr>
        <w:t xml:space="preserve">. Additionally, the </w:t>
      </w:r>
      <w:r w:rsidRPr="003536F0">
        <w:rPr>
          <w:rFonts w:ascii="Times New Roman" w:eastAsia="Times New Roman" w:hAnsi="Times New Roman" w:cs="Times New Roman"/>
          <w:bCs/>
          <w:sz w:val="24"/>
          <w:szCs w:val="24"/>
        </w:rPr>
        <w:t>mean AOD and its standard deviation</w:t>
      </w:r>
      <w:r w:rsidRPr="003536F0">
        <w:rPr>
          <w:rFonts w:ascii="Times New Roman" w:eastAsia="Times New Roman" w:hAnsi="Times New Roman" w:cs="Times New Roman"/>
          <w:sz w:val="24"/>
          <w:szCs w:val="24"/>
        </w:rPr>
        <w:t xml:space="preserve"> were calculated for this time period</w:t>
      </w:r>
      <w:r w:rsidR="007F1B55">
        <w:rPr>
          <w:rFonts w:ascii="Times New Roman" w:eastAsia="Times New Roman" w:hAnsi="Times New Roman" w:cs="Times New Roman"/>
          <w:sz w:val="24"/>
          <w:szCs w:val="24"/>
        </w:rPr>
        <w:t xml:space="preserve"> of one month</w:t>
      </w:r>
      <w:r w:rsidRPr="003536F0">
        <w:rPr>
          <w:rFonts w:ascii="Times New Roman" w:eastAsia="Times New Roman" w:hAnsi="Times New Roman" w:cs="Times New Roman"/>
          <w:sz w:val="24"/>
          <w:szCs w:val="24"/>
        </w:rPr>
        <w:t xml:space="preserve"> to examine possible variations associated with the seismic events.</w:t>
      </w:r>
    </w:p>
    <w:p w14:paraId="7C89CA22" w14:textId="77777777" w:rsidR="00DB4237" w:rsidRDefault="00DB4237" w:rsidP="003536F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F419A25" wp14:editId="72C378B2">
            <wp:extent cx="5924550" cy="1143000"/>
            <wp:effectExtent l="0" t="0" r="0" b="0"/>
            <wp:docPr id="1" name="Picture 1" descr="C:\Users\user\Desktop\Pic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Picture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1146675"/>
                    </a:xfrm>
                    <a:prstGeom prst="rect">
                      <a:avLst/>
                    </a:prstGeom>
                    <a:noFill/>
                    <a:ln>
                      <a:noFill/>
                    </a:ln>
                  </pic:spPr>
                </pic:pic>
              </a:graphicData>
            </a:graphic>
          </wp:inline>
        </w:drawing>
      </w:r>
    </w:p>
    <w:p w14:paraId="4D1C7502" w14:textId="77777777" w:rsidR="001F05E8" w:rsidRDefault="001F05E8" w:rsidP="001F05E8">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Table.1</w:t>
      </w:r>
    </w:p>
    <w:p w14:paraId="57C1B4E7" w14:textId="77777777" w:rsidR="00BB1CCA" w:rsidRDefault="00BB1CCA" w:rsidP="003536F0">
      <w:pPr>
        <w:spacing w:before="100" w:beforeAutospacing="1" w:after="100" w:afterAutospacing="1" w:line="240" w:lineRule="auto"/>
        <w:rPr>
          <w:rFonts w:ascii="Times New Roman" w:eastAsia="Times New Roman" w:hAnsi="Times New Roman" w:cs="Times New Roman"/>
          <w:b/>
          <w:sz w:val="24"/>
          <w:szCs w:val="24"/>
        </w:rPr>
      </w:pPr>
      <w:r w:rsidRPr="00BB1CCA">
        <w:rPr>
          <w:rFonts w:ascii="Times New Roman" w:eastAsia="Times New Roman" w:hAnsi="Times New Roman" w:cs="Times New Roman"/>
          <w:b/>
          <w:sz w:val="24"/>
          <w:szCs w:val="24"/>
        </w:rPr>
        <w:t xml:space="preserve">Results and </w:t>
      </w:r>
      <w:r w:rsidR="00662BDF" w:rsidRPr="00BB1CCA">
        <w:rPr>
          <w:rFonts w:ascii="Times New Roman" w:eastAsia="Times New Roman" w:hAnsi="Times New Roman" w:cs="Times New Roman"/>
          <w:b/>
          <w:sz w:val="24"/>
          <w:szCs w:val="24"/>
        </w:rPr>
        <w:t>discussions</w:t>
      </w:r>
    </w:p>
    <w:p w14:paraId="3D45E054" w14:textId="77777777" w:rsidR="00B765D2" w:rsidRDefault="00C50812" w:rsidP="00B765D2">
      <w:pPr>
        <w:spacing w:before="100" w:beforeAutospacing="1" w:after="100" w:afterAutospacing="1" w:line="240" w:lineRule="auto"/>
        <w:rPr>
          <w:rFonts w:ascii="Times New Roman" w:eastAsia="Times New Roman" w:hAnsi="Times New Roman" w:cs="Times New Roman"/>
          <w:noProof/>
          <w:sz w:val="24"/>
          <w:szCs w:val="24"/>
        </w:rPr>
      </w:pPr>
      <w:r>
        <w:rPr>
          <w:rFonts w:ascii="Times New Roman" w:eastAsia="Times New Roman" w:hAnsi="Times New Roman" w:cs="Times New Roman"/>
          <w:sz w:val="24"/>
          <w:szCs w:val="24"/>
        </w:rPr>
        <w:t>In Figure 2</w:t>
      </w:r>
      <w:r w:rsidR="00B765D2" w:rsidRPr="00B765D2">
        <w:rPr>
          <w:rFonts w:ascii="Times New Roman" w:eastAsia="Times New Roman" w:hAnsi="Times New Roman" w:cs="Times New Roman"/>
          <w:sz w:val="24"/>
          <w:szCs w:val="24"/>
        </w:rPr>
        <w:t xml:space="preserve">, the distribution of Aerosol Optical Depth (AOD) obtained from </w:t>
      </w:r>
      <w:r w:rsidR="00B765D2" w:rsidRPr="00F303AC">
        <w:rPr>
          <w:rFonts w:ascii="Times New Roman" w:eastAsia="Times New Roman" w:hAnsi="Times New Roman" w:cs="Times New Roman"/>
          <w:sz w:val="24"/>
          <w:szCs w:val="24"/>
        </w:rPr>
        <w:t>MODIS (Moderate Resolution Imaging Spectroradiometer)</w:t>
      </w:r>
      <w:r w:rsidR="00B765D2" w:rsidRPr="00B765D2">
        <w:rPr>
          <w:rFonts w:ascii="Times New Roman" w:eastAsia="Times New Roman" w:hAnsi="Times New Roman" w:cs="Times New Roman"/>
          <w:sz w:val="24"/>
          <w:szCs w:val="24"/>
        </w:rPr>
        <w:t xml:space="preserve"> data is shown for the period from </w:t>
      </w:r>
      <w:r w:rsidR="00E81D0A">
        <w:rPr>
          <w:rFonts w:ascii="Times New Roman" w:eastAsia="Times New Roman" w:hAnsi="Times New Roman" w:cs="Times New Roman"/>
          <w:bCs/>
          <w:sz w:val="24"/>
          <w:szCs w:val="24"/>
        </w:rPr>
        <w:t>30 December,2024  to 14</w:t>
      </w:r>
      <w:r w:rsidR="00B765D2" w:rsidRPr="00F303AC">
        <w:rPr>
          <w:rFonts w:ascii="Times New Roman" w:eastAsia="Times New Roman" w:hAnsi="Times New Roman" w:cs="Times New Roman"/>
          <w:bCs/>
          <w:sz w:val="24"/>
          <w:szCs w:val="24"/>
        </w:rPr>
        <w:t xml:space="preserve"> January 2005</w:t>
      </w:r>
      <w:r w:rsidR="00B765D2" w:rsidRPr="00B765D2">
        <w:rPr>
          <w:rFonts w:ascii="Times New Roman" w:eastAsia="Times New Roman" w:hAnsi="Times New Roman" w:cs="Times New Roman"/>
          <w:sz w:val="24"/>
          <w:szCs w:val="24"/>
        </w:rPr>
        <w:t xml:space="preserve"> over the grid region surrounding the epicenter of the earthquake that occurred on </w:t>
      </w:r>
      <w:r w:rsidR="00B765D2" w:rsidRPr="00F303AC">
        <w:rPr>
          <w:rFonts w:ascii="Times New Roman" w:eastAsia="Times New Roman" w:hAnsi="Times New Roman" w:cs="Times New Roman"/>
          <w:bCs/>
          <w:sz w:val="24"/>
          <w:szCs w:val="24"/>
        </w:rPr>
        <w:t>7 January 2005</w:t>
      </w:r>
      <w:r w:rsidR="00B765D2" w:rsidRPr="00B765D2">
        <w:rPr>
          <w:rFonts w:ascii="Times New Roman" w:eastAsia="Times New Roman" w:hAnsi="Times New Roman" w:cs="Times New Roman"/>
          <w:sz w:val="24"/>
          <w:szCs w:val="24"/>
        </w:rPr>
        <w:t>. The figure clearly indicates an enhancement in AOD values prior to and during the occurrence of the earthquake.</w:t>
      </w:r>
      <w:r w:rsidR="00DB4237" w:rsidRPr="00DB4237">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14:paraId="3CBBCB43" w14:textId="77777777" w:rsidR="00DB4237" w:rsidRDefault="00DB4237" w:rsidP="00DB4237">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FFA3D26" wp14:editId="4E08B7A4">
            <wp:extent cx="4705350" cy="3105150"/>
            <wp:effectExtent l="0" t="0" r="0" b="0"/>
            <wp:docPr id="3" name="Picture 3" descr="C:\Users\user\Desktop\figur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figure 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09160" cy="3107665"/>
                    </a:xfrm>
                    <a:prstGeom prst="rect">
                      <a:avLst/>
                    </a:prstGeom>
                    <a:noFill/>
                    <a:ln>
                      <a:noFill/>
                    </a:ln>
                  </pic:spPr>
                </pic:pic>
              </a:graphicData>
            </a:graphic>
          </wp:inline>
        </w:drawing>
      </w:r>
    </w:p>
    <w:p w14:paraId="0B718D87" w14:textId="77777777" w:rsidR="00DB4237" w:rsidRPr="00B765D2" w:rsidRDefault="00DB4237" w:rsidP="00DB4237">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Figure 2</w:t>
      </w:r>
    </w:p>
    <w:p w14:paraId="1E4F32C3" w14:textId="77777777" w:rsidR="007C2A0C" w:rsidRDefault="00B765D2" w:rsidP="0033252B">
      <w:pPr>
        <w:spacing w:before="100" w:beforeAutospacing="1" w:after="100" w:afterAutospacing="1" w:line="240" w:lineRule="auto"/>
        <w:jc w:val="both"/>
      </w:pPr>
      <w:r w:rsidRPr="00B765D2">
        <w:rPr>
          <w:rFonts w:ascii="Times New Roman" w:eastAsia="Times New Roman" w:hAnsi="Times New Roman" w:cs="Times New Roman"/>
          <w:sz w:val="24"/>
          <w:szCs w:val="24"/>
        </w:rPr>
        <w:lastRenderedPageBreak/>
        <w:t>To confirm the anomalous behaviour of AOD, a statistical analysis w</w:t>
      </w:r>
      <w:r w:rsidR="00C50812">
        <w:rPr>
          <w:rFonts w:ascii="Times New Roman" w:eastAsia="Times New Roman" w:hAnsi="Times New Roman" w:cs="Times New Roman"/>
          <w:sz w:val="24"/>
          <w:szCs w:val="24"/>
        </w:rPr>
        <w:t>as also carried out. In Figure 3</w:t>
      </w:r>
      <w:r w:rsidRPr="00B765D2">
        <w:rPr>
          <w:rFonts w:ascii="Times New Roman" w:eastAsia="Times New Roman" w:hAnsi="Times New Roman" w:cs="Times New Roman"/>
          <w:sz w:val="24"/>
          <w:szCs w:val="24"/>
        </w:rPr>
        <w:t xml:space="preserve">, the </w:t>
      </w:r>
      <w:r w:rsidRPr="00F303AC">
        <w:rPr>
          <w:rFonts w:ascii="Times New Roman" w:eastAsia="Times New Roman" w:hAnsi="Times New Roman" w:cs="Times New Roman"/>
          <w:bCs/>
          <w:sz w:val="24"/>
          <w:szCs w:val="24"/>
        </w:rPr>
        <w:t>daily mean AOD values</w:t>
      </w:r>
      <w:r w:rsidRPr="00B765D2">
        <w:rPr>
          <w:rFonts w:ascii="Times New Roman" w:eastAsia="Times New Roman" w:hAnsi="Times New Roman" w:cs="Times New Roman"/>
          <w:sz w:val="24"/>
          <w:szCs w:val="24"/>
        </w:rPr>
        <w:t xml:space="preserve"> along with the </w:t>
      </w:r>
      <w:r w:rsidRPr="00F303AC">
        <w:rPr>
          <w:rFonts w:ascii="Times New Roman" w:eastAsia="Times New Roman" w:hAnsi="Times New Roman" w:cs="Times New Roman"/>
          <w:bCs/>
          <w:sz w:val="24"/>
          <w:szCs w:val="24"/>
        </w:rPr>
        <w:t>monthly mean</w:t>
      </w:r>
      <w:r w:rsidR="00716A33">
        <w:rPr>
          <w:rFonts w:ascii="Times New Roman" w:eastAsia="Times New Roman" w:hAnsi="Times New Roman" w:cs="Times New Roman"/>
          <w:bCs/>
          <w:sz w:val="24"/>
          <w:szCs w:val="24"/>
        </w:rPr>
        <w:t xml:space="preserve"> </w:t>
      </w:r>
      <w:r w:rsidR="00E81D0A">
        <w:rPr>
          <w:rFonts w:ascii="Times New Roman" w:eastAsia="Times New Roman" w:hAnsi="Times New Roman" w:cs="Times New Roman"/>
          <w:bCs/>
          <w:sz w:val="24"/>
          <w:szCs w:val="24"/>
        </w:rPr>
        <w:t>(m)</w:t>
      </w:r>
      <w:r w:rsidRPr="00F303AC">
        <w:rPr>
          <w:rFonts w:ascii="Times New Roman" w:eastAsia="Times New Roman" w:hAnsi="Times New Roman" w:cs="Times New Roman"/>
          <w:bCs/>
          <w:sz w:val="24"/>
          <w:szCs w:val="24"/>
        </w:rPr>
        <w:t xml:space="preserve"> and standard deviation</w:t>
      </w:r>
      <w:r w:rsidR="00E81D0A">
        <w:rPr>
          <w:rFonts w:ascii="Times New Roman" w:eastAsia="Times New Roman" w:hAnsi="Times New Roman" w:cs="Times New Roman"/>
          <w:bCs/>
          <w:sz w:val="24"/>
          <w:szCs w:val="24"/>
        </w:rPr>
        <w:t>(σ)</w:t>
      </w:r>
      <w:r w:rsidRPr="00B765D2">
        <w:rPr>
          <w:rFonts w:ascii="Times New Roman" w:eastAsia="Times New Roman" w:hAnsi="Times New Roman" w:cs="Times New Roman"/>
          <w:sz w:val="24"/>
          <w:szCs w:val="24"/>
        </w:rPr>
        <w:t xml:space="preserve"> are plotted for a period extending from </w:t>
      </w:r>
      <w:r w:rsidRPr="00F303AC">
        <w:rPr>
          <w:rFonts w:ascii="Times New Roman" w:eastAsia="Times New Roman" w:hAnsi="Times New Roman" w:cs="Times New Roman"/>
          <w:bCs/>
          <w:sz w:val="24"/>
          <w:szCs w:val="24"/>
        </w:rPr>
        <w:t>7 days before to 7 days after the earthquake</w:t>
      </w:r>
      <w:r w:rsidRPr="00B765D2">
        <w:rPr>
          <w:rFonts w:ascii="Times New Roman" w:eastAsia="Times New Roman" w:hAnsi="Times New Roman" w:cs="Times New Roman"/>
          <w:sz w:val="24"/>
          <w:szCs w:val="24"/>
        </w:rPr>
        <w:t xml:space="preserve">. The analysis shows that on the day of the earthquake the AOD value increases significantly and exceeds the </w:t>
      </w:r>
      <w:r w:rsidR="00E81D0A">
        <w:rPr>
          <w:rFonts w:ascii="Times New Roman" w:eastAsia="Times New Roman" w:hAnsi="Times New Roman" w:cs="Times New Roman"/>
          <w:bCs/>
          <w:sz w:val="24"/>
          <w:szCs w:val="24"/>
        </w:rPr>
        <w:t xml:space="preserve">mean plus </w:t>
      </w:r>
      <w:r w:rsidRPr="00F303AC">
        <w:rPr>
          <w:rFonts w:ascii="Times New Roman" w:eastAsia="Times New Roman" w:hAnsi="Times New Roman" w:cs="Times New Roman"/>
          <w:bCs/>
          <w:sz w:val="24"/>
          <w:szCs w:val="24"/>
        </w:rPr>
        <w:t>standard deviation level</w:t>
      </w:r>
      <w:r w:rsidRPr="00B765D2">
        <w:rPr>
          <w:rFonts w:ascii="Times New Roman" w:eastAsia="Times New Roman" w:hAnsi="Times New Roman" w:cs="Times New Roman"/>
          <w:sz w:val="24"/>
          <w:szCs w:val="24"/>
        </w:rPr>
        <w:t>. Such an increase can be considered anomalous and may be associated with processes related to earthquake activity.</w:t>
      </w:r>
      <w:r w:rsidR="007C2A0C" w:rsidRPr="007C2A0C">
        <w:t xml:space="preserve"> </w:t>
      </w:r>
    </w:p>
    <w:p w14:paraId="5F5B1796" w14:textId="77777777" w:rsidR="00AA7BB7" w:rsidRDefault="00AA7BB7" w:rsidP="0033252B">
      <w:pPr>
        <w:spacing w:before="100" w:beforeAutospacing="1" w:after="100" w:afterAutospacing="1" w:line="240" w:lineRule="auto"/>
        <w:jc w:val="center"/>
      </w:pPr>
      <w:r>
        <w:rPr>
          <w:noProof/>
        </w:rPr>
        <w:drawing>
          <wp:inline distT="0" distB="0" distL="0" distR="0" wp14:anchorId="3F79EA71" wp14:editId="4323BF0D">
            <wp:extent cx="5166360" cy="2176272"/>
            <wp:effectExtent l="0" t="0" r="0" b="0"/>
            <wp:docPr id="6" name="Picture 6" descr="C:\Users\user\Desktop\AOD\paper\figures\Figur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AOD\paper\figures\Figure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66360" cy="2176272"/>
                    </a:xfrm>
                    <a:prstGeom prst="rect">
                      <a:avLst/>
                    </a:prstGeom>
                    <a:noFill/>
                    <a:ln>
                      <a:noFill/>
                    </a:ln>
                  </pic:spPr>
                </pic:pic>
              </a:graphicData>
            </a:graphic>
          </wp:inline>
        </w:drawing>
      </w:r>
    </w:p>
    <w:p w14:paraId="44A4D0E6" w14:textId="77777777" w:rsidR="00AA7BB7" w:rsidRDefault="00AA7BB7" w:rsidP="00AA7BB7">
      <w:pPr>
        <w:spacing w:before="100" w:beforeAutospacing="1" w:after="100" w:afterAutospacing="1" w:line="240" w:lineRule="auto"/>
        <w:ind w:left="3600" w:firstLine="720"/>
      </w:pPr>
      <w:r>
        <w:t>Figure.3</w:t>
      </w:r>
    </w:p>
    <w:p w14:paraId="01EEE79E" w14:textId="77777777" w:rsidR="00B765D2" w:rsidRDefault="00B765D2" w:rsidP="00C23C87">
      <w:pPr>
        <w:spacing w:before="100" w:beforeAutospacing="1" w:after="100" w:afterAutospacing="1" w:line="240" w:lineRule="auto"/>
        <w:jc w:val="both"/>
        <w:rPr>
          <w:rFonts w:ascii="Times New Roman" w:eastAsia="Times New Roman" w:hAnsi="Times New Roman" w:cs="Times New Roman"/>
          <w:sz w:val="24"/>
          <w:szCs w:val="24"/>
        </w:rPr>
      </w:pPr>
      <w:r w:rsidRPr="00B765D2">
        <w:rPr>
          <w:rFonts w:ascii="Times New Roman" w:eastAsia="Times New Roman" w:hAnsi="Times New Roman" w:cs="Times New Roman"/>
          <w:sz w:val="24"/>
          <w:szCs w:val="24"/>
        </w:rPr>
        <w:t xml:space="preserve">A similar analysis was performed for another earthquake that occurred on </w:t>
      </w:r>
      <w:r w:rsidRPr="00F303AC">
        <w:rPr>
          <w:rFonts w:ascii="Times New Roman" w:eastAsia="Times New Roman" w:hAnsi="Times New Roman" w:cs="Times New Roman"/>
          <w:bCs/>
          <w:sz w:val="24"/>
          <w:szCs w:val="24"/>
        </w:rPr>
        <w:t>28 March 2025</w:t>
      </w:r>
      <w:r w:rsidR="00C50812">
        <w:rPr>
          <w:rFonts w:ascii="Times New Roman" w:eastAsia="Times New Roman" w:hAnsi="Times New Roman" w:cs="Times New Roman"/>
          <w:sz w:val="24"/>
          <w:szCs w:val="24"/>
        </w:rPr>
        <w:t>. In Figure 4</w:t>
      </w:r>
      <w:r w:rsidRPr="00B765D2">
        <w:rPr>
          <w:rFonts w:ascii="Times New Roman" w:eastAsia="Times New Roman" w:hAnsi="Times New Roman" w:cs="Times New Roman"/>
          <w:sz w:val="24"/>
          <w:szCs w:val="24"/>
        </w:rPr>
        <w:t xml:space="preserve">, the spatial distribution of AOD is presented for the period from </w:t>
      </w:r>
      <w:r w:rsidRPr="00F303AC">
        <w:rPr>
          <w:rFonts w:ascii="Times New Roman" w:eastAsia="Times New Roman" w:hAnsi="Times New Roman" w:cs="Times New Roman"/>
          <w:bCs/>
          <w:sz w:val="24"/>
          <w:szCs w:val="24"/>
        </w:rPr>
        <w:t>21 March 2025 to 5 April 2025</w:t>
      </w:r>
      <w:r w:rsidRPr="00B765D2">
        <w:rPr>
          <w:rFonts w:ascii="Times New Roman" w:eastAsia="Times New Roman" w:hAnsi="Times New Roman" w:cs="Times New Roman"/>
          <w:sz w:val="24"/>
          <w:szCs w:val="24"/>
        </w:rPr>
        <w:t>. This figure also shows an enhancement in AOD values before and during the earthquake event.</w:t>
      </w:r>
    </w:p>
    <w:p w14:paraId="453846A1" w14:textId="77777777" w:rsidR="001F05E8" w:rsidRDefault="001F05E8" w:rsidP="001F05E8">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A3D3AD6" wp14:editId="1A07188F">
            <wp:extent cx="5009003" cy="2886075"/>
            <wp:effectExtent l="0" t="0" r="1270" b="0"/>
            <wp:docPr id="9" name="Picture 9" descr="C:\Users\user\Desktop\AOD\paper\figures\Figur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esktop\AOD\paper\figures\Figure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15323" cy="2889716"/>
                    </a:xfrm>
                    <a:prstGeom prst="rect">
                      <a:avLst/>
                    </a:prstGeom>
                    <a:noFill/>
                    <a:ln>
                      <a:noFill/>
                    </a:ln>
                  </pic:spPr>
                </pic:pic>
              </a:graphicData>
            </a:graphic>
          </wp:inline>
        </w:drawing>
      </w:r>
    </w:p>
    <w:p w14:paraId="1AFA6B1B" w14:textId="77777777" w:rsidR="00AA7BB7" w:rsidRPr="00B765D2" w:rsidRDefault="00AA7BB7" w:rsidP="001F05E8">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Figure.4</w:t>
      </w:r>
    </w:p>
    <w:p w14:paraId="13EBA269" w14:textId="77777777" w:rsidR="00B765D2" w:rsidRDefault="00C50812" w:rsidP="00C23C87">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 Figure 5</w:t>
      </w:r>
      <w:r w:rsidR="00B765D2" w:rsidRPr="00B765D2">
        <w:rPr>
          <w:rFonts w:ascii="Times New Roman" w:eastAsia="Times New Roman" w:hAnsi="Times New Roman" w:cs="Times New Roman"/>
          <w:sz w:val="24"/>
          <w:szCs w:val="24"/>
        </w:rPr>
        <w:t xml:space="preserve">, the </w:t>
      </w:r>
      <w:r w:rsidR="00B765D2" w:rsidRPr="00F303AC">
        <w:rPr>
          <w:rFonts w:ascii="Times New Roman" w:eastAsia="Times New Roman" w:hAnsi="Times New Roman" w:cs="Times New Roman"/>
          <w:bCs/>
          <w:sz w:val="24"/>
          <w:szCs w:val="24"/>
        </w:rPr>
        <w:t>daily mean AOD</w:t>
      </w:r>
      <w:r w:rsidR="00B765D2" w:rsidRPr="00B765D2">
        <w:rPr>
          <w:rFonts w:ascii="Times New Roman" w:eastAsia="Times New Roman" w:hAnsi="Times New Roman" w:cs="Times New Roman"/>
          <w:sz w:val="24"/>
          <w:szCs w:val="24"/>
        </w:rPr>
        <w:t xml:space="preserve">, </w:t>
      </w:r>
      <w:r w:rsidR="00B765D2" w:rsidRPr="00F303AC">
        <w:rPr>
          <w:rFonts w:ascii="Times New Roman" w:eastAsia="Times New Roman" w:hAnsi="Times New Roman" w:cs="Times New Roman"/>
          <w:bCs/>
          <w:sz w:val="24"/>
          <w:szCs w:val="24"/>
        </w:rPr>
        <w:t>monthly mean</w:t>
      </w:r>
      <w:r w:rsidR="00E81D0A">
        <w:rPr>
          <w:rFonts w:ascii="Times New Roman" w:eastAsia="Times New Roman" w:hAnsi="Times New Roman" w:cs="Times New Roman"/>
          <w:bCs/>
          <w:sz w:val="24"/>
          <w:szCs w:val="24"/>
        </w:rPr>
        <w:t>(m)</w:t>
      </w:r>
      <w:r w:rsidR="00B765D2" w:rsidRPr="00B765D2">
        <w:rPr>
          <w:rFonts w:ascii="Times New Roman" w:eastAsia="Times New Roman" w:hAnsi="Times New Roman" w:cs="Times New Roman"/>
          <w:sz w:val="24"/>
          <w:szCs w:val="24"/>
        </w:rPr>
        <w:t xml:space="preserve">, and </w:t>
      </w:r>
      <w:r w:rsidR="00B765D2" w:rsidRPr="00F303AC">
        <w:rPr>
          <w:rFonts w:ascii="Times New Roman" w:eastAsia="Times New Roman" w:hAnsi="Times New Roman" w:cs="Times New Roman"/>
          <w:bCs/>
          <w:sz w:val="24"/>
          <w:szCs w:val="24"/>
        </w:rPr>
        <w:t>standard deviation</w:t>
      </w:r>
      <w:r w:rsidR="00E81D0A">
        <w:rPr>
          <w:rFonts w:ascii="Times New Roman" w:eastAsia="Times New Roman" w:hAnsi="Times New Roman" w:cs="Times New Roman"/>
          <w:bCs/>
          <w:sz w:val="24"/>
          <w:szCs w:val="24"/>
        </w:rPr>
        <w:t>(σ)</w:t>
      </w:r>
      <w:r w:rsidR="00B765D2" w:rsidRPr="00B765D2">
        <w:rPr>
          <w:rFonts w:ascii="Times New Roman" w:eastAsia="Times New Roman" w:hAnsi="Times New Roman" w:cs="Times New Roman"/>
          <w:sz w:val="24"/>
          <w:szCs w:val="24"/>
        </w:rPr>
        <w:t xml:space="preserve"> are plotted for the same period. The results indicate that a clear anomaly in AOD appears around </w:t>
      </w:r>
      <w:r w:rsidR="00B765D2" w:rsidRPr="00F303AC">
        <w:rPr>
          <w:rFonts w:ascii="Times New Roman" w:eastAsia="Times New Roman" w:hAnsi="Times New Roman" w:cs="Times New Roman"/>
          <w:bCs/>
          <w:sz w:val="24"/>
          <w:szCs w:val="24"/>
        </w:rPr>
        <w:t>29 March 2025</w:t>
      </w:r>
      <w:r w:rsidR="00B765D2" w:rsidRPr="00B765D2">
        <w:rPr>
          <w:rFonts w:ascii="Times New Roman" w:eastAsia="Times New Roman" w:hAnsi="Times New Roman" w:cs="Times New Roman"/>
          <w:sz w:val="24"/>
          <w:szCs w:val="24"/>
        </w:rPr>
        <w:t>, where the AOD values exceed the normal background variation.</w:t>
      </w:r>
    </w:p>
    <w:p w14:paraId="51C24114" w14:textId="77777777" w:rsidR="00AA7BB7" w:rsidRDefault="00AA7BB7" w:rsidP="0033252B">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D6532EF" wp14:editId="3E5FD32A">
            <wp:extent cx="5166360" cy="2295144"/>
            <wp:effectExtent l="0" t="0" r="0" b="0"/>
            <wp:docPr id="8" name="Picture 8" descr="C:\Users\user\Desktop\AOD\paper\figures\Figur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AOD\paper\figures\Figure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66360" cy="2295144"/>
                    </a:xfrm>
                    <a:prstGeom prst="rect">
                      <a:avLst/>
                    </a:prstGeom>
                    <a:noFill/>
                    <a:ln>
                      <a:noFill/>
                    </a:ln>
                  </pic:spPr>
                </pic:pic>
              </a:graphicData>
            </a:graphic>
          </wp:inline>
        </w:drawing>
      </w:r>
    </w:p>
    <w:p w14:paraId="2447792E" w14:textId="77777777" w:rsidR="00AA7BB7" w:rsidRPr="00B765D2" w:rsidRDefault="00AA7BB7" w:rsidP="00AA7BB7">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Figure.5</w:t>
      </w:r>
    </w:p>
    <w:p w14:paraId="6500962D" w14:textId="77777777" w:rsidR="00B765D2" w:rsidRPr="00B765D2" w:rsidRDefault="00B765D2" w:rsidP="00C23C87">
      <w:pPr>
        <w:spacing w:before="100" w:beforeAutospacing="1" w:after="100" w:afterAutospacing="1" w:line="240" w:lineRule="auto"/>
        <w:jc w:val="both"/>
        <w:rPr>
          <w:rFonts w:ascii="Times New Roman" w:eastAsia="Times New Roman" w:hAnsi="Times New Roman" w:cs="Times New Roman"/>
          <w:sz w:val="24"/>
          <w:szCs w:val="24"/>
        </w:rPr>
      </w:pPr>
      <w:r w:rsidRPr="00B765D2">
        <w:rPr>
          <w:rFonts w:ascii="Times New Roman" w:eastAsia="Times New Roman" w:hAnsi="Times New Roman" w:cs="Times New Roman"/>
          <w:sz w:val="24"/>
          <w:szCs w:val="24"/>
        </w:rPr>
        <w:t>The results presented here suggest that noticeable variations in AOD may occur before and during strong earthquakes. Similar anomalous behaviour in atmospheric parameters has been reported by several researchers and is often interpreted within the framework of lithosphere–atmosphere coupling processes associated with earthquake preparation. These observations indicate that satellite-derived AOD anomalies may provide useful information for understanding atmospheric responses to seismic activity and could contribute to ongoing studies related to earthquake precursor detection.</w:t>
      </w:r>
    </w:p>
    <w:p w14:paraId="628E2C97" w14:textId="77777777" w:rsidR="00CC4CB5" w:rsidRPr="00CC4CB5" w:rsidRDefault="00CC4CB5" w:rsidP="00C23C87">
      <w:pPr>
        <w:spacing w:before="100" w:beforeAutospacing="1" w:after="100" w:afterAutospacing="1" w:line="240" w:lineRule="auto"/>
        <w:jc w:val="both"/>
        <w:rPr>
          <w:rFonts w:ascii="Times New Roman" w:eastAsia="Times New Roman" w:hAnsi="Times New Roman" w:cs="Times New Roman"/>
          <w:sz w:val="24"/>
          <w:szCs w:val="24"/>
        </w:rPr>
      </w:pPr>
      <w:r w:rsidRPr="00CC4CB5">
        <w:rPr>
          <w:rFonts w:ascii="Times New Roman" w:eastAsia="Times New Roman" w:hAnsi="Times New Roman" w:cs="Times New Roman"/>
          <w:sz w:val="24"/>
          <w:szCs w:val="24"/>
        </w:rPr>
        <w:t xml:space="preserve">Earthquake-related anomalies in </w:t>
      </w:r>
      <w:r w:rsidRPr="00716A33">
        <w:rPr>
          <w:rFonts w:ascii="Times New Roman" w:eastAsia="Times New Roman" w:hAnsi="Times New Roman" w:cs="Times New Roman"/>
          <w:bCs/>
          <w:sz w:val="24"/>
          <w:szCs w:val="24"/>
        </w:rPr>
        <w:t>Aerosol Optical Depth (AOD)</w:t>
      </w:r>
      <w:r w:rsidRPr="00CC4CB5">
        <w:rPr>
          <w:rFonts w:ascii="Times New Roman" w:eastAsia="Times New Roman" w:hAnsi="Times New Roman" w:cs="Times New Roman"/>
          <w:sz w:val="24"/>
          <w:szCs w:val="24"/>
        </w:rPr>
        <w:t xml:space="preserve"> observed from satellite data have been reported in several studies and are often interpreted within the framework of the </w:t>
      </w:r>
      <w:r w:rsidRPr="00716A33">
        <w:rPr>
          <w:rFonts w:ascii="Times New Roman" w:eastAsia="Times New Roman" w:hAnsi="Times New Roman" w:cs="Times New Roman"/>
          <w:bCs/>
          <w:sz w:val="24"/>
          <w:szCs w:val="24"/>
        </w:rPr>
        <w:t>Lithosphere–Atmosphere–Ionosphere Coupling (LAIC)</w:t>
      </w:r>
      <w:r w:rsidRPr="00CC4CB5">
        <w:rPr>
          <w:rFonts w:ascii="Times New Roman" w:eastAsia="Times New Roman" w:hAnsi="Times New Roman" w:cs="Times New Roman"/>
          <w:sz w:val="24"/>
          <w:szCs w:val="24"/>
        </w:rPr>
        <w:t xml:space="preserve"> mechanism. According to this concept, physical and chemical processes occurring in the Earth’s crust during the earthquake preparation phase may induce measurable disturbances in the atmosphere (Pulinets and Ouzounov, 2011).</w:t>
      </w:r>
    </w:p>
    <w:p w14:paraId="03517A72" w14:textId="77777777" w:rsidR="00CC4CB5" w:rsidRPr="00CC4CB5" w:rsidRDefault="00CC4CB5" w:rsidP="0033252B">
      <w:pPr>
        <w:spacing w:before="100" w:beforeAutospacing="1" w:after="100" w:afterAutospacing="1" w:line="240" w:lineRule="auto"/>
        <w:jc w:val="both"/>
        <w:rPr>
          <w:rFonts w:ascii="Times New Roman" w:eastAsia="Times New Roman" w:hAnsi="Times New Roman" w:cs="Times New Roman"/>
          <w:sz w:val="24"/>
          <w:szCs w:val="24"/>
        </w:rPr>
      </w:pPr>
      <w:r w:rsidRPr="00CC4CB5">
        <w:rPr>
          <w:rFonts w:ascii="Times New Roman" w:eastAsia="Times New Roman" w:hAnsi="Times New Roman" w:cs="Times New Roman"/>
          <w:sz w:val="24"/>
          <w:szCs w:val="24"/>
        </w:rPr>
        <w:t>Before the occurrence of a large earthquake, tectonic stress gradually accumulates in the crust. This stress can cause micro-fracturing of rocks and activation of faults, which may lead to the release of gases such as radon, carbon dioxide, methane, and other trace gases from the lithosphere into the lower atmosphere (Pulinets and Ouzounov, 2011). Radon decay in the atmosphere produces ionization, increasing the concentration of charged particles in the air. The enhanced ionization can stimulate aerosol nucleation and condensation processes, leading to the formation of additional aerosol particles. As a result, the concentration of aerosols in the atmosphere may increase, which can be detected by satellite sensors as an increase in AOD values (Qiang et al., 2011).</w:t>
      </w:r>
    </w:p>
    <w:p w14:paraId="67D315DE" w14:textId="77777777" w:rsidR="00716A33" w:rsidRPr="00716A33" w:rsidRDefault="00716A33" w:rsidP="0033252B">
      <w:pPr>
        <w:spacing w:before="100" w:beforeAutospacing="1" w:after="100" w:afterAutospacing="1" w:line="240" w:lineRule="auto"/>
        <w:ind w:firstLine="720"/>
        <w:jc w:val="both"/>
        <w:rPr>
          <w:rFonts w:ascii="Times New Roman" w:hAnsi="Times New Roman" w:cs="Times New Roman"/>
          <w:sz w:val="24"/>
        </w:rPr>
      </w:pPr>
      <w:r w:rsidRPr="00716A33">
        <w:rPr>
          <w:rFonts w:ascii="Times New Roman" w:hAnsi="Times New Roman" w:cs="Times New Roman"/>
          <w:sz w:val="24"/>
        </w:rPr>
        <w:t xml:space="preserve">Researchers identify AOD anomalies by analyzing temporal variations of AOD over the earthquake epicentral region. Daily AOD values are compared with the background or </w:t>
      </w:r>
      <w:r w:rsidRPr="00716A33">
        <w:rPr>
          <w:rFonts w:ascii="Times New Roman" w:hAnsi="Times New Roman" w:cs="Times New Roman"/>
          <w:sz w:val="24"/>
        </w:rPr>
        <w:lastRenderedPageBreak/>
        <w:t>climatological mean to determine deviations from normal atmospheric conditions. Significant deviations occurring near the epicenter prior to an earthquake may indicate a possible atmospheric response associated with the earthquake preparation process (Guo and Wang, 2008; Qiang et al., 2011). However, since aerosol concentrations are also affected by meteorological factors such as dust transport, wind, humidity, and cloud formation, additional atmospheric parameters must be examined. Therefore, AOD anomalies alone cannot be considered definitive earthquake precursors and should be interpreted together with other geophysical and atmospheric indicators (Ouzounov et al., 2007; Pulinets and Ouzounov, 2011).</w:t>
      </w:r>
    </w:p>
    <w:p w14:paraId="27FAD72B" w14:textId="77777777" w:rsidR="00CC4CB5" w:rsidRDefault="00CC4CB5" w:rsidP="0033252B">
      <w:pPr>
        <w:spacing w:before="100" w:beforeAutospacing="1" w:after="100" w:afterAutospacing="1" w:line="240" w:lineRule="auto"/>
        <w:ind w:firstLine="720"/>
        <w:jc w:val="both"/>
        <w:rPr>
          <w:rFonts w:ascii="Times New Roman" w:eastAsia="Times New Roman" w:hAnsi="Times New Roman" w:cs="Times New Roman"/>
          <w:sz w:val="24"/>
          <w:szCs w:val="24"/>
        </w:rPr>
      </w:pPr>
      <w:r w:rsidRPr="00CC4CB5">
        <w:rPr>
          <w:rFonts w:ascii="Times New Roman" w:eastAsia="Times New Roman" w:hAnsi="Times New Roman" w:cs="Times New Roman"/>
          <w:sz w:val="24"/>
          <w:szCs w:val="24"/>
        </w:rPr>
        <w:t>Overall, satellite-observed AOD anomalies provide important evidence for possible lithosphere–atmosphere interactions during the earthquake preparation phase. Although these observations contribute to understanding the coupling processes between the lithosphere and the atmosphere, further investigations using multiple parameters and long-term datasets are required to confirm their reliability as earthquake-related signals.</w:t>
      </w:r>
    </w:p>
    <w:p w14:paraId="5D1D5E37" w14:textId="77777777" w:rsidR="008D2599" w:rsidRPr="00D63ACD" w:rsidRDefault="003555E8" w:rsidP="00CC4CB5">
      <w:pPr>
        <w:spacing w:before="100" w:beforeAutospacing="1" w:after="100" w:afterAutospacing="1" w:line="240" w:lineRule="auto"/>
        <w:rPr>
          <w:rFonts w:ascii="Times New Roman" w:eastAsia="Times New Roman" w:hAnsi="Times New Roman" w:cs="Times New Roman"/>
          <w:b/>
          <w:sz w:val="24"/>
          <w:szCs w:val="24"/>
        </w:rPr>
      </w:pPr>
      <w:r w:rsidRPr="00D63ACD">
        <w:rPr>
          <w:rFonts w:ascii="Times New Roman" w:eastAsia="Times New Roman" w:hAnsi="Times New Roman" w:cs="Times New Roman"/>
          <w:b/>
          <w:sz w:val="24"/>
          <w:szCs w:val="24"/>
        </w:rPr>
        <w:t>Conclusion</w:t>
      </w:r>
    </w:p>
    <w:p w14:paraId="4AB45CC4" w14:textId="77777777" w:rsidR="003555E8" w:rsidRPr="003555E8" w:rsidRDefault="003555E8" w:rsidP="00C23C87">
      <w:pPr>
        <w:spacing w:before="100" w:beforeAutospacing="1" w:after="100" w:afterAutospacing="1" w:line="240" w:lineRule="auto"/>
        <w:jc w:val="both"/>
        <w:rPr>
          <w:rFonts w:ascii="Times New Roman" w:eastAsia="Times New Roman" w:hAnsi="Times New Roman" w:cs="Times New Roman"/>
          <w:sz w:val="24"/>
          <w:szCs w:val="24"/>
        </w:rPr>
      </w:pPr>
      <w:r w:rsidRPr="003555E8">
        <w:rPr>
          <w:rFonts w:ascii="Times New Roman" w:eastAsia="Times New Roman" w:hAnsi="Times New Roman" w:cs="Times New Roman"/>
          <w:sz w:val="24"/>
          <w:szCs w:val="24"/>
        </w:rPr>
        <w:t>The present study demonstrates a clear influence of earthquakes on the variations of Aerosol Optical Depth (AOD) derived from satellite observations</w:t>
      </w:r>
      <w:r w:rsidR="00D63ACD">
        <w:rPr>
          <w:rFonts w:ascii="Times New Roman" w:eastAsia="Times New Roman" w:hAnsi="Times New Roman" w:cs="Times New Roman"/>
          <w:sz w:val="24"/>
          <w:szCs w:val="24"/>
        </w:rPr>
        <w:t xml:space="preserve">. </w:t>
      </w:r>
      <w:r w:rsidRPr="003555E8">
        <w:rPr>
          <w:rFonts w:ascii="Times New Roman" w:eastAsia="Times New Roman" w:hAnsi="Times New Roman" w:cs="Times New Roman"/>
          <w:sz w:val="24"/>
          <w:szCs w:val="24"/>
        </w:rPr>
        <w:t>The results indicate that noticeable anomalies in AOD may appear before and during earthquake events over the epicentral region. These variations may be associated with processes occurring during the earthquake preparation phase and can be interpreted within the framework of lithosphere–atmosphere coupling mechanisms.The study of earthquake-induced variations in AOD may therefore provide useful information for earthquake precursor investigations and can contribute to a better understanding of the interaction between lithospheric processes and atmospheric parameters. Such investigations can also help in improving our understanding of lower atmospheric variability that may arise due to lithospheric movements associated with seismic activity. Continued analysis using long-term satellite datasets and multi-parameter observations will further clarify the role of atmospheric anomalies in earthquake-related studies.</w:t>
      </w:r>
    </w:p>
    <w:p w14:paraId="04579D8E" w14:textId="77777777" w:rsidR="00A52EAD" w:rsidRDefault="00A52EAD" w:rsidP="00A47899">
      <w:pPr>
        <w:pStyle w:val="Heading3"/>
        <w:rPr>
          <w:color w:val="auto"/>
          <w:sz w:val="24"/>
        </w:rPr>
      </w:pPr>
    </w:p>
    <w:p w14:paraId="3043F59A" w14:textId="77777777" w:rsidR="00A47899" w:rsidRPr="00A47899" w:rsidRDefault="00A47899" w:rsidP="00A47899">
      <w:pPr>
        <w:pStyle w:val="Heading3"/>
        <w:rPr>
          <w:color w:val="auto"/>
          <w:sz w:val="24"/>
        </w:rPr>
      </w:pPr>
      <w:r w:rsidRPr="00A47899">
        <w:rPr>
          <w:color w:val="auto"/>
          <w:sz w:val="24"/>
        </w:rPr>
        <w:t>References</w:t>
      </w:r>
    </w:p>
    <w:p w14:paraId="3A31E472" w14:textId="77777777" w:rsidR="00A47899" w:rsidRPr="00013713" w:rsidRDefault="00A47899" w:rsidP="00A47899">
      <w:pPr>
        <w:pStyle w:val="NormalWeb"/>
      </w:pPr>
      <w:r w:rsidRPr="00013713">
        <w:t xml:space="preserve">Akhoondzadeh, M., Jahani Chehrebargh, F., 2016. Feasibility of anomaly occurrence in aerosol time series obtained from MODIS satellite images during hazardous earthquakes. </w:t>
      </w:r>
      <w:r w:rsidRPr="00013713">
        <w:rPr>
          <w:rStyle w:val="Strong"/>
          <w:b w:val="0"/>
        </w:rPr>
        <w:t>Advances in Space Research 58</w:t>
      </w:r>
      <w:r w:rsidRPr="00013713">
        <w:rPr>
          <w:b/>
        </w:rPr>
        <w:t xml:space="preserve">, </w:t>
      </w:r>
      <w:r w:rsidRPr="00013713">
        <w:t>890–896.</w:t>
      </w:r>
    </w:p>
    <w:p w14:paraId="2715B88A" w14:textId="77777777" w:rsidR="00A47899" w:rsidRPr="00013713" w:rsidRDefault="00A47899" w:rsidP="00A47899">
      <w:pPr>
        <w:pStyle w:val="NormalWeb"/>
      </w:pPr>
      <w:r w:rsidRPr="00013713">
        <w:t xml:space="preserve">Ganguly, N.D., 2016. Increase in aerosol optical depth and column ozone prior to the 25 April 2015 Nepal earthquake (Mw 7.9). </w:t>
      </w:r>
      <w:r w:rsidRPr="00013713">
        <w:rPr>
          <w:rStyle w:val="Strong"/>
          <w:b w:val="0"/>
        </w:rPr>
        <w:t>Natural Hazards</w:t>
      </w:r>
      <w:r w:rsidRPr="00013713">
        <w:rPr>
          <w:b/>
        </w:rPr>
        <w:t>.</w:t>
      </w:r>
    </w:p>
    <w:p w14:paraId="075558C8" w14:textId="77777777" w:rsidR="00A47899" w:rsidRPr="00013713" w:rsidRDefault="00A47899" w:rsidP="00A47899">
      <w:pPr>
        <w:pStyle w:val="NormalWeb"/>
      </w:pPr>
      <w:r w:rsidRPr="00013713">
        <w:t xml:space="preserve">Guo, G., Wang, J., 2008. Possible atmospheric anomalies associated with strong earthquakes observed by satellite aerosol products. </w:t>
      </w:r>
      <w:r w:rsidRPr="00013713">
        <w:rPr>
          <w:rStyle w:val="Strong"/>
          <w:b w:val="0"/>
        </w:rPr>
        <w:t>Advances in Space Research 42</w:t>
      </w:r>
      <w:r w:rsidRPr="00013713">
        <w:t>, 1377–1383.</w:t>
      </w:r>
    </w:p>
    <w:p w14:paraId="703BB18B" w14:textId="77777777" w:rsidR="00A47899" w:rsidRPr="00013713" w:rsidRDefault="00A47899" w:rsidP="00A47899">
      <w:pPr>
        <w:pStyle w:val="NormalWeb"/>
      </w:pPr>
      <w:r w:rsidRPr="00013713">
        <w:t xml:space="preserve">Liu, Q., Zhang, M., Guo, J., Li, Z., 2019. Abnormal aerosol optical depth variations associated with the 2008 Wenchuan and 2013 Lushan earthquakes. </w:t>
      </w:r>
      <w:r w:rsidRPr="00013713">
        <w:rPr>
          <w:rStyle w:val="Strong"/>
          <w:b w:val="0"/>
        </w:rPr>
        <w:t>Remote Sensing 11</w:t>
      </w:r>
      <w:r w:rsidRPr="00013713">
        <w:t>, 1940.</w:t>
      </w:r>
    </w:p>
    <w:p w14:paraId="3D1706E0" w14:textId="77777777" w:rsidR="00A47899" w:rsidRPr="00013713" w:rsidRDefault="00A47899" w:rsidP="00A47899">
      <w:pPr>
        <w:pStyle w:val="NormalWeb"/>
      </w:pPr>
      <w:r w:rsidRPr="00013713">
        <w:lastRenderedPageBreak/>
        <w:t xml:space="preserve">Lu, P., Gao, X., Xiong, Z., Shang, Y., 2025. Extraction and analysis of aerosol anomalies associated with multiple shallow earthquakes based on MODIS AOD products. </w:t>
      </w:r>
      <w:r w:rsidRPr="00013713">
        <w:rPr>
          <w:rStyle w:val="Strong"/>
          <w:b w:val="0"/>
        </w:rPr>
        <w:t>International Journal of Applied Earth Observation and Geoinformation</w:t>
      </w:r>
      <w:r w:rsidRPr="00013713">
        <w:t>, 104671.</w:t>
      </w:r>
    </w:p>
    <w:p w14:paraId="376F9013" w14:textId="77777777" w:rsidR="00A47899" w:rsidRPr="00013713" w:rsidRDefault="00A47899" w:rsidP="00A47899">
      <w:pPr>
        <w:pStyle w:val="NormalWeb"/>
      </w:pPr>
      <w:r w:rsidRPr="00013713">
        <w:t xml:space="preserve">Okada, Y., Mukai, S., Nakata, M., 2004. Changes in aerosol optical properties after the 26 January 2001 Gujarat earthquake detected from SeaWiFS satellite observations. </w:t>
      </w:r>
      <w:r w:rsidRPr="00013713">
        <w:rPr>
          <w:rStyle w:val="Strong"/>
          <w:b w:val="0"/>
        </w:rPr>
        <w:t>Advances in Space Research 33</w:t>
      </w:r>
      <w:r w:rsidRPr="00013713">
        <w:rPr>
          <w:b/>
        </w:rPr>
        <w:t>,</w:t>
      </w:r>
      <w:r w:rsidRPr="00013713">
        <w:t xml:space="preserve"> 274–279.</w:t>
      </w:r>
    </w:p>
    <w:p w14:paraId="4DF6F46E" w14:textId="77777777" w:rsidR="00A47899" w:rsidRPr="00013713" w:rsidRDefault="00A47899" w:rsidP="00A47899">
      <w:pPr>
        <w:pStyle w:val="NormalWeb"/>
      </w:pPr>
      <w:r w:rsidRPr="00013713">
        <w:t>Ouzounov, D., Liu, D., Kang, C., Cervone, G., Kafatos, M., Taylor, P., 2007. Outgoing long-wave radiation variability from IR satellite data prior to major earthquakes</w:t>
      </w:r>
      <w:r w:rsidRPr="00013713">
        <w:rPr>
          <w:b/>
        </w:rPr>
        <w:t xml:space="preserve">. </w:t>
      </w:r>
      <w:r w:rsidRPr="00013713">
        <w:rPr>
          <w:rStyle w:val="Strong"/>
          <w:b w:val="0"/>
        </w:rPr>
        <w:t>Tectonophysics 431</w:t>
      </w:r>
      <w:r w:rsidRPr="00013713">
        <w:rPr>
          <w:b/>
        </w:rPr>
        <w:t>,</w:t>
      </w:r>
      <w:r w:rsidRPr="00013713">
        <w:t xml:space="preserve"> 211–220.</w:t>
      </w:r>
    </w:p>
    <w:p w14:paraId="160BFD66" w14:textId="77777777" w:rsidR="00A47899" w:rsidRPr="00013713" w:rsidRDefault="00A47899" w:rsidP="00A47899">
      <w:pPr>
        <w:pStyle w:val="NormalWeb"/>
      </w:pPr>
      <w:r w:rsidRPr="00013713">
        <w:t xml:space="preserve">Pulinets, S., Ouzounov, D., 2011. Lithosphere–Atmosphere–Ionosphere Coupling (LAIC) model—An unified concept for earthquake precursors validation. </w:t>
      </w:r>
      <w:r w:rsidRPr="00013713">
        <w:rPr>
          <w:rStyle w:val="Strong"/>
          <w:b w:val="0"/>
        </w:rPr>
        <w:t>Journal of Asian Earth Sciences 41</w:t>
      </w:r>
      <w:r w:rsidRPr="00013713">
        <w:t>, 371–382.</w:t>
      </w:r>
    </w:p>
    <w:p w14:paraId="6504F8EF" w14:textId="77777777" w:rsidR="00A47899" w:rsidRPr="00013713" w:rsidRDefault="00A47899" w:rsidP="00A47899">
      <w:pPr>
        <w:pStyle w:val="NormalWeb"/>
      </w:pPr>
      <w:r w:rsidRPr="00013713">
        <w:t xml:space="preserve">Qiang, Z., Xu, X., Dian, C., 2011. Satellite detection of atmospheric aerosol anomalies associated with earthquakes. </w:t>
      </w:r>
      <w:r w:rsidRPr="00013713">
        <w:rPr>
          <w:rStyle w:val="Strong"/>
          <w:b w:val="0"/>
        </w:rPr>
        <w:t>Natural Hazards and Earth System Sciences 11</w:t>
      </w:r>
      <w:r w:rsidRPr="00013713">
        <w:t>, 279–286.</w:t>
      </w:r>
    </w:p>
    <w:p w14:paraId="0ACEE296" w14:textId="77777777" w:rsidR="00A47899" w:rsidRPr="00013713" w:rsidRDefault="00A47899" w:rsidP="00A47899">
      <w:pPr>
        <w:pStyle w:val="NormalWeb"/>
      </w:pPr>
      <w:r w:rsidRPr="00013713">
        <w:t xml:space="preserve">Remer, L.A., Kaufman, Y.J., Tanré, D., Mattoo, S., Levy, R.C., Chu, D.A., Martins, J.V., Li, R.R., Ichoku, C., Levy, R.C., Holben, B.N., 2005. The MODIS aerosol algorithm, products, and validation. </w:t>
      </w:r>
      <w:r w:rsidRPr="00013713">
        <w:rPr>
          <w:rStyle w:val="Strong"/>
          <w:b w:val="0"/>
        </w:rPr>
        <w:t>Journal of the Atmospheric Sciences 62</w:t>
      </w:r>
      <w:r w:rsidRPr="00013713">
        <w:t>, 947–973.</w:t>
      </w:r>
    </w:p>
    <w:p w14:paraId="3DD74E56" w14:textId="77777777" w:rsidR="00A47899" w:rsidRPr="00013713" w:rsidRDefault="00A47899" w:rsidP="00A47899">
      <w:pPr>
        <w:pStyle w:val="NormalWeb"/>
      </w:pPr>
      <w:r w:rsidRPr="00013713">
        <w:t xml:space="preserve">Salomonson, V.V., Barnes, W.L., Maymon, P.W., Montgomery, H.E., Ostrow, H., 1989. Moderate Resolution Imaging Spectroradiometer (MODIS): Advanced facility instrument for studies of the Earth as a system. </w:t>
      </w:r>
      <w:r w:rsidRPr="00013713">
        <w:rPr>
          <w:rStyle w:val="Strong"/>
          <w:b w:val="0"/>
        </w:rPr>
        <w:t>IEEE Transactions on Geoscience and Remote Sensing 27</w:t>
      </w:r>
      <w:r w:rsidRPr="00013713">
        <w:rPr>
          <w:b/>
        </w:rPr>
        <w:t>,</w:t>
      </w:r>
      <w:r w:rsidRPr="00013713">
        <w:t xml:space="preserve"> 145–153.</w:t>
      </w:r>
    </w:p>
    <w:p w14:paraId="07E51BC7" w14:textId="77777777" w:rsidR="00DF151F" w:rsidRDefault="00A47899" w:rsidP="00DF151F">
      <w:pPr>
        <w:pStyle w:val="NormalWeb"/>
        <w:rPr>
          <w:rFonts w:ascii="Arial" w:hAnsi="Arial" w:cs="Arial"/>
          <w:sz w:val="16"/>
          <w:szCs w:val="16"/>
        </w:rPr>
      </w:pPr>
      <w:r w:rsidRPr="00013713">
        <w:t>NASA, 2023. MODIS Atmosphere Level-2 Aerosol Product (MOD04_L2 / MYD04_L2). NASA Goddard Space Flight Center, Greenbelt, Maryland, USA.</w:t>
      </w:r>
    </w:p>
    <w:p w14:paraId="7B674F4C" w14:textId="77777777" w:rsidR="00DF151F" w:rsidRDefault="00DF151F" w:rsidP="00CC4CB5">
      <w:pPr>
        <w:pBdr>
          <w:top w:val="single" w:sz="6" w:space="1" w:color="auto"/>
        </w:pBdr>
        <w:spacing w:after="0" w:line="240" w:lineRule="auto"/>
        <w:jc w:val="center"/>
        <w:rPr>
          <w:rFonts w:ascii="Arial" w:eastAsia="Times New Roman" w:hAnsi="Arial" w:cs="Arial"/>
          <w:sz w:val="16"/>
          <w:szCs w:val="16"/>
        </w:rPr>
      </w:pPr>
    </w:p>
    <w:p w14:paraId="455A04AE" w14:textId="77777777" w:rsidR="00DF151F" w:rsidRDefault="00DF151F" w:rsidP="00CC4CB5">
      <w:pPr>
        <w:pBdr>
          <w:top w:val="single" w:sz="6" w:space="1" w:color="auto"/>
        </w:pBdr>
        <w:spacing w:after="0" w:line="240" w:lineRule="auto"/>
        <w:jc w:val="center"/>
        <w:rPr>
          <w:rFonts w:ascii="Arial" w:eastAsia="Times New Roman" w:hAnsi="Arial" w:cs="Arial"/>
          <w:sz w:val="16"/>
          <w:szCs w:val="16"/>
        </w:rPr>
      </w:pPr>
    </w:p>
    <w:p w14:paraId="29725A9C" w14:textId="77777777" w:rsidR="00DF151F" w:rsidRDefault="00DF151F" w:rsidP="00CC4CB5">
      <w:pPr>
        <w:pBdr>
          <w:top w:val="single" w:sz="6" w:space="1" w:color="auto"/>
        </w:pBdr>
        <w:spacing w:after="0" w:line="240" w:lineRule="auto"/>
        <w:jc w:val="center"/>
        <w:rPr>
          <w:rFonts w:ascii="Arial" w:eastAsia="Times New Roman" w:hAnsi="Arial" w:cs="Arial"/>
          <w:sz w:val="16"/>
          <w:szCs w:val="16"/>
        </w:rPr>
      </w:pPr>
    </w:p>
    <w:p w14:paraId="230ACC85" w14:textId="77777777" w:rsidR="00DF151F" w:rsidRDefault="00DF151F" w:rsidP="00CC4CB5">
      <w:pPr>
        <w:pBdr>
          <w:top w:val="single" w:sz="6" w:space="1" w:color="auto"/>
        </w:pBdr>
        <w:spacing w:after="0" w:line="240" w:lineRule="auto"/>
        <w:jc w:val="center"/>
        <w:rPr>
          <w:rFonts w:ascii="Arial" w:eastAsia="Times New Roman" w:hAnsi="Arial" w:cs="Arial"/>
          <w:sz w:val="16"/>
          <w:szCs w:val="16"/>
        </w:rPr>
      </w:pPr>
    </w:p>
    <w:p w14:paraId="7054C67B" w14:textId="77777777" w:rsidR="00DF151F" w:rsidRDefault="00DF151F" w:rsidP="00CC4CB5">
      <w:pPr>
        <w:pBdr>
          <w:top w:val="single" w:sz="6" w:space="1" w:color="auto"/>
        </w:pBdr>
        <w:spacing w:after="0" w:line="240" w:lineRule="auto"/>
        <w:jc w:val="center"/>
        <w:rPr>
          <w:rFonts w:ascii="Arial" w:eastAsia="Times New Roman" w:hAnsi="Arial" w:cs="Arial"/>
          <w:sz w:val="16"/>
          <w:szCs w:val="16"/>
        </w:rPr>
      </w:pPr>
    </w:p>
    <w:p w14:paraId="7F4F576A" w14:textId="77777777" w:rsidR="00DF151F" w:rsidRDefault="00DF151F" w:rsidP="00CC4CB5">
      <w:pPr>
        <w:pBdr>
          <w:top w:val="single" w:sz="6" w:space="1" w:color="auto"/>
        </w:pBdr>
        <w:spacing w:after="0" w:line="240" w:lineRule="auto"/>
        <w:jc w:val="center"/>
        <w:rPr>
          <w:rFonts w:ascii="Arial" w:eastAsia="Times New Roman" w:hAnsi="Arial" w:cs="Arial"/>
          <w:sz w:val="16"/>
          <w:szCs w:val="16"/>
        </w:rPr>
      </w:pPr>
    </w:p>
    <w:p w14:paraId="21D96BBB" w14:textId="77777777" w:rsidR="00DF151F" w:rsidRDefault="00DF151F" w:rsidP="00CC4CB5">
      <w:pPr>
        <w:pBdr>
          <w:top w:val="single" w:sz="6" w:space="1" w:color="auto"/>
        </w:pBdr>
        <w:spacing w:after="0" w:line="240" w:lineRule="auto"/>
        <w:jc w:val="center"/>
        <w:rPr>
          <w:rFonts w:ascii="Arial" w:eastAsia="Times New Roman" w:hAnsi="Arial" w:cs="Arial"/>
          <w:sz w:val="16"/>
          <w:szCs w:val="16"/>
        </w:rPr>
      </w:pPr>
    </w:p>
    <w:p w14:paraId="2D069FE7" w14:textId="77777777" w:rsidR="00DF151F" w:rsidRDefault="00DF151F" w:rsidP="00CC4CB5">
      <w:pPr>
        <w:pBdr>
          <w:top w:val="single" w:sz="6" w:space="1" w:color="auto"/>
        </w:pBdr>
        <w:spacing w:after="0" w:line="240" w:lineRule="auto"/>
        <w:jc w:val="center"/>
        <w:rPr>
          <w:rFonts w:ascii="Arial" w:eastAsia="Times New Roman" w:hAnsi="Arial" w:cs="Arial"/>
          <w:sz w:val="16"/>
          <w:szCs w:val="16"/>
        </w:rPr>
      </w:pPr>
    </w:p>
    <w:p w14:paraId="723138E2" w14:textId="77777777" w:rsidR="00DF151F" w:rsidRDefault="00DF151F" w:rsidP="00CC4CB5">
      <w:pPr>
        <w:pBdr>
          <w:top w:val="single" w:sz="6" w:space="1" w:color="auto"/>
        </w:pBdr>
        <w:spacing w:after="0" w:line="240" w:lineRule="auto"/>
        <w:jc w:val="center"/>
        <w:rPr>
          <w:rFonts w:ascii="Arial" w:eastAsia="Times New Roman" w:hAnsi="Arial" w:cs="Arial"/>
          <w:sz w:val="16"/>
          <w:szCs w:val="16"/>
        </w:rPr>
      </w:pPr>
    </w:p>
    <w:p w14:paraId="65601961" w14:textId="77777777" w:rsidR="00CC4CB5" w:rsidRPr="00CC4CB5" w:rsidRDefault="00CC4CB5" w:rsidP="00CC4CB5">
      <w:pPr>
        <w:pBdr>
          <w:top w:val="single" w:sz="6" w:space="1" w:color="auto"/>
        </w:pBdr>
        <w:spacing w:after="0" w:line="240" w:lineRule="auto"/>
        <w:jc w:val="center"/>
        <w:rPr>
          <w:rFonts w:ascii="Arial" w:eastAsia="Times New Roman" w:hAnsi="Arial" w:cs="Arial"/>
          <w:vanish/>
          <w:sz w:val="16"/>
          <w:szCs w:val="16"/>
        </w:rPr>
      </w:pPr>
      <w:r w:rsidRPr="00CC4CB5">
        <w:rPr>
          <w:rFonts w:ascii="Arial" w:eastAsia="Times New Roman" w:hAnsi="Arial" w:cs="Arial"/>
          <w:vanish/>
          <w:sz w:val="16"/>
          <w:szCs w:val="16"/>
        </w:rPr>
        <w:t>Bottom of Form</w:t>
      </w:r>
    </w:p>
    <w:p w14:paraId="32BA9201" w14:textId="77777777" w:rsidR="00D31ECA" w:rsidRPr="00DA2B6A" w:rsidRDefault="00D31ECA" w:rsidP="00CC4CB5">
      <w:pPr>
        <w:spacing w:before="100" w:beforeAutospacing="1" w:after="100" w:afterAutospacing="1" w:line="240" w:lineRule="auto"/>
        <w:rPr>
          <w:rFonts w:ascii="Times New Roman" w:hAnsi="Times New Roman" w:cs="Times New Roman"/>
          <w:b/>
          <w:sz w:val="24"/>
          <w:szCs w:val="24"/>
        </w:rPr>
      </w:pPr>
    </w:p>
    <w:sectPr w:rsidR="00D31ECA" w:rsidRPr="00DA2B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03D3D"/>
    <w:multiLevelType w:val="hybridMultilevel"/>
    <w:tmpl w:val="64301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9707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4AEA"/>
    <w:rsid w:val="00013713"/>
    <w:rsid w:val="00042359"/>
    <w:rsid w:val="00150357"/>
    <w:rsid w:val="001A6129"/>
    <w:rsid w:val="001C67FC"/>
    <w:rsid w:val="001F05E8"/>
    <w:rsid w:val="00201312"/>
    <w:rsid w:val="00204AEA"/>
    <w:rsid w:val="00213B4C"/>
    <w:rsid w:val="002366C9"/>
    <w:rsid w:val="00307F14"/>
    <w:rsid w:val="0033252B"/>
    <w:rsid w:val="0034462C"/>
    <w:rsid w:val="00351A0D"/>
    <w:rsid w:val="003536F0"/>
    <w:rsid w:val="003555E8"/>
    <w:rsid w:val="00363D98"/>
    <w:rsid w:val="0037399D"/>
    <w:rsid w:val="003C4B84"/>
    <w:rsid w:val="003D4F99"/>
    <w:rsid w:val="003F08D0"/>
    <w:rsid w:val="003F6571"/>
    <w:rsid w:val="00473EA3"/>
    <w:rsid w:val="004C2974"/>
    <w:rsid w:val="005058D5"/>
    <w:rsid w:val="0051224E"/>
    <w:rsid w:val="005E2134"/>
    <w:rsid w:val="00604FAA"/>
    <w:rsid w:val="00662BDF"/>
    <w:rsid w:val="00716A33"/>
    <w:rsid w:val="007618BE"/>
    <w:rsid w:val="007728E1"/>
    <w:rsid w:val="007A67CB"/>
    <w:rsid w:val="007C2A0C"/>
    <w:rsid w:val="007F1B55"/>
    <w:rsid w:val="00806102"/>
    <w:rsid w:val="00845001"/>
    <w:rsid w:val="008468A5"/>
    <w:rsid w:val="00855324"/>
    <w:rsid w:val="008D2599"/>
    <w:rsid w:val="00922523"/>
    <w:rsid w:val="009A3AEC"/>
    <w:rsid w:val="00A03645"/>
    <w:rsid w:val="00A3227C"/>
    <w:rsid w:val="00A47899"/>
    <w:rsid w:val="00A52EAD"/>
    <w:rsid w:val="00AA7BB7"/>
    <w:rsid w:val="00B02F0C"/>
    <w:rsid w:val="00B14504"/>
    <w:rsid w:val="00B765D2"/>
    <w:rsid w:val="00B93634"/>
    <w:rsid w:val="00BB1CCA"/>
    <w:rsid w:val="00C23C87"/>
    <w:rsid w:val="00C50812"/>
    <w:rsid w:val="00C64E93"/>
    <w:rsid w:val="00C84071"/>
    <w:rsid w:val="00C96626"/>
    <w:rsid w:val="00CC4CB5"/>
    <w:rsid w:val="00D31ECA"/>
    <w:rsid w:val="00D57990"/>
    <w:rsid w:val="00D63ACD"/>
    <w:rsid w:val="00D63C77"/>
    <w:rsid w:val="00D92299"/>
    <w:rsid w:val="00DA2B6A"/>
    <w:rsid w:val="00DB0A7B"/>
    <w:rsid w:val="00DB4237"/>
    <w:rsid w:val="00DF151F"/>
    <w:rsid w:val="00E81D0A"/>
    <w:rsid w:val="00EA39DB"/>
    <w:rsid w:val="00ED7404"/>
    <w:rsid w:val="00F303AC"/>
    <w:rsid w:val="00F572B8"/>
    <w:rsid w:val="00FD79B9"/>
    <w:rsid w:val="00FE5340"/>
    <w:rsid w:val="00FF5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3600D"/>
  <w15:docId w15:val="{E33C265E-935C-4C10-A739-662B1C1BD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122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A4789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F08D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F08D0"/>
    <w:rPr>
      <w:b/>
      <w:bCs/>
    </w:rPr>
  </w:style>
  <w:style w:type="character" w:customStyle="1" w:styleId="whitespace-normal">
    <w:name w:val="whitespace-normal"/>
    <w:basedOn w:val="DefaultParagraphFont"/>
    <w:rsid w:val="003536F0"/>
  </w:style>
  <w:style w:type="character" w:customStyle="1" w:styleId="Heading2Char">
    <w:name w:val="Heading 2 Char"/>
    <w:basedOn w:val="DefaultParagraphFont"/>
    <w:link w:val="Heading2"/>
    <w:uiPriority w:val="9"/>
    <w:rsid w:val="0051224E"/>
    <w:rPr>
      <w:rFonts w:ascii="Times New Roman" w:eastAsia="Times New Roman" w:hAnsi="Times New Roman" w:cs="Times New Roman"/>
      <w:b/>
      <w:bCs/>
      <w:sz w:val="36"/>
      <w:szCs w:val="36"/>
    </w:rPr>
  </w:style>
  <w:style w:type="character" w:styleId="Emphasis">
    <w:name w:val="Emphasis"/>
    <w:basedOn w:val="DefaultParagraphFont"/>
    <w:uiPriority w:val="20"/>
    <w:qFormat/>
    <w:rsid w:val="0051224E"/>
    <w:rPr>
      <w:i/>
      <w:iCs/>
    </w:rPr>
  </w:style>
  <w:style w:type="paragraph" w:styleId="z-TopofForm">
    <w:name w:val="HTML Top of Form"/>
    <w:basedOn w:val="Normal"/>
    <w:next w:val="Normal"/>
    <w:link w:val="z-TopofFormChar"/>
    <w:hidden/>
    <w:uiPriority w:val="99"/>
    <w:semiHidden/>
    <w:unhideWhenUsed/>
    <w:rsid w:val="00CC4CB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C4CB5"/>
    <w:rPr>
      <w:rFonts w:ascii="Arial" w:eastAsia="Times New Roman" w:hAnsi="Arial" w:cs="Arial"/>
      <w:vanish/>
      <w:sz w:val="16"/>
      <w:szCs w:val="16"/>
    </w:rPr>
  </w:style>
  <w:style w:type="paragraph" w:customStyle="1" w:styleId="placeholder">
    <w:name w:val="placeholder"/>
    <w:basedOn w:val="Normal"/>
    <w:rsid w:val="00CC4CB5"/>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CC4CB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CC4CB5"/>
    <w:rPr>
      <w:rFonts w:ascii="Arial" w:eastAsia="Times New Roman" w:hAnsi="Arial" w:cs="Arial"/>
      <w:vanish/>
      <w:sz w:val="16"/>
      <w:szCs w:val="16"/>
    </w:rPr>
  </w:style>
  <w:style w:type="character" w:customStyle="1" w:styleId="Heading3Char">
    <w:name w:val="Heading 3 Char"/>
    <w:basedOn w:val="DefaultParagraphFont"/>
    <w:link w:val="Heading3"/>
    <w:uiPriority w:val="9"/>
    <w:semiHidden/>
    <w:rsid w:val="00A47899"/>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ED7404"/>
    <w:pPr>
      <w:ind w:left="720"/>
      <w:contextualSpacing/>
    </w:pPr>
  </w:style>
  <w:style w:type="paragraph" w:styleId="BalloonText">
    <w:name w:val="Balloon Text"/>
    <w:basedOn w:val="Normal"/>
    <w:link w:val="BalloonTextChar"/>
    <w:uiPriority w:val="99"/>
    <w:semiHidden/>
    <w:unhideWhenUsed/>
    <w:rsid w:val="00DB42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2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019023">
      <w:bodyDiv w:val="1"/>
      <w:marLeft w:val="0"/>
      <w:marRight w:val="0"/>
      <w:marTop w:val="0"/>
      <w:marBottom w:val="0"/>
      <w:divBdr>
        <w:top w:val="none" w:sz="0" w:space="0" w:color="auto"/>
        <w:left w:val="none" w:sz="0" w:space="0" w:color="auto"/>
        <w:bottom w:val="none" w:sz="0" w:space="0" w:color="auto"/>
        <w:right w:val="none" w:sz="0" w:space="0" w:color="auto"/>
      </w:divBdr>
      <w:divsChild>
        <w:div w:id="632056129">
          <w:marLeft w:val="0"/>
          <w:marRight w:val="0"/>
          <w:marTop w:val="0"/>
          <w:marBottom w:val="0"/>
          <w:divBdr>
            <w:top w:val="none" w:sz="0" w:space="0" w:color="auto"/>
            <w:left w:val="none" w:sz="0" w:space="0" w:color="auto"/>
            <w:bottom w:val="none" w:sz="0" w:space="0" w:color="auto"/>
            <w:right w:val="none" w:sz="0" w:space="0" w:color="auto"/>
          </w:divBdr>
          <w:divsChild>
            <w:div w:id="632448685">
              <w:marLeft w:val="0"/>
              <w:marRight w:val="0"/>
              <w:marTop w:val="0"/>
              <w:marBottom w:val="0"/>
              <w:divBdr>
                <w:top w:val="none" w:sz="0" w:space="0" w:color="auto"/>
                <w:left w:val="none" w:sz="0" w:space="0" w:color="auto"/>
                <w:bottom w:val="none" w:sz="0" w:space="0" w:color="auto"/>
                <w:right w:val="none" w:sz="0" w:space="0" w:color="auto"/>
              </w:divBdr>
              <w:divsChild>
                <w:div w:id="826897687">
                  <w:marLeft w:val="0"/>
                  <w:marRight w:val="0"/>
                  <w:marTop w:val="0"/>
                  <w:marBottom w:val="0"/>
                  <w:divBdr>
                    <w:top w:val="none" w:sz="0" w:space="0" w:color="auto"/>
                    <w:left w:val="none" w:sz="0" w:space="0" w:color="auto"/>
                    <w:bottom w:val="none" w:sz="0" w:space="0" w:color="auto"/>
                    <w:right w:val="none" w:sz="0" w:space="0" w:color="auto"/>
                  </w:divBdr>
                  <w:divsChild>
                    <w:div w:id="1653025112">
                      <w:marLeft w:val="0"/>
                      <w:marRight w:val="0"/>
                      <w:marTop w:val="0"/>
                      <w:marBottom w:val="0"/>
                      <w:divBdr>
                        <w:top w:val="none" w:sz="0" w:space="0" w:color="auto"/>
                        <w:left w:val="none" w:sz="0" w:space="0" w:color="auto"/>
                        <w:bottom w:val="none" w:sz="0" w:space="0" w:color="auto"/>
                        <w:right w:val="none" w:sz="0" w:space="0" w:color="auto"/>
                      </w:divBdr>
                      <w:divsChild>
                        <w:div w:id="210193783">
                          <w:marLeft w:val="0"/>
                          <w:marRight w:val="0"/>
                          <w:marTop w:val="0"/>
                          <w:marBottom w:val="0"/>
                          <w:divBdr>
                            <w:top w:val="none" w:sz="0" w:space="0" w:color="auto"/>
                            <w:left w:val="none" w:sz="0" w:space="0" w:color="auto"/>
                            <w:bottom w:val="none" w:sz="0" w:space="0" w:color="auto"/>
                            <w:right w:val="none" w:sz="0" w:space="0" w:color="auto"/>
                          </w:divBdr>
                          <w:divsChild>
                            <w:div w:id="1589532848">
                              <w:marLeft w:val="0"/>
                              <w:marRight w:val="0"/>
                              <w:marTop w:val="0"/>
                              <w:marBottom w:val="0"/>
                              <w:divBdr>
                                <w:top w:val="none" w:sz="0" w:space="0" w:color="auto"/>
                                <w:left w:val="none" w:sz="0" w:space="0" w:color="auto"/>
                                <w:bottom w:val="none" w:sz="0" w:space="0" w:color="auto"/>
                                <w:right w:val="none" w:sz="0" w:space="0" w:color="auto"/>
                              </w:divBdr>
                              <w:divsChild>
                                <w:div w:id="1322083431">
                                  <w:marLeft w:val="0"/>
                                  <w:marRight w:val="0"/>
                                  <w:marTop w:val="0"/>
                                  <w:marBottom w:val="0"/>
                                  <w:divBdr>
                                    <w:top w:val="none" w:sz="0" w:space="0" w:color="auto"/>
                                    <w:left w:val="none" w:sz="0" w:space="0" w:color="auto"/>
                                    <w:bottom w:val="none" w:sz="0" w:space="0" w:color="auto"/>
                                    <w:right w:val="none" w:sz="0" w:space="0" w:color="auto"/>
                                  </w:divBdr>
                                  <w:divsChild>
                                    <w:div w:id="1231766004">
                                      <w:marLeft w:val="0"/>
                                      <w:marRight w:val="0"/>
                                      <w:marTop w:val="0"/>
                                      <w:marBottom w:val="0"/>
                                      <w:divBdr>
                                        <w:top w:val="none" w:sz="0" w:space="0" w:color="auto"/>
                                        <w:left w:val="none" w:sz="0" w:space="0" w:color="auto"/>
                                        <w:bottom w:val="none" w:sz="0" w:space="0" w:color="auto"/>
                                        <w:right w:val="none" w:sz="0" w:space="0" w:color="auto"/>
                                      </w:divBdr>
                                      <w:divsChild>
                                        <w:div w:id="445853352">
                                          <w:marLeft w:val="0"/>
                                          <w:marRight w:val="0"/>
                                          <w:marTop w:val="0"/>
                                          <w:marBottom w:val="0"/>
                                          <w:divBdr>
                                            <w:top w:val="none" w:sz="0" w:space="0" w:color="auto"/>
                                            <w:left w:val="none" w:sz="0" w:space="0" w:color="auto"/>
                                            <w:bottom w:val="none" w:sz="0" w:space="0" w:color="auto"/>
                                            <w:right w:val="none" w:sz="0" w:space="0" w:color="auto"/>
                                          </w:divBdr>
                                          <w:divsChild>
                                            <w:div w:id="1470514755">
                                              <w:marLeft w:val="0"/>
                                              <w:marRight w:val="0"/>
                                              <w:marTop w:val="0"/>
                                              <w:marBottom w:val="0"/>
                                              <w:divBdr>
                                                <w:top w:val="none" w:sz="0" w:space="0" w:color="auto"/>
                                                <w:left w:val="none" w:sz="0" w:space="0" w:color="auto"/>
                                                <w:bottom w:val="none" w:sz="0" w:space="0" w:color="auto"/>
                                                <w:right w:val="none" w:sz="0" w:space="0" w:color="auto"/>
                                              </w:divBdr>
                                              <w:divsChild>
                                                <w:div w:id="442649397">
                                                  <w:marLeft w:val="0"/>
                                                  <w:marRight w:val="0"/>
                                                  <w:marTop w:val="0"/>
                                                  <w:marBottom w:val="0"/>
                                                  <w:divBdr>
                                                    <w:top w:val="none" w:sz="0" w:space="0" w:color="auto"/>
                                                    <w:left w:val="none" w:sz="0" w:space="0" w:color="auto"/>
                                                    <w:bottom w:val="none" w:sz="0" w:space="0" w:color="auto"/>
                                                    <w:right w:val="none" w:sz="0" w:space="0" w:color="auto"/>
                                                  </w:divBdr>
                                                  <w:divsChild>
                                                    <w:div w:id="242644077">
                                                      <w:marLeft w:val="0"/>
                                                      <w:marRight w:val="0"/>
                                                      <w:marTop w:val="0"/>
                                                      <w:marBottom w:val="0"/>
                                                      <w:divBdr>
                                                        <w:top w:val="none" w:sz="0" w:space="0" w:color="auto"/>
                                                        <w:left w:val="none" w:sz="0" w:space="0" w:color="auto"/>
                                                        <w:bottom w:val="none" w:sz="0" w:space="0" w:color="auto"/>
                                                        <w:right w:val="none" w:sz="0" w:space="0" w:color="auto"/>
                                                      </w:divBdr>
                                                      <w:divsChild>
                                                        <w:div w:id="329213155">
                                                          <w:marLeft w:val="0"/>
                                                          <w:marRight w:val="0"/>
                                                          <w:marTop w:val="0"/>
                                                          <w:marBottom w:val="0"/>
                                                          <w:divBdr>
                                                            <w:top w:val="none" w:sz="0" w:space="0" w:color="auto"/>
                                                            <w:left w:val="none" w:sz="0" w:space="0" w:color="auto"/>
                                                            <w:bottom w:val="none" w:sz="0" w:space="0" w:color="auto"/>
                                                            <w:right w:val="none" w:sz="0" w:space="0" w:color="auto"/>
                                                          </w:divBdr>
                                                          <w:divsChild>
                                                            <w:div w:id="1583643000">
                                                              <w:marLeft w:val="0"/>
                                                              <w:marRight w:val="0"/>
                                                              <w:marTop w:val="0"/>
                                                              <w:marBottom w:val="0"/>
                                                              <w:divBdr>
                                                                <w:top w:val="none" w:sz="0" w:space="0" w:color="auto"/>
                                                                <w:left w:val="none" w:sz="0" w:space="0" w:color="auto"/>
                                                                <w:bottom w:val="none" w:sz="0" w:space="0" w:color="auto"/>
                                                                <w:right w:val="none" w:sz="0" w:space="0" w:color="auto"/>
                                                              </w:divBdr>
                                                              <w:divsChild>
                                                                <w:div w:id="207762304">
                                                                  <w:marLeft w:val="0"/>
                                                                  <w:marRight w:val="0"/>
                                                                  <w:marTop w:val="0"/>
                                                                  <w:marBottom w:val="0"/>
                                                                  <w:divBdr>
                                                                    <w:top w:val="none" w:sz="0" w:space="0" w:color="auto"/>
                                                                    <w:left w:val="none" w:sz="0" w:space="0" w:color="auto"/>
                                                                    <w:bottom w:val="none" w:sz="0" w:space="0" w:color="auto"/>
                                                                    <w:right w:val="none" w:sz="0" w:space="0" w:color="auto"/>
                                                                  </w:divBdr>
                                                                  <w:divsChild>
                                                                    <w:div w:id="116420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0674052">
                                          <w:marLeft w:val="0"/>
                                          <w:marRight w:val="0"/>
                                          <w:marTop w:val="0"/>
                                          <w:marBottom w:val="0"/>
                                          <w:divBdr>
                                            <w:top w:val="none" w:sz="0" w:space="0" w:color="auto"/>
                                            <w:left w:val="none" w:sz="0" w:space="0" w:color="auto"/>
                                            <w:bottom w:val="none" w:sz="0" w:space="0" w:color="auto"/>
                                            <w:right w:val="none" w:sz="0" w:space="0" w:color="auto"/>
                                          </w:divBdr>
                                          <w:divsChild>
                                            <w:div w:id="1972906418">
                                              <w:marLeft w:val="0"/>
                                              <w:marRight w:val="0"/>
                                              <w:marTop w:val="0"/>
                                              <w:marBottom w:val="0"/>
                                              <w:divBdr>
                                                <w:top w:val="none" w:sz="0" w:space="0" w:color="auto"/>
                                                <w:left w:val="none" w:sz="0" w:space="0" w:color="auto"/>
                                                <w:bottom w:val="none" w:sz="0" w:space="0" w:color="auto"/>
                                                <w:right w:val="none" w:sz="0" w:space="0" w:color="auto"/>
                                              </w:divBdr>
                                              <w:divsChild>
                                                <w:div w:id="121462186">
                                                  <w:marLeft w:val="0"/>
                                                  <w:marRight w:val="0"/>
                                                  <w:marTop w:val="0"/>
                                                  <w:marBottom w:val="0"/>
                                                  <w:divBdr>
                                                    <w:top w:val="none" w:sz="0" w:space="0" w:color="auto"/>
                                                    <w:left w:val="none" w:sz="0" w:space="0" w:color="auto"/>
                                                    <w:bottom w:val="none" w:sz="0" w:space="0" w:color="auto"/>
                                                    <w:right w:val="none" w:sz="0" w:space="0" w:color="auto"/>
                                                  </w:divBdr>
                                                  <w:divsChild>
                                                    <w:div w:id="1387410215">
                                                      <w:marLeft w:val="0"/>
                                                      <w:marRight w:val="0"/>
                                                      <w:marTop w:val="0"/>
                                                      <w:marBottom w:val="0"/>
                                                      <w:divBdr>
                                                        <w:top w:val="none" w:sz="0" w:space="0" w:color="auto"/>
                                                        <w:left w:val="none" w:sz="0" w:space="0" w:color="auto"/>
                                                        <w:bottom w:val="none" w:sz="0" w:space="0" w:color="auto"/>
                                                        <w:right w:val="none" w:sz="0" w:space="0" w:color="auto"/>
                                                      </w:divBdr>
                                                      <w:divsChild>
                                                        <w:div w:id="144277428">
                                                          <w:marLeft w:val="0"/>
                                                          <w:marRight w:val="0"/>
                                                          <w:marTop w:val="0"/>
                                                          <w:marBottom w:val="0"/>
                                                          <w:divBdr>
                                                            <w:top w:val="none" w:sz="0" w:space="0" w:color="auto"/>
                                                            <w:left w:val="none" w:sz="0" w:space="0" w:color="auto"/>
                                                            <w:bottom w:val="none" w:sz="0" w:space="0" w:color="auto"/>
                                                            <w:right w:val="none" w:sz="0" w:space="0" w:color="auto"/>
                                                          </w:divBdr>
                                                          <w:divsChild>
                                                            <w:div w:id="1527406505">
                                                              <w:marLeft w:val="0"/>
                                                              <w:marRight w:val="0"/>
                                                              <w:marTop w:val="0"/>
                                                              <w:marBottom w:val="0"/>
                                                              <w:divBdr>
                                                                <w:top w:val="none" w:sz="0" w:space="0" w:color="auto"/>
                                                                <w:left w:val="none" w:sz="0" w:space="0" w:color="auto"/>
                                                                <w:bottom w:val="none" w:sz="0" w:space="0" w:color="auto"/>
                                                                <w:right w:val="none" w:sz="0" w:space="0" w:color="auto"/>
                                                              </w:divBdr>
                                                              <w:divsChild>
                                                                <w:div w:id="361245751">
                                                                  <w:marLeft w:val="0"/>
                                                                  <w:marRight w:val="0"/>
                                                                  <w:marTop w:val="0"/>
                                                                  <w:marBottom w:val="0"/>
                                                                  <w:divBdr>
                                                                    <w:top w:val="none" w:sz="0" w:space="0" w:color="auto"/>
                                                                    <w:left w:val="none" w:sz="0" w:space="0" w:color="auto"/>
                                                                    <w:bottom w:val="none" w:sz="0" w:space="0" w:color="auto"/>
                                                                    <w:right w:val="none" w:sz="0" w:space="0" w:color="auto"/>
                                                                  </w:divBdr>
                                                                  <w:divsChild>
                                                                    <w:div w:id="1496528226">
                                                                      <w:marLeft w:val="0"/>
                                                                      <w:marRight w:val="0"/>
                                                                      <w:marTop w:val="0"/>
                                                                      <w:marBottom w:val="0"/>
                                                                      <w:divBdr>
                                                                        <w:top w:val="none" w:sz="0" w:space="0" w:color="auto"/>
                                                                        <w:left w:val="none" w:sz="0" w:space="0" w:color="auto"/>
                                                                        <w:bottom w:val="none" w:sz="0" w:space="0" w:color="auto"/>
                                                                        <w:right w:val="none" w:sz="0" w:space="0" w:color="auto"/>
                                                                      </w:divBdr>
                                                                      <w:divsChild>
                                                                        <w:div w:id="331757801">
                                                                          <w:marLeft w:val="0"/>
                                                                          <w:marRight w:val="0"/>
                                                                          <w:marTop w:val="0"/>
                                                                          <w:marBottom w:val="0"/>
                                                                          <w:divBdr>
                                                                            <w:top w:val="none" w:sz="0" w:space="0" w:color="auto"/>
                                                                            <w:left w:val="none" w:sz="0" w:space="0" w:color="auto"/>
                                                                            <w:bottom w:val="none" w:sz="0" w:space="0" w:color="auto"/>
                                                                            <w:right w:val="none" w:sz="0" w:space="0" w:color="auto"/>
                                                                          </w:divBdr>
                                                                          <w:divsChild>
                                                                            <w:div w:id="790899689">
                                                                              <w:marLeft w:val="0"/>
                                                                              <w:marRight w:val="0"/>
                                                                              <w:marTop w:val="0"/>
                                                                              <w:marBottom w:val="0"/>
                                                                              <w:divBdr>
                                                                                <w:top w:val="none" w:sz="0" w:space="0" w:color="auto"/>
                                                                                <w:left w:val="none" w:sz="0" w:space="0" w:color="auto"/>
                                                                                <w:bottom w:val="none" w:sz="0" w:space="0" w:color="auto"/>
                                                                                <w:right w:val="none" w:sz="0" w:space="0" w:color="auto"/>
                                                                              </w:divBdr>
                                                                              <w:divsChild>
                                                                                <w:div w:id="208537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0028931">
      <w:bodyDiv w:val="1"/>
      <w:marLeft w:val="0"/>
      <w:marRight w:val="0"/>
      <w:marTop w:val="0"/>
      <w:marBottom w:val="0"/>
      <w:divBdr>
        <w:top w:val="none" w:sz="0" w:space="0" w:color="auto"/>
        <w:left w:val="none" w:sz="0" w:space="0" w:color="auto"/>
        <w:bottom w:val="none" w:sz="0" w:space="0" w:color="auto"/>
        <w:right w:val="none" w:sz="0" w:space="0" w:color="auto"/>
      </w:divBdr>
    </w:div>
    <w:div w:id="550771131">
      <w:bodyDiv w:val="1"/>
      <w:marLeft w:val="0"/>
      <w:marRight w:val="0"/>
      <w:marTop w:val="0"/>
      <w:marBottom w:val="0"/>
      <w:divBdr>
        <w:top w:val="none" w:sz="0" w:space="0" w:color="auto"/>
        <w:left w:val="none" w:sz="0" w:space="0" w:color="auto"/>
        <w:bottom w:val="none" w:sz="0" w:space="0" w:color="auto"/>
        <w:right w:val="none" w:sz="0" w:space="0" w:color="auto"/>
      </w:divBdr>
    </w:div>
    <w:div w:id="672998170">
      <w:bodyDiv w:val="1"/>
      <w:marLeft w:val="0"/>
      <w:marRight w:val="0"/>
      <w:marTop w:val="0"/>
      <w:marBottom w:val="0"/>
      <w:divBdr>
        <w:top w:val="none" w:sz="0" w:space="0" w:color="auto"/>
        <w:left w:val="none" w:sz="0" w:space="0" w:color="auto"/>
        <w:bottom w:val="none" w:sz="0" w:space="0" w:color="auto"/>
        <w:right w:val="none" w:sz="0" w:space="0" w:color="auto"/>
      </w:divBdr>
    </w:div>
    <w:div w:id="747456689">
      <w:bodyDiv w:val="1"/>
      <w:marLeft w:val="0"/>
      <w:marRight w:val="0"/>
      <w:marTop w:val="0"/>
      <w:marBottom w:val="0"/>
      <w:divBdr>
        <w:top w:val="none" w:sz="0" w:space="0" w:color="auto"/>
        <w:left w:val="none" w:sz="0" w:space="0" w:color="auto"/>
        <w:bottom w:val="none" w:sz="0" w:space="0" w:color="auto"/>
        <w:right w:val="none" w:sz="0" w:space="0" w:color="auto"/>
      </w:divBdr>
    </w:div>
    <w:div w:id="764881729">
      <w:bodyDiv w:val="1"/>
      <w:marLeft w:val="0"/>
      <w:marRight w:val="0"/>
      <w:marTop w:val="0"/>
      <w:marBottom w:val="0"/>
      <w:divBdr>
        <w:top w:val="none" w:sz="0" w:space="0" w:color="auto"/>
        <w:left w:val="none" w:sz="0" w:space="0" w:color="auto"/>
        <w:bottom w:val="none" w:sz="0" w:space="0" w:color="auto"/>
        <w:right w:val="none" w:sz="0" w:space="0" w:color="auto"/>
      </w:divBdr>
    </w:div>
    <w:div w:id="786236395">
      <w:bodyDiv w:val="1"/>
      <w:marLeft w:val="0"/>
      <w:marRight w:val="0"/>
      <w:marTop w:val="0"/>
      <w:marBottom w:val="0"/>
      <w:divBdr>
        <w:top w:val="none" w:sz="0" w:space="0" w:color="auto"/>
        <w:left w:val="none" w:sz="0" w:space="0" w:color="auto"/>
        <w:bottom w:val="none" w:sz="0" w:space="0" w:color="auto"/>
        <w:right w:val="none" w:sz="0" w:space="0" w:color="auto"/>
      </w:divBdr>
    </w:div>
    <w:div w:id="851644664">
      <w:bodyDiv w:val="1"/>
      <w:marLeft w:val="0"/>
      <w:marRight w:val="0"/>
      <w:marTop w:val="0"/>
      <w:marBottom w:val="0"/>
      <w:divBdr>
        <w:top w:val="none" w:sz="0" w:space="0" w:color="auto"/>
        <w:left w:val="none" w:sz="0" w:space="0" w:color="auto"/>
        <w:bottom w:val="none" w:sz="0" w:space="0" w:color="auto"/>
        <w:right w:val="none" w:sz="0" w:space="0" w:color="auto"/>
      </w:divBdr>
    </w:div>
    <w:div w:id="1040975527">
      <w:bodyDiv w:val="1"/>
      <w:marLeft w:val="0"/>
      <w:marRight w:val="0"/>
      <w:marTop w:val="0"/>
      <w:marBottom w:val="0"/>
      <w:divBdr>
        <w:top w:val="none" w:sz="0" w:space="0" w:color="auto"/>
        <w:left w:val="none" w:sz="0" w:space="0" w:color="auto"/>
        <w:bottom w:val="none" w:sz="0" w:space="0" w:color="auto"/>
        <w:right w:val="none" w:sz="0" w:space="0" w:color="auto"/>
      </w:divBdr>
    </w:div>
    <w:div w:id="1061246135">
      <w:bodyDiv w:val="1"/>
      <w:marLeft w:val="0"/>
      <w:marRight w:val="0"/>
      <w:marTop w:val="0"/>
      <w:marBottom w:val="0"/>
      <w:divBdr>
        <w:top w:val="none" w:sz="0" w:space="0" w:color="auto"/>
        <w:left w:val="none" w:sz="0" w:space="0" w:color="auto"/>
        <w:bottom w:val="none" w:sz="0" w:space="0" w:color="auto"/>
        <w:right w:val="none" w:sz="0" w:space="0" w:color="auto"/>
      </w:divBdr>
    </w:div>
    <w:div w:id="1272125730">
      <w:bodyDiv w:val="1"/>
      <w:marLeft w:val="0"/>
      <w:marRight w:val="0"/>
      <w:marTop w:val="0"/>
      <w:marBottom w:val="0"/>
      <w:divBdr>
        <w:top w:val="none" w:sz="0" w:space="0" w:color="auto"/>
        <w:left w:val="none" w:sz="0" w:space="0" w:color="auto"/>
        <w:bottom w:val="none" w:sz="0" w:space="0" w:color="auto"/>
        <w:right w:val="none" w:sz="0" w:space="0" w:color="auto"/>
      </w:divBdr>
    </w:div>
    <w:div w:id="1327050405">
      <w:bodyDiv w:val="1"/>
      <w:marLeft w:val="0"/>
      <w:marRight w:val="0"/>
      <w:marTop w:val="0"/>
      <w:marBottom w:val="0"/>
      <w:divBdr>
        <w:top w:val="none" w:sz="0" w:space="0" w:color="auto"/>
        <w:left w:val="none" w:sz="0" w:space="0" w:color="auto"/>
        <w:bottom w:val="none" w:sz="0" w:space="0" w:color="auto"/>
        <w:right w:val="none" w:sz="0" w:space="0" w:color="auto"/>
      </w:divBdr>
    </w:div>
    <w:div w:id="184747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502</TotalTime>
  <Pages>7</Pages>
  <Words>1998</Words>
  <Characters>11393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anildas001</cp:lastModifiedBy>
  <cp:revision>66</cp:revision>
  <dcterms:created xsi:type="dcterms:W3CDTF">2026-03-10T08:44:00Z</dcterms:created>
  <dcterms:modified xsi:type="dcterms:W3CDTF">2026-03-20T08:50:00Z</dcterms:modified>
</cp:coreProperties>
</file>