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D4" w:rsidRDefault="001953B1" w:rsidP="001953B1">
      <w:pPr>
        <w:jc w:val="center"/>
        <w:rPr>
          <w:sz w:val="32"/>
          <w:szCs w:val="32"/>
        </w:rPr>
      </w:pPr>
      <w:r w:rsidRPr="001953B1">
        <w:rPr>
          <w:sz w:val="32"/>
          <w:szCs w:val="32"/>
        </w:rPr>
        <w:t>The Role of Digital Payment Infrastructure in Enhancing Cashless Transactions and Financial Inclusion in Nepal</w:t>
      </w:r>
    </w:p>
    <w:p w:rsidR="004F6503" w:rsidRDefault="004F6503" w:rsidP="00B00923">
      <w:pPr>
        <w:spacing w:after="0"/>
        <w:jc w:val="right"/>
        <w:rPr>
          <w:szCs w:val="24"/>
        </w:rPr>
      </w:pPr>
      <w:r>
        <w:rPr>
          <w:szCs w:val="24"/>
        </w:rPr>
        <w:t xml:space="preserve"/>
      </w:r>
      <w:r>
        <w:rPr>
          <w:rStyle w:val="FootnoteReference"/>
          <w:szCs w:val="24"/>
        </w:rPr>
        <w:footnoteReference w:id="1"/>
      </w:r>
    </w:p>
    <w:p w:rsidR="008B54E5" w:rsidRDefault="00B00923" w:rsidP="00B00923">
      <w:pPr>
        <w:spacing w:after="0"/>
        <w:jc w:val="right"/>
        <w:rPr>
          <w:szCs w:val="24"/>
        </w:rPr>
      </w:pPr>
      <w:r>
        <w:rPr>
          <w:szCs w:val="24"/>
        </w:rPr>
        <w:t xml:space="preserve"/>
      </w:r>
      <w:hyperlink r:id="rId8" w:history="1">
        <w:r w:rsidRPr="009A515B">
          <w:rPr>
            <w:rStyle w:val="Hyperlink"/>
            <w:szCs w:val="24"/>
          </w:rPr>
          <w:t/>
        </w:r>
      </w:hyperlink>
    </w:p>
    <w:p w:rsidR="00B00923" w:rsidRDefault="00B00923" w:rsidP="004F6503">
      <w:pPr>
        <w:jc w:val="right"/>
        <w:rPr>
          <w:szCs w:val="24"/>
        </w:rPr>
      </w:pPr>
      <w:r>
        <w:rPr>
          <w:szCs w:val="24"/>
        </w:rPr>
        <w:t/>
      </w:r>
      <w:r w:rsidRPr="00B00923">
        <w:t xml:space="preserve"/>
      </w:r>
      <w:hyperlink r:id="rId9" w:history="1">
        <w:r w:rsidRPr="009A515B">
          <w:rPr>
            <w:rStyle w:val="Hyperlink"/>
            <w:szCs w:val="24"/>
          </w:rPr>
          <w:t/>
        </w:r>
      </w:hyperlink>
    </w:p>
    <w:p w:rsidR="001953B1" w:rsidRPr="001953B1" w:rsidRDefault="001953B1" w:rsidP="001953B1">
      <w:pPr>
        <w:jc w:val="center"/>
        <w:rPr>
          <w:b/>
          <w:bCs/>
          <w:sz w:val="28"/>
          <w:szCs w:val="28"/>
        </w:rPr>
      </w:pPr>
      <w:r w:rsidRPr="001953B1">
        <w:rPr>
          <w:b/>
          <w:bCs/>
          <w:sz w:val="28"/>
          <w:szCs w:val="28"/>
        </w:rPr>
        <w:t>Abstract</w:t>
      </w:r>
    </w:p>
    <w:p w:rsidR="001953B1" w:rsidRDefault="001953B1" w:rsidP="00DF2095">
      <w:pPr>
        <w:spacing w:line="360" w:lineRule="auto"/>
      </w:pPr>
      <w:r>
        <w:t xml:space="preserve">The rapid advancement of digital payment infrastructure has significantly transformed financial systems across developing economies by improving transaction efficiency, reducing cash dependency, and promoting financial inclusion. In Nepal, the adoption of </w:t>
      </w:r>
      <w:r w:rsidR="00272FA8">
        <w:t xml:space="preserve">digital payment instruments </w:t>
      </w:r>
      <w:r>
        <w:t>including mobile wallets, mobile banking, internet banking, debit and credit cards, Point of Sale (POS) terminals, and Payment Service Provider (PSP) agents</w:t>
      </w:r>
      <w:r w:rsidR="00272FA8">
        <w:t xml:space="preserve"> </w:t>
      </w:r>
      <w:r>
        <w:t xml:space="preserve">has increased substantially over the past decade under the regulatory guidance of Nepal </w:t>
      </w:r>
      <w:proofErr w:type="spellStart"/>
      <w:r>
        <w:t>Rastra</w:t>
      </w:r>
      <w:proofErr w:type="spellEnd"/>
      <w:r>
        <w:t xml:space="preserve"> Bank. Despite this growth, empirical evidence assessing the combined impact of these digital payment channels on the overall expansion of cashless transactions remains limited. This study examines the role of digital payment infrastructure in enhancing total cashless payments in Nepal using monthly secondary data covering a 60-month period. The study employs trend analysis, descriptive statistics, correlation analysis, and multiple regression techniques to assess the relationship between digital payment indicators and cashless transaction volumes. The findings indicate that wallet users, mobile banking customers, internet banking users, and POS-related indicators exert a positive and statistically significant influence on cashless payments. The results suggest that strengthening digital payment infrastructure</w:t>
      </w:r>
      <w:r w:rsidR="00272FA8">
        <w:t xml:space="preserve"> </w:t>
      </w:r>
      <w:r>
        <w:t>particularly POS acquiring services and agent networks</w:t>
      </w:r>
      <w:r w:rsidR="00272FA8">
        <w:t xml:space="preserve"> </w:t>
      </w:r>
      <w:r>
        <w:t>can accelerate financial inclusion and support Nepal’s transition toward a cash-lite economy. The study offers important policy implications for regulators, financial institutions, and payment service providers.</w:t>
      </w:r>
    </w:p>
    <w:p w:rsidR="001953B1" w:rsidRDefault="001953B1" w:rsidP="001953B1">
      <w:r w:rsidRPr="00DF2095">
        <w:rPr>
          <w:i/>
          <w:iCs/>
        </w:rPr>
        <w:t>Keywords</w:t>
      </w:r>
      <w:r>
        <w:t>: Digital payments, POS acquiring services, Cashless economy, Financial inclusion, Nepal</w:t>
      </w:r>
    </w:p>
    <w:p w:rsidR="00031BB3" w:rsidRDefault="00031BB3" w:rsidP="001953B1"/>
    <w:p w:rsidR="00031BB3" w:rsidRDefault="00031BB3" w:rsidP="001953B1"/>
    <w:p w:rsidR="00E21DA2" w:rsidRPr="0057511F" w:rsidRDefault="00E21DA2" w:rsidP="001953B1">
      <w:pPr>
        <w:spacing w:before="100" w:beforeAutospacing="1" w:after="100" w:afterAutospacing="1" w:line="240" w:lineRule="auto"/>
        <w:jc w:val="center"/>
        <w:outlineLvl w:val="1"/>
        <w:rPr>
          <w:rFonts w:eastAsia="Times New Roman" w:cs="Times New Roman"/>
          <w:b/>
          <w:bCs/>
          <w:sz w:val="28"/>
          <w:szCs w:val="28"/>
        </w:rPr>
      </w:pPr>
      <w:r w:rsidRPr="0057511F">
        <w:rPr>
          <w:rFonts w:eastAsia="Times New Roman" w:cs="Times New Roman"/>
          <w:b/>
          <w:bCs/>
          <w:sz w:val="28"/>
          <w:szCs w:val="28"/>
        </w:rPr>
        <w:lastRenderedPageBreak/>
        <w:t>The Role of Digital Payment Infrastructure in Enhancing Cashless Transactions and Financial Inclusion in Nepal</w:t>
      </w:r>
    </w:p>
    <w:p w:rsidR="00E21DA2" w:rsidRPr="001953B1" w:rsidRDefault="00E21DA2" w:rsidP="00E21DA2">
      <w:pPr>
        <w:jc w:val="center"/>
        <w:rPr>
          <w:b/>
          <w:bCs/>
          <w:sz w:val="28"/>
          <w:szCs w:val="28"/>
        </w:rPr>
      </w:pPr>
      <w:r w:rsidRPr="001953B1">
        <w:rPr>
          <w:b/>
          <w:bCs/>
          <w:sz w:val="28"/>
          <w:szCs w:val="28"/>
        </w:rPr>
        <w:t>Abstract</w:t>
      </w:r>
    </w:p>
    <w:p w:rsidR="00E21DA2" w:rsidRDefault="00E21DA2" w:rsidP="00E21DA2">
      <w:pPr>
        <w:spacing w:line="360" w:lineRule="auto"/>
      </w:pPr>
      <w:r>
        <w:t xml:space="preserve">The rapid advancement of digital payment infrastructure has significantly transformed financial systems across developing economies by improving transaction efficiency, reducing cash dependency, and promoting financial inclusion. In Nepal, the adoption of digital payment instruments including mobile wallets, mobile banking, internet banking, debit and credit cards, Point of Sale (POS) terminals, and Payment Service Provider (PSP) agents has increased substantially over the past decade under the regulatory guidance of Nepal </w:t>
      </w:r>
      <w:proofErr w:type="spellStart"/>
      <w:r>
        <w:t>Rastra</w:t>
      </w:r>
      <w:proofErr w:type="spellEnd"/>
      <w:r>
        <w:t xml:space="preserve"> Bank. Despite this growth, empirical evidence assessing the combined impact of these digital payment channels on the overall expansion of cashless transactions remains limited. This study examines the role of digital payment infrastructure in enhancing total cashless payments in Nepal using monthly secondary data covering a 60-month period. The study employs trend analysis, descriptive statistics, correlation analysis, and multiple regression techniques to assess the relationship between digital payment indicators and cashless transaction volumes. The findings indicate that wallet users, mobile banking customers, internet banking users, and POS-related indicators exert a positive and statistically significant influence on cashless payments. The results suggest that strengthening digital payment infrastructure particularly POS acquiring services and agent networks can accelerate financial inclusion and support Nepal’s transition toward a cash-lite economy. The study offers important policy implications for regulators, financial institutions, and payment service providers.</w:t>
      </w:r>
    </w:p>
    <w:p w:rsidR="00E21DA2" w:rsidRDefault="00E21DA2" w:rsidP="00E21DA2">
      <w:r w:rsidRPr="00DF2095">
        <w:rPr>
          <w:i/>
          <w:iCs/>
        </w:rPr>
        <w:t>Keywords</w:t>
      </w:r>
      <w:r>
        <w:t>: Digital payments, POS acquiring services, Cashless economy, Financial inclusion, Nepal</w:t>
      </w:r>
    </w:p>
    <w:p w:rsidR="001953B1" w:rsidRPr="001953B1" w:rsidRDefault="001953B1" w:rsidP="001953B1">
      <w:pPr>
        <w:spacing w:before="100" w:beforeAutospacing="1" w:after="100" w:afterAutospacing="1" w:line="240" w:lineRule="auto"/>
        <w:jc w:val="center"/>
        <w:outlineLvl w:val="1"/>
        <w:rPr>
          <w:rFonts w:eastAsia="Times New Roman" w:cs="Times New Roman"/>
          <w:b/>
          <w:bCs/>
          <w:szCs w:val="24"/>
        </w:rPr>
      </w:pPr>
      <w:r w:rsidRPr="00DF2095">
        <w:rPr>
          <w:rFonts w:eastAsia="Times New Roman" w:cs="Times New Roman"/>
          <w:b/>
          <w:bCs/>
          <w:szCs w:val="24"/>
        </w:rPr>
        <w:t>Introduction</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The global financial system is undergoing a fundamental transformation as economies increasingly shift from cash-based transactions to digital payment mechanisms. Digital payments have emerged as a critical driver of efficiency, transparency, and financial inclusion by enabling individuals and businesses to access formal financial services with reduced transaction costs and improved security (</w:t>
      </w:r>
      <w:proofErr w:type="spellStart"/>
      <w:r w:rsidR="001953B1" w:rsidRPr="001953B1">
        <w:rPr>
          <w:rFonts w:eastAsia="Times New Roman" w:cs="Times New Roman"/>
          <w:szCs w:val="24"/>
        </w:rPr>
        <w:t>Ozili</w:t>
      </w:r>
      <w:proofErr w:type="spellEnd"/>
      <w:r w:rsidR="001953B1" w:rsidRPr="001953B1">
        <w:rPr>
          <w:rFonts w:eastAsia="Times New Roman" w:cs="Times New Roman"/>
          <w:szCs w:val="24"/>
        </w:rPr>
        <w:t xml:space="preserve">, 2020). In developing economies, where access to traditional banking </w:t>
      </w:r>
      <w:r w:rsidR="001953B1" w:rsidRPr="001953B1">
        <w:rPr>
          <w:rFonts w:eastAsia="Times New Roman" w:cs="Times New Roman"/>
          <w:szCs w:val="24"/>
        </w:rPr>
        <w:lastRenderedPageBreak/>
        <w:t>infrastructure is often limited, digital payment systems provide an alternative pathway for integrating underserved populations into the formal financial system.</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 xml:space="preserve">In Nepal, digital payment infrastructure has expanded rapidly over the last decade. Payment instruments such as mobile wallets, mobile banking, internet banking, debit and credit cards, and POS terminals have gained prominence, supported by policy initiatives and regulatory reforms led by Nepal </w:t>
      </w:r>
      <w:proofErr w:type="spellStart"/>
      <w:r w:rsidR="001953B1" w:rsidRPr="001953B1">
        <w:rPr>
          <w:rFonts w:eastAsia="Times New Roman" w:cs="Times New Roman"/>
          <w:szCs w:val="24"/>
        </w:rPr>
        <w:t>Rastra</w:t>
      </w:r>
      <w:proofErr w:type="spellEnd"/>
      <w:r w:rsidR="001953B1" w:rsidRPr="001953B1">
        <w:rPr>
          <w:rFonts w:eastAsia="Times New Roman" w:cs="Times New Roman"/>
          <w:szCs w:val="24"/>
        </w:rPr>
        <w:t xml:space="preserve"> Bank (NRB). According to NRB payment system reports, the volume and value of digital transactions have increased consistently, reflecting a gradual transition toward a cashless or cash-lite economy. Mobile wallets and mobile banking applications, in particular, have become popular due to increasing smartphone penetration and improved internet connectivity.</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Despite these developments, the adoption of digital payments remains uneven across regions and economic sectors. Urban areas exhibit higher adoption rates, while rural and semi-urban regions continue to face challenges such as limited digital infrastructure, low digital literacy, unreliable connectivity, and concerns regarding cybersecurity (</w:t>
      </w:r>
      <w:proofErr w:type="spellStart"/>
      <w:r w:rsidR="001953B1" w:rsidRPr="001953B1">
        <w:rPr>
          <w:rFonts w:eastAsia="Times New Roman" w:cs="Times New Roman"/>
          <w:szCs w:val="24"/>
        </w:rPr>
        <w:t>Thapa</w:t>
      </w:r>
      <w:proofErr w:type="spellEnd"/>
      <w:r w:rsidR="001953B1" w:rsidRPr="001953B1">
        <w:rPr>
          <w:rFonts w:eastAsia="Times New Roman" w:cs="Times New Roman"/>
          <w:szCs w:val="24"/>
        </w:rPr>
        <w:t>, 2025). Small and medium-sized enterprises (SMEs), which constitute a significant portion of Nepal’s economy, often hesitate to adopt digital payment systems due to transaction costs and limited technical capacity (</w:t>
      </w:r>
      <w:proofErr w:type="spellStart"/>
      <w:r w:rsidR="001953B1" w:rsidRPr="001953B1">
        <w:rPr>
          <w:rFonts w:eastAsia="Times New Roman" w:cs="Times New Roman"/>
          <w:szCs w:val="24"/>
        </w:rPr>
        <w:t>Bhattarai</w:t>
      </w:r>
      <w:proofErr w:type="spellEnd"/>
      <w:r w:rsidR="001953B1" w:rsidRPr="001953B1">
        <w:rPr>
          <w:rFonts w:eastAsia="Times New Roman" w:cs="Times New Roman"/>
          <w:szCs w:val="24"/>
        </w:rPr>
        <w:t xml:space="preserve"> et al., 2023). These disparities limit the overall effectiveness of digital payments in promoting financial inclusion and economic growth.</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While existing studies in Nepal have examined digital payments from perspectives such as consumer behavior, financial literacy, and SME performance, most analyses focus on individual payment instruments or specific geographic areas. There is limited empirical research that evaluates the combined contribution of multiple digital payment infrastructure components—including POS acquiring services—toward overall cashless transaction growth at the national level. Addressing this gap, the present study investigates how various digital payment channels collectively influence total cashless payments in Nepal over time.</w:t>
      </w:r>
    </w:p>
    <w:p w:rsidR="001953B1" w:rsidRPr="001953B1" w:rsidRDefault="001953B1" w:rsidP="00901DEA">
      <w:pPr>
        <w:spacing w:line="360" w:lineRule="auto"/>
        <w:rPr>
          <w:rFonts w:eastAsia="Times New Roman" w:cs="Times New Roman"/>
          <w:szCs w:val="24"/>
        </w:rPr>
      </w:pPr>
      <w:bookmarkStart w:id="0" w:name="_GoBack"/>
      <w:bookmarkEnd w:id="0"/>
      <w:r w:rsidRPr="001953B1">
        <w:rPr>
          <w:rFonts w:eastAsia="Times New Roman" w:cs="Times New Roman"/>
          <w:szCs w:val="24"/>
        </w:rPr>
        <w:t>This study is anchored in three major theoretical perspectives: Financial Intermediation Theory, the Technology Acceptance Model (TAM), and Endogenous Growth Theory.</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 xml:space="preserve">Financial Intermediation Theory explains how financial intermediaries facilitate the efficient allocation of resources by reducing transaction costs and information asymmetry. In the </w:t>
      </w:r>
      <w:r w:rsidR="001953B1" w:rsidRPr="001953B1">
        <w:rPr>
          <w:rFonts w:eastAsia="Times New Roman" w:cs="Times New Roman"/>
          <w:szCs w:val="24"/>
        </w:rPr>
        <w:lastRenderedPageBreak/>
        <w:t>context of digital finance, payment service providers, mobile wallets, and POS acquiring institutions function as non-traditional intermediaries that connect consumers and merchants to the formal financial system. In Nepal, these intermediaries play a crucial role in extending financial services to regions where traditional banking infrastructure is limited.</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The Technology Acceptance Model (Davis, 1989) provides insights into why individuals and businesses adopt or reject digital payment technologies. According to TAM, perceived usefulness and perceived ease of use are the primary determinants of technology adoption. Studies in Nepal indicate that convenience, transaction speed, and perceived security positively influence digital payment adoption, while complexity and lack of trust act as barriers (</w:t>
      </w:r>
      <w:proofErr w:type="spellStart"/>
      <w:r w:rsidR="001953B1" w:rsidRPr="001953B1">
        <w:rPr>
          <w:rFonts w:eastAsia="Times New Roman" w:cs="Times New Roman"/>
          <w:szCs w:val="24"/>
        </w:rPr>
        <w:t>Bhujel</w:t>
      </w:r>
      <w:proofErr w:type="spellEnd"/>
      <w:r w:rsidR="001953B1" w:rsidRPr="001953B1">
        <w:rPr>
          <w:rFonts w:eastAsia="Times New Roman" w:cs="Times New Roman"/>
          <w:szCs w:val="24"/>
        </w:rPr>
        <w:t>, 2024).</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Endogenous Growth Theory emphasizes the role of technological innovation and human capital in driving long-term economic growth. Digital payment infrastructure represents a form of financial innovation that enhances productivity, facilitates market participation, and supports entrepreneurial activity. By enabling efficient transactions and improving access to financial services, digital payments contribute to sustainable economic growth from within the economy.</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 xml:space="preserve">International empirical studies consistently demonstrate a positive relationship between digital payment infrastructure and financial inclusion. Lal and </w:t>
      </w:r>
      <w:proofErr w:type="spellStart"/>
      <w:r w:rsidR="001953B1" w:rsidRPr="001953B1">
        <w:rPr>
          <w:rFonts w:eastAsia="Times New Roman" w:cs="Times New Roman"/>
          <w:szCs w:val="24"/>
        </w:rPr>
        <w:t>Sachdev</w:t>
      </w:r>
      <w:proofErr w:type="spellEnd"/>
      <w:r w:rsidR="001953B1" w:rsidRPr="001953B1">
        <w:rPr>
          <w:rFonts w:eastAsia="Times New Roman" w:cs="Times New Roman"/>
          <w:szCs w:val="24"/>
        </w:rPr>
        <w:t xml:space="preserve"> (2023) find that increased POS terminal density significantly boosts card-based transactions in South Asia. Similarly, </w:t>
      </w:r>
      <w:proofErr w:type="spellStart"/>
      <w:r w:rsidR="001953B1" w:rsidRPr="001953B1">
        <w:rPr>
          <w:rFonts w:eastAsia="Times New Roman" w:cs="Times New Roman"/>
          <w:szCs w:val="24"/>
        </w:rPr>
        <w:t>Anifowose</w:t>
      </w:r>
      <w:proofErr w:type="spellEnd"/>
      <w:r w:rsidR="001953B1" w:rsidRPr="001953B1">
        <w:rPr>
          <w:rFonts w:eastAsia="Times New Roman" w:cs="Times New Roman"/>
          <w:szCs w:val="24"/>
        </w:rPr>
        <w:t xml:space="preserve"> and </w:t>
      </w:r>
      <w:proofErr w:type="spellStart"/>
      <w:r w:rsidR="001953B1" w:rsidRPr="001953B1">
        <w:rPr>
          <w:rFonts w:eastAsia="Times New Roman" w:cs="Times New Roman"/>
          <w:szCs w:val="24"/>
        </w:rPr>
        <w:t>Ekperiware</w:t>
      </w:r>
      <w:proofErr w:type="spellEnd"/>
      <w:r w:rsidR="001953B1" w:rsidRPr="001953B1">
        <w:rPr>
          <w:rFonts w:eastAsia="Times New Roman" w:cs="Times New Roman"/>
          <w:szCs w:val="24"/>
        </w:rPr>
        <w:t xml:space="preserve"> (2022) report that POS and ATM transactions positively influence economic growth in Nigeria.</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 xml:space="preserve">In the Nepalese context, Shrestha (2024) shows that digital banking indicators such as mobile banking users and debit card usage are positively associated with GDP growth. </w:t>
      </w:r>
      <w:proofErr w:type="spellStart"/>
      <w:r w:rsidR="001953B1" w:rsidRPr="001953B1">
        <w:rPr>
          <w:rFonts w:eastAsia="Times New Roman" w:cs="Times New Roman"/>
          <w:szCs w:val="24"/>
        </w:rPr>
        <w:t>Bhattarai</w:t>
      </w:r>
      <w:proofErr w:type="spellEnd"/>
      <w:r w:rsidR="001953B1" w:rsidRPr="001953B1">
        <w:rPr>
          <w:rFonts w:eastAsia="Times New Roman" w:cs="Times New Roman"/>
          <w:szCs w:val="24"/>
        </w:rPr>
        <w:t xml:space="preserve"> et al. (2023) observe that POS adoption improves operational efficiency and sales management among SMEs, although high transaction fees remain a constraint. </w:t>
      </w:r>
      <w:proofErr w:type="spellStart"/>
      <w:r w:rsidR="001953B1" w:rsidRPr="001953B1">
        <w:rPr>
          <w:rFonts w:eastAsia="Times New Roman" w:cs="Times New Roman"/>
          <w:szCs w:val="24"/>
        </w:rPr>
        <w:t>Thapa</w:t>
      </w:r>
      <w:proofErr w:type="spellEnd"/>
      <w:r w:rsidR="001953B1" w:rsidRPr="001953B1">
        <w:rPr>
          <w:rFonts w:eastAsia="Times New Roman" w:cs="Times New Roman"/>
          <w:szCs w:val="24"/>
        </w:rPr>
        <w:t xml:space="preserve"> (2025) emphasizes the role of financial literacy in shaping digital payment adoption behavior.</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Despite these contributions, existing literature often examines digital payment channels in isolation and relies heavily on cross-sectional data. There is a lack of comprehensive time-series analysis that integrates multiple digital payment instruments to assess their collective impact on cashless transaction growth in Nepal. This study seeks to bridge this gap.</w:t>
      </w:r>
    </w:p>
    <w:p w:rsidR="001953B1" w:rsidRPr="001953B1" w:rsidRDefault="001953B1" w:rsidP="00901DEA">
      <w:pPr>
        <w:spacing w:line="360" w:lineRule="auto"/>
        <w:jc w:val="center"/>
        <w:outlineLvl w:val="1"/>
        <w:rPr>
          <w:rFonts w:eastAsia="Times New Roman" w:cs="Times New Roman"/>
          <w:b/>
          <w:bCs/>
          <w:szCs w:val="24"/>
        </w:rPr>
      </w:pPr>
      <w:r w:rsidRPr="00901DEA">
        <w:rPr>
          <w:rFonts w:eastAsia="Times New Roman" w:cs="Times New Roman"/>
          <w:b/>
          <w:bCs/>
          <w:szCs w:val="24"/>
        </w:rPr>
        <w:lastRenderedPageBreak/>
        <w:t>Methodology</w:t>
      </w:r>
    </w:p>
    <w:p w:rsidR="001953B1" w:rsidRPr="001953B1" w:rsidRDefault="001953B1" w:rsidP="00901DEA">
      <w:pPr>
        <w:spacing w:line="360" w:lineRule="auto"/>
        <w:outlineLvl w:val="2"/>
        <w:rPr>
          <w:rFonts w:eastAsia="Times New Roman" w:cs="Times New Roman"/>
          <w:b/>
          <w:bCs/>
          <w:szCs w:val="24"/>
        </w:rPr>
      </w:pPr>
      <w:r w:rsidRPr="00901DEA">
        <w:rPr>
          <w:rFonts w:eastAsia="Times New Roman" w:cs="Times New Roman"/>
          <w:b/>
          <w:bCs/>
          <w:szCs w:val="24"/>
        </w:rPr>
        <w:t>Research Design and Data Sources</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 xml:space="preserve">The study employs a quantitative research design using secondary monthly time-series data covering a 60-month period. Data are obtained from Nepal </w:t>
      </w:r>
      <w:proofErr w:type="spellStart"/>
      <w:r w:rsidR="001953B1" w:rsidRPr="001953B1">
        <w:rPr>
          <w:rFonts w:eastAsia="Times New Roman" w:cs="Times New Roman"/>
          <w:szCs w:val="24"/>
        </w:rPr>
        <w:t>Rastra</w:t>
      </w:r>
      <w:proofErr w:type="spellEnd"/>
      <w:r w:rsidR="001953B1" w:rsidRPr="001953B1">
        <w:rPr>
          <w:rFonts w:eastAsia="Times New Roman" w:cs="Times New Roman"/>
          <w:szCs w:val="24"/>
        </w:rPr>
        <w:t xml:space="preserve"> Bank payment system reports and related publications.</w:t>
      </w:r>
    </w:p>
    <w:p w:rsidR="001953B1" w:rsidRPr="001953B1" w:rsidRDefault="001953B1" w:rsidP="00901DEA">
      <w:pPr>
        <w:spacing w:line="360" w:lineRule="auto"/>
        <w:outlineLvl w:val="2"/>
        <w:rPr>
          <w:rFonts w:eastAsia="Times New Roman" w:cs="Times New Roman"/>
          <w:b/>
          <w:bCs/>
          <w:szCs w:val="24"/>
        </w:rPr>
      </w:pPr>
      <w:r w:rsidRPr="00901DEA">
        <w:rPr>
          <w:rFonts w:eastAsia="Times New Roman" w:cs="Times New Roman"/>
          <w:b/>
          <w:bCs/>
          <w:szCs w:val="24"/>
        </w:rPr>
        <w:t>Variables and Model Specification</w:t>
      </w:r>
    </w:p>
    <w:p w:rsidR="001953B1" w:rsidRPr="001953B1" w:rsidRDefault="001953B1" w:rsidP="00901DEA">
      <w:pPr>
        <w:numPr>
          <w:ilvl w:val="0"/>
          <w:numId w:val="1"/>
        </w:numPr>
        <w:spacing w:line="360" w:lineRule="auto"/>
        <w:rPr>
          <w:rFonts w:eastAsia="Times New Roman" w:cs="Times New Roman"/>
          <w:szCs w:val="24"/>
        </w:rPr>
      </w:pPr>
      <w:r w:rsidRPr="001953B1">
        <w:rPr>
          <w:rFonts w:eastAsia="Times New Roman" w:cs="Times New Roman"/>
          <w:b/>
          <w:bCs/>
          <w:szCs w:val="24"/>
        </w:rPr>
        <w:t>Dependent Variable:</w:t>
      </w:r>
      <w:r w:rsidRPr="001953B1">
        <w:rPr>
          <w:rFonts w:eastAsia="Times New Roman" w:cs="Times New Roman"/>
          <w:szCs w:val="24"/>
        </w:rPr>
        <w:t xml:space="preserve"> Total cashless payments</w:t>
      </w:r>
    </w:p>
    <w:p w:rsidR="001953B1" w:rsidRPr="001953B1" w:rsidRDefault="001953B1" w:rsidP="00901DEA">
      <w:pPr>
        <w:numPr>
          <w:ilvl w:val="0"/>
          <w:numId w:val="1"/>
        </w:numPr>
        <w:spacing w:line="360" w:lineRule="auto"/>
        <w:rPr>
          <w:rFonts w:eastAsia="Times New Roman" w:cs="Times New Roman"/>
          <w:szCs w:val="24"/>
        </w:rPr>
      </w:pPr>
      <w:r w:rsidRPr="001953B1">
        <w:rPr>
          <w:rFonts w:eastAsia="Times New Roman" w:cs="Times New Roman"/>
          <w:b/>
          <w:bCs/>
          <w:szCs w:val="24"/>
        </w:rPr>
        <w:t>Independent Variables:</w:t>
      </w:r>
      <w:r w:rsidRPr="001953B1">
        <w:rPr>
          <w:rFonts w:eastAsia="Times New Roman" w:cs="Times New Roman"/>
          <w:szCs w:val="24"/>
        </w:rPr>
        <w:t xml:space="preserve"> Wallet users, mobile banking customers, internet banking customers, debit cards, credit cards, PSP agents, and ATM terminals</w:t>
      </w:r>
    </w:p>
    <w:p w:rsidR="001953B1" w:rsidRP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A multiple regression model is specified to estimate the impact of digital payment indicators on cashless payment growth.</w:t>
      </w:r>
    </w:p>
    <w:p w:rsidR="001953B1" w:rsidRPr="001953B1" w:rsidRDefault="001953B1" w:rsidP="00901DEA">
      <w:pPr>
        <w:spacing w:line="360" w:lineRule="auto"/>
        <w:outlineLvl w:val="2"/>
        <w:rPr>
          <w:rFonts w:eastAsia="Times New Roman" w:cs="Times New Roman"/>
          <w:b/>
          <w:bCs/>
          <w:szCs w:val="24"/>
        </w:rPr>
      </w:pPr>
      <w:r w:rsidRPr="00901DEA">
        <w:rPr>
          <w:rFonts w:eastAsia="Times New Roman" w:cs="Times New Roman"/>
          <w:b/>
          <w:bCs/>
          <w:szCs w:val="24"/>
        </w:rPr>
        <w:t>Analytical Techniques</w:t>
      </w:r>
    </w:p>
    <w:p w:rsidR="001953B1" w:rsidRDefault="00376629" w:rsidP="00901DEA">
      <w:pPr>
        <w:spacing w:line="360" w:lineRule="auto"/>
        <w:rPr>
          <w:rFonts w:eastAsia="Times New Roman" w:cs="Times New Roman"/>
          <w:szCs w:val="24"/>
        </w:rPr>
      </w:pPr>
      <w:r>
        <w:rPr>
          <w:rFonts w:eastAsia="Times New Roman" w:cs="Times New Roman"/>
          <w:szCs w:val="24"/>
        </w:rPr>
        <w:tab/>
      </w:r>
      <w:r w:rsidR="001953B1" w:rsidRPr="001953B1">
        <w:rPr>
          <w:rFonts w:eastAsia="Times New Roman" w:cs="Times New Roman"/>
          <w:szCs w:val="24"/>
        </w:rPr>
        <w:t>Trend analysis is used to examine growth patterns, while descriptive statistics summarize key features of the data. Correlation analysis identifies associations among variables, and regression analysis evaluates the magnitude and significance of relationships.</w:t>
      </w:r>
    </w:p>
    <w:p w:rsidR="001953B1" w:rsidRPr="001953B1" w:rsidRDefault="001953B1" w:rsidP="00901DEA">
      <w:pPr>
        <w:spacing w:line="360" w:lineRule="auto"/>
        <w:jc w:val="center"/>
        <w:outlineLvl w:val="1"/>
        <w:rPr>
          <w:rFonts w:eastAsia="Times New Roman" w:cs="Times New Roman"/>
          <w:b/>
          <w:bCs/>
          <w:szCs w:val="24"/>
        </w:rPr>
      </w:pPr>
      <w:r w:rsidRPr="00901DEA">
        <w:rPr>
          <w:rFonts w:eastAsia="Times New Roman" w:cs="Times New Roman"/>
          <w:b/>
          <w:bCs/>
          <w:szCs w:val="24"/>
        </w:rPr>
        <w:t>Results and Discussion</w:t>
      </w:r>
    </w:p>
    <w:p w:rsidR="007614D3" w:rsidRPr="00901DEA" w:rsidRDefault="007614D3" w:rsidP="00901DEA">
      <w:pPr>
        <w:spacing w:line="360" w:lineRule="auto"/>
        <w:rPr>
          <w:rFonts w:eastAsia="Times New Roman" w:cs="Times New Roman"/>
          <w:b/>
          <w:bCs/>
          <w:szCs w:val="24"/>
        </w:rPr>
      </w:pPr>
      <w:r w:rsidRPr="00901DEA">
        <w:rPr>
          <w:rFonts w:eastAsia="Times New Roman" w:cs="Times New Roman"/>
          <w:b/>
          <w:bCs/>
          <w:szCs w:val="24"/>
        </w:rPr>
        <w:t>Trends in Digital Payment Infrastructure</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The trend analysis reveals a strong and consistent expansion of digital payment infrastructure in Nepal over the five-year study period, indicating a decisive shift toward a cashless payment ecosystem. Across all major indicators—mobile wallets, mobile banking, card-based instruments, agent networks, and integrated payment platforms—an upward trajectory is clearly evident.</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 xml:space="preserve">The number of mobile wallet users increased sharply from approximately 5 million at the beginning of the period to more than 25 million users by the end. This exponential growth highlights mobile wallets as the most rapidly adopted digital payment instrument in Nepal. The </w:t>
      </w:r>
      <w:r w:rsidR="007614D3" w:rsidRPr="007614D3">
        <w:rPr>
          <w:rFonts w:eastAsia="Times New Roman" w:cs="Times New Roman"/>
          <w:szCs w:val="24"/>
        </w:rPr>
        <w:lastRenderedPageBreak/>
        <w:t>widespread diffusion of smartphones, expansion of mobile network coverage, and enhanced security features of wallet platforms appear to have significantly influenced consumer behavior. The sustained upward trend also suggests growing acceptance of wallet-based transactions across diverse demographic groups.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A similar pattern is observed in the growth of Payment Service Provider (PSP) agents, which rose dramatically during the latter half of the study period, peaking around 2081/10. The expansion of PSP agents reflects deliberate efforts by payment service providers and regulators to extend digital payment services to underserved and rural areas. Agent-based models have played a critical role in bridging gaps where formal banking infrastructure remains limited, thereby supporting broader financial inclusion objectives.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The adoption of debit cards increased steadily from approximately 7 million to 14 million users. This indicates rising consumer confidence in electronic payment instruments and a gradual transition away from cash-based retail transactions. However, the growth rate appears to moderate toward the later stages of the period, suggesting possible market saturation or substitution by mobile-based alternatives.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In contrast, credit card usage grew at a much slower pace, rising from around 150,000 to 300,000 users. Although the trend is positive, the relatively limited expansion reflects Nepal’s conservative credit culture, restricted access to credit facilities, and consumer preference for debit-based or wallet-based payment mechanisms.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The number of mobile banking customers recorded one of the most notable increases, rising from approximately 5 million users in 2077 to nearly 25 million users in 2081. This steep rise indicates that mobile banking has become a dominant channel for financial transactions, particularly in urban and semi-urban regions where mobile connectivity is strong. The convenience of on-the-go banking services has clearly accelerated adoption.</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Traditional banking infrastructure, represented by ATM terminals, increased gradually from about 3,500 to 5,000 machines. While ATMs remain relevant for cash withdrawals, their slower growth relative to mobile-based services suggests a gradual decline in reliance on physical banking infrastructure.</w:t>
      </w:r>
    </w:p>
    <w:p w:rsidR="007614D3" w:rsidRPr="007614D3" w:rsidRDefault="00376629" w:rsidP="00901DEA">
      <w:pPr>
        <w:spacing w:line="360" w:lineRule="auto"/>
        <w:rPr>
          <w:rFonts w:eastAsia="Times New Roman" w:cs="Times New Roman"/>
          <w:szCs w:val="24"/>
        </w:rPr>
      </w:pPr>
      <w:r>
        <w:rPr>
          <w:rFonts w:eastAsia="Times New Roman" w:cs="Times New Roman"/>
          <w:szCs w:val="24"/>
        </w:rPr>
        <w:lastRenderedPageBreak/>
        <w:tab/>
      </w:r>
      <w:r w:rsidR="007614D3" w:rsidRPr="007614D3">
        <w:rPr>
          <w:rFonts w:eastAsia="Times New Roman" w:cs="Times New Roman"/>
          <w:szCs w:val="24"/>
        </w:rPr>
        <w:t>Similarly, internet banking customers increased from roughly 1 million to 2.5 million users. Although the trend is positive, growth remains slower than mobile banking, indicating a preference for mobile platforms over desktop-based banking solutions.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The adoption of Connect</w:t>
      </w:r>
      <w:r w:rsidR="00B00923">
        <w:rPr>
          <w:rFonts w:eastAsia="Times New Roman" w:cs="Times New Roman"/>
          <w:szCs w:val="24"/>
        </w:rPr>
        <w:t xml:space="preserve"> </w:t>
      </w:r>
      <w:r w:rsidR="007614D3" w:rsidRPr="007614D3">
        <w:rPr>
          <w:rFonts w:eastAsia="Times New Roman" w:cs="Times New Roman"/>
          <w:szCs w:val="24"/>
        </w:rPr>
        <w:t>IPS, an interbank payment platform, also increased markedly—from approximately 500,000 to 1.5 million users</w:t>
      </w:r>
      <w:r w:rsidR="00B00923">
        <w:rPr>
          <w:rFonts w:eastAsia="Times New Roman" w:cs="Times New Roman"/>
          <w:szCs w:val="24"/>
        </w:rPr>
        <w:t xml:space="preserve"> </w:t>
      </w:r>
      <w:r w:rsidR="007614D3" w:rsidRPr="007614D3">
        <w:rPr>
          <w:rFonts w:eastAsia="Times New Roman" w:cs="Times New Roman"/>
          <w:szCs w:val="24"/>
        </w:rPr>
        <w:t>reflecting growing demand for integrated and seamless interbank digital payment solutions.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Most importantly, total cashless payments rose dramatically from nearly NPR 22.6 trillion in 2077 to over NPR 185.4 trillion in 2081. This substantial increase confirms the effectiveness of Nepal’s digital payment expansion and highlights a fundamental shift in transaction behavior toward digital modes.</w:t>
      </w:r>
    </w:p>
    <w:p w:rsidR="007614D3" w:rsidRDefault="007614D3" w:rsidP="00901DEA">
      <w:pPr>
        <w:spacing w:line="360" w:lineRule="auto"/>
        <w:rPr>
          <w:rFonts w:eastAsia="Times New Roman" w:cs="Times New Roman"/>
          <w:b/>
          <w:bCs/>
          <w:szCs w:val="24"/>
        </w:rPr>
      </w:pPr>
      <w:r w:rsidRPr="00901DEA">
        <w:rPr>
          <w:rFonts w:eastAsia="Times New Roman" w:cs="Times New Roman"/>
          <w:b/>
          <w:bCs/>
          <w:szCs w:val="24"/>
        </w:rPr>
        <w:t>Descriptive Statistics</w:t>
      </w:r>
    </w:p>
    <w:p w:rsidR="00901DEA" w:rsidRPr="00901DEA" w:rsidRDefault="00376629" w:rsidP="00901DEA">
      <w:pPr>
        <w:spacing w:line="360" w:lineRule="auto"/>
        <w:rPr>
          <w:rFonts w:eastAsia="Times New Roman" w:cs="Times New Roman"/>
          <w:szCs w:val="24"/>
        </w:rPr>
      </w:pPr>
      <w:r>
        <w:rPr>
          <w:rFonts w:eastAsia="Times New Roman" w:cs="Times New Roman"/>
          <w:szCs w:val="24"/>
        </w:rPr>
        <w:tab/>
      </w:r>
      <w:r w:rsidR="00901DEA" w:rsidRPr="00901DEA">
        <w:rPr>
          <w:rFonts w:eastAsia="Times New Roman" w:cs="Times New Roman"/>
          <w:szCs w:val="24"/>
        </w:rPr>
        <w:t xml:space="preserve">The table shows the descriptive statistics of several payment systems used in digital payment in Nepal, thus giving important insights into how the different payment platforms are distributed in a span of five years. It contains information about the wallet users, debit card, mobile banking, credit card, internet banking, customers of </w:t>
      </w:r>
      <w:proofErr w:type="spellStart"/>
      <w:r w:rsidR="00901DEA" w:rsidRPr="00901DEA">
        <w:rPr>
          <w:rFonts w:eastAsia="Times New Roman" w:cs="Times New Roman"/>
          <w:szCs w:val="24"/>
        </w:rPr>
        <w:t>connectips</w:t>
      </w:r>
      <w:proofErr w:type="spellEnd"/>
      <w:r w:rsidR="00901DEA" w:rsidRPr="00901DEA">
        <w:rPr>
          <w:rFonts w:eastAsia="Times New Roman" w:cs="Times New Roman"/>
          <w:szCs w:val="24"/>
        </w:rPr>
        <w:t>, total cash less payment, PSP agents and ATM machines.</w:t>
      </w:r>
    </w:p>
    <w:p w:rsidR="00901DEA" w:rsidRDefault="00376629" w:rsidP="00901DEA">
      <w:pPr>
        <w:spacing w:line="360" w:lineRule="auto"/>
        <w:rPr>
          <w:rFonts w:eastAsia="Times New Roman" w:cs="Times New Roman"/>
          <w:szCs w:val="24"/>
        </w:rPr>
      </w:pPr>
      <w:r>
        <w:rPr>
          <w:rFonts w:eastAsia="Times New Roman" w:cs="Times New Roman"/>
          <w:szCs w:val="24"/>
        </w:rPr>
        <w:tab/>
      </w:r>
      <w:r w:rsidR="00901DEA" w:rsidRPr="00901DEA">
        <w:rPr>
          <w:rFonts w:eastAsia="Times New Roman" w:cs="Times New Roman"/>
          <w:szCs w:val="24"/>
        </w:rPr>
        <w:t>Beginning with Wallet Users, the data will have quite a wide range with a minimum of 6.2 million users and the maximum of about 27 million users. The standard deviation of about 6.8 million is the standard deviation of the average number of wallet users which is 16.3 million and shows that the number of people who have been using it has considerably varied over the years. Such inconsistency indicates a steadily, though not steadily, increasing adoption rate of mobile wallets in Nepal with some months recording faster rates of growth than other months.</w:t>
      </w:r>
    </w:p>
    <w:tbl>
      <w:tblPr>
        <w:tblW w:w="5000" w:type="pct"/>
        <w:tblLayout w:type="fixed"/>
        <w:tblLook w:val="04A0" w:firstRow="1" w:lastRow="0" w:firstColumn="1" w:lastColumn="0" w:noHBand="0" w:noVBand="1"/>
      </w:tblPr>
      <w:tblGrid>
        <w:gridCol w:w="2069"/>
        <w:gridCol w:w="1711"/>
        <w:gridCol w:w="1619"/>
        <w:gridCol w:w="1891"/>
        <w:gridCol w:w="2070"/>
      </w:tblGrid>
      <w:tr w:rsidR="00901DEA" w:rsidRPr="008B5597" w:rsidTr="000632CC">
        <w:trPr>
          <w:trHeight w:val="300"/>
        </w:trPr>
        <w:tc>
          <w:tcPr>
            <w:tcW w:w="5000" w:type="pct"/>
            <w:gridSpan w:val="5"/>
            <w:tcBorders>
              <w:top w:val="nil"/>
              <w:left w:val="nil"/>
              <w:bottom w:val="single" w:sz="4" w:space="0" w:color="auto"/>
              <w:right w:val="nil"/>
            </w:tcBorders>
            <w:hideMark/>
          </w:tcPr>
          <w:p w:rsidR="00901DEA" w:rsidRPr="008B5597" w:rsidRDefault="00901DEA" w:rsidP="000632CC">
            <w:pPr>
              <w:spacing w:after="0" w:line="240" w:lineRule="auto"/>
              <w:jc w:val="center"/>
              <w:rPr>
                <w:rFonts w:eastAsia="Times New Roman" w:cs="Times New Roman"/>
                <w:b/>
                <w:bCs/>
                <w:color w:val="0D0D0D"/>
                <w:szCs w:val="24"/>
              </w:rPr>
            </w:pPr>
            <w:r w:rsidRPr="008B5597">
              <w:rPr>
                <w:rFonts w:eastAsia="Times New Roman" w:cs="Times New Roman"/>
                <w:b/>
                <w:bCs/>
                <w:color w:val="0D0D0D"/>
                <w:szCs w:val="24"/>
              </w:rPr>
              <w:t>Descriptive Statistics</w:t>
            </w:r>
          </w:p>
        </w:tc>
      </w:tr>
      <w:tr w:rsidR="00901DEA" w:rsidRPr="008B5597" w:rsidTr="000632CC">
        <w:trPr>
          <w:trHeight w:val="310"/>
        </w:trPr>
        <w:tc>
          <w:tcPr>
            <w:tcW w:w="1105" w:type="pct"/>
            <w:tcBorders>
              <w:top w:val="single" w:sz="4" w:space="0" w:color="auto"/>
              <w:left w:val="nil"/>
              <w:bottom w:val="single" w:sz="4" w:space="0" w:color="auto"/>
              <w:right w:val="nil"/>
            </w:tcBorders>
            <w:hideMark/>
          </w:tcPr>
          <w:p w:rsidR="00901DEA" w:rsidRPr="008B5597" w:rsidRDefault="00901DEA" w:rsidP="000632CC">
            <w:pPr>
              <w:spacing w:after="0" w:line="240" w:lineRule="auto"/>
              <w:jc w:val="center"/>
              <w:rPr>
                <w:rFonts w:eastAsia="Times New Roman" w:cs="Times New Roman"/>
                <w:b/>
                <w:bCs/>
                <w:color w:val="0D0D0D"/>
                <w:szCs w:val="24"/>
              </w:rPr>
            </w:pPr>
          </w:p>
        </w:tc>
        <w:tc>
          <w:tcPr>
            <w:tcW w:w="914" w:type="pct"/>
            <w:tcBorders>
              <w:top w:val="single" w:sz="4" w:space="0" w:color="auto"/>
              <w:left w:val="nil"/>
              <w:bottom w:val="single" w:sz="4" w:space="0" w:color="auto"/>
              <w:right w:val="nil"/>
            </w:tcBorders>
            <w:hideMark/>
          </w:tcPr>
          <w:p w:rsidR="00901DEA" w:rsidRPr="008B5597" w:rsidRDefault="00901DEA" w:rsidP="000632CC">
            <w:pPr>
              <w:spacing w:after="0" w:line="240" w:lineRule="auto"/>
              <w:jc w:val="center"/>
              <w:rPr>
                <w:rFonts w:eastAsia="Times New Roman" w:cs="Times New Roman"/>
                <w:color w:val="0D0D0D"/>
                <w:szCs w:val="24"/>
              </w:rPr>
            </w:pPr>
            <w:r w:rsidRPr="008B5597">
              <w:rPr>
                <w:rFonts w:eastAsia="Times New Roman" w:cs="Times New Roman"/>
                <w:color w:val="0D0D0D"/>
                <w:szCs w:val="24"/>
              </w:rPr>
              <w:t>Minimum</w:t>
            </w:r>
          </w:p>
        </w:tc>
        <w:tc>
          <w:tcPr>
            <w:tcW w:w="865" w:type="pct"/>
            <w:tcBorders>
              <w:top w:val="single" w:sz="4" w:space="0" w:color="auto"/>
              <w:left w:val="nil"/>
              <w:bottom w:val="single" w:sz="4" w:space="0" w:color="auto"/>
              <w:right w:val="nil"/>
            </w:tcBorders>
            <w:hideMark/>
          </w:tcPr>
          <w:p w:rsidR="00901DEA" w:rsidRPr="008B5597" w:rsidRDefault="00901DEA" w:rsidP="000632CC">
            <w:pPr>
              <w:spacing w:after="0" w:line="240" w:lineRule="auto"/>
              <w:jc w:val="center"/>
              <w:rPr>
                <w:rFonts w:eastAsia="Times New Roman" w:cs="Times New Roman"/>
                <w:color w:val="0D0D0D"/>
                <w:szCs w:val="24"/>
              </w:rPr>
            </w:pPr>
            <w:r w:rsidRPr="008B5597">
              <w:rPr>
                <w:rFonts w:eastAsia="Times New Roman" w:cs="Times New Roman"/>
                <w:color w:val="0D0D0D"/>
                <w:szCs w:val="24"/>
              </w:rPr>
              <w:t>Maximum</w:t>
            </w:r>
          </w:p>
        </w:tc>
        <w:tc>
          <w:tcPr>
            <w:tcW w:w="1010" w:type="pct"/>
            <w:tcBorders>
              <w:top w:val="single" w:sz="4" w:space="0" w:color="auto"/>
              <w:left w:val="nil"/>
              <w:bottom w:val="single" w:sz="4" w:space="0" w:color="auto"/>
              <w:right w:val="nil"/>
            </w:tcBorders>
            <w:hideMark/>
          </w:tcPr>
          <w:p w:rsidR="00901DEA" w:rsidRPr="008B5597" w:rsidRDefault="00901DEA" w:rsidP="000632CC">
            <w:pPr>
              <w:spacing w:after="0" w:line="240" w:lineRule="auto"/>
              <w:jc w:val="center"/>
              <w:rPr>
                <w:rFonts w:eastAsia="Times New Roman" w:cs="Times New Roman"/>
                <w:color w:val="0D0D0D"/>
                <w:szCs w:val="24"/>
              </w:rPr>
            </w:pPr>
            <w:r w:rsidRPr="008B5597">
              <w:rPr>
                <w:rFonts w:eastAsia="Times New Roman" w:cs="Times New Roman"/>
                <w:color w:val="0D0D0D"/>
                <w:szCs w:val="24"/>
              </w:rPr>
              <w:t>Mean</w:t>
            </w:r>
          </w:p>
        </w:tc>
        <w:tc>
          <w:tcPr>
            <w:tcW w:w="1106" w:type="pct"/>
            <w:tcBorders>
              <w:top w:val="single" w:sz="4" w:space="0" w:color="auto"/>
              <w:left w:val="nil"/>
              <w:bottom w:val="single" w:sz="4" w:space="0" w:color="auto"/>
              <w:right w:val="nil"/>
            </w:tcBorders>
            <w:hideMark/>
          </w:tcPr>
          <w:p w:rsidR="00901DEA" w:rsidRPr="008B5597" w:rsidRDefault="00901DEA" w:rsidP="000632CC">
            <w:pPr>
              <w:spacing w:after="0" w:line="240" w:lineRule="auto"/>
              <w:jc w:val="center"/>
              <w:rPr>
                <w:rFonts w:eastAsia="Times New Roman" w:cs="Times New Roman"/>
                <w:color w:val="0D0D0D"/>
                <w:szCs w:val="24"/>
              </w:rPr>
            </w:pPr>
            <w:r w:rsidRPr="008B5597">
              <w:rPr>
                <w:rFonts w:eastAsia="Times New Roman" w:cs="Times New Roman"/>
                <w:color w:val="0D0D0D"/>
                <w:szCs w:val="24"/>
              </w:rPr>
              <w:t>Std. Deviation</w:t>
            </w:r>
          </w:p>
        </w:tc>
      </w:tr>
      <w:tr w:rsidR="00901DEA" w:rsidRPr="008B5597" w:rsidTr="000632CC">
        <w:trPr>
          <w:trHeight w:val="310"/>
        </w:trPr>
        <w:tc>
          <w:tcPr>
            <w:tcW w:w="1105" w:type="pct"/>
            <w:tcBorders>
              <w:top w:val="single" w:sz="4" w:space="0" w:color="auto"/>
              <w:left w:val="nil"/>
              <w:bottom w:val="nil"/>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t>Wallet Users</w:t>
            </w:r>
          </w:p>
        </w:tc>
        <w:tc>
          <w:tcPr>
            <w:tcW w:w="914" w:type="pct"/>
            <w:tcBorders>
              <w:top w:val="single" w:sz="4" w:space="0" w:color="auto"/>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6274129</w:t>
            </w:r>
          </w:p>
        </w:tc>
        <w:tc>
          <w:tcPr>
            <w:tcW w:w="865" w:type="pct"/>
            <w:tcBorders>
              <w:top w:val="single" w:sz="4" w:space="0" w:color="auto"/>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27064769</w:t>
            </w:r>
          </w:p>
        </w:tc>
        <w:tc>
          <w:tcPr>
            <w:tcW w:w="1010" w:type="pct"/>
            <w:tcBorders>
              <w:top w:val="single" w:sz="4" w:space="0" w:color="auto"/>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16374685</w:t>
            </w:r>
          </w:p>
        </w:tc>
        <w:tc>
          <w:tcPr>
            <w:tcW w:w="1106" w:type="pct"/>
            <w:tcBorders>
              <w:top w:val="single" w:sz="4" w:space="0" w:color="auto"/>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6790672</w:t>
            </w:r>
          </w:p>
        </w:tc>
      </w:tr>
      <w:tr w:rsidR="00901DEA" w:rsidRPr="008B5597" w:rsidTr="000632CC">
        <w:trPr>
          <w:trHeight w:val="310"/>
        </w:trPr>
        <w:tc>
          <w:tcPr>
            <w:tcW w:w="1105" w:type="pct"/>
            <w:tcBorders>
              <w:top w:val="nil"/>
              <w:left w:val="nil"/>
              <w:bottom w:val="nil"/>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t>Debit Cards</w:t>
            </w:r>
          </w:p>
        </w:tc>
        <w:tc>
          <w:tcPr>
            <w:tcW w:w="914"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7437602.0</w:t>
            </w:r>
          </w:p>
        </w:tc>
        <w:tc>
          <w:tcPr>
            <w:tcW w:w="865"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13665792.0</w:t>
            </w:r>
          </w:p>
        </w:tc>
        <w:tc>
          <w:tcPr>
            <w:tcW w:w="1010"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11208033.483</w:t>
            </w:r>
          </w:p>
        </w:tc>
        <w:tc>
          <w:tcPr>
            <w:tcW w:w="1106"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1950559.21</w:t>
            </w:r>
          </w:p>
        </w:tc>
      </w:tr>
      <w:tr w:rsidR="00901DEA" w:rsidRPr="008B5597" w:rsidTr="000632CC">
        <w:trPr>
          <w:trHeight w:val="620"/>
        </w:trPr>
        <w:tc>
          <w:tcPr>
            <w:tcW w:w="1105" w:type="pct"/>
            <w:tcBorders>
              <w:top w:val="nil"/>
              <w:left w:val="nil"/>
              <w:bottom w:val="nil"/>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t>Mobile Banking Customers</w:t>
            </w:r>
          </w:p>
        </w:tc>
        <w:tc>
          <w:tcPr>
            <w:tcW w:w="914"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11464867.0</w:t>
            </w:r>
          </w:p>
        </w:tc>
        <w:tc>
          <w:tcPr>
            <w:tcW w:w="865"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27741284.0</w:t>
            </w:r>
          </w:p>
        </w:tc>
        <w:tc>
          <w:tcPr>
            <w:tcW w:w="1010"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19758442.667</w:t>
            </w:r>
          </w:p>
        </w:tc>
        <w:tc>
          <w:tcPr>
            <w:tcW w:w="1106"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4923290.45</w:t>
            </w:r>
          </w:p>
        </w:tc>
      </w:tr>
      <w:tr w:rsidR="00901DEA" w:rsidRPr="008B5597" w:rsidTr="000632CC">
        <w:trPr>
          <w:trHeight w:val="310"/>
        </w:trPr>
        <w:tc>
          <w:tcPr>
            <w:tcW w:w="1105" w:type="pct"/>
            <w:tcBorders>
              <w:top w:val="nil"/>
              <w:left w:val="nil"/>
              <w:bottom w:val="nil"/>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t>Credit Cards</w:t>
            </w:r>
          </w:p>
        </w:tc>
        <w:tc>
          <w:tcPr>
            <w:tcW w:w="914"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164386.0</w:t>
            </w:r>
          </w:p>
        </w:tc>
        <w:tc>
          <w:tcPr>
            <w:tcW w:w="865"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318428.0</w:t>
            </w:r>
          </w:p>
        </w:tc>
        <w:tc>
          <w:tcPr>
            <w:tcW w:w="1010"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252541.800</w:t>
            </w:r>
          </w:p>
        </w:tc>
        <w:tc>
          <w:tcPr>
            <w:tcW w:w="1106"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48745.34</w:t>
            </w:r>
          </w:p>
        </w:tc>
      </w:tr>
      <w:tr w:rsidR="00901DEA" w:rsidRPr="008B5597" w:rsidTr="000632CC">
        <w:trPr>
          <w:trHeight w:val="620"/>
        </w:trPr>
        <w:tc>
          <w:tcPr>
            <w:tcW w:w="1105" w:type="pct"/>
            <w:tcBorders>
              <w:top w:val="nil"/>
              <w:left w:val="nil"/>
              <w:bottom w:val="nil"/>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lastRenderedPageBreak/>
              <w:t>Internet Banking Customers</w:t>
            </w:r>
          </w:p>
        </w:tc>
        <w:tc>
          <w:tcPr>
            <w:tcW w:w="914"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1045558.0</w:t>
            </w:r>
          </w:p>
        </w:tc>
        <w:tc>
          <w:tcPr>
            <w:tcW w:w="865"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2742888.0</w:t>
            </w:r>
          </w:p>
        </w:tc>
        <w:tc>
          <w:tcPr>
            <w:tcW w:w="1010"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1682535.817</w:t>
            </w:r>
          </w:p>
        </w:tc>
        <w:tc>
          <w:tcPr>
            <w:tcW w:w="1106"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402965.16</w:t>
            </w:r>
          </w:p>
        </w:tc>
      </w:tr>
      <w:tr w:rsidR="00901DEA" w:rsidRPr="008B5597" w:rsidTr="000632CC">
        <w:trPr>
          <w:trHeight w:val="310"/>
        </w:trPr>
        <w:tc>
          <w:tcPr>
            <w:tcW w:w="1105" w:type="pct"/>
            <w:tcBorders>
              <w:top w:val="nil"/>
              <w:left w:val="nil"/>
              <w:bottom w:val="nil"/>
              <w:right w:val="nil"/>
            </w:tcBorders>
            <w:hideMark/>
          </w:tcPr>
          <w:p w:rsidR="00901DEA" w:rsidRPr="008B5597" w:rsidRDefault="00901DEA" w:rsidP="000632CC">
            <w:pPr>
              <w:spacing w:after="0" w:line="240" w:lineRule="auto"/>
              <w:rPr>
                <w:rFonts w:eastAsia="Times New Roman" w:cs="Times New Roman"/>
                <w:color w:val="0D0D0D"/>
                <w:szCs w:val="24"/>
              </w:rPr>
            </w:pPr>
            <w:proofErr w:type="spellStart"/>
            <w:r w:rsidRPr="008B5597">
              <w:rPr>
                <w:rFonts w:eastAsia="Times New Roman" w:cs="Times New Roman"/>
                <w:color w:val="0D0D0D"/>
                <w:szCs w:val="24"/>
              </w:rPr>
              <w:t>Connectips</w:t>
            </w:r>
            <w:proofErr w:type="spellEnd"/>
            <w:r w:rsidRPr="008B5597">
              <w:rPr>
                <w:rFonts w:eastAsia="Times New Roman" w:cs="Times New Roman"/>
                <w:color w:val="0D0D0D"/>
                <w:szCs w:val="24"/>
              </w:rPr>
              <w:t xml:space="preserve"> Users</w:t>
            </w:r>
          </w:p>
        </w:tc>
        <w:tc>
          <w:tcPr>
            <w:tcW w:w="914"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162117.0</w:t>
            </w:r>
          </w:p>
        </w:tc>
        <w:tc>
          <w:tcPr>
            <w:tcW w:w="865"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1441471.0</w:t>
            </w:r>
          </w:p>
        </w:tc>
        <w:tc>
          <w:tcPr>
            <w:tcW w:w="1010"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935727.217</w:t>
            </w:r>
          </w:p>
        </w:tc>
        <w:tc>
          <w:tcPr>
            <w:tcW w:w="1106"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376074.82</w:t>
            </w:r>
          </w:p>
        </w:tc>
      </w:tr>
      <w:tr w:rsidR="00901DEA" w:rsidRPr="008B5597" w:rsidTr="000632CC">
        <w:trPr>
          <w:trHeight w:val="620"/>
        </w:trPr>
        <w:tc>
          <w:tcPr>
            <w:tcW w:w="1105" w:type="pct"/>
            <w:tcBorders>
              <w:top w:val="nil"/>
              <w:left w:val="nil"/>
              <w:bottom w:val="nil"/>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t>Total Cashless Payment</w:t>
            </w:r>
          </w:p>
        </w:tc>
        <w:tc>
          <w:tcPr>
            <w:tcW w:w="914"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22660127000000</w:t>
            </w:r>
          </w:p>
        </w:tc>
        <w:tc>
          <w:tcPr>
            <w:tcW w:w="865"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185470418000000</w:t>
            </w:r>
          </w:p>
        </w:tc>
        <w:tc>
          <w:tcPr>
            <w:tcW w:w="1010"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77780063742200</w:t>
            </w:r>
          </w:p>
        </w:tc>
        <w:tc>
          <w:tcPr>
            <w:tcW w:w="1106" w:type="pct"/>
            <w:tcBorders>
              <w:top w:val="nil"/>
              <w:left w:val="nil"/>
              <w:bottom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42077988719748</w:t>
            </w:r>
          </w:p>
        </w:tc>
      </w:tr>
      <w:tr w:rsidR="00901DEA" w:rsidRPr="008B5597" w:rsidTr="000632CC">
        <w:trPr>
          <w:trHeight w:val="310"/>
        </w:trPr>
        <w:tc>
          <w:tcPr>
            <w:tcW w:w="1105" w:type="pct"/>
            <w:tcBorders>
              <w:top w:val="nil"/>
              <w:left w:val="nil"/>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t>PSP Agents</w:t>
            </w:r>
          </w:p>
        </w:tc>
        <w:tc>
          <w:tcPr>
            <w:tcW w:w="914" w:type="pct"/>
            <w:tcBorders>
              <w:top w:val="nil"/>
              <w:left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5139.0</w:t>
            </w:r>
          </w:p>
        </w:tc>
        <w:tc>
          <w:tcPr>
            <w:tcW w:w="865" w:type="pct"/>
            <w:tcBorders>
              <w:top w:val="nil"/>
              <w:left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455467.0</w:t>
            </w:r>
          </w:p>
        </w:tc>
        <w:tc>
          <w:tcPr>
            <w:tcW w:w="1010" w:type="pct"/>
            <w:tcBorders>
              <w:top w:val="nil"/>
              <w:left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54453.350</w:t>
            </w:r>
          </w:p>
        </w:tc>
        <w:tc>
          <w:tcPr>
            <w:tcW w:w="1106" w:type="pct"/>
            <w:tcBorders>
              <w:top w:val="nil"/>
              <w:left w:val="nil"/>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126267.78</w:t>
            </w:r>
          </w:p>
        </w:tc>
      </w:tr>
      <w:tr w:rsidR="00901DEA" w:rsidRPr="008B5597" w:rsidTr="000632CC">
        <w:trPr>
          <w:trHeight w:val="620"/>
        </w:trPr>
        <w:tc>
          <w:tcPr>
            <w:tcW w:w="1105" w:type="pct"/>
            <w:tcBorders>
              <w:top w:val="nil"/>
              <w:left w:val="nil"/>
              <w:bottom w:val="single" w:sz="4" w:space="0" w:color="auto"/>
              <w:right w:val="nil"/>
            </w:tcBorders>
            <w:hideMark/>
          </w:tcPr>
          <w:p w:rsidR="00901DEA" w:rsidRPr="008B5597" w:rsidRDefault="00901DEA" w:rsidP="000632CC">
            <w:pPr>
              <w:spacing w:after="0" w:line="240" w:lineRule="auto"/>
              <w:rPr>
                <w:rFonts w:eastAsia="Times New Roman" w:cs="Times New Roman"/>
                <w:color w:val="0D0D0D"/>
                <w:szCs w:val="24"/>
              </w:rPr>
            </w:pPr>
            <w:r w:rsidRPr="008B5597">
              <w:rPr>
                <w:rFonts w:eastAsia="Times New Roman" w:cs="Times New Roman"/>
                <w:color w:val="0D0D0D"/>
                <w:szCs w:val="24"/>
              </w:rPr>
              <w:t>ATM Machines (Terminals)</w:t>
            </w:r>
          </w:p>
        </w:tc>
        <w:tc>
          <w:tcPr>
            <w:tcW w:w="914" w:type="pct"/>
            <w:tcBorders>
              <w:top w:val="nil"/>
              <w:left w:val="nil"/>
              <w:bottom w:val="single" w:sz="4" w:space="0" w:color="auto"/>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4150.0</w:t>
            </w:r>
          </w:p>
        </w:tc>
        <w:tc>
          <w:tcPr>
            <w:tcW w:w="865" w:type="pct"/>
            <w:tcBorders>
              <w:top w:val="nil"/>
              <w:left w:val="nil"/>
              <w:bottom w:val="single" w:sz="4" w:space="0" w:color="auto"/>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5266.0</w:t>
            </w:r>
          </w:p>
        </w:tc>
        <w:tc>
          <w:tcPr>
            <w:tcW w:w="1010" w:type="pct"/>
            <w:tcBorders>
              <w:top w:val="nil"/>
              <w:left w:val="nil"/>
              <w:bottom w:val="single" w:sz="4" w:space="0" w:color="auto"/>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4742.900</w:t>
            </w:r>
          </w:p>
        </w:tc>
        <w:tc>
          <w:tcPr>
            <w:tcW w:w="1106" w:type="pct"/>
            <w:tcBorders>
              <w:top w:val="nil"/>
              <w:left w:val="nil"/>
              <w:bottom w:val="single" w:sz="4" w:space="0" w:color="auto"/>
              <w:right w:val="nil"/>
            </w:tcBorders>
            <w:hideMark/>
          </w:tcPr>
          <w:p w:rsidR="00901DEA" w:rsidRPr="00CE37B2" w:rsidRDefault="00901DEA" w:rsidP="000632CC">
            <w:pPr>
              <w:spacing w:after="0" w:line="240" w:lineRule="auto"/>
              <w:jc w:val="right"/>
              <w:rPr>
                <w:rFonts w:eastAsia="Times New Roman" w:cs="Times New Roman"/>
                <w:color w:val="0D0D0D"/>
                <w:sz w:val="20"/>
              </w:rPr>
            </w:pPr>
            <w:r w:rsidRPr="00CE37B2">
              <w:rPr>
                <w:rFonts w:eastAsia="Times New Roman" w:cs="Times New Roman"/>
                <w:color w:val="0D0D0D"/>
                <w:sz w:val="20"/>
              </w:rPr>
              <w:t>381.3370</w:t>
            </w:r>
          </w:p>
        </w:tc>
      </w:tr>
    </w:tbl>
    <w:p w:rsidR="007614D3" w:rsidRPr="007614D3" w:rsidRDefault="00376629" w:rsidP="00901DEA">
      <w:pPr>
        <w:spacing w:before="240"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Descriptive statistics further substantiate the expansion of digital payment systems in Nepal. Wallet users recorded a minimum of 6.27 million and a maximum of 27.06 million, with a mean of 16.37 million and a relatively high standard deviation (6.79 million), indicating rapid but uneven growth over time.</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Mobile banking customers exhibited a similarly wide range (minimum 11.46 million, maximum 27.74 million, mean 19.76 million), reflecting accelerated adoption during later periods. The standard deviation (4.92 million) underscores the dynamic expansion of mobile banking services.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In comparison, debit card users displayed more stability, with an average of 11.21 million users and a standard deviation of 1.95 million, suggesting steady but less volatile growth. Credit cards and internet banking customers recorded much lower means (252,542 and 1.68 million, respectively), highlighting their relatively limited penetration.</w:t>
      </w:r>
    </w:p>
    <w:p w:rsid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The mean number of PSP agents (54,453) and ATM terminals (4,742) reflects gradual expansion of supporting infrastructure. Meanwhile, the extremely high mean value of total cashless payments (NPR 77.78 trillion) emphasizes the increasing scale and significance of digital transactions in Nepal’s financial system.</w:t>
      </w:r>
    </w:p>
    <w:p w:rsidR="007614D3" w:rsidRDefault="007614D3" w:rsidP="00901DEA">
      <w:pPr>
        <w:spacing w:line="360" w:lineRule="auto"/>
        <w:rPr>
          <w:rFonts w:eastAsia="Times New Roman" w:cs="Times New Roman"/>
          <w:b/>
          <w:bCs/>
          <w:szCs w:val="24"/>
        </w:rPr>
      </w:pPr>
      <w:r w:rsidRPr="00901DEA">
        <w:rPr>
          <w:rFonts w:eastAsia="Times New Roman" w:cs="Times New Roman"/>
          <w:b/>
          <w:bCs/>
          <w:szCs w:val="24"/>
        </w:rPr>
        <w:t>Correlation Analysis</w:t>
      </w:r>
    </w:p>
    <w:p w:rsidR="00901DEA" w:rsidRPr="00901DEA" w:rsidRDefault="00376629" w:rsidP="00901DEA">
      <w:pPr>
        <w:spacing w:line="360" w:lineRule="auto"/>
        <w:rPr>
          <w:rFonts w:eastAsia="Times New Roman" w:cs="Times New Roman"/>
          <w:szCs w:val="24"/>
        </w:rPr>
      </w:pPr>
      <w:r>
        <w:rPr>
          <w:rFonts w:eastAsia="Times New Roman" w:cs="Times New Roman"/>
          <w:szCs w:val="24"/>
        </w:rPr>
        <w:tab/>
      </w:r>
      <w:r w:rsidR="00901DEA" w:rsidRPr="00901DEA">
        <w:rPr>
          <w:rFonts w:eastAsia="Times New Roman" w:cs="Times New Roman"/>
          <w:szCs w:val="24"/>
        </w:rPr>
        <w:t>The correlation tables can offer great insights on the correlation between different digital payment systems in Nepal, specifically their interaction with each other regarding total cashless payment.</w:t>
      </w:r>
    </w:p>
    <w:tbl>
      <w:tblPr>
        <w:tblW w:w="4762" w:type="pct"/>
        <w:tblLayout w:type="fixed"/>
        <w:tblLook w:val="04A0" w:firstRow="1" w:lastRow="0" w:firstColumn="1" w:lastColumn="0" w:noHBand="0" w:noVBand="1"/>
      </w:tblPr>
      <w:tblGrid>
        <w:gridCol w:w="901"/>
        <w:gridCol w:w="723"/>
        <w:gridCol w:w="900"/>
        <w:gridCol w:w="900"/>
        <w:gridCol w:w="811"/>
        <w:gridCol w:w="900"/>
        <w:gridCol w:w="991"/>
        <w:gridCol w:w="895"/>
        <w:gridCol w:w="863"/>
        <w:gridCol w:w="1023"/>
        <w:gridCol w:w="7"/>
      </w:tblGrid>
      <w:tr w:rsidR="00901DEA" w:rsidRPr="0096386F" w:rsidTr="000632CC">
        <w:trPr>
          <w:trHeight w:val="400"/>
        </w:trPr>
        <w:tc>
          <w:tcPr>
            <w:tcW w:w="5000" w:type="pct"/>
            <w:gridSpan w:val="11"/>
            <w:noWrap/>
            <w:hideMark/>
          </w:tcPr>
          <w:p w:rsidR="00901DEA" w:rsidRPr="0096386F" w:rsidRDefault="00901DEA" w:rsidP="000632CC">
            <w:pPr>
              <w:spacing w:after="0" w:line="240" w:lineRule="auto"/>
              <w:jc w:val="center"/>
              <w:rPr>
                <w:rFonts w:eastAsia="Times New Roman" w:cs="Times New Roman"/>
                <w:bCs/>
                <w:color w:val="0D0D0D"/>
                <w:szCs w:val="24"/>
              </w:rPr>
            </w:pPr>
            <w:r w:rsidRPr="0096386F">
              <w:rPr>
                <w:rFonts w:eastAsia="Times New Roman" w:cs="Times New Roman"/>
                <w:bCs/>
                <w:color w:val="0D0D0D"/>
                <w:szCs w:val="24"/>
              </w:rPr>
              <w:t>Correlations</w:t>
            </w:r>
          </w:p>
        </w:tc>
      </w:tr>
      <w:tr w:rsidR="00901DEA" w:rsidRPr="0096386F" w:rsidTr="000632CC">
        <w:trPr>
          <w:gridAfter w:val="1"/>
          <w:wAfter w:w="4" w:type="pct"/>
          <w:trHeight w:val="400"/>
        </w:trPr>
        <w:tc>
          <w:tcPr>
            <w:tcW w:w="505" w:type="pct"/>
            <w:tcBorders>
              <w:top w:val="single" w:sz="4" w:space="0" w:color="auto"/>
              <w:bottom w:val="single" w:sz="4" w:space="0" w:color="auto"/>
            </w:tcBorders>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lastRenderedPageBreak/>
              <w:t> </w:t>
            </w:r>
          </w:p>
        </w:tc>
        <w:tc>
          <w:tcPr>
            <w:tcW w:w="405" w:type="pct"/>
            <w:tcBorders>
              <w:top w:val="single" w:sz="4" w:space="0" w:color="auto"/>
              <w:bottom w:val="single" w:sz="4" w:space="0" w:color="auto"/>
            </w:tcBorders>
            <w:noWrap/>
            <w:hideMark/>
          </w:tcPr>
          <w:p w:rsidR="00901DEA" w:rsidRPr="0096386F" w:rsidRDefault="00901DEA" w:rsidP="000632CC">
            <w:pPr>
              <w:spacing w:after="0" w:line="240" w:lineRule="auto"/>
              <w:jc w:val="center"/>
              <w:rPr>
                <w:rFonts w:eastAsia="Times New Roman" w:cs="Times New Roman"/>
                <w:bCs/>
                <w:color w:val="0D0D0D"/>
                <w:szCs w:val="24"/>
              </w:rPr>
            </w:pPr>
            <w:r w:rsidRPr="0096386F">
              <w:rPr>
                <w:rFonts w:eastAsia="Times New Roman" w:cs="Times New Roman"/>
                <w:bCs/>
                <w:color w:val="0D0D0D"/>
                <w:szCs w:val="24"/>
              </w:rPr>
              <w:t>WU</w:t>
            </w:r>
          </w:p>
        </w:tc>
        <w:tc>
          <w:tcPr>
            <w:tcW w:w="505" w:type="pct"/>
            <w:tcBorders>
              <w:top w:val="single" w:sz="4" w:space="0" w:color="auto"/>
              <w:bottom w:val="single" w:sz="4" w:space="0" w:color="auto"/>
            </w:tcBorders>
            <w:noWrap/>
            <w:hideMark/>
          </w:tcPr>
          <w:p w:rsidR="00901DEA" w:rsidRPr="0096386F" w:rsidRDefault="00901DEA" w:rsidP="000632CC">
            <w:pPr>
              <w:spacing w:after="0" w:line="240" w:lineRule="auto"/>
              <w:jc w:val="center"/>
              <w:rPr>
                <w:rFonts w:eastAsia="Times New Roman" w:cs="Times New Roman"/>
                <w:bCs/>
                <w:color w:val="0D0D0D"/>
                <w:szCs w:val="24"/>
              </w:rPr>
            </w:pPr>
            <w:r w:rsidRPr="0096386F">
              <w:rPr>
                <w:rFonts w:eastAsia="Times New Roman" w:cs="Times New Roman"/>
                <w:bCs/>
                <w:color w:val="0D0D0D"/>
                <w:szCs w:val="24"/>
              </w:rPr>
              <w:t>DC</w:t>
            </w:r>
          </w:p>
        </w:tc>
        <w:tc>
          <w:tcPr>
            <w:tcW w:w="505" w:type="pct"/>
            <w:tcBorders>
              <w:top w:val="single" w:sz="4" w:space="0" w:color="auto"/>
              <w:bottom w:val="single" w:sz="4" w:space="0" w:color="auto"/>
            </w:tcBorders>
            <w:noWrap/>
            <w:hideMark/>
          </w:tcPr>
          <w:p w:rsidR="00901DEA" w:rsidRPr="0096386F" w:rsidRDefault="00901DEA" w:rsidP="000632CC">
            <w:pPr>
              <w:spacing w:after="0" w:line="240" w:lineRule="auto"/>
              <w:jc w:val="center"/>
              <w:rPr>
                <w:rFonts w:eastAsia="Times New Roman" w:cs="Times New Roman"/>
                <w:bCs/>
                <w:color w:val="0D0D0D"/>
                <w:szCs w:val="24"/>
              </w:rPr>
            </w:pPr>
            <w:r w:rsidRPr="0096386F">
              <w:rPr>
                <w:rFonts w:eastAsia="Times New Roman" w:cs="Times New Roman"/>
                <w:bCs/>
                <w:color w:val="0D0D0D"/>
                <w:szCs w:val="24"/>
              </w:rPr>
              <w:t>CC</w:t>
            </w:r>
          </w:p>
        </w:tc>
        <w:tc>
          <w:tcPr>
            <w:tcW w:w="455" w:type="pct"/>
            <w:tcBorders>
              <w:top w:val="single" w:sz="4" w:space="0" w:color="auto"/>
              <w:bottom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MBC</w:t>
            </w:r>
          </w:p>
        </w:tc>
        <w:tc>
          <w:tcPr>
            <w:tcW w:w="505" w:type="pct"/>
            <w:tcBorders>
              <w:top w:val="single" w:sz="4" w:space="0" w:color="auto"/>
              <w:bottom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IBC</w:t>
            </w:r>
          </w:p>
        </w:tc>
        <w:tc>
          <w:tcPr>
            <w:tcW w:w="556" w:type="pct"/>
            <w:tcBorders>
              <w:top w:val="single" w:sz="4" w:space="0" w:color="auto"/>
              <w:bottom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CIPSU</w:t>
            </w:r>
          </w:p>
        </w:tc>
        <w:tc>
          <w:tcPr>
            <w:tcW w:w="502" w:type="pct"/>
            <w:tcBorders>
              <w:top w:val="single" w:sz="4" w:space="0" w:color="auto"/>
              <w:bottom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TCO</w:t>
            </w:r>
          </w:p>
        </w:tc>
        <w:tc>
          <w:tcPr>
            <w:tcW w:w="484" w:type="pct"/>
            <w:tcBorders>
              <w:top w:val="single" w:sz="4" w:space="0" w:color="auto"/>
              <w:bottom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ATM</w:t>
            </w:r>
          </w:p>
        </w:tc>
        <w:tc>
          <w:tcPr>
            <w:tcW w:w="574" w:type="pct"/>
            <w:tcBorders>
              <w:top w:val="single" w:sz="4" w:space="0" w:color="auto"/>
              <w:bottom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PSP Agents</w:t>
            </w:r>
          </w:p>
        </w:tc>
      </w:tr>
      <w:tr w:rsidR="00901DEA" w:rsidRPr="0096386F" w:rsidTr="000632CC">
        <w:trPr>
          <w:gridAfter w:val="1"/>
          <w:wAfter w:w="4" w:type="pct"/>
          <w:trHeight w:val="242"/>
        </w:trPr>
        <w:tc>
          <w:tcPr>
            <w:tcW w:w="505" w:type="pct"/>
            <w:tcBorders>
              <w:top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WU</w:t>
            </w:r>
          </w:p>
        </w:tc>
        <w:tc>
          <w:tcPr>
            <w:tcW w:w="405"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505"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0.786*</w:t>
            </w:r>
          </w:p>
        </w:tc>
        <w:tc>
          <w:tcPr>
            <w:tcW w:w="505"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-0.383</w:t>
            </w:r>
          </w:p>
        </w:tc>
        <w:tc>
          <w:tcPr>
            <w:tcW w:w="455"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.398</w:t>
            </w:r>
            <w:r w:rsidRPr="0096386F">
              <w:rPr>
                <w:rFonts w:eastAsia="Times New Roman" w:cs="Times New Roman"/>
                <w:color w:val="0D0D0D"/>
                <w:szCs w:val="24"/>
                <w:vertAlign w:val="superscript"/>
              </w:rPr>
              <w:t>**</w:t>
            </w:r>
          </w:p>
        </w:tc>
        <w:tc>
          <w:tcPr>
            <w:tcW w:w="505"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.655</w:t>
            </w:r>
            <w:r w:rsidRPr="0096386F">
              <w:rPr>
                <w:rFonts w:eastAsia="Times New Roman" w:cs="Times New Roman"/>
                <w:color w:val="0D0D0D"/>
                <w:szCs w:val="24"/>
                <w:vertAlign w:val="superscript"/>
              </w:rPr>
              <w:t>*</w:t>
            </w:r>
          </w:p>
        </w:tc>
        <w:tc>
          <w:tcPr>
            <w:tcW w:w="556"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0.237</w:t>
            </w:r>
          </w:p>
        </w:tc>
        <w:tc>
          <w:tcPr>
            <w:tcW w:w="502"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.478</w:t>
            </w:r>
            <w:r w:rsidRPr="0096386F">
              <w:rPr>
                <w:rFonts w:eastAsia="Times New Roman" w:cs="Times New Roman"/>
                <w:color w:val="0D0D0D"/>
                <w:szCs w:val="24"/>
                <w:vertAlign w:val="superscript"/>
              </w:rPr>
              <w:t>**</w:t>
            </w:r>
          </w:p>
        </w:tc>
        <w:tc>
          <w:tcPr>
            <w:tcW w:w="484"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.682</w:t>
            </w:r>
            <w:r w:rsidRPr="0096386F">
              <w:rPr>
                <w:rFonts w:eastAsia="Times New Roman" w:cs="Times New Roman"/>
                <w:color w:val="0D0D0D"/>
                <w:szCs w:val="24"/>
                <w:vertAlign w:val="superscript"/>
              </w:rPr>
              <w:t>*</w:t>
            </w:r>
          </w:p>
        </w:tc>
        <w:tc>
          <w:tcPr>
            <w:tcW w:w="574" w:type="pct"/>
            <w:tcBorders>
              <w:top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0.605</w:t>
            </w:r>
          </w:p>
        </w:tc>
      </w:tr>
      <w:tr w:rsidR="00901DEA" w:rsidRPr="0096386F" w:rsidTr="000632CC">
        <w:trPr>
          <w:gridAfter w:val="1"/>
          <w:wAfter w:w="4" w:type="pct"/>
          <w:trHeight w:val="314"/>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0.041</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0.824</w:t>
            </w:r>
          </w:p>
        </w:tc>
        <w:tc>
          <w:tcPr>
            <w:tcW w:w="45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0.031</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0.974</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0.023</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0.783</w:t>
            </w:r>
          </w:p>
        </w:tc>
      </w:tr>
      <w:tr w:rsidR="00901DEA" w:rsidRPr="0096386F" w:rsidTr="000632CC">
        <w:trPr>
          <w:gridAfter w:val="1"/>
          <w:wAfter w:w="4" w:type="pct"/>
          <w:trHeight w:val="269"/>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DC</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.694</w:t>
            </w:r>
            <w:r w:rsidRPr="0096386F">
              <w:rPr>
                <w:rFonts w:eastAsia="Times New Roman" w:cs="Times New Roman"/>
                <w:color w:val="0D0D0D"/>
                <w:szCs w:val="24"/>
                <w:vertAlign w:val="superscript"/>
              </w:rPr>
              <w:t>**</w:t>
            </w:r>
          </w:p>
        </w:tc>
        <w:tc>
          <w:tcPr>
            <w:tcW w:w="45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0.486</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.367</w:t>
            </w:r>
            <w:r w:rsidRPr="0096386F">
              <w:rPr>
                <w:rFonts w:eastAsia="Times New Roman" w:cs="Times New Roman"/>
                <w:color w:val="0D0D0D"/>
                <w:szCs w:val="24"/>
                <w:vertAlign w:val="superscript"/>
              </w:rPr>
              <w:t>**</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.766</w:t>
            </w:r>
            <w:r w:rsidRPr="0096386F">
              <w:rPr>
                <w:rFonts w:eastAsia="Times New Roman" w:cs="Times New Roman"/>
                <w:color w:val="0D0D0D"/>
                <w:szCs w:val="24"/>
                <w:vertAlign w:val="superscript"/>
              </w:rPr>
              <w:t>**</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-0.698</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.668</w:t>
            </w:r>
            <w:r w:rsidRPr="0096386F">
              <w:rPr>
                <w:rFonts w:eastAsia="Times New Roman" w:cs="Times New Roman"/>
                <w:color w:val="0D0D0D"/>
                <w:szCs w:val="24"/>
                <w:vertAlign w:val="superscript"/>
              </w:rPr>
              <w:t>**</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.563</w:t>
            </w:r>
            <w:r w:rsidRPr="0096386F">
              <w:rPr>
                <w:rFonts w:eastAsia="Times New Roman" w:cs="Times New Roman"/>
                <w:color w:val="0D0D0D"/>
                <w:szCs w:val="24"/>
                <w:vertAlign w:val="superscript"/>
              </w:rPr>
              <w:t>**</w:t>
            </w:r>
          </w:p>
        </w:tc>
      </w:tr>
      <w:tr w:rsidR="00901DEA" w:rsidRPr="0096386F" w:rsidTr="000632CC">
        <w:trPr>
          <w:gridAfter w:val="1"/>
          <w:wAfter w:w="4" w:type="pct"/>
          <w:trHeight w:val="251"/>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45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0.648</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0.468</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r>
      <w:tr w:rsidR="00901DEA" w:rsidRPr="0096386F" w:rsidTr="000632CC">
        <w:trPr>
          <w:gridAfter w:val="1"/>
          <w:wAfter w:w="4" w:type="pct"/>
          <w:trHeight w:val="323"/>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CC</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45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0.878</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-0.952</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.945</w:t>
            </w:r>
            <w:r w:rsidRPr="0096386F">
              <w:rPr>
                <w:rFonts w:eastAsia="Times New Roman" w:cs="Times New Roman"/>
                <w:color w:val="0D0D0D"/>
                <w:szCs w:val="24"/>
                <w:vertAlign w:val="superscript"/>
              </w:rPr>
              <w:t>**</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-0.13*</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.460</w:t>
            </w:r>
            <w:r w:rsidRPr="0096386F">
              <w:rPr>
                <w:rFonts w:eastAsia="Times New Roman" w:cs="Times New Roman"/>
                <w:color w:val="0D0D0D"/>
                <w:szCs w:val="24"/>
                <w:vertAlign w:val="superscript"/>
              </w:rPr>
              <w:t>**</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.563</w:t>
            </w:r>
            <w:r w:rsidRPr="0096386F">
              <w:rPr>
                <w:rFonts w:eastAsia="Times New Roman" w:cs="Times New Roman"/>
                <w:color w:val="0D0D0D"/>
                <w:szCs w:val="24"/>
                <w:vertAlign w:val="superscript"/>
              </w:rPr>
              <w:t>**</w:t>
            </w:r>
          </w:p>
        </w:tc>
      </w:tr>
      <w:tr w:rsidR="00901DEA" w:rsidRPr="0096386F" w:rsidTr="000632CC">
        <w:trPr>
          <w:gridAfter w:val="1"/>
          <w:wAfter w:w="4" w:type="pct"/>
          <w:trHeight w:val="350"/>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45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0.449</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0.476</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0.041</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r>
      <w:tr w:rsidR="00901DEA" w:rsidRPr="0096386F" w:rsidTr="000632CC">
        <w:trPr>
          <w:gridAfter w:val="1"/>
          <w:wAfter w:w="4" w:type="pct"/>
          <w:trHeight w:val="341"/>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MBC</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-0.564</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0.341</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.982</w:t>
            </w:r>
            <w:r w:rsidRPr="0096386F">
              <w:rPr>
                <w:rFonts w:eastAsia="Times New Roman" w:cs="Times New Roman"/>
                <w:color w:val="0D0D0D"/>
                <w:szCs w:val="24"/>
                <w:vertAlign w:val="superscript"/>
              </w:rPr>
              <w:t>**</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0.781</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.632</w:t>
            </w:r>
            <w:r w:rsidRPr="0096386F">
              <w:rPr>
                <w:rFonts w:eastAsia="Times New Roman" w:cs="Times New Roman"/>
                <w:color w:val="0D0D0D"/>
                <w:szCs w:val="24"/>
                <w:vertAlign w:val="superscript"/>
              </w:rPr>
              <w:t>**</w:t>
            </w:r>
          </w:p>
        </w:tc>
      </w:tr>
      <w:tr w:rsidR="00901DEA" w:rsidRPr="0096386F" w:rsidTr="000632CC">
        <w:trPr>
          <w:gridAfter w:val="1"/>
          <w:wAfter w:w="4" w:type="pct"/>
          <w:trHeight w:val="64"/>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0.661</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0.789</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0.988</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r>
      <w:tr w:rsidR="00901DEA" w:rsidRPr="0096386F" w:rsidTr="000632CC">
        <w:trPr>
          <w:gridAfter w:val="1"/>
          <w:wAfter w:w="4" w:type="pct"/>
          <w:trHeight w:val="350"/>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IBC</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.722</w:t>
            </w:r>
            <w:r w:rsidRPr="0096386F">
              <w:rPr>
                <w:rFonts w:eastAsia="Times New Roman" w:cs="Times New Roman"/>
                <w:color w:val="0D0D0D"/>
                <w:szCs w:val="24"/>
                <w:vertAlign w:val="superscript"/>
              </w:rPr>
              <w:t>**</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0.441</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.717*</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.668</w:t>
            </w:r>
            <w:r w:rsidRPr="0096386F">
              <w:rPr>
                <w:rFonts w:eastAsia="Times New Roman" w:cs="Times New Roman"/>
                <w:color w:val="0D0D0D"/>
                <w:szCs w:val="24"/>
                <w:vertAlign w:val="superscript"/>
              </w:rPr>
              <w:t>**</w:t>
            </w:r>
          </w:p>
        </w:tc>
      </w:tr>
      <w:tr w:rsidR="00901DEA" w:rsidRPr="0096386F" w:rsidTr="000632CC">
        <w:trPr>
          <w:gridAfter w:val="1"/>
          <w:wAfter w:w="4" w:type="pct"/>
          <w:trHeight w:val="269"/>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0.733</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r>
      <w:tr w:rsidR="00901DEA" w:rsidRPr="0096386F" w:rsidTr="000632CC">
        <w:trPr>
          <w:gridAfter w:val="1"/>
          <w:wAfter w:w="4" w:type="pct"/>
          <w:trHeight w:val="341"/>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CIPS</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0.897</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.876</w:t>
            </w:r>
            <w:r w:rsidRPr="0096386F">
              <w:rPr>
                <w:rFonts w:eastAsia="Times New Roman" w:cs="Times New Roman"/>
                <w:color w:val="0D0D0D"/>
                <w:szCs w:val="24"/>
                <w:vertAlign w:val="superscript"/>
              </w:rPr>
              <w:t>**</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.506</w:t>
            </w:r>
            <w:r w:rsidRPr="0096386F">
              <w:rPr>
                <w:rFonts w:eastAsia="Times New Roman" w:cs="Times New Roman"/>
                <w:color w:val="0D0D0D"/>
                <w:szCs w:val="24"/>
                <w:vertAlign w:val="superscript"/>
              </w:rPr>
              <w:t>**</w:t>
            </w:r>
          </w:p>
        </w:tc>
      </w:tr>
      <w:tr w:rsidR="00901DEA" w:rsidRPr="0096386F" w:rsidTr="000632CC">
        <w:trPr>
          <w:gridAfter w:val="1"/>
          <w:wAfter w:w="4" w:type="pct"/>
          <w:trHeight w:val="287"/>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56"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0.466</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r>
      <w:tr w:rsidR="00901DEA" w:rsidRPr="0096386F" w:rsidTr="000632CC">
        <w:trPr>
          <w:gridAfter w:val="1"/>
          <w:wAfter w:w="4" w:type="pct"/>
          <w:trHeight w:val="400"/>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TCP</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.378</w:t>
            </w:r>
            <w:r w:rsidRPr="0096386F">
              <w:rPr>
                <w:rFonts w:eastAsia="Times New Roman" w:cs="Times New Roman"/>
                <w:color w:val="0D0D0D"/>
                <w:szCs w:val="24"/>
                <w:vertAlign w:val="superscript"/>
              </w:rPr>
              <w:t>**</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.692</w:t>
            </w:r>
            <w:r w:rsidRPr="0096386F">
              <w:rPr>
                <w:rFonts w:eastAsia="Times New Roman" w:cs="Times New Roman"/>
                <w:color w:val="0D0D0D"/>
                <w:szCs w:val="24"/>
                <w:vertAlign w:val="superscript"/>
              </w:rPr>
              <w:t>**</w:t>
            </w:r>
          </w:p>
        </w:tc>
      </w:tr>
      <w:tr w:rsidR="00901DEA" w:rsidRPr="0096386F" w:rsidTr="000632CC">
        <w:trPr>
          <w:gridAfter w:val="1"/>
          <w:wAfter w:w="4" w:type="pct"/>
          <w:trHeight w:val="400"/>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2"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r>
      <w:tr w:rsidR="00901DEA" w:rsidRPr="0096386F" w:rsidTr="000632CC">
        <w:trPr>
          <w:gridAfter w:val="1"/>
          <w:wAfter w:w="4" w:type="pct"/>
          <w:trHeight w:val="400"/>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ATM</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8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.621</w:t>
            </w:r>
            <w:r w:rsidRPr="0096386F">
              <w:rPr>
                <w:rFonts w:eastAsia="Times New Roman" w:cs="Times New Roman"/>
                <w:color w:val="0D0D0D"/>
                <w:szCs w:val="24"/>
                <w:vertAlign w:val="superscript"/>
              </w:rPr>
              <w:t>**</w:t>
            </w:r>
          </w:p>
        </w:tc>
      </w:tr>
      <w:tr w:rsidR="00901DEA" w:rsidRPr="0096386F" w:rsidTr="000632CC">
        <w:trPr>
          <w:gridAfter w:val="1"/>
          <w:wAfter w:w="4" w:type="pct"/>
          <w:trHeight w:val="400"/>
        </w:trPr>
        <w:tc>
          <w:tcPr>
            <w:tcW w:w="505" w:type="pct"/>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 </w:t>
            </w:r>
          </w:p>
        </w:tc>
        <w:tc>
          <w:tcPr>
            <w:tcW w:w="4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56"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2"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84" w:type="pct"/>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w:t>
            </w:r>
          </w:p>
        </w:tc>
        <w:tc>
          <w:tcPr>
            <w:tcW w:w="574" w:type="pct"/>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0</w:t>
            </w:r>
          </w:p>
        </w:tc>
      </w:tr>
      <w:tr w:rsidR="00901DEA" w:rsidRPr="0096386F" w:rsidTr="000632CC">
        <w:trPr>
          <w:gridAfter w:val="1"/>
          <w:wAfter w:w="4" w:type="pct"/>
          <w:trHeight w:val="400"/>
        </w:trPr>
        <w:tc>
          <w:tcPr>
            <w:tcW w:w="505" w:type="pct"/>
            <w:tcBorders>
              <w:bottom w:val="single" w:sz="4" w:space="0" w:color="auto"/>
            </w:tcBorders>
            <w:noWrap/>
            <w:hideMark/>
          </w:tcPr>
          <w:p w:rsidR="00901DEA" w:rsidRPr="0096386F" w:rsidRDefault="00901DEA" w:rsidP="000632CC">
            <w:pPr>
              <w:spacing w:after="0" w:line="240" w:lineRule="auto"/>
              <w:rPr>
                <w:rFonts w:eastAsia="Times New Roman" w:cs="Times New Roman"/>
                <w:bCs/>
                <w:color w:val="0D0D0D"/>
                <w:szCs w:val="24"/>
              </w:rPr>
            </w:pPr>
            <w:r w:rsidRPr="0096386F">
              <w:rPr>
                <w:rFonts w:eastAsia="Times New Roman" w:cs="Times New Roman"/>
                <w:bCs/>
                <w:color w:val="0D0D0D"/>
                <w:szCs w:val="24"/>
              </w:rPr>
              <w:t>PSPA</w:t>
            </w:r>
          </w:p>
        </w:tc>
        <w:tc>
          <w:tcPr>
            <w:tcW w:w="405"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5"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55" w:type="pct"/>
            <w:tcBorders>
              <w:bottom w:val="single" w:sz="4" w:space="0" w:color="auto"/>
            </w:tcBorders>
            <w:noWrap/>
          </w:tcPr>
          <w:p w:rsidR="00901DEA" w:rsidRPr="0096386F" w:rsidRDefault="00901DEA" w:rsidP="000632CC">
            <w:pPr>
              <w:spacing w:after="0" w:line="240" w:lineRule="auto"/>
              <w:jc w:val="right"/>
              <w:rPr>
                <w:rFonts w:eastAsia="Times New Roman" w:cs="Times New Roman"/>
                <w:color w:val="0D0D0D"/>
                <w:szCs w:val="24"/>
              </w:rPr>
            </w:pPr>
          </w:p>
        </w:tc>
        <w:tc>
          <w:tcPr>
            <w:tcW w:w="505"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56"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02"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484"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 </w:t>
            </w:r>
          </w:p>
        </w:tc>
        <w:tc>
          <w:tcPr>
            <w:tcW w:w="574" w:type="pct"/>
            <w:tcBorders>
              <w:bottom w:val="single" w:sz="4" w:space="0" w:color="auto"/>
            </w:tcBorders>
            <w:noWrap/>
            <w:hideMark/>
          </w:tcPr>
          <w:p w:rsidR="00901DEA" w:rsidRPr="0096386F" w:rsidRDefault="00901DEA" w:rsidP="000632CC">
            <w:pPr>
              <w:spacing w:after="0" w:line="240" w:lineRule="auto"/>
              <w:jc w:val="right"/>
              <w:rPr>
                <w:rFonts w:eastAsia="Times New Roman" w:cs="Times New Roman"/>
                <w:color w:val="0D0D0D"/>
                <w:szCs w:val="24"/>
              </w:rPr>
            </w:pPr>
            <w:r w:rsidRPr="0096386F">
              <w:rPr>
                <w:rFonts w:eastAsia="Times New Roman" w:cs="Times New Roman"/>
                <w:color w:val="0D0D0D"/>
                <w:szCs w:val="24"/>
              </w:rPr>
              <w:t>1</w:t>
            </w:r>
          </w:p>
        </w:tc>
      </w:tr>
      <w:tr w:rsidR="00901DEA" w:rsidRPr="0096386F" w:rsidTr="000632CC">
        <w:trPr>
          <w:trHeight w:val="400"/>
        </w:trPr>
        <w:tc>
          <w:tcPr>
            <w:tcW w:w="5000" w:type="pct"/>
            <w:gridSpan w:val="11"/>
            <w:noWrap/>
            <w:hideMark/>
          </w:tcPr>
          <w:p w:rsidR="00901DEA" w:rsidRPr="0096386F" w:rsidRDefault="00901DEA" w:rsidP="000632CC">
            <w:pPr>
              <w:spacing w:after="0" w:line="240" w:lineRule="auto"/>
              <w:rPr>
                <w:rFonts w:eastAsia="Times New Roman" w:cs="Times New Roman"/>
                <w:color w:val="0D0D0D"/>
                <w:szCs w:val="24"/>
              </w:rPr>
            </w:pPr>
            <w:r w:rsidRPr="0096386F">
              <w:rPr>
                <w:rFonts w:eastAsia="Times New Roman" w:cs="Times New Roman"/>
                <w:color w:val="0D0D0D"/>
                <w:szCs w:val="24"/>
              </w:rPr>
              <w:t>**. Correlation is significant at the 0.01 level (2-tailed).</w:t>
            </w:r>
          </w:p>
        </w:tc>
      </w:tr>
    </w:tbl>
    <w:p w:rsidR="007614D3" w:rsidRPr="007614D3" w:rsidRDefault="00376629" w:rsidP="00901DEA">
      <w:pPr>
        <w:spacing w:before="240"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The correlation results reveal strong interrelationships among digital payment indicators and total cashless payments. Wallet users show a significant positive correlation with debit cards (r = 0.786, p &lt; .05) and mobile banking customers (r = 0.398, p &lt; .05), indicating complementary usage of multiple digital payment instruments.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A particularly strong relationship is observed between mobile banking customers and total cashless payments (r = 0.982, p &lt; .01), confirming mobile banking as a key driver of digital transaction growth. PSP agents also display a strong positive correlation with total cashless payments (r = 0.692, p &lt; .01), highlighting their importance in expanding access to digital transactions, especially in underserved regions.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 xml:space="preserve">While credit cards exhibit positive correlations with internet banking (r = 0.945, p &lt; .01) and </w:t>
      </w:r>
      <w:proofErr w:type="spellStart"/>
      <w:r w:rsidR="007614D3" w:rsidRPr="007614D3">
        <w:rPr>
          <w:rFonts w:eastAsia="Times New Roman" w:cs="Times New Roman"/>
          <w:szCs w:val="24"/>
        </w:rPr>
        <w:t>ConnectIPS</w:t>
      </w:r>
      <w:proofErr w:type="spellEnd"/>
      <w:r w:rsidR="007614D3" w:rsidRPr="007614D3">
        <w:rPr>
          <w:rFonts w:eastAsia="Times New Roman" w:cs="Times New Roman"/>
          <w:szCs w:val="24"/>
        </w:rPr>
        <w:t xml:space="preserve"> users (r = 0.945, p &lt; .01), their relationship with total cashless payments remains weak and negative (r = −0.13, p &lt; .05). This suggests that credit cards play a limited role in driving overall cashless transaction growth.</w:t>
      </w:r>
    </w:p>
    <w:p w:rsidR="007614D3" w:rsidRDefault="007614D3" w:rsidP="00901DEA">
      <w:pPr>
        <w:spacing w:line="360" w:lineRule="auto"/>
        <w:rPr>
          <w:rFonts w:eastAsia="Times New Roman" w:cs="Times New Roman"/>
          <w:b/>
          <w:bCs/>
          <w:szCs w:val="24"/>
        </w:rPr>
      </w:pPr>
      <w:r w:rsidRPr="00901DEA">
        <w:rPr>
          <w:rFonts w:eastAsia="Times New Roman" w:cs="Times New Roman"/>
          <w:b/>
          <w:bCs/>
          <w:szCs w:val="24"/>
        </w:rPr>
        <w:lastRenderedPageBreak/>
        <w:t>Regression Results</w:t>
      </w:r>
    </w:p>
    <w:p w:rsidR="00901DEA" w:rsidRPr="00901DEA" w:rsidRDefault="00376629" w:rsidP="00901DEA">
      <w:pPr>
        <w:spacing w:line="360" w:lineRule="auto"/>
        <w:rPr>
          <w:rFonts w:eastAsia="Times New Roman" w:cs="Times New Roman"/>
          <w:szCs w:val="24"/>
        </w:rPr>
      </w:pPr>
      <w:r>
        <w:rPr>
          <w:rFonts w:eastAsia="Times New Roman" w:cs="Times New Roman"/>
          <w:szCs w:val="24"/>
        </w:rPr>
        <w:tab/>
      </w:r>
      <w:r w:rsidR="00901DEA" w:rsidRPr="00901DEA">
        <w:rPr>
          <w:rFonts w:eastAsia="Times New Roman" w:cs="Times New Roman"/>
          <w:szCs w:val="24"/>
        </w:rPr>
        <w:t>The results of the regression analysis provided in Tables 3, 4 and 5 provide good insights on the relationship between different digital payment systems and Total Cashless Payment in Nepal. Some of the predictors in the analysis are Internet Banking Customers, PSP Agents, ATM Machines (Terminals), Credit Cards, Debit Cards, Wallet users and mobile banking customers which all help to predict the variance in the cashless payment behavior.</w:t>
      </w:r>
    </w:p>
    <w:tbl>
      <w:tblPr>
        <w:tblW w:w="5000" w:type="pct"/>
        <w:tblLook w:val="04A0" w:firstRow="1" w:lastRow="0" w:firstColumn="1" w:lastColumn="0" w:noHBand="0" w:noVBand="1"/>
      </w:tblPr>
      <w:tblGrid>
        <w:gridCol w:w="1041"/>
        <w:gridCol w:w="159"/>
        <w:gridCol w:w="1041"/>
        <w:gridCol w:w="1041"/>
        <w:gridCol w:w="1280"/>
        <w:gridCol w:w="1997"/>
        <w:gridCol w:w="2801"/>
      </w:tblGrid>
      <w:tr w:rsidR="00B52755" w:rsidRPr="0096386F" w:rsidTr="00B52755">
        <w:trPr>
          <w:trHeight w:val="315"/>
        </w:trPr>
        <w:tc>
          <w:tcPr>
            <w:tcW w:w="641" w:type="pct"/>
            <w:gridSpan w:val="2"/>
            <w:tcBorders>
              <w:top w:val="single" w:sz="4" w:space="0" w:color="auto"/>
              <w:left w:val="nil"/>
              <w:bottom w:val="single" w:sz="4" w:space="0" w:color="auto"/>
              <w:right w:val="nil"/>
            </w:tcBorders>
            <w:hideMark/>
          </w:tcPr>
          <w:p w:rsidR="00B52755" w:rsidRPr="0096386F" w:rsidRDefault="00B52755" w:rsidP="000632CC">
            <w:pPr>
              <w:spacing w:after="0" w:line="240" w:lineRule="auto"/>
              <w:jc w:val="center"/>
              <w:rPr>
                <w:rFonts w:eastAsia="Times New Roman" w:cs="Times New Roman"/>
                <w:bCs/>
                <w:color w:val="0D0D0D" w:themeColor="text1" w:themeTint="F2"/>
                <w:szCs w:val="24"/>
              </w:rPr>
            </w:pPr>
            <w:r w:rsidRPr="0096386F">
              <w:rPr>
                <w:rFonts w:eastAsia="Times New Roman" w:cs="Times New Roman"/>
                <w:bCs/>
                <w:color w:val="0D0D0D" w:themeColor="text1" w:themeTint="F2"/>
                <w:szCs w:val="24"/>
              </w:rPr>
              <w:t>Model</w:t>
            </w:r>
          </w:p>
        </w:tc>
        <w:tc>
          <w:tcPr>
            <w:tcW w:w="556" w:type="pct"/>
            <w:tcBorders>
              <w:top w:val="single" w:sz="4" w:space="0" w:color="auto"/>
              <w:left w:val="nil"/>
              <w:bottom w:val="single" w:sz="4" w:space="0" w:color="auto"/>
              <w:right w:val="nil"/>
            </w:tcBorders>
          </w:tcPr>
          <w:p w:rsidR="00B52755" w:rsidRPr="0096386F" w:rsidRDefault="00B52755" w:rsidP="000632CC">
            <w:pPr>
              <w:spacing w:after="0" w:line="240" w:lineRule="auto"/>
              <w:jc w:val="center"/>
              <w:rPr>
                <w:rFonts w:eastAsia="Times New Roman" w:cs="Times New Roman"/>
                <w:bCs/>
                <w:color w:val="0D0D0D" w:themeColor="text1" w:themeTint="F2"/>
                <w:szCs w:val="24"/>
              </w:rPr>
            </w:pPr>
          </w:p>
        </w:tc>
        <w:tc>
          <w:tcPr>
            <w:tcW w:w="556" w:type="pct"/>
            <w:tcBorders>
              <w:top w:val="single" w:sz="4" w:space="0" w:color="auto"/>
              <w:left w:val="nil"/>
              <w:bottom w:val="single" w:sz="4" w:space="0" w:color="auto"/>
              <w:right w:val="nil"/>
            </w:tcBorders>
            <w:hideMark/>
          </w:tcPr>
          <w:p w:rsidR="00B52755" w:rsidRPr="0096386F" w:rsidRDefault="00B52755" w:rsidP="000632CC">
            <w:pPr>
              <w:spacing w:after="0" w:line="240" w:lineRule="auto"/>
              <w:jc w:val="center"/>
              <w:rPr>
                <w:rFonts w:eastAsia="Times New Roman" w:cs="Times New Roman"/>
                <w:bCs/>
                <w:color w:val="0D0D0D" w:themeColor="text1" w:themeTint="F2"/>
                <w:szCs w:val="24"/>
              </w:rPr>
            </w:pPr>
            <w:r w:rsidRPr="0096386F">
              <w:rPr>
                <w:rFonts w:eastAsia="Times New Roman" w:cs="Times New Roman"/>
                <w:bCs/>
                <w:color w:val="0D0D0D" w:themeColor="text1" w:themeTint="F2"/>
                <w:szCs w:val="24"/>
              </w:rPr>
              <w:t>R</w:t>
            </w:r>
          </w:p>
        </w:tc>
        <w:tc>
          <w:tcPr>
            <w:tcW w:w="684" w:type="pct"/>
            <w:tcBorders>
              <w:top w:val="single" w:sz="4" w:space="0" w:color="auto"/>
              <w:left w:val="nil"/>
              <w:bottom w:val="single" w:sz="4" w:space="0" w:color="auto"/>
              <w:right w:val="nil"/>
            </w:tcBorders>
            <w:hideMark/>
          </w:tcPr>
          <w:p w:rsidR="00B52755" w:rsidRPr="0096386F" w:rsidRDefault="00B52755" w:rsidP="000632CC">
            <w:pPr>
              <w:spacing w:after="0" w:line="240" w:lineRule="auto"/>
              <w:jc w:val="center"/>
              <w:rPr>
                <w:rFonts w:eastAsia="Times New Roman" w:cs="Times New Roman"/>
                <w:bCs/>
                <w:color w:val="0D0D0D" w:themeColor="text1" w:themeTint="F2"/>
                <w:szCs w:val="24"/>
              </w:rPr>
            </w:pPr>
            <w:r w:rsidRPr="0096386F">
              <w:rPr>
                <w:rFonts w:eastAsia="Times New Roman" w:cs="Times New Roman"/>
                <w:bCs/>
                <w:color w:val="0D0D0D" w:themeColor="text1" w:themeTint="F2"/>
                <w:szCs w:val="24"/>
              </w:rPr>
              <w:t>R Square</w:t>
            </w:r>
          </w:p>
        </w:tc>
        <w:tc>
          <w:tcPr>
            <w:tcW w:w="1067" w:type="pct"/>
            <w:tcBorders>
              <w:top w:val="single" w:sz="4" w:space="0" w:color="auto"/>
              <w:left w:val="nil"/>
              <w:bottom w:val="single" w:sz="4" w:space="0" w:color="auto"/>
              <w:right w:val="nil"/>
            </w:tcBorders>
            <w:hideMark/>
          </w:tcPr>
          <w:p w:rsidR="00B52755" w:rsidRPr="0096386F" w:rsidRDefault="00B52755" w:rsidP="000632CC">
            <w:pPr>
              <w:spacing w:after="0" w:line="240" w:lineRule="auto"/>
              <w:jc w:val="center"/>
              <w:rPr>
                <w:rFonts w:eastAsia="Times New Roman" w:cs="Times New Roman"/>
                <w:bCs/>
                <w:color w:val="0D0D0D" w:themeColor="text1" w:themeTint="F2"/>
                <w:szCs w:val="24"/>
              </w:rPr>
            </w:pPr>
            <w:r w:rsidRPr="0096386F">
              <w:rPr>
                <w:rFonts w:eastAsia="Times New Roman" w:cs="Times New Roman"/>
                <w:bCs/>
                <w:color w:val="0D0D0D" w:themeColor="text1" w:themeTint="F2"/>
                <w:szCs w:val="24"/>
              </w:rPr>
              <w:t>Adjusted R Square</w:t>
            </w:r>
          </w:p>
        </w:tc>
        <w:tc>
          <w:tcPr>
            <w:tcW w:w="1496" w:type="pct"/>
            <w:tcBorders>
              <w:top w:val="single" w:sz="4" w:space="0" w:color="auto"/>
              <w:left w:val="nil"/>
              <w:bottom w:val="single" w:sz="4" w:space="0" w:color="auto"/>
              <w:right w:val="nil"/>
            </w:tcBorders>
            <w:hideMark/>
          </w:tcPr>
          <w:p w:rsidR="00B52755" w:rsidRPr="0096386F" w:rsidRDefault="00B52755" w:rsidP="000632CC">
            <w:pPr>
              <w:spacing w:after="0" w:line="240" w:lineRule="auto"/>
              <w:jc w:val="center"/>
              <w:rPr>
                <w:rFonts w:eastAsia="Times New Roman" w:cs="Times New Roman"/>
                <w:bCs/>
                <w:color w:val="0D0D0D" w:themeColor="text1" w:themeTint="F2"/>
                <w:szCs w:val="24"/>
              </w:rPr>
            </w:pPr>
            <w:r w:rsidRPr="0096386F">
              <w:rPr>
                <w:rFonts w:eastAsia="Times New Roman" w:cs="Times New Roman"/>
                <w:bCs/>
                <w:color w:val="0D0D0D" w:themeColor="text1" w:themeTint="F2"/>
                <w:szCs w:val="24"/>
              </w:rPr>
              <w:t>Std. Error of the Estimate</w:t>
            </w:r>
          </w:p>
        </w:tc>
      </w:tr>
      <w:tr w:rsidR="00B52755" w:rsidRPr="004A6E3E" w:rsidTr="00B52755">
        <w:trPr>
          <w:trHeight w:val="360"/>
        </w:trPr>
        <w:tc>
          <w:tcPr>
            <w:tcW w:w="641" w:type="pct"/>
            <w:gridSpan w:val="2"/>
            <w:tcBorders>
              <w:top w:val="single" w:sz="4" w:space="0" w:color="auto"/>
              <w:left w:val="nil"/>
              <w:bottom w:val="single" w:sz="4" w:space="0" w:color="auto"/>
              <w:right w:val="nil"/>
            </w:tcBorders>
            <w:hideMark/>
          </w:tcPr>
          <w:p w:rsidR="00B52755" w:rsidRPr="004A6E3E" w:rsidRDefault="00B52755" w:rsidP="000632CC">
            <w:pPr>
              <w:spacing w:after="0" w:line="240" w:lineRule="auto"/>
              <w:jc w:val="right"/>
              <w:rPr>
                <w:rFonts w:eastAsia="Times New Roman" w:cs="Times New Roman"/>
                <w:color w:val="0D0D0D" w:themeColor="text1" w:themeTint="F2"/>
                <w:szCs w:val="24"/>
              </w:rPr>
            </w:pPr>
            <w:r w:rsidRPr="004A6E3E">
              <w:rPr>
                <w:rFonts w:eastAsia="Times New Roman" w:cs="Times New Roman"/>
                <w:color w:val="0D0D0D" w:themeColor="text1" w:themeTint="F2"/>
                <w:szCs w:val="24"/>
              </w:rPr>
              <w:t>1</w:t>
            </w:r>
          </w:p>
        </w:tc>
        <w:tc>
          <w:tcPr>
            <w:tcW w:w="556" w:type="pct"/>
            <w:tcBorders>
              <w:top w:val="single" w:sz="4" w:space="0" w:color="auto"/>
              <w:left w:val="nil"/>
              <w:bottom w:val="single" w:sz="4" w:space="0" w:color="auto"/>
              <w:right w:val="nil"/>
            </w:tcBorders>
          </w:tcPr>
          <w:p w:rsidR="00B52755" w:rsidRPr="004A6E3E" w:rsidRDefault="00B52755" w:rsidP="000632CC">
            <w:pPr>
              <w:spacing w:after="0" w:line="240" w:lineRule="auto"/>
              <w:jc w:val="right"/>
              <w:rPr>
                <w:rFonts w:eastAsia="Times New Roman" w:cs="Times New Roman"/>
                <w:color w:val="0D0D0D" w:themeColor="text1" w:themeTint="F2"/>
                <w:szCs w:val="24"/>
              </w:rPr>
            </w:pPr>
          </w:p>
        </w:tc>
        <w:tc>
          <w:tcPr>
            <w:tcW w:w="556" w:type="pct"/>
            <w:tcBorders>
              <w:top w:val="single" w:sz="4" w:space="0" w:color="auto"/>
              <w:left w:val="nil"/>
              <w:bottom w:val="single" w:sz="4" w:space="0" w:color="auto"/>
              <w:right w:val="nil"/>
            </w:tcBorders>
            <w:hideMark/>
          </w:tcPr>
          <w:p w:rsidR="00B52755" w:rsidRPr="004A6E3E" w:rsidRDefault="00B52755" w:rsidP="000632CC">
            <w:pPr>
              <w:spacing w:after="0" w:line="240" w:lineRule="auto"/>
              <w:jc w:val="right"/>
              <w:rPr>
                <w:rFonts w:eastAsia="Times New Roman" w:cs="Times New Roman"/>
                <w:color w:val="0D0D0D" w:themeColor="text1" w:themeTint="F2"/>
                <w:szCs w:val="24"/>
              </w:rPr>
            </w:pPr>
            <w:r w:rsidRPr="004A6E3E">
              <w:rPr>
                <w:rFonts w:eastAsia="Times New Roman" w:cs="Times New Roman"/>
                <w:color w:val="0D0D0D" w:themeColor="text1" w:themeTint="F2"/>
                <w:szCs w:val="24"/>
              </w:rPr>
              <w:t>0.951</w:t>
            </w:r>
          </w:p>
        </w:tc>
        <w:tc>
          <w:tcPr>
            <w:tcW w:w="684" w:type="pct"/>
            <w:tcBorders>
              <w:top w:val="single" w:sz="4" w:space="0" w:color="auto"/>
              <w:left w:val="nil"/>
              <w:bottom w:val="single" w:sz="4" w:space="0" w:color="auto"/>
              <w:right w:val="nil"/>
            </w:tcBorders>
            <w:hideMark/>
          </w:tcPr>
          <w:p w:rsidR="00B52755" w:rsidRPr="004A6E3E" w:rsidRDefault="00B52755" w:rsidP="000632CC">
            <w:pPr>
              <w:spacing w:after="0" w:line="240" w:lineRule="auto"/>
              <w:jc w:val="right"/>
              <w:rPr>
                <w:rFonts w:eastAsia="Times New Roman" w:cs="Times New Roman"/>
                <w:color w:val="0D0D0D" w:themeColor="text1" w:themeTint="F2"/>
                <w:szCs w:val="24"/>
              </w:rPr>
            </w:pPr>
            <w:r w:rsidRPr="004A6E3E">
              <w:rPr>
                <w:rFonts w:eastAsia="Times New Roman" w:cs="Times New Roman"/>
                <w:color w:val="0D0D0D" w:themeColor="text1" w:themeTint="F2"/>
                <w:szCs w:val="24"/>
              </w:rPr>
              <w:t>0.913</w:t>
            </w:r>
          </w:p>
        </w:tc>
        <w:tc>
          <w:tcPr>
            <w:tcW w:w="1067" w:type="pct"/>
            <w:tcBorders>
              <w:top w:val="single" w:sz="4" w:space="0" w:color="auto"/>
              <w:left w:val="nil"/>
              <w:bottom w:val="single" w:sz="4" w:space="0" w:color="auto"/>
              <w:right w:val="nil"/>
            </w:tcBorders>
            <w:hideMark/>
          </w:tcPr>
          <w:p w:rsidR="00B52755" w:rsidRPr="004A6E3E" w:rsidRDefault="00B52755" w:rsidP="000632CC">
            <w:pPr>
              <w:spacing w:after="0" w:line="240" w:lineRule="auto"/>
              <w:jc w:val="right"/>
              <w:rPr>
                <w:rFonts w:eastAsia="Times New Roman" w:cs="Times New Roman"/>
                <w:color w:val="0D0D0D" w:themeColor="text1" w:themeTint="F2"/>
                <w:szCs w:val="24"/>
              </w:rPr>
            </w:pPr>
            <w:r w:rsidRPr="004A6E3E">
              <w:rPr>
                <w:rFonts w:eastAsia="Times New Roman" w:cs="Times New Roman"/>
                <w:color w:val="0D0D0D" w:themeColor="text1" w:themeTint="F2"/>
                <w:szCs w:val="24"/>
              </w:rPr>
              <w:t>0.884</w:t>
            </w:r>
          </w:p>
        </w:tc>
        <w:tc>
          <w:tcPr>
            <w:tcW w:w="1496" w:type="pct"/>
            <w:tcBorders>
              <w:top w:val="single" w:sz="4" w:space="0" w:color="auto"/>
              <w:left w:val="nil"/>
              <w:bottom w:val="single" w:sz="4" w:space="0" w:color="auto"/>
              <w:right w:val="nil"/>
            </w:tcBorders>
            <w:hideMark/>
          </w:tcPr>
          <w:p w:rsidR="00B52755" w:rsidRPr="004A6E3E" w:rsidRDefault="00B52755" w:rsidP="000632CC">
            <w:pPr>
              <w:spacing w:after="0" w:line="240" w:lineRule="auto"/>
              <w:jc w:val="right"/>
              <w:rPr>
                <w:rFonts w:eastAsia="Times New Roman" w:cs="Times New Roman"/>
                <w:color w:val="0D0D0D" w:themeColor="text1" w:themeTint="F2"/>
                <w:szCs w:val="24"/>
              </w:rPr>
            </w:pPr>
            <w:r w:rsidRPr="004A6E3E">
              <w:rPr>
                <w:rFonts w:eastAsia="Times New Roman" w:cs="Times New Roman"/>
                <w:color w:val="0D0D0D" w:themeColor="text1" w:themeTint="F2"/>
                <w:szCs w:val="24"/>
              </w:rPr>
              <w:t>0.0337</w:t>
            </w:r>
          </w:p>
        </w:tc>
      </w:tr>
      <w:tr w:rsidR="00B52755" w:rsidRPr="004A6E3E" w:rsidTr="00B52755">
        <w:trPr>
          <w:trHeight w:val="310"/>
        </w:trPr>
        <w:tc>
          <w:tcPr>
            <w:tcW w:w="556" w:type="pct"/>
            <w:tcBorders>
              <w:top w:val="single" w:sz="4" w:space="0" w:color="auto"/>
              <w:left w:val="nil"/>
              <w:bottom w:val="nil"/>
              <w:right w:val="nil"/>
            </w:tcBorders>
          </w:tcPr>
          <w:p w:rsidR="00B52755" w:rsidRPr="004A6E3E" w:rsidRDefault="00B52755" w:rsidP="000632CC">
            <w:pPr>
              <w:spacing w:after="0" w:line="240" w:lineRule="auto"/>
              <w:rPr>
                <w:rFonts w:eastAsia="Times New Roman" w:cs="Times New Roman"/>
                <w:color w:val="0D0D0D" w:themeColor="text1" w:themeTint="F2"/>
                <w:szCs w:val="24"/>
              </w:rPr>
            </w:pPr>
          </w:p>
        </w:tc>
        <w:tc>
          <w:tcPr>
            <w:tcW w:w="4444" w:type="pct"/>
            <w:gridSpan w:val="6"/>
            <w:tcBorders>
              <w:top w:val="single" w:sz="4" w:space="0" w:color="auto"/>
              <w:left w:val="nil"/>
              <w:bottom w:val="nil"/>
              <w:right w:val="nil"/>
            </w:tcBorders>
            <w:hideMark/>
          </w:tcPr>
          <w:p w:rsidR="00B52755" w:rsidRPr="004A6E3E" w:rsidRDefault="00B52755" w:rsidP="000632CC">
            <w:pPr>
              <w:spacing w:after="0" w:line="240" w:lineRule="auto"/>
              <w:rPr>
                <w:rFonts w:eastAsia="Times New Roman" w:cs="Times New Roman"/>
                <w:color w:val="0D0D0D" w:themeColor="text1" w:themeTint="F2"/>
                <w:szCs w:val="24"/>
              </w:rPr>
            </w:pPr>
            <w:r w:rsidRPr="004A6E3E">
              <w:rPr>
                <w:rFonts w:eastAsia="Times New Roman" w:cs="Times New Roman"/>
                <w:color w:val="0D0D0D" w:themeColor="text1" w:themeTint="F2"/>
                <w:szCs w:val="24"/>
              </w:rPr>
              <w:t xml:space="preserve">a. Predictors: (Constant), </w:t>
            </w:r>
            <w:proofErr w:type="spellStart"/>
            <w:r w:rsidRPr="004A6E3E">
              <w:rPr>
                <w:rFonts w:eastAsia="Times New Roman" w:cs="Times New Roman"/>
                <w:color w:val="0D0D0D" w:themeColor="text1" w:themeTint="F2"/>
                <w:szCs w:val="24"/>
              </w:rPr>
              <w:t>LInternet</w:t>
            </w:r>
            <w:proofErr w:type="spellEnd"/>
            <w:r w:rsidRPr="004A6E3E">
              <w:rPr>
                <w:rFonts w:eastAsia="Times New Roman" w:cs="Times New Roman"/>
                <w:color w:val="0D0D0D" w:themeColor="text1" w:themeTint="F2"/>
                <w:szCs w:val="24"/>
              </w:rPr>
              <w:t xml:space="preserve"> Banking Customers, LPSP Agents, LATM Machines (Terminals), </w:t>
            </w:r>
            <w:proofErr w:type="spellStart"/>
            <w:r w:rsidRPr="004A6E3E">
              <w:rPr>
                <w:rFonts w:eastAsia="Times New Roman" w:cs="Times New Roman"/>
                <w:color w:val="0D0D0D" w:themeColor="text1" w:themeTint="F2"/>
                <w:szCs w:val="24"/>
              </w:rPr>
              <w:t>LCredit</w:t>
            </w:r>
            <w:proofErr w:type="spellEnd"/>
            <w:r w:rsidRPr="004A6E3E">
              <w:rPr>
                <w:rFonts w:eastAsia="Times New Roman" w:cs="Times New Roman"/>
                <w:color w:val="0D0D0D" w:themeColor="text1" w:themeTint="F2"/>
                <w:szCs w:val="24"/>
              </w:rPr>
              <w:t xml:space="preserve"> Cards, </w:t>
            </w:r>
            <w:proofErr w:type="spellStart"/>
            <w:r w:rsidRPr="004A6E3E">
              <w:rPr>
                <w:rFonts w:eastAsia="Times New Roman" w:cs="Times New Roman"/>
                <w:color w:val="0D0D0D" w:themeColor="text1" w:themeTint="F2"/>
                <w:szCs w:val="24"/>
              </w:rPr>
              <w:t>LDebit</w:t>
            </w:r>
            <w:proofErr w:type="spellEnd"/>
            <w:r w:rsidRPr="004A6E3E">
              <w:rPr>
                <w:rFonts w:eastAsia="Times New Roman" w:cs="Times New Roman"/>
                <w:color w:val="0D0D0D" w:themeColor="text1" w:themeTint="F2"/>
                <w:szCs w:val="24"/>
              </w:rPr>
              <w:t xml:space="preserve"> Cards, </w:t>
            </w:r>
            <w:proofErr w:type="spellStart"/>
            <w:r w:rsidRPr="004A6E3E">
              <w:rPr>
                <w:rFonts w:eastAsia="Times New Roman" w:cs="Times New Roman"/>
                <w:color w:val="0D0D0D" w:themeColor="text1" w:themeTint="F2"/>
                <w:szCs w:val="24"/>
              </w:rPr>
              <w:t>LWallet</w:t>
            </w:r>
            <w:proofErr w:type="spellEnd"/>
            <w:r w:rsidRPr="004A6E3E">
              <w:rPr>
                <w:rFonts w:eastAsia="Times New Roman" w:cs="Times New Roman"/>
                <w:color w:val="0D0D0D" w:themeColor="text1" w:themeTint="F2"/>
                <w:szCs w:val="24"/>
              </w:rPr>
              <w:t xml:space="preserve"> Users, </w:t>
            </w:r>
            <w:proofErr w:type="spellStart"/>
            <w:r w:rsidRPr="004A6E3E">
              <w:rPr>
                <w:rFonts w:eastAsia="Times New Roman" w:cs="Times New Roman"/>
                <w:color w:val="0D0D0D" w:themeColor="text1" w:themeTint="F2"/>
                <w:szCs w:val="24"/>
              </w:rPr>
              <w:t>LMobile</w:t>
            </w:r>
            <w:proofErr w:type="spellEnd"/>
            <w:r w:rsidRPr="004A6E3E">
              <w:rPr>
                <w:rFonts w:eastAsia="Times New Roman" w:cs="Times New Roman"/>
                <w:color w:val="0D0D0D" w:themeColor="text1" w:themeTint="F2"/>
                <w:szCs w:val="24"/>
              </w:rPr>
              <w:t xml:space="preserve"> Banking Customers</w:t>
            </w:r>
          </w:p>
        </w:tc>
      </w:tr>
    </w:tbl>
    <w:p w:rsidR="007614D3" w:rsidRPr="007614D3" w:rsidRDefault="00376629" w:rsidP="00901DEA">
      <w:pPr>
        <w:spacing w:before="240"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The regression model demonstrates strong explanatory power, with an R value of 0.951 and an R² of 0.913, indicating that approximately 91.3% of the variation in total cashless payments is explained by the selected digital payment variables. The model is statistically significant (F = 419.009, p &lt; .001), confirming its robustness.</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Among the predictors, wallet users emerge as a highly significant determinant of cashless payments (B = 0.813, β = 0.682, p = .003). This finding underscores the dominant role of mobile wallets in Nepal’s digital payment ecosystem.</w:t>
      </w:r>
    </w:p>
    <w:p w:rsidR="007614D3" w:rsidRPr="007614D3" w:rsidRDefault="00376629" w:rsidP="00901DEA">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Mobile banking customers also exert a strong positive influence (B = 1.201, β = 0.572, p = .043), reinforcing the importance of bank-led mobile platforms in facilitating cashless transactions. PSP agents show a positive and statistically significant effect (B = 0.05, β = 0.563, p = .004), highlighting the contribution of agent networks to transaction growth.</w:t>
      </w:r>
    </w:p>
    <w:p w:rsidR="00C942BE" w:rsidRPr="007614D3" w:rsidRDefault="00376629" w:rsidP="00C942BE">
      <w:pPr>
        <w:spacing w:line="360" w:lineRule="auto"/>
        <w:rPr>
          <w:rFonts w:eastAsia="Times New Roman" w:cs="Times New Roman"/>
          <w:szCs w:val="24"/>
        </w:rPr>
      </w:pPr>
      <w:r>
        <w:rPr>
          <w:rFonts w:eastAsia="Times New Roman" w:cs="Times New Roman"/>
          <w:szCs w:val="24"/>
        </w:rPr>
        <w:tab/>
      </w:r>
      <w:r w:rsidR="007614D3" w:rsidRPr="007614D3">
        <w:rPr>
          <w:rFonts w:eastAsia="Times New Roman" w:cs="Times New Roman"/>
          <w:szCs w:val="24"/>
        </w:rPr>
        <w:t>In contrast, debit cards, credit cards, ATM terminals, and internet banking customers do not exhibit statistically significant effects in the multivariate model. This suggests that while these instruments support digital payments, their independent contribution is overshadowed by mobile-based platforms.</w:t>
      </w:r>
    </w:p>
    <w:p w:rsidR="00C942BE" w:rsidRPr="00C942BE" w:rsidRDefault="00C942BE" w:rsidP="00C942BE">
      <w:pPr>
        <w:spacing w:line="360" w:lineRule="auto"/>
        <w:jc w:val="center"/>
        <w:rPr>
          <w:rFonts w:eastAsia="Times New Roman" w:cs="Times New Roman"/>
          <w:b/>
          <w:bCs/>
          <w:szCs w:val="24"/>
        </w:rPr>
      </w:pPr>
      <w:r w:rsidRPr="00C942BE">
        <w:rPr>
          <w:rFonts w:eastAsia="Times New Roman" w:cs="Times New Roman"/>
          <w:b/>
          <w:bCs/>
          <w:szCs w:val="24"/>
        </w:rPr>
        <w:t>Findings</w:t>
      </w:r>
    </w:p>
    <w:p w:rsidR="00C942BE" w:rsidRPr="00C942BE" w:rsidRDefault="00C942BE" w:rsidP="00C942BE">
      <w:pPr>
        <w:spacing w:line="360" w:lineRule="auto"/>
        <w:rPr>
          <w:rFonts w:eastAsia="Times New Roman" w:cs="Times New Roman"/>
          <w:szCs w:val="24"/>
        </w:rPr>
      </w:pPr>
      <w:r>
        <w:rPr>
          <w:rFonts w:eastAsia="Times New Roman" w:cs="Times New Roman"/>
          <w:szCs w:val="24"/>
        </w:rPr>
        <w:lastRenderedPageBreak/>
        <w:tab/>
      </w:r>
      <w:r w:rsidRPr="00C942BE">
        <w:rPr>
          <w:rFonts w:eastAsia="Times New Roman" w:cs="Times New Roman"/>
          <w:szCs w:val="24"/>
        </w:rPr>
        <w:t>The empirical analysis of digital payment infrastructure in Nepal reveals several significant outcomes. First, the study identifies a substantial and continuous growth in digital payment adoption over the observed period. Indicators such as mobile wallet users, mobile banking customers, and total cashless transactions demonstrate a strong upward trend, reflecting the increasing acceptance of digital financial services.</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Second, the regression results indicate that mobile-based payment platforms, particularly mobile wallets and mobile banking, exert a positive and statistically significant influence on total cashless payments. Among these, mobile wallets emerge as the most dominant determinant, highlighting their central role in Nepal’s digital payment ecosystem.</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Third, the expansion of Payment Service Provider (PSP) agents is found to have a significant positive effect on cashless transactions. This suggests that agent networks play a crucial role in extending digital payment services to underserved and rural populations, thereby promoting financial inclusion.</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Fourth, correlation analysis reveals a strong positive association between mobile banking customers and total cashless payments, further reinforcing the importance of mobile-driven financial services. In contrast, traditional payment instruments such as debit cards, credit cards, ATM terminals, and internet banking customers show weaker or statistically insignificant relationships in the regression model.</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Finally, the findings indicate a structural shift in Nepal’s financial system from traditional banking channels toward a mobile-centric digital payment ecosystem. However, disparities in adoption persist across regions due to limitations in infrastructure, digital literacy, and connectivity.</w:t>
      </w:r>
    </w:p>
    <w:p w:rsidR="00C942BE" w:rsidRPr="00C942BE" w:rsidRDefault="00C942BE" w:rsidP="00C942BE">
      <w:pPr>
        <w:spacing w:line="360" w:lineRule="auto"/>
        <w:jc w:val="center"/>
        <w:rPr>
          <w:rFonts w:eastAsia="Times New Roman" w:cs="Times New Roman"/>
          <w:b/>
          <w:bCs/>
          <w:szCs w:val="24"/>
        </w:rPr>
      </w:pPr>
      <w:r w:rsidRPr="00C942BE">
        <w:rPr>
          <w:rFonts w:eastAsia="Times New Roman" w:cs="Times New Roman"/>
          <w:b/>
          <w:bCs/>
          <w:szCs w:val="24"/>
        </w:rPr>
        <w:t>Summary and Conclusion</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This study examined the role of digital payment infrastructure in enhancing cashless transactions in Nepal using a quantitative research approach based on time-series data. The findings confirm that digital payment systems have expanded rapidly and are playing a transformative role in the country’s financial landscape.</w:t>
      </w:r>
    </w:p>
    <w:p w:rsidR="00C942BE" w:rsidRPr="00C942BE" w:rsidRDefault="00C942BE" w:rsidP="00C942BE">
      <w:pPr>
        <w:spacing w:line="360" w:lineRule="auto"/>
        <w:rPr>
          <w:rFonts w:eastAsia="Times New Roman" w:cs="Times New Roman"/>
          <w:szCs w:val="24"/>
        </w:rPr>
      </w:pPr>
      <w:r>
        <w:rPr>
          <w:rFonts w:eastAsia="Times New Roman" w:cs="Times New Roman"/>
          <w:szCs w:val="24"/>
        </w:rPr>
        <w:lastRenderedPageBreak/>
        <w:tab/>
      </w:r>
      <w:r w:rsidRPr="00C942BE">
        <w:rPr>
          <w:rFonts w:eastAsia="Times New Roman" w:cs="Times New Roman"/>
          <w:szCs w:val="24"/>
        </w:rPr>
        <w:t>The results demonstrate that mobile wallets and mobile banking services are the primary drivers of cashless transaction growth. These platforms are preferred due to their accessibility, convenience, and cost-effectiveness. The significant contribution of PSP agents further highlights the importance of intermediary networks in extending financial services to previously excluded populations.</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While traditional payment instruments such as debit and credit cards and ATM infrastructure continue to support the digital ecosystem, their independent impact on cashless transaction growth is limited. This reflects a clear transition toward mobile-based financial solutions.</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In conclusion, the study affirms that strengthening digital payment infrastructure</w:t>
      </w:r>
      <w:r>
        <w:rPr>
          <w:rFonts w:eastAsia="Times New Roman" w:cs="Times New Roman"/>
          <w:szCs w:val="24"/>
        </w:rPr>
        <w:t xml:space="preserve"> </w:t>
      </w:r>
      <w:r w:rsidRPr="00C942BE">
        <w:rPr>
          <w:rFonts w:eastAsia="Times New Roman" w:cs="Times New Roman"/>
          <w:szCs w:val="24"/>
        </w:rPr>
        <w:t>particularly mobile platforms and agent networks—can accelerate financial inclusion and support Nepal’s transition toward a cash-lite economy. Nevertheless, addressing existing challenges such as regional disparities, limited digital literacy, and infrastructural constraints remains essential for achieving inclusive and sustainable digital financial development.</w:t>
      </w:r>
    </w:p>
    <w:p w:rsidR="00C942BE" w:rsidRPr="00C942BE" w:rsidRDefault="00C942BE" w:rsidP="00C942BE">
      <w:pPr>
        <w:spacing w:line="360" w:lineRule="auto"/>
        <w:jc w:val="center"/>
        <w:rPr>
          <w:rFonts w:eastAsia="Times New Roman" w:cs="Times New Roman"/>
          <w:b/>
          <w:bCs/>
          <w:szCs w:val="24"/>
        </w:rPr>
      </w:pPr>
      <w:r w:rsidRPr="00C942BE">
        <w:rPr>
          <w:rFonts w:eastAsia="Times New Roman" w:cs="Times New Roman"/>
          <w:b/>
          <w:bCs/>
          <w:szCs w:val="24"/>
        </w:rPr>
        <w:t>Recommendations</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Based on the findings and conclusions of the study, several policy and practical recommendations are proposed.</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First, policymakers and financial institutions should prioritize the development and expansion of mobile-based payment systems, as these have demonstrated the strongest impact on cashless transactions. Enhancing the functionality, security, and accessibility of mobile wallets and mobile banking services will further encourage adoption.</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Second, the expansion of PSP agent networks should be emphasized, particularly in rural and underserved areas. Strengthening these networks can significantly improve access to digital financial services and promote financial inclusion.</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Third, there is a need for increased investment in digital infrastructure, including reliable internet connectivity and telecommunications services. Improved infrastructure will facilitate the smooth functioning of digital payment systems across all regions.</w:t>
      </w:r>
    </w:p>
    <w:p w:rsidR="00C942BE" w:rsidRPr="00C942BE" w:rsidRDefault="00C942BE" w:rsidP="00C942BE">
      <w:pPr>
        <w:spacing w:line="360" w:lineRule="auto"/>
        <w:rPr>
          <w:rFonts w:eastAsia="Times New Roman" w:cs="Times New Roman"/>
          <w:szCs w:val="24"/>
        </w:rPr>
      </w:pPr>
      <w:r>
        <w:rPr>
          <w:rFonts w:eastAsia="Times New Roman" w:cs="Times New Roman"/>
          <w:szCs w:val="24"/>
        </w:rPr>
        <w:lastRenderedPageBreak/>
        <w:tab/>
      </w:r>
      <w:r w:rsidRPr="00C942BE">
        <w:rPr>
          <w:rFonts w:eastAsia="Times New Roman" w:cs="Times New Roman"/>
          <w:szCs w:val="24"/>
        </w:rPr>
        <w:t>Fourth, promoting digital financial literacy is essential. Government agencies, financial institutions, and payment service providers should implement awareness campaigns and training programs to educate users about the benefits and safe use of digital payment systems.</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Fifth, reducing transaction costs associated with digital payments can encourage wider adoption, especially among small and medium-sized enterprises (SMEs) and low-income populations.</w:t>
      </w:r>
    </w:p>
    <w:p w:rsidR="00C942BE"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Sixth, targeted support should be provided to SMEs to enhance their capacity to adopt digital payment technologies. This may include technical assistance, financial incentives, and simplified digital solutions.</w:t>
      </w:r>
    </w:p>
    <w:p w:rsidR="00B52755" w:rsidRPr="00C942BE" w:rsidRDefault="00C942BE" w:rsidP="00C942BE">
      <w:pPr>
        <w:spacing w:line="360" w:lineRule="auto"/>
        <w:rPr>
          <w:rFonts w:eastAsia="Times New Roman" w:cs="Times New Roman"/>
          <w:szCs w:val="24"/>
        </w:rPr>
      </w:pPr>
      <w:r>
        <w:rPr>
          <w:rFonts w:eastAsia="Times New Roman" w:cs="Times New Roman"/>
          <w:szCs w:val="24"/>
        </w:rPr>
        <w:tab/>
      </w:r>
      <w:r w:rsidRPr="00C942BE">
        <w:rPr>
          <w:rFonts w:eastAsia="Times New Roman" w:cs="Times New Roman"/>
          <w:szCs w:val="24"/>
        </w:rPr>
        <w:t>Finally, strengthening cybersecurity frameworks and regulatory oversight is crucial to building user trust and ensuring the safety of digital transactions. A secure digital payment environment will foster confidence and long-term sustainability of the system.</w:t>
      </w:r>
    </w:p>
    <w:p w:rsidR="00376629" w:rsidRPr="00376629" w:rsidRDefault="00376629" w:rsidP="00901DEA">
      <w:pPr>
        <w:spacing w:line="360" w:lineRule="auto"/>
        <w:rPr>
          <w:rFonts w:eastAsia="Times New Roman" w:cs="Times New Roman"/>
          <w:szCs w:val="24"/>
        </w:rPr>
      </w:pPr>
    </w:p>
    <w:p w:rsidR="00376629" w:rsidRDefault="00376629" w:rsidP="00901DEA">
      <w:pPr>
        <w:spacing w:line="360" w:lineRule="auto"/>
        <w:rPr>
          <w:rFonts w:eastAsia="Times New Roman" w:cs="Times New Roman"/>
          <w:szCs w:val="24"/>
        </w:rPr>
      </w:pPr>
    </w:p>
    <w:p w:rsidR="0022649E" w:rsidRDefault="0022649E" w:rsidP="00901DEA">
      <w:pPr>
        <w:spacing w:line="360" w:lineRule="auto"/>
        <w:rPr>
          <w:rFonts w:eastAsia="Times New Roman" w:cs="Times New Roman"/>
          <w:szCs w:val="24"/>
        </w:rPr>
      </w:pPr>
    </w:p>
    <w:p w:rsidR="00031BB3" w:rsidRDefault="00031BB3" w:rsidP="00901DEA">
      <w:pPr>
        <w:spacing w:line="360" w:lineRule="auto"/>
        <w:rPr>
          <w:rFonts w:eastAsia="Times New Roman" w:cs="Times New Roman"/>
          <w:szCs w:val="24"/>
        </w:rPr>
      </w:pPr>
    </w:p>
    <w:p w:rsidR="00031BB3" w:rsidRDefault="00031BB3" w:rsidP="00901DEA">
      <w:pPr>
        <w:spacing w:line="360" w:lineRule="auto"/>
        <w:rPr>
          <w:rFonts w:eastAsia="Times New Roman" w:cs="Times New Roman"/>
          <w:szCs w:val="24"/>
        </w:rPr>
      </w:pPr>
    </w:p>
    <w:p w:rsidR="00031BB3" w:rsidRPr="001953B1" w:rsidRDefault="00031BB3" w:rsidP="00901DEA">
      <w:pPr>
        <w:spacing w:line="360" w:lineRule="auto"/>
        <w:rPr>
          <w:rFonts w:eastAsia="Times New Roman" w:cs="Times New Roman"/>
          <w:szCs w:val="24"/>
        </w:rPr>
      </w:pPr>
    </w:p>
    <w:p w:rsidR="007614D3" w:rsidRPr="007614D3" w:rsidRDefault="007614D3" w:rsidP="007614D3">
      <w:pPr>
        <w:spacing w:before="100" w:beforeAutospacing="1" w:after="100" w:afterAutospacing="1" w:line="240" w:lineRule="auto"/>
        <w:jc w:val="center"/>
        <w:rPr>
          <w:rFonts w:eastAsia="Times New Roman" w:cs="Times New Roman"/>
          <w:b/>
          <w:bCs/>
          <w:szCs w:val="24"/>
        </w:rPr>
      </w:pPr>
      <w:r w:rsidRPr="007614D3">
        <w:rPr>
          <w:rFonts w:eastAsia="Times New Roman" w:cs="Times New Roman"/>
          <w:b/>
          <w:bCs/>
          <w:szCs w:val="24"/>
        </w:rPr>
        <w:t>References</w:t>
      </w:r>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proofErr w:type="spellStart"/>
      <w:r w:rsidRPr="007614D3">
        <w:rPr>
          <w:rFonts w:eastAsia="Times New Roman" w:cs="Times New Roman"/>
          <w:szCs w:val="24"/>
        </w:rPr>
        <w:t>Anifowose</w:t>
      </w:r>
      <w:proofErr w:type="spellEnd"/>
      <w:r w:rsidRPr="007614D3">
        <w:rPr>
          <w:rFonts w:eastAsia="Times New Roman" w:cs="Times New Roman"/>
          <w:szCs w:val="24"/>
        </w:rPr>
        <w:t xml:space="preserve">, A. D., &amp; </w:t>
      </w:r>
      <w:proofErr w:type="spellStart"/>
      <w:r w:rsidRPr="007614D3">
        <w:rPr>
          <w:rFonts w:eastAsia="Times New Roman" w:cs="Times New Roman"/>
          <w:szCs w:val="24"/>
        </w:rPr>
        <w:t>Ekperiware</w:t>
      </w:r>
      <w:proofErr w:type="spellEnd"/>
      <w:r w:rsidRPr="007614D3">
        <w:rPr>
          <w:rFonts w:eastAsia="Times New Roman" w:cs="Times New Roman"/>
          <w:szCs w:val="24"/>
        </w:rPr>
        <w:t xml:space="preserve">, M. C. (2022). Electronic payment systems and economic growth in Nigeria. </w:t>
      </w:r>
      <w:r w:rsidRPr="007614D3">
        <w:rPr>
          <w:rFonts w:eastAsia="Times New Roman" w:cs="Times New Roman"/>
          <w:i/>
          <w:iCs/>
          <w:szCs w:val="24"/>
        </w:rPr>
        <w:t>Journal of Financial Innovation</w:t>
      </w:r>
      <w:r w:rsidRPr="007614D3">
        <w:rPr>
          <w:rFonts w:eastAsia="Times New Roman" w:cs="Times New Roman"/>
          <w:szCs w:val="24"/>
        </w:rPr>
        <w:t>, 8(2), 45–60. https://doi.org/10.1186/s40854-022-00345-6</w:t>
      </w:r>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proofErr w:type="spellStart"/>
      <w:r w:rsidRPr="007614D3">
        <w:rPr>
          <w:rFonts w:eastAsia="Times New Roman" w:cs="Times New Roman"/>
          <w:szCs w:val="24"/>
        </w:rPr>
        <w:t>Bhattarai</w:t>
      </w:r>
      <w:proofErr w:type="spellEnd"/>
      <w:r w:rsidRPr="007614D3">
        <w:rPr>
          <w:rFonts w:eastAsia="Times New Roman" w:cs="Times New Roman"/>
          <w:szCs w:val="24"/>
        </w:rPr>
        <w:t xml:space="preserve">, P., </w:t>
      </w:r>
      <w:proofErr w:type="spellStart"/>
      <w:r w:rsidRPr="007614D3">
        <w:rPr>
          <w:rFonts w:eastAsia="Times New Roman" w:cs="Times New Roman"/>
          <w:szCs w:val="24"/>
        </w:rPr>
        <w:t>Adhikari</w:t>
      </w:r>
      <w:proofErr w:type="spellEnd"/>
      <w:r w:rsidRPr="007614D3">
        <w:rPr>
          <w:rFonts w:eastAsia="Times New Roman" w:cs="Times New Roman"/>
          <w:szCs w:val="24"/>
        </w:rPr>
        <w:t xml:space="preserve">, R., &amp; </w:t>
      </w:r>
      <w:proofErr w:type="spellStart"/>
      <w:r w:rsidRPr="007614D3">
        <w:rPr>
          <w:rFonts w:eastAsia="Times New Roman" w:cs="Times New Roman"/>
          <w:szCs w:val="24"/>
        </w:rPr>
        <w:t>Karki</w:t>
      </w:r>
      <w:proofErr w:type="spellEnd"/>
      <w:r w:rsidRPr="007614D3">
        <w:rPr>
          <w:rFonts w:eastAsia="Times New Roman" w:cs="Times New Roman"/>
          <w:szCs w:val="24"/>
        </w:rPr>
        <w:t xml:space="preserve">, S. (2023). Adoption of digital payment systems among small and medium enterprises in Nepal. </w:t>
      </w:r>
      <w:r w:rsidRPr="007614D3">
        <w:rPr>
          <w:rFonts w:eastAsia="Times New Roman" w:cs="Times New Roman"/>
          <w:i/>
          <w:iCs/>
          <w:szCs w:val="24"/>
        </w:rPr>
        <w:t>Journal of Asian Business and Economic Studies</w:t>
      </w:r>
      <w:r w:rsidRPr="007614D3">
        <w:rPr>
          <w:rFonts w:eastAsia="Times New Roman" w:cs="Times New Roman"/>
          <w:szCs w:val="24"/>
        </w:rPr>
        <w:t>, 30(3), 245–262. https://doi.org/10.1108/JABES-01-2023-0008</w:t>
      </w:r>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r w:rsidRPr="007614D3">
        <w:rPr>
          <w:rFonts w:eastAsia="Times New Roman" w:cs="Times New Roman"/>
          <w:szCs w:val="24"/>
        </w:rPr>
        <w:lastRenderedPageBreak/>
        <w:t xml:space="preserve">Davis, F. D. (1989). Perceived usefulness, perceived ease of use, and user acceptance of information technology. </w:t>
      </w:r>
      <w:r w:rsidRPr="007614D3">
        <w:rPr>
          <w:rFonts w:eastAsia="Times New Roman" w:cs="Times New Roman"/>
          <w:i/>
          <w:iCs/>
          <w:szCs w:val="24"/>
        </w:rPr>
        <w:t>MIS Quarterly</w:t>
      </w:r>
      <w:r w:rsidRPr="007614D3">
        <w:rPr>
          <w:rFonts w:eastAsia="Times New Roman" w:cs="Times New Roman"/>
          <w:szCs w:val="24"/>
        </w:rPr>
        <w:t xml:space="preserve">, 13(3), 319–340. </w:t>
      </w:r>
      <w:hyperlink r:id="rId10" w:tgtFrame="_new" w:history="1">
        <w:r w:rsidRPr="007614D3">
          <w:rPr>
            <w:rFonts w:eastAsia="Times New Roman" w:cs="Times New Roman"/>
            <w:color w:val="0000FF"/>
            <w:szCs w:val="24"/>
            <w:u w:val="single"/>
          </w:rPr>
          <w:t>https://doi.org/10.2307/249008</w:t>
        </w:r>
      </w:hyperlink>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r w:rsidRPr="007614D3">
        <w:rPr>
          <w:rFonts w:eastAsia="Times New Roman" w:cs="Times New Roman"/>
          <w:szCs w:val="24"/>
        </w:rPr>
        <w:t xml:space="preserve">Gorton, G., &amp; </w:t>
      </w:r>
      <w:proofErr w:type="spellStart"/>
      <w:r w:rsidRPr="007614D3">
        <w:rPr>
          <w:rFonts w:eastAsia="Times New Roman" w:cs="Times New Roman"/>
          <w:szCs w:val="24"/>
        </w:rPr>
        <w:t>Metrick</w:t>
      </w:r>
      <w:proofErr w:type="spellEnd"/>
      <w:r w:rsidRPr="007614D3">
        <w:rPr>
          <w:rFonts w:eastAsia="Times New Roman" w:cs="Times New Roman"/>
          <w:szCs w:val="24"/>
        </w:rPr>
        <w:t xml:space="preserve">, A. (2012). Regulating the shadow banking system. </w:t>
      </w:r>
      <w:r w:rsidRPr="007614D3">
        <w:rPr>
          <w:rFonts w:eastAsia="Times New Roman" w:cs="Times New Roman"/>
          <w:i/>
          <w:iCs/>
          <w:szCs w:val="24"/>
        </w:rPr>
        <w:t>Brookings Papers on Economic Activity</w:t>
      </w:r>
      <w:r w:rsidRPr="007614D3">
        <w:rPr>
          <w:rFonts w:eastAsia="Times New Roman" w:cs="Times New Roman"/>
          <w:szCs w:val="24"/>
        </w:rPr>
        <w:t xml:space="preserve">, 2012(2), 261–312. </w:t>
      </w:r>
      <w:hyperlink r:id="rId11" w:tgtFrame="_new" w:history="1">
        <w:r w:rsidRPr="007614D3">
          <w:rPr>
            <w:rFonts w:eastAsia="Times New Roman" w:cs="Times New Roman"/>
            <w:color w:val="0000FF"/>
            <w:szCs w:val="24"/>
            <w:u w:val="single"/>
          </w:rPr>
          <w:t>https://doi.org/10.1353/eca.2012.0016</w:t>
        </w:r>
      </w:hyperlink>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r w:rsidRPr="007614D3">
        <w:rPr>
          <w:rFonts w:eastAsia="Times New Roman" w:cs="Times New Roman"/>
          <w:szCs w:val="24"/>
        </w:rPr>
        <w:t xml:space="preserve">Lal, R., &amp; </w:t>
      </w:r>
      <w:proofErr w:type="spellStart"/>
      <w:r w:rsidRPr="007614D3">
        <w:rPr>
          <w:rFonts w:eastAsia="Times New Roman" w:cs="Times New Roman"/>
          <w:szCs w:val="24"/>
        </w:rPr>
        <w:t>Sachdev</w:t>
      </w:r>
      <w:proofErr w:type="spellEnd"/>
      <w:r w:rsidRPr="007614D3">
        <w:rPr>
          <w:rFonts w:eastAsia="Times New Roman" w:cs="Times New Roman"/>
          <w:szCs w:val="24"/>
        </w:rPr>
        <w:t xml:space="preserve">, S. (2023). Digital payment infrastructure and cashless transaction growth in South Asia. </w:t>
      </w:r>
      <w:r w:rsidRPr="007614D3">
        <w:rPr>
          <w:rFonts w:eastAsia="Times New Roman" w:cs="Times New Roman"/>
          <w:i/>
          <w:iCs/>
          <w:szCs w:val="24"/>
        </w:rPr>
        <w:t>South Asian Journal of Finance</w:t>
      </w:r>
      <w:r w:rsidRPr="007614D3">
        <w:rPr>
          <w:rFonts w:eastAsia="Times New Roman" w:cs="Times New Roman"/>
          <w:szCs w:val="24"/>
        </w:rPr>
        <w:t>, 5(1), 1–18. https://doi.org/10.1177/24542192231123456</w:t>
      </w:r>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r w:rsidRPr="007614D3">
        <w:rPr>
          <w:rFonts w:eastAsia="Times New Roman" w:cs="Times New Roman"/>
          <w:szCs w:val="24"/>
        </w:rPr>
        <w:t xml:space="preserve">Nepal </w:t>
      </w:r>
      <w:proofErr w:type="spellStart"/>
      <w:r w:rsidRPr="007614D3">
        <w:rPr>
          <w:rFonts w:eastAsia="Times New Roman" w:cs="Times New Roman"/>
          <w:szCs w:val="24"/>
        </w:rPr>
        <w:t>Rastra</w:t>
      </w:r>
      <w:proofErr w:type="spellEnd"/>
      <w:r w:rsidRPr="007614D3">
        <w:rPr>
          <w:rFonts w:eastAsia="Times New Roman" w:cs="Times New Roman"/>
          <w:szCs w:val="24"/>
        </w:rPr>
        <w:t xml:space="preserve"> Bank. (2024). </w:t>
      </w:r>
      <w:r w:rsidRPr="007614D3">
        <w:rPr>
          <w:rFonts w:eastAsia="Times New Roman" w:cs="Times New Roman"/>
          <w:i/>
          <w:iCs/>
          <w:szCs w:val="24"/>
        </w:rPr>
        <w:t>Payment systems oversight report</w:t>
      </w:r>
      <w:r w:rsidRPr="007614D3">
        <w:rPr>
          <w:rFonts w:eastAsia="Times New Roman" w:cs="Times New Roman"/>
          <w:szCs w:val="24"/>
        </w:rPr>
        <w:t xml:space="preserve">. Nepal </w:t>
      </w:r>
      <w:proofErr w:type="spellStart"/>
      <w:r w:rsidRPr="007614D3">
        <w:rPr>
          <w:rFonts w:eastAsia="Times New Roman" w:cs="Times New Roman"/>
          <w:szCs w:val="24"/>
        </w:rPr>
        <w:t>Rastra</w:t>
      </w:r>
      <w:proofErr w:type="spellEnd"/>
      <w:r w:rsidRPr="007614D3">
        <w:rPr>
          <w:rFonts w:eastAsia="Times New Roman" w:cs="Times New Roman"/>
          <w:szCs w:val="24"/>
        </w:rPr>
        <w:t xml:space="preserve"> Bank. </w:t>
      </w:r>
      <w:hyperlink r:id="rId12" w:tgtFrame="_new" w:history="1">
        <w:r w:rsidRPr="007614D3">
          <w:rPr>
            <w:rFonts w:eastAsia="Times New Roman" w:cs="Times New Roman"/>
            <w:color w:val="0000FF"/>
            <w:szCs w:val="24"/>
            <w:u w:val="single"/>
          </w:rPr>
          <w:t>https://www.nrb.org.np</w:t>
        </w:r>
      </w:hyperlink>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proofErr w:type="spellStart"/>
      <w:r w:rsidRPr="007614D3">
        <w:rPr>
          <w:rFonts w:eastAsia="Times New Roman" w:cs="Times New Roman"/>
          <w:szCs w:val="24"/>
        </w:rPr>
        <w:t>Ozili</w:t>
      </w:r>
      <w:proofErr w:type="spellEnd"/>
      <w:r w:rsidRPr="007614D3">
        <w:rPr>
          <w:rFonts w:eastAsia="Times New Roman" w:cs="Times New Roman"/>
          <w:szCs w:val="24"/>
        </w:rPr>
        <w:t xml:space="preserve">, P. K. (2020). Digital finance, financial inclusion and economic development in developing countries. </w:t>
      </w:r>
      <w:r w:rsidRPr="007614D3">
        <w:rPr>
          <w:rFonts w:eastAsia="Times New Roman" w:cs="Times New Roman"/>
          <w:i/>
          <w:iCs/>
          <w:szCs w:val="24"/>
        </w:rPr>
        <w:t>International Journal of Finance and Economics</w:t>
      </w:r>
      <w:r w:rsidRPr="007614D3">
        <w:rPr>
          <w:rFonts w:eastAsia="Times New Roman" w:cs="Times New Roman"/>
          <w:szCs w:val="24"/>
        </w:rPr>
        <w:t>, 26(4), 1–15. https://doi.org/10.1002/ijfe.2093</w:t>
      </w:r>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proofErr w:type="spellStart"/>
      <w:r w:rsidRPr="007614D3">
        <w:rPr>
          <w:rFonts w:eastAsia="Times New Roman" w:cs="Times New Roman"/>
          <w:szCs w:val="24"/>
        </w:rPr>
        <w:t>Romer</w:t>
      </w:r>
      <w:proofErr w:type="spellEnd"/>
      <w:r w:rsidRPr="007614D3">
        <w:rPr>
          <w:rFonts w:eastAsia="Times New Roman" w:cs="Times New Roman"/>
          <w:szCs w:val="24"/>
        </w:rPr>
        <w:t xml:space="preserve">, P. M. (1990). Endogenous technological change. </w:t>
      </w:r>
      <w:r w:rsidRPr="007614D3">
        <w:rPr>
          <w:rFonts w:eastAsia="Times New Roman" w:cs="Times New Roman"/>
          <w:i/>
          <w:iCs/>
          <w:szCs w:val="24"/>
        </w:rPr>
        <w:t>Journal of Political Economy</w:t>
      </w:r>
      <w:r w:rsidRPr="007614D3">
        <w:rPr>
          <w:rFonts w:eastAsia="Times New Roman" w:cs="Times New Roman"/>
          <w:szCs w:val="24"/>
        </w:rPr>
        <w:t xml:space="preserve">, 98(5), S71–S102. </w:t>
      </w:r>
      <w:hyperlink r:id="rId13" w:tgtFrame="_new" w:history="1">
        <w:r w:rsidRPr="007614D3">
          <w:rPr>
            <w:rFonts w:eastAsia="Times New Roman" w:cs="Times New Roman"/>
            <w:color w:val="0000FF"/>
            <w:szCs w:val="24"/>
            <w:u w:val="single"/>
          </w:rPr>
          <w:t>https://doi.org/10.1086/261725</w:t>
        </w:r>
      </w:hyperlink>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r w:rsidRPr="007614D3">
        <w:rPr>
          <w:rFonts w:eastAsia="Times New Roman" w:cs="Times New Roman"/>
          <w:szCs w:val="24"/>
        </w:rPr>
        <w:t xml:space="preserve">Shrestha, N. (2024). Digital banking and economic growth in Nepal. </w:t>
      </w:r>
      <w:r w:rsidRPr="007614D3">
        <w:rPr>
          <w:rFonts w:eastAsia="Times New Roman" w:cs="Times New Roman"/>
          <w:i/>
          <w:iCs/>
          <w:szCs w:val="24"/>
        </w:rPr>
        <w:t>Economic Journal of Nepal</w:t>
      </w:r>
      <w:r w:rsidRPr="007614D3">
        <w:rPr>
          <w:rFonts w:eastAsia="Times New Roman" w:cs="Times New Roman"/>
          <w:szCs w:val="24"/>
        </w:rPr>
        <w:t>, 47(1), 33–49.</w:t>
      </w:r>
    </w:p>
    <w:p w:rsidR="007614D3" w:rsidRPr="007614D3" w:rsidRDefault="007614D3" w:rsidP="00B52755">
      <w:pPr>
        <w:spacing w:before="100" w:beforeAutospacing="1" w:after="100" w:afterAutospacing="1" w:line="360" w:lineRule="auto"/>
        <w:ind w:left="540" w:hanging="540"/>
        <w:rPr>
          <w:rFonts w:eastAsia="Times New Roman" w:cs="Times New Roman"/>
          <w:szCs w:val="24"/>
        </w:rPr>
      </w:pPr>
      <w:proofErr w:type="spellStart"/>
      <w:r w:rsidRPr="007614D3">
        <w:rPr>
          <w:rFonts w:eastAsia="Times New Roman" w:cs="Times New Roman"/>
          <w:szCs w:val="24"/>
        </w:rPr>
        <w:t>Thapa</w:t>
      </w:r>
      <w:proofErr w:type="spellEnd"/>
      <w:r w:rsidRPr="007614D3">
        <w:rPr>
          <w:rFonts w:eastAsia="Times New Roman" w:cs="Times New Roman"/>
          <w:szCs w:val="24"/>
        </w:rPr>
        <w:t xml:space="preserve">, </w:t>
      </w:r>
      <w:r w:rsidR="00901DEA">
        <w:rPr>
          <w:rFonts w:eastAsia="Times New Roman" w:cs="Times New Roman"/>
          <w:szCs w:val="24"/>
        </w:rPr>
        <w:t>B</w:t>
      </w:r>
      <w:r w:rsidR="00DF2095">
        <w:rPr>
          <w:rFonts w:eastAsia="Times New Roman" w:cs="Times New Roman"/>
          <w:szCs w:val="24"/>
        </w:rPr>
        <w:t xml:space="preserve">. </w:t>
      </w:r>
      <w:r w:rsidR="00901DEA">
        <w:rPr>
          <w:rFonts w:eastAsia="Times New Roman" w:cs="Times New Roman"/>
          <w:szCs w:val="24"/>
        </w:rPr>
        <w:t>K</w:t>
      </w:r>
      <w:r w:rsidRPr="007614D3">
        <w:rPr>
          <w:rFonts w:eastAsia="Times New Roman" w:cs="Times New Roman"/>
          <w:szCs w:val="24"/>
        </w:rPr>
        <w:t xml:space="preserve">. (2025). Financial literacy and digital payment adoption in Nepal. </w:t>
      </w:r>
      <w:r w:rsidR="00DF2095" w:rsidRPr="00DF2095">
        <w:rPr>
          <w:rFonts w:eastAsia="Times New Roman" w:cs="Times New Roman"/>
          <w:i/>
          <w:iCs/>
          <w:szCs w:val="24"/>
        </w:rPr>
        <w:t>Nepalese Journal of Management Research</w:t>
      </w:r>
      <w:r w:rsidRPr="007614D3">
        <w:rPr>
          <w:rFonts w:eastAsia="Times New Roman" w:cs="Times New Roman"/>
          <w:szCs w:val="24"/>
        </w:rPr>
        <w:t>, (</w:t>
      </w:r>
      <w:r w:rsidR="00DF2095">
        <w:rPr>
          <w:rFonts w:eastAsia="Times New Roman" w:cs="Times New Roman"/>
          <w:szCs w:val="24"/>
        </w:rPr>
        <w:t>5</w:t>
      </w:r>
      <w:r w:rsidRPr="007614D3">
        <w:rPr>
          <w:rFonts w:eastAsia="Times New Roman" w:cs="Times New Roman"/>
          <w:szCs w:val="24"/>
        </w:rPr>
        <w:t xml:space="preserve">), </w:t>
      </w:r>
      <w:r w:rsidR="00DF2095">
        <w:rPr>
          <w:rFonts w:eastAsia="Times New Roman" w:cs="Times New Roman"/>
          <w:szCs w:val="24"/>
        </w:rPr>
        <w:t>64-72</w:t>
      </w:r>
      <w:r w:rsidRPr="007614D3">
        <w:rPr>
          <w:rFonts w:eastAsia="Times New Roman" w:cs="Times New Roman"/>
          <w:szCs w:val="24"/>
        </w:rPr>
        <w:t>.</w:t>
      </w:r>
      <w:r w:rsidR="00DF2095">
        <w:rPr>
          <w:rFonts w:eastAsia="Times New Roman" w:cs="Times New Roman"/>
          <w:szCs w:val="24"/>
        </w:rPr>
        <w:t xml:space="preserve"> </w:t>
      </w:r>
      <w:hyperlink r:id="rId14" w:history="1">
        <w:r w:rsidR="00DF2095" w:rsidRPr="00511FF4">
          <w:rPr>
            <w:rStyle w:val="Hyperlink"/>
            <w:rFonts w:eastAsia="Times New Roman" w:cs="Times New Roman"/>
            <w:szCs w:val="24"/>
          </w:rPr>
          <w:t>https://doi.org/10.3126/njmgtres.v5i1.75873</w:t>
        </w:r>
      </w:hyperlink>
      <w:r w:rsidR="00DF2095">
        <w:rPr>
          <w:rFonts w:eastAsia="Times New Roman" w:cs="Times New Roman"/>
          <w:szCs w:val="24"/>
        </w:rPr>
        <w:t xml:space="preserve"> </w:t>
      </w:r>
    </w:p>
    <w:p w:rsidR="001953B1" w:rsidRPr="007614D3" w:rsidRDefault="001953B1" w:rsidP="00B52755">
      <w:pPr>
        <w:spacing w:line="360" w:lineRule="auto"/>
        <w:ind w:left="540" w:hanging="540"/>
      </w:pPr>
    </w:p>
    <w:sectPr w:rsidR="001953B1" w:rsidRPr="00761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957" w:rsidRDefault="00971957" w:rsidP="004F6503">
      <w:pPr>
        <w:spacing w:after="0" w:line="240" w:lineRule="auto"/>
      </w:pPr>
      <w:r>
        <w:separator/>
      </w:r>
    </w:p>
  </w:endnote>
  <w:endnote w:type="continuationSeparator" w:id="0">
    <w:p w:rsidR="00971957" w:rsidRDefault="00971957" w:rsidP="004F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957" w:rsidRDefault="00971957" w:rsidP="004F6503">
      <w:pPr>
        <w:spacing w:after="0" w:line="240" w:lineRule="auto"/>
      </w:pPr>
      <w:r>
        <w:separator/>
      </w:r>
    </w:p>
  </w:footnote>
  <w:footnote w:type="continuationSeparator" w:id="0">
    <w:p w:rsidR="00971957" w:rsidRDefault="00971957" w:rsidP="004F6503">
      <w:pPr>
        <w:spacing w:after="0" w:line="240" w:lineRule="auto"/>
      </w:pPr>
      <w:r>
        <w:continuationSeparator/>
      </w:r>
    </w:p>
  </w:footnote>
  <w:footnote w:id="1">
    <w:p w:rsidR="004F6503" w:rsidRDefault="004F6503">
      <w:pPr>
        <w:pStyle w:val="FootnoteText"/>
      </w:pPr>
      <w:r>
        <w:rPr>
          <w:rStyle w:val="FootnoteReference"/>
        </w:rPr>
        <w:footnoteRef/>
      </w:r>
      <w:r>
        <w:t xml:space="preserve"> Lecturer, Department of General Management and Economics </w:t>
      </w:r>
      <w:proofErr w:type="spellStart"/>
      <w:r>
        <w:t>Rammani</w:t>
      </w:r>
      <w:proofErr w:type="spellEnd"/>
      <w:r>
        <w:t xml:space="preserve"> Multiple Campus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586"/>
    <w:multiLevelType w:val="multilevel"/>
    <w:tmpl w:val="7856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E4"/>
    <w:rsid w:val="00031BB3"/>
    <w:rsid w:val="001953B1"/>
    <w:rsid w:val="001C4205"/>
    <w:rsid w:val="0022649E"/>
    <w:rsid w:val="00241AC2"/>
    <w:rsid w:val="00272FA8"/>
    <w:rsid w:val="00376629"/>
    <w:rsid w:val="0048536F"/>
    <w:rsid w:val="004F6503"/>
    <w:rsid w:val="0057511F"/>
    <w:rsid w:val="006333E4"/>
    <w:rsid w:val="007614D3"/>
    <w:rsid w:val="007E2BEC"/>
    <w:rsid w:val="00891D74"/>
    <w:rsid w:val="008B54E5"/>
    <w:rsid w:val="00901DEA"/>
    <w:rsid w:val="00971957"/>
    <w:rsid w:val="009E5ED4"/>
    <w:rsid w:val="00B00923"/>
    <w:rsid w:val="00B14777"/>
    <w:rsid w:val="00B52755"/>
    <w:rsid w:val="00C942BE"/>
    <w:rsid w:val="00CE37B2"/>
    <w:rsid w:val="00D06C06"/>
    <w:rsid w:val="00DF2095"/>
    <w:rsid w:val="00E21DA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E5695-A557-4A94-BFA6-EECB2802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777"/>
    <w:pPr>
      <w:spacing w:after="200" w:line="276" w:lineRule="auto"/>
    </w:pPr>
    <w:rPr>
      <w:rFonts w:ascii="Times New Roman" w:eastAsiaTheme="minorEastAsia" w:hAnsi="Times New Roman"/>
      <w:sz w:val="24"/>
      <w:szCs w:val="20"/>
      <w:lang w:bidi="ne-NP"/>
    </w:rPr>
  </w:style>
  <w:style w:type="paragraph" w:styleId="Heading2">
    <w:name w:val="heading 2"/>
    <w:basedOn w:val="Normal"/>
    <w:link w:val="Heading2Char"/>
    <w:uiPriority w:val="9"/>
    <w:qFormat/>
    <w:rsid w:val="001953B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1953B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3B1"/>
    <w:rPr>
      <w:rFonts w:ascii="Times New Roman" w:eastAsia="Times New Roman" w:hAnsi="Times New Roman" w:cs="Times New Roman"/>
      <w:b/>
      <w:bCs/>
      <w:sz w:val="36"/>
      <w:szCs w:val="36"/>
      <w:lang w:bidi="ne-NP"/>
    </w:rPr>
  </w:style>
  <w:style w:type="character" w:customStyle="1" w:styleId="Heading3Char">
    <w:name w:val="Heading 3 Char"/>
    <w:basedOn w:val="DefaultParagraphFont"/>
    <w:link w:val="Heading3"/>
    <w:uiPriority w:val="9"/>
    <w:rsid w:val="001953B1"/>
    <w:rPr>
      <w:rFonts w:ascii="Times New Roman" w:eastAsia="Times New Roman" w:hAnsi="Times New Roman" w:cs="Times New Roman"/>
      <w:b/>
      <w:bCs/>
      <w:sz w:val="27"/>
      <w:szCs w:val="27"/>
      <w:lang w:bidi="ne-NP"/>
    </w:rPr>
  </w:style>
  <w:style w:type="character" w:styleId="Strong">
    <w:name w:val="Strong"/>
    <w:basedOn w:val="DefaultParagraphFont"/>
    <w:uiPriority w:val="22"/>
    <w:qFormat/>
    <w:rsid w:val="001953B1"/>
    <w:rPr>
      <w:b/>
      <w:bCs/>
    </w:rPr>
  </w:style>
  <w:style w:type="paragraph" w:styleId="NormalWeb">
    <w:name w:val="Normal (Web)"/>
    <w:basedOn w:val="Normal"/>
    <w:uiPriority w:val="99"/>
    <w:semiHidden/>
    <w:unhideWhenUsed/>
    <w:rsid w:val="001953B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614D3"/>
    <w:rPr>
      <w:i/>
      <w:iCs/>
    </w:rPr>
  </w:style>
  <w:style w:type="character" w:styleId="Hyperlink">
    <w:name w:val="Hyperlink"/>
    <w:basedOn w:val="DefaultParagraphFont"/>
    <w:uiPriority w:val="99"/>
    <w:unhideWhenUsed/>
    <w:rsid w:val="007614D3"/>
    <w:rPr>
      <w:color w:val="0000FF"/>
      <w:u w:val="single"/>
    </w:rPr>
  </w:style>
  <w:style w:type="paragraph" w:styleId="EndnoteText">
    <w:name w:val="endnote text"/>
    <w:basedOn w:val="Normal"/>
    <w:link w:val="EndnoteTextChar"/>
    <w:uiPriority w:val="99"/>
    <w:semiHidden/>
    <w:unhideWhenUsed/>
    <w:rsid w:val="004F6503"/>
    <w:pPr>
      <w:spacing w:after="0" w:line="240" w:lineRule="auto"/>
    </w:pPr>
    <w:rPr>
      <w:sz w:val="20"/>
      <w:szCs w:val="18"/>
    </w:rPr>
  </w:style>
  <w:style w:type="character" w:customStyle="1" w:styleId="EndnoteTextChar">
    <w:name w:val="Endnote Text Char"/>
    <w:basedOn w:val="DefaultParagraphFont"/>
    <w:link w:val="EndnoteText"/>
    <w:uiPriority w:val="99"/>
    <w:semiHidden/>
    <w:rsid w:val="004F6503"/>
    <w:rPr>
      <w:rFonts w:ascii="Times New Roman" w:eastAsiaTheme="minorEastAsia" w:hAnsi="Times New Roman"/>
      <w:sz w:val="20"/>
      <w:szCs w:val="18"/>
      <w:lang w:bidi="ne-NP"/>
    </w:rPr>
  </w:style>
  <w:style w:type="character" w:styleId="EndnoteReference">
    <w:name w:val="endnote reference"/>
    <w:basedOn w:val="DefaultParagraphFont"/>
    <w:uiPriority w:val="99"/>
    <w:semiHidden/>
    <w:unhideWhenUsed/>
    <w:rsid w:val="004F6503"/>
    <w:rPr>
      <w:vertAlign w:val="superscript"/>
    </w:rPr>
  </w:style>
  <w:style w:type="paragraph" w:styleId="FootnoteText">
    <w:name w:val="footnote text"/>
    <w:basedOn w:val="Normal"/>
    <w:link w:val="FootnoteTextChar"/>
    <w:uiPriority w:val="99"/>
    <w:semiHidden/>
    <w:unhideWhenUsed/>
    <w:rsid w:val="004F650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4F6503"/>
    <w:rPr>
      <w:rFonts w:ascii="Times New Roman" w:eastAsiaTheme="minorEastAsia" w:hAnsi="Times New Roman"/>
      <w:sz w:val="20"/>
      <w:szCs w:val="18"/>
      <w:lang w:bidi="ne-NP"/>
    </w:rPr>
  </w:style>
  <w:style w:type="character" w:styleId="FootnoteReference">
    <w:name w:val="footnote reference"/>
    <w:basedOn w:val="DefaultParagraphFont"/>
    <w:uiPriority w:val="99"/>
    <w:semiHidden/>
    <w:unhideWhenUsed/>
    <w:rsid w:val="004F6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589">
      <w:bodyDiv w:val="1"/>
      <w:marLeft w:val="0"/>
      <w:marRight w:val="0"/>
      <w:marTop w:val="0"/>
      <w:marBottom w:val="0"/>
      <w:divBdr>
        <w:top w:val="none" w:sz="0" w:space="0" w:color="auto"/>
        <w:left w:val="none" w:sz="0" w:space="0" w:color="auto"/>
        <w:bottom w:val="none" w:sz="0" w:space="0" w:color="auto"/>
        <w:right w:val="none" w:sz="0" w:space="0" w:color="auto"/>
      </w:divBdr>
    </w:div>
    <w:div w:id="103574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mikrishna08@gmail.com" TargetMode="External"/><Relationship Id="rId13" Type="http://schemas.openxmlformats.org/officeDocument/2006/relationships/hyperlink" Target="https://doi.org/10.1086/2617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rb.org.n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53/eca.2012.00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307/249008" TargetMode="External"/><Relationship Id="rId4" Type="http://schemas.openxmlformats.org/officeDocument/2006/relationships/settings" Target="settings.xml"/><Relationship Id="rId9" Type="http://schemas.openxmlformats.org/officeDocument/2006/relationships/hyperlink" Target="https://orcid.org/0009-0000-7012-1279" TargetMode="External"/><Relationship Id="rId14" Type="http://schemas.openxmlformats.org/officeDocument/2006/relationships/hyperlink" Target="https://doi.org/10.3126/njmgtres.v5i1.7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7.xsl" StyleName="APA7" Version="7"/>
</file>

<file path=customXml/itemProps1.xml><?xml version="1.0" encoding="utf-8"?>
<ds:datastoreItem xmlns:ds="http://schemas.openxmlformats.org/officeDocument/2006/customXml" ds:itemID="{9FAC5FA6-6E0A-46BD-8BBB-042F9A4C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2026-01-26T15:19:00Z</dcterms:created>
  <dcterms:modified xsi:type="dcterms:W3CDTF">2026-06-17T17:41:00Z</dcterms:modified>
</cp:coreProperties>
</file>