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Factors Shaping Digital Marketing Strategies for MSMEs: A Study</w:t>
        <w:br/>
      </w:r>
    </w:p>
    <w:p>
      <w:pPr>
        <w:spacing w:before="0" w:after="160" w:line="259"/>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Mr. Ram Koushik Reddy Ankinapalli, Student Scholar, Center for Management Studies, JAIN (Deemed-to-be University)</w:t>
        <w:br/>
        <w:t xml:space="preserve">Mr. Laksh k., Student Scholar, Center for Management Studies, JAIN (Deemed-to-be University)</w:t>
        <w:br/>
        <w:t xml:space="preserve">Mr. Pakshal V Jain, Student Scholar, Center for Management Studies, JAIN (Deemed-to-be University)</w:t>
        <w:br/>
        <w:t xml:space="preserve">Dr. Umesh C, Assistant professor , Department of management, Center for Management Studies, JAIN (Deemed-to-be University)</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w:t>
      </w:r>
    </w:p>
    <w:p>
      <w:pPr>
        <w:spacing w:before="0" w:after="16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MSMEs have played a significant role in India’s economic growth, but there are many factors, both internal and external, which impact their ability to effectively utilize digital marketing. This study aims to explore the main factors affecting MSMEs, especially in Mysore district’s digital marketing strategy, taking into account the updated MSME classification framework of 2025, etc. Quantitative study methodology is used, where structured questionnaires were employed to collect primary data, while techniques such as Principal Component Analysis (PCA) and ANOVA were employed.</w:t>
        <w:br/>
        <w:t xml:space="preserve">The results indicate that marketing resources and support, consumer-centric innovation, digital vs. traditional orientation, and post-pandemic effects are the four major factors that influence digital marketing tactics. These variables, when combined, explain a substantial amount of variance in the strategic behavior of MSMEs. The findings of the study also indicate that, unlike digital adoption, consumer behavior is of extremely low influence, but financial resources, government regulations, and post-pandemic effects are of great importance. No statistically significant differences in the characteristics of MSMEs across manufacturing, service, and trading sectors exist, as confirmed by the results of the ANOVA test.</w:t>
        <w:br/>
        <w:t xml:space="preserve">The study concludes that the improvement of digital awareness, the expansion of the reach of government support programs, and the strengthening of organizational capacities are vital for the enhancement of the competitiveness of MSMEs. It highlights the importance of the development of inclusive digital policies and capacity-building programs for the effective and sustainable development of MSMEs.</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Micro, Small, and Medium Enterprises (MSMEs) play a vital role in India’s economic development by contributing significantly to GDP, employment generation, and exports. As of 2025, India hosts over 63 million MSMEs, covering sectors such as manufacturing, services, and trade. With rapid technological evolution and digital transformation, digital marketing has emerged as a crucial tool for MSMEs to remain competitive, reach wider markets, and improve customer engagement. However, the adoption of digital marketing strategies among these enterprises is influenced by various factors including financial resources, digital infrastructure, government support, and organizational capabilities.</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better support their growth and competitiveness, the Government of India revised the definition of MSMEs in April 2025. Under the new classification, </w:t>
      </w:r>
      <w:r>
        <w:rPr>
          <w:rFonts w:ascii="Times New Roman" w:hAnsi="Times New Roman" w:cs="Times New Roman" w:eastAsia="Times New Roman"/>
          <w:b/>
          <w:color w:val="auto"/>
          <w:spacing w:val="0"/>
          <w:position w:val="0"/>
          <w:sz w:val="24"/>
          <w:shd w:fill="auto" w:val="clear"/>
        </w:rPr>
        <w:t xml:space="preserve">Micro Enterprises</w:t>
      </w:r>
      <w:r>
        <w:rPr>
          <w:rFonts w:ascii="Times New Roman" w:hAnsi="Times New Roman" w:cs="Times New Roman" w:eastAsia="Times New Roman"/>
          <w:color w:val="auto"/>
          <w:spacing w:val="0"/>
          <w:position w:val="0"/>
          <w:sz w:val="24"/>
          <w:shd w:fill="auto" w:val="clear"/>
        </w:rPr>
        <w:t xml:space="preserve"> are those with investment up to </w:t>
      </w:r>
      <w:r>
        <w:rPr>
          <w:rFonts w:ascii="Times New Roman" w:hAnsi="Times New Roman" w:cs="Times New Roman" w:eastAsia="Times New Roman"/>
          <w:color w:val="auto"/>
          <w:spacing w:val="0"/>
          <w:position w:val="0"/>
          <w:sz w:val="24"/>
          <w:shd w:fill="auto" w:val="clear"/>
        </w:rPr>
        <w:t xml:space="preserve">₹2.5 crore and turnover up to ₹10 crore; </w:t>
      </w:r>
      <w:r>
        <w:rPr>
          <w:rFonts w:ascii="Times New Roman" w:hAnsi="Times New Roman" w:cs="Times New Roman" w:eastAsia="Times New Roman"/>
          <w:b/>
          <w:color w:val="auto"/>
          <w:spacing w:val="0"/>
          <w:position w:val="0"/>
          <w:sz w:val="24"/>
          <w:shd w:fill="auto" w:val="clear"/>
        </w:rPr>
        <w:t xml:space="preserve">Small Enterprises</w:t>
      </w:r>
      <w:r>
        <w:rPr>
          <w:rFonts w:ascii="Times New Roman" w:hAnsi="Times New Roman" w:cs="Times New Roman" w:eastAsia="Times New Roman"/>
          <w:color w:val="auto"/>
          <w:spacing w:val="0"/>
          <w:position w:val="0"/>
          <w:sz w:val="24"/>
          <w:shd w:fill="auto" w:val="clear"/>
        </w:rPr>
        <w:t xml:space="preserve"> have investment up to ₹25 crore and turnover up to ₹100 crore; and </w:t>
      </w:r>
      <w:r>
        <w:rPr>
          <w:rFonts w:ascii="Times New Roman" w:hAnsi="Times New Roman" w:cs="Times New Roman" w:eastAsia="Times New Roman"/>
          <w:b/>
          <w:color w:val="auto"/>
          <w:spacing w:val="0"/>
          <w:position w:val="0"/>
          <w:sz w:val="24"/>
          <w:shd w:fill="auto" w:val="clear"/>
        </w:rPr>
        <w:t xml:space="preserve">Medium Enterprises</w:t>
      </w:r>
      <w:r>
        <w:rPr>
          <w:rFonts w:ascii="Times New Roman" w:hAnsi="Times New Roman" w:cs="Times New Roman" w:eastAsia="Times New Roman"/>
          <w:color w:val="auto"/>
          <w:spacing w:val="0"/>
          <w:position w:val="0"/>
          <w:sz w:val="24"/>
          <w:shd w:fill="auto" w:val="clear"/>
        </w:rPr>
        <w:t xml:space="preserve"> include those with investment up to ₹125 crore and turnover up to ₹500 crore. This change reflects inflationary adjustments and expands eligibility for MSME benefits, encouraging more enterprises to scale up without losing support.</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Understanding the revised MSME framework is essential, as it influences eligibility for digital initiatives and government schemes. This research aims to identify and analyze the key factors affecting the adoption and effectiveness of digital marketing strategies among MSMEs, particularly in light of their reclassification and evolving business environment.</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literature review:</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Setiawan et al. (2024)</w:t>
      </w:r>
      <w:r>
        <w:rPr>
          <w:rFonts w:ascii="Times New Roman" w:hAnsi="Times New Roman" w:cs="Times New Roman" w:eastAsia="Times New Roman"/>
          <w:color w:val="auto"/>
          <w:spacing w:val="0"/>
          <w:position w:val="0"/>
          <w:sz w:val="24"/>
          <w:shd w:fill="auto" w:val="clear"/>
        </w:rPr>
        <w:t xml:space="preserve"> conducted a systematic literature review of 2020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2024 studies on MSME digital marketing They identified themes like the role of social media and digital advertising in boosting MSMEs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competitive performance. The review highlights persistent adoption challenges and calls for policy support, financial aid, and training to facilitate MSMEs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digital marketing transformation</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Bermeo-Giraldo et al. (2022)</w:t>
      </w:r>
      <w:r>
        <w:rPr>
          <w:rFonts w:ascii="Times New Roman" w:hAnsi="Times New Roman" w:cs="Times New Roman" w:eastAsia="Times New Roman"/>
          <w:color w:val="auto"/>
          <w:spacing w:val="0"/>
          <w:position w:val="0"/>
          <w:sz w:val="24"/>
          <w:shd w:fill="auto" w:val="clear"/>
        </w:rPr>
        <w:t xml:space="preserve"> studied 120 SMEs in Medellín, Colombia, to uncover factors influencing digital marketing usage during the COVID-19 pandemic Using exploratory and confirmatory factor analyses, they identified five key factors (spanning technological and organizational domains) that drove SMEs’ adoption of digital tools. The findings show that social media and online channels helped SMEs sustain customer engagement during lockdowns, highlighting digital marketing’s value in crisis conditions</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Sharabati et al. (2024)</w:t>
      </w:r>
      <w:r>
        <w:rPr>
          <w:rFonts w:ascii="Times New Roman" w:hAnsi="Times New Roman" w:cs="Times New Roman" w:eastAsia="Times New Roman"/>
          <w:color w:val="auto"/>
          <w:spacing w:val="0"/>
          <w:position w:val="0"/>
          <w:sz w:val="24"/>
          <w:shd w:fill="auto" w:val="clear"/>
        </w:rPr>
        <w:t xml:space="preserve"> surveyed 190 SMEs to examine how digital marketing strategies (e.g. social media, SEO, online ads) affect firm performance Using the Technology Acceptance Model as a framework, they found that adopting digital marketing significantly enhances SMEs’ performance and accelerates digital transformation Engaging customers via digital channels was shown to expand market reach and strengthen competitiveness, underscoring digital marketing as critical for SME growth</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Gutiérrez Navas et al. (2025)</w:t>
      </w:r>
      <w:r>
        <w:rPr>
          <w:rFonts w:ascii="Times New Roman" w:hAnsi="Times New Roman" w:cs="Times New Roman" w:eastAsia="Times New Roman"/>
          <w:color w:val="auto"/>
          <w:spacing w:val="0"/>
          <w:position w:val="0"/>
          <w:sz w:val="24"/>
          <w:shd w:fill="auto" w:val="clear"/>
        </w:rPr>
        <w:t xml:space="preserve"> analysed a large-scale sample of nearly 15,000 MSMEs across Ibero-America Through a PLS-SEM approach, they determined that extensive digital skills training and strong digital leadership are vital drivers of higher-level digital marketing adoption and overall digitization in MSMEs. Notably, they found that technology, financial, human resource, and cultural barriers impede basic digital adoption, but these barriers diminish as firms achieve more advanced digital maturity</w:t>
      </w: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Meaning and Classification of MSMEs in India</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MSMEs in India are classified based on their </w:t>
      </w:r>
      <w:r>
        <w:rPr>
          <w:rFonts w:ascii="Times New Roman" w:hAnsi="Times New Roman" w:cs="Times New Roman" w:eastAsia="Times New Roman"/>
          <w:b/>
          <w:color w:val="auto"/>
          <w:spacing w:val="0"/>
          <w:position w:val="0"/>
          <w:sz w:val="24"/>
          <w:shd w:fill="auto" w:val="clear"/>
        </w:rPr>
        <w:t xml:space="preserve">investment in plant and machinery/equipment</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annual turnover</w:t>
      </w:r>
      <w:r>
        <w:rPr>
          <w:rFonts w:ascii="Times New Roman" w:hAnsi="Times New Roman" w:cs="Times New Roman" w:eastAsia="Times New Roman"/>
          <w:color w:val="auto"/>
          <w:spacing w:val="0"/>
          <w:position w:val="0"/>
          <w:sz w:val="24"/>
          <w:shd w:fill="auto" w:val="clear"/>
        </w:rPr>
        <w:t xml:space="preserve">. The definition was revised in </w:t>
      </w:r>
      <w:r>
        <w:rPr>
          <w:rFonts w:ascii="Times New Roman" w:hAnsi="Times New Roman" w:cs="Times New Roman" w:eastAsia="Times New Roman"/>
          <w:b/>
          <w:color w:val="auto"/>
          <w:spacing w:val="0"/>
          <w:position w:val="0"/>
          <w:sz w:val="24"/>
          <w:shd w:fill="auto" w:val="clear"/>
        </w:rPr>
        <w:t xml:space="preserve">June 2020</w:t>
      </w:r>
      <w:r>
        <w:rPr>
          <w:rFonts w:ascii="Times New Roman" w:hAnsi="Times New Roman" w:cs="Times New Roman" w:eastAsia="Times New Roman"/>
          <w:color w:val="auto"/>
          <w:spacing w:val="0"/>
          <w:position w:val="0"/>
          <w:sz w:val="24"/>
          <w:shd w:fill="auto" w:val="clear"/>
        </w:rPr>
        <w:t xml:space="preserve"> under the Aatmanirbhar Bharat Abhiyan to expand coverage and promote growth.</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Comparison of Old and New Definitions of MSMEs in India</w:t>
      </w:r>
    </w:p>
    <w:tbl>
      <w:tblPr/>
      <w:tblGrid>
        <w:gridCol w:w="1163"/>
        <w:gridCol w:w="3449"/>
        <w:gridCol w:w="4404"/>
      </w:tblGrid>
      <w:tr>
        <w:trPr>
          <w:trHeight w:val="1" w:hRule="atLeast"/>
          <w:jc w:val="left"/>
        </w:trPr>
        <w:tc>
          <w:tcPr>
            <w:tcW w:w="11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Category</w:t>
            </w:r>
          </w:p>
        </w:tc>
        <w:tc>
          <w:tcPr>
            <w:tcW w:w="3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Old Definition (Before June 2020)</w:t>
            </w:r>
          </w:p>
        </w:tc>
        <w:tc>
          <w:tcPr>
            <w:tcW w:w="4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New Definition (After June 2020)</w:t>
            </w:r>
          </w:p>
        </w:tc>
      </w:tr>
      <w:tr>
        <w:trPr>
          <w:trHeight w:val="1" w:hRule="atLeast"/>
          <w:jc w:val="left"/>
        </w:trPr>
        <w:tc>
          <w:tcPr>
            <w:tcW w:w="11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3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Manufacturing Sector</w:t>
            </w:r>
          </w:p>
        </w:tc>
        <w:tc>
          <w:tcPr>
            <w:tcW w:w="4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All Sectors (Manufacturing + Services)</w:t>
            </w:r>
          </w:p>
        </w:tc>
      </w:tr>
      <w:tr>
        <w:trPr>
          <w:trHeight w:val="1" w:hRule="atLeast"/>
          <w:jc w:val="left"/>
        </w:trPr>
        <w:tc>
          <w:tcPr>
            <w:tcW w:w="11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Micro</w:t>
            </w:r>
          </w:p>
        </w:tc>
        <w:tc>
          <w:tcPr>
            <w:tcW w:w="3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Gungsuh" w:hAnsi="Gungsuh" w:cs="Gungsuh" w:eastAsia="Gungsuh"/>
                <w:color w:val="auto"/>
                <w:spacing w:val="0"/>
                <w:position w:val="0"/>
                <w:sz w:val="24"/>
                <w:shd w:fill="auto" w:val="clear"/>
              </w:rPr>
              <w:t xml:space="preserve">Investment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lakh</w:t>
            </w:r>
          </w:p>
        </w:tc>
        <w:tc>
          <w:tcPr>
            <w:tcW w:w="4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Gungsuh" w:hAnsi="Gungsuh" w:cs="Gungsuh" w:eastAsia="Gungsuh"/>
                <w:color w:val="auto"/>
                <w:spacing w:val="0"/>
                <w:position w:val="0"/>
                <w:sz w:val="24"/>
                <w:shd w:fill="auto" w:val="clear"/>
              </w:rPr>
              <w:t xml:space="preserve">Investment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crore and Turnover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crore</w:t>
            </w:r>
          </w:p>
        </w:tc>
      </w:tr>
      <w:tr>
        <w:trPr>
          <w:trHeight w:val="1" w:hRule="atLeast"/>
          <w:jc w:val="left"/>
        </w:trPr>
        <w:tc>
          <w:tcPr>
            <w:tcW w:w="11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Small</w:t>
            </w:r>
          </w:p>
        </w:tc>
        <w:tc>
          <w:tcPr>
            <w:tcW w:w="3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Cardo" w:hAnsi="Cardo" w:cs="Cardo" w:eastAsia="Cardo"/>
                <w:color w:val="auto"/>
                <w:spacing w:val="0"/>
                <w:position w:val="0"/>
                <w:sz w:val="24"/>
                <w:shd w:fill="auto" w:val="clear"/>
              </w:rPr>
              <w:t xml:space="preserve">Investment &gt; </w:t>
            </w:r>
            <w:r>
              <w:rPr>
                <w:rFonts w:ascii="Arial" w:hAnsi="Arial" w:cs="Arial" w:eastAsia="Arial"/>
                <w:color w:val="auto"/>
                <w:spacing w:val="0"/>
                <w:position w:val="0"/>
                <w:sz w:val="24"/>
                <w:shd w:fill="auto" w:val="clear"/>
              </w:rPr>
              <w:t xml:space="preserve">₹</w:t>
            </w:r>
            <w:r>
              <w:rPr>
                <w:rFonts w:ascii="Cardo" w:hAnsi="Cardo" w:cs="Cardo" w:eastAsia="Cardo"/>
                <w:color w:val="auto"/>
                <w:spacing w:val="0"/>
                <w:position w:val="0"/>
                <w:sz w:val="24"/>
                <w:shd w:fill="auto" w:val="clear"/>
              </w:rPr>
              <w:t xml:space="preserve">25 lakh and </w:t>
            </w:r>
            <w:r>
              <w:rPr>
                <w:rFonts w:ascii="Cambria Math" w:hAnsi="Cambria Math" w:cs="Cambria Math" w:eastAsia="Cambria Math"/>
                <w:color w:val="auto"/>
                <w:spacing w:val="0"/>
                <w:position w:val="0"/>
                <w:sz w:val="24"/>
                <w:shd w:fill="auto" w:val="clear"/>
              </w:rPr>
              <w:t xml:space="preserve">≤</w:t>
            </w:r>
            <w:r>
              <w:rPr>
                <w:rFonts w:ascii="Cardo" w:hAnsi="Cardo" w:cs="Cardo" w:eastAsia="Cardo"/>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crore</w:t>
            </w:r>
          </w:p>
        </w:tc>
        <w:tc>
          <w:tcPr>
            <w:tcW w:w="4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Gungsuh" w:hAnsi="Gungsuh" w:cs="Gungsuh" w:eastAsia="Gungsuh"/>
                <w:color w:val="auto"/>
                <w:spacing w:val="0"/>
                <w:position w:val="0"/>
                <w:sz w:val="24"/>
                <w:shd w:fill="auto" w:val="clear"/>
              </w:rPr>
              <w:t xml:space="preserve">Investment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crore and Turnover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crore</w:t>
            </w:r>
          </w:p>
        </w:tc>
      </w:tr>
      <w:tr>
        <w:trPr>
          <w:trHeight w:val="1" w:hRule="atLeast"/>
          <w:jc w:val="left"/>
        </w:trPr>
        <w:tc>
          <w:tcPr>
            <w:tcW w:w="11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Medium</w:t>
            </w:r>
          </w:p>
        </w:tc>
        <w:tc>
          <w:tcPr>
            <w:tcW w:w="3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Cardo" w:hAnsi="Cardo" w:cs="Cardo" w:eastAsia="Cardo"/>
                <w:color w:val="auto"/>
                <w:spacing w:val="0"/>
                <w:position w:val="0"/>
                <w:sz w:val="24"/>
                <w:shd w:fill="auto" w:val="clear"/>
              </w:rPr>
              <w:t xml:space="preserve">Investment &gt; </w:t>
            </w:r>
            <w:r>
              <w:rPr>
                <w:rFonts w:ascii="Arial" w:hAnsi="Arial" w:cs="Arial" w:eastAsia="Arial"/>
                <w:color w:val="auto"/>
                <w:spacing w:val="0"/>
                <w:position w:val="0"/>
                <w:sz w:val="24"/>
                <w:shd w:fill="auto" w:val="clear"/>
              </w:rPr>
              <w:t xml:space="preserve">₹</w:t>
            </w:r>
            <w:r>
              <w:rPr>
                <w:rFonts w:ascii="Cardo" w:hAnsi="Cardo" w:cs="Cardo" w:eastAsia="Cardo"/>
                <w:color w:val="auto"/>
                <w:spacing w:val="0"/>
                <w:position w:val="0"/>
                <w:sz w:val="24"/>
                <w:shd w:fill="auto" w:val="clear"/>
              </w:rPr>
              <w:t xml:space="preserve">5 crore and </w:t>
            </w:r>
            <w:r>
              <w:rPr>
                <w:rFonts w:ascii="Cambria Math" w:hAnsi="Cambria Math" w:cs="Cambria Math" w:eastAsia="Cambria Math"/>
                <w:color w:val="auto"/>
                <w:spacing w:val="0"/>
                <w:position w:val="0"/>
                <w:sz w:val="24"/>
                <w:shd w:fill="auto" w:val="clear"/>
              </w:rPr>
              <w:t xml:space="preserve">≤</w:t>
            </w:r>
            <w:r>
              <w:rPr>
                <w:rFonts w:ascii="Cardo" w:hAnsi="Cardo" w:cs="Cardo" w:eastAsia="Cardo"/>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crore</w:t>
            </w:r>
          </w:p>
        </w:tc>
        <w:tc>
          <w:tcPr>
            <w:tcW w:w="4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Gungsuh" w:hAnsi="Gungsuh" w:cs="Gungsuh" w:eastAsia="Gungsuh"/>
                <w:color w:val="auto"/>
                <w:spacing w:val="0"/>
                <w:position w:val="0"/>
                <w:sz w:val="24"/>
                <w:shd w:fill="auto" w:val="clear"/>
              </w:rPr>
              <w:t xml:space="preserve">Investment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crore and Turnover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₹250 crore</w:t>
            </w:r>
          </w:p>
        </w:tc>
      </w:tr>
    </w:tbl>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of April 1, 2025, the Government of India has implemented a revised definition for Micro, Small, and Medium Enterprises (MSMEs) to better reflect current economic conditions and support business growth. This update increases the investment and turnover thresholds, allowing more enterprises to qualify for MSME benefits.</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Revised MSME Classification (Effective April 1, 2025)</w:t>
      </w:r>
    </w:p>
    <w:tbl>
      <w:tblPr/>
      <w:tblGrid>
        <w:gridCol w:w="3319"/>
        <w:gridCol w:w="2963"/>
        <w:gridCol w:w="2744"/>
      </w:tblGrid>
      <w:tr>
        <w:trPr>
          <w:trHeight w:val="538"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Category</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Investment Limit</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Turnover Limit</w:t>
            </w:r>
          </w:p>
        </w:tc>
      </w:tr>
      <w:tr>
        <w:trPr>
          <w:trHeight w:val="521"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Micro Enterprise</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₹2.5 crore</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₹10 crore</w:t>
            </w:r>
          </w:p>
        </w:tc>
      </w:tr>
      <w:tr>
        <w:trPr>
          <w:trHeight w:val="538"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Small Enterprise</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₹25 crore</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₹100 crore</w:t>
            </w:r>
          </w:p>
        </w:tc>
      </w:tr>
      <w:tr>
        <w:trPr>
          <w:trHeight w:val="521"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Medium Enterprise</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₹125 crore</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Up to </w:t>
            </w:r>
            <w:r>
              <w:rPr>
                <w:rFonts w:ascii="Times New Roman" w:hAnsi="Times New Roman" w:cs="Times New Roman" w:eastAsia="Times New Roman"/>
                <w:color w:val="auto"/>
                <w:spacing w:val="0"/>
                <w:position w:val="0"/>
                <w:sz w:val="24"/>
                <w:shd w:fill="auto" w:val="clear"/>
              </w:rPr>
              <w:t xml:space="preserve">₹500 crore</w:t>
            </w:r>
          </w:p>
        </w:tc>
      </w:tr>
    </w:tbl>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Source: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India Filings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object w:dxaOrig="12997" w:dyaOrig="12997">
          <v:rect xmlns:o="urn:schemas-microsoft-com:office:office" xmlns:v="urn:schemas-microsoft-com:vml" id="rectole0000000000" style="width:649.850000pt;height:649.8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object w:dxaOrig="12997" w:dyaOrig="8661">
          <v:rect xmlns:o="urn:schemas-microsoft-com:office:office" xmlns:v="urn:schemas-microsoft-com:vml" id="rectole0000000001" style="width:649.850000pt;height:433.0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Conceptual framework:</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Theoretical Background</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evolving digital landscape compels Micro, Small, and Medium Enterprises (MSMEs) to adopt dynamic marketing approaches tailored to their internal capabilities and external environment. The theoretical framework for this study integrates two comprehensive conceptual models, which collectively explain the multifactorial influences on digital marketing strategy choices among MSMEs.</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model identifies </w:t>
      </w:r>
      <w:r>
        <w:rPr>
          <w:rFonts w:ascii="Times New Roman" w:hAnsi="Times New Roman" w:cs="Times New Roman" w:eastAsia="Times New Roman"/>
          <w:b/>
          <w:color w:val="auto"/>
          <w:spacing w:val="0"/>
          <w:position w:val="0"/>
          <w:sz w:val="24"/>
          <w:shd w:fill="auto" w:val="clear"/>
        </w:rPr>
        <w:t xml:space="preserve">nine core determinants</w:t>
      </w:r>
      <w:r>
        <w:rPr>
          <w:rFonts w:ascii="Times New Roman" w:hAnsi="Times New Roman" w:cs="Times New Roman" w:eastAsia="Times New Roman"/>
          <w:color w:val="auto"/>
          <w:spacing w:val="0"/>
          <w:position w:val="0"/>
          <w:sz w:val="24"/>
          <w:shd w:fill="auto" w:val="clear"/>
        </w:rPr>
        <w:t xml:space="preserve"> influencing digital marketing strategies:</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Organizational Capability (Org_cap)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encompassing digital infrastructure and skilled human resources.</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Market Competition (Market_comp)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intensity of competitors pushing MSMEs to innovate.</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Consumer Behavior (Consumer_behav)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changing preferences and online engagement patterns.</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Financial Resources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access to capital for marketing investments.</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Government Policies (Govt_policies)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regulatory support, incentives, or compliance needs.</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Advertisement Capabilities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readiness to engage audiences via promotional content.</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Research and Development (R_D)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innovation and data-driven experimentation.</w:t>
      </w:r>
    </w:p>
    <w:p>
      <w:pPr>
        <w:numPr>
          <w:ilvl w:val="0"/>
          <w:numId w:val="35"/>
        </w:numPr>
        <w:spacing w:before="0" w:after="16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Digital Marketing Era Awareness (Digital_Marketing_era)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adaptability to new tools, platforms, and trends.</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factors directly shape strategic decisions involving </w:t>
      </w:r>
      <w:r>
        <w:rPr>
          <w:rFonts w:ascii="Times New Roman" w:hAnsi="Times New Roman" w:cs="Times New Roman" w:eastAsia="Times New Roman"/>
          <w:b/>
          <w:color w:val="auto"/>
          <w:spacing w:val="0"/>
          <w:position w:val="0"/>
          <w:sz w:val="24"/>
          <w:shd w:fill="auto" w:val="clear"/>
        </w:rPr>
        <w:t xml:space="preserve">Search Engine Optimization (SEO)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Content Marketing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Social Media Marketing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Email Campaigns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Pay-Per-Click Advertising (PPC)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Affiliate and Influencer Marketing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Mobile and Video Marketing</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Web Analytics &amp; Conversion Rate Optimization (CRO)</w:t>
      </w:r>
      <w:r>
        <w:rPr>
          <w:rFonts w:ascii="Times New Roman" w:hAnsi="Times New Roman" w:cs="Times New Roman" w:eastAsia="Times New Roman"/>
          <w:color w:val="auto"/>
          <w:spacing w:val="0"/>
          <w:position w:val="0"/>
          <w:sz w:val="24"/>
          <w:shd w:fill="auto" w:val="clear"/>
        </w:rPr>
        <w:t xml:space="preserve">.</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model clusters these variables into five broader domains that underpin strategic decision-making:</w:t>
      </w:r>
    </w:p>
    <w:p>
      <w:pPr>
        <w:numPr>
          <w:ilvl w:val="0"/>
          <w:numId w:val="37"/>
        </w:numPr>
        <w:spacing w:before="0" w:after="16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Organizational Factors:</w:t>
      </w:r>
      <w:r>
        <w:rPr>
          <w:rFonts w:ascii="Times New Roman" w:hAnsi="Times New Roman" w:cs="Times New Roman" w:eastAsia="Times New Roman"/>
          <w:color w:val="auto"/>
          <w:spacing w:val="0"/>
          <w:position w:val="0"/>
          <w:sz w:val="24"/>
          <w:shd w:fill="auto" w:val="clear"/>
        </w:rPr>
        <w:t xml:space="preserve"> These include internal elements like financial stability, skilled workforce, and digital readiness, which influence MSMEs' capacity to plan and implement digital initiatives.</w:t>
      </w:r>
    </w:p>
    <w:p>
      <w:pPr>
        <w:numPr>
          <w:ilvl w:val="0"/>
          <w:numId w:val="37"/>
        </w:numPr>
        <w:spacing w:before="0" w:after="16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Technological Factors:</w:t>
      </w:r>
      <w:r>
        <w:rPr>
          <w:rFonts w:ascii="Times New Roman" w:hAnsi="Times New Roman" w:cs="Times New Roman" w:eastAsia="Times New Roman"/>
          <w:color w:val="auto"/>
          <w:spacing w:val="0"/>
          <w:position w:val="0"/>
          <w:sz w:val="24"/>
          <w:shd w:fill="auto" w:val="clear"/>
        </w:rPr>
        <w:t xml:space="preserve"> Availability and integration of tools, platform compatibility, and CRM systems that affect the feasibility and scalability of digital strategies.</w:t>
      </w:r>
    </w:p>
    <w:p>
      <w:pPr>
        <w:numPr>
          <w:ilvl w:val="0"/>
          <w:numId w:val="37"/>
        </w:numPr>
        <w:spacing w:before="0" w:after="16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Market/Consumer Factors:</w:t>
      </w:r>
      <w:r>
        <w:rPr>
          <w:rFonts w:ascii="Times New Roman" w:hAnsi="Times New Roman" w:cs="Times New Roman" w:eastAsia="Times New Roman"/>
          <w:color w:val="auto"/>
          <w:spacing w:val="0"/>
          <w:position w:val="0"/>
          <w:sz w:val="24"/>
          <w:shd w:fill="auto" w:val="clear"/>
        </w:rPr>
        <w:t xml:space="preserve"> Insights into consumer needs, competition, and feedback mechanisms guide targeted content and channel selection.</w:t>
      </w:r>
    </w:p>
    <w:p>
      <w:pPr>
        <w:numPr>
          <w:ilvl w:val="0"/>
          <w:numId w:val="37"/>
        </w:numPr>
        <w:spacing w:before="0" w:after="16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External Environmental Factors:</w:t>
      </w:r>
      <w:r>
        <w:rPr>
          <w:rFonts w:ascii="Times New Roman" w:hAnsi="Times New Roman" w:cs="Times New Roman" w:eastAsia="Times New Roman"/>
          <w:color w:val="auto"/>
          <w:spacing w:val="0"/>
          <w:position w:val="0"/>
          <w:sz w:val="24"/>
          <w:shd w:fill="auto" w:val="clear"/>
        </w:rPr>
        <w:t xml:space="preserve"> Government regulations, policy frameworks, and industry norms significantly influence digital marketing viability.</w:t>
      </w:r>
    </w:p>
    <w:p>
      <w:pPr>
        <w:numPr>
          <w:ilvl w:val="0"/>
          <w:numId w:val="37"/>
        </w:numPr>
        <w:spacing w:before="0" w:after="16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Promotional Readiness:</w:t>
      </w:r>
      <w:r>
        <w:rPr>
          <w:rFonts w:ascii="Times New Roman" w:hAnsi="Times New Roman" w:cs="Times New Roman" w:eastAsia="Times New Roman"/>
          <w:color w:val="auto"/>
          <w:spacing w:val="0"/>
          <w:position w:val="0"/>
          <w:sz w:val="24"/>
          <w:shd w:fill="auto" w:val="clear"/>
        </w:rPr>
        <w:t xml:space="preserve"> The ability to create and manage compelling advertising content, supported by R&amp;D and innovation, enhances strategic impact.</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integrated theoretical lens reveals that the success of digital marketing in MSMEs is not merely tool-driven but context-dependent, shaped by a dynamic interplay of internal resources, market demands, technological capacity, and regulatory frameworks. It sets a foundation for empirically analysing how these multidimensional factors collectively influence the strategic marketing direction of MSMEs in the digital era.</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Objectives:</w:t>
      </w:r>
    </w:p>
    <w:p>
      <w:pPr>
        <w:numPr>
          <w:ilvl w:val="0"/>
          <w:numId w:val="39"/>
        </w:numPr>
        <w:spacing w:before="0" w:after="0" w:line="360"/>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To identify and extract the underlying factors that influence the digital marketing strategies of MSMEs in Mysore District using factor analysis</w:t>
      </w:r>
    </w:p>
    <w:p>
      <w:pPr>
        <w:numPr>
          <w:ilvl w:val="0"/>
          <w:numId w:val="39"/>
        </w:numPr>
        <w:spacing w:before="0" w:after="0" w:line="360"/>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To examine the factor scores, differ significantly among different types of MSMEs (manufacturing, services, trading), indicating industry-specific influences on digital marketing.</w:t>
      </w:r>
    </w:p>
    <w:p>
      <w:pPr>
        <w:spacing w:before="0" w:after="0" w:line="360"/>
        <w:ind w:right="0" w:left="720" w:hanging="72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Hypothesis</w:t>
      </w:r>
    </w:p>
    <w:p>
      <w:pPr>
        <w:numPr>
          <w:ilvl w:val="0"/>
          <w:numId w:val="41"/>
        </w:numPr>
        <w:spacing w:before="0" w:after="0" w:line="360"/>
        <w:ind w:right="0" w:left="720"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H</w:t>
      </w:r>
      <w:r>
        <w:rPr>
          <w:rFonts w:ascii="Times New Roman" w:hAnsi="Times New Roman" w:cs="Times New Roman" w:eastAsia="Times New Roman"/>
          <w:color w:val="000000"/>
          <w:spacing w:val="0"/>
          <w:position w:val="0"/>
          <w:sz w:val="24"/>
          <w:u w:val="single"/>
          <w:shd w:fill="auto" w:val="clear"/>
        </w:rPr>
        <w:t xml:space="preserve">₀</w:t>
      </w:r>
      <w:r>
        <w:rPr>
          <w:rFonts w:ascii="Times New Roman" w:hAnsi="Times New Roman" w:cs="Times New Roman" w:eastAsia="Times New Roman"/>
          <w:color w:val="000000"/>
          <w:spacing w:val="0"/>
          <w:position w:val="0"/>
          <w:sz w:val="24"/>
          <w:u w:val="single"/>
          <w:shd w:fill="auto" w:val="clear"/>
        </w:rPr>
        <w:t xml:space="preserve">: There is no significant difference in the mean factor scores of digital marketing strategies among manufacturing, services, and trading MSMEs.</w:t>
      </w:r>
    </w:p>
    <w:p>
      <w:pPr>
        <w:numPr>
          <w:ilvl w:val="0"/>
          <w:numId w:val="41"/>
        </w:numPr>
        <w:spacing w:before="0" w:after="0" w:line="360"/>
        <w:ind w:right="0" w:left="720" w:hanging="36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H</w:t>
      </w:r>
      <w:r>
        <w:rPr>
          <w:rFonts w:ascii="Times New Roman" w:hAnsi="Times New Roman" w:cs="Times New Roman" w:eastAsia="Times New Roman"/>
          <w:color w:val="000000"/>
          <w:spacing w:val="0"/>
          <w:position w:val="0"/>
          <w:sz w:val="24"/>
          <w:u w:val="single"/>
          <w:shd w:fill="auto" w:val="clear"/>
        </w:rPr>
        <w:t xml:space="preserve">₁</w:t>
      </w:r>
      <w:r>
        <w:rPr>
          <w:rFonts w:ascii="Times New Roman" w:hAnsi="Times New Roman" w:cs="Times New Roman" w:eastAsia="Times New Roman"/>
          <w:color w:val="000000"/>
          <w:spacing w:val="0"/>
          <w:position w:val="0"/>
          <w:sz w:val="24"/>
          <w:u w:val="single"/>
          <w:shd w:fill="auto" w:val="clear"/>
        </w:rPr>
        <w:t xml:space="preserve">: There is a significant difference in the mean factor scores of digital marketing strategies among manufacturing, services, and trading MSMEs.</w:t>
      </w: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Research Methodology</w:t>
      </w: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This study adopts a quantitative approach using both primary and secondary data. Primary data were collected through structured questionnaires from MSMEs in Mysore District, while secondary data were sourced from government reports and academic literature. Factor analysis (via Principal Component Analysis) was employed to identify latent variables influencing digital marketing strategies. ANOVA and post-hoc tests assessed differences across MSME types.</w:t>
      </w: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Table:1</w:t>
      </w: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360"/>
        <w:ind w:right="0" w:left="720" w:firstLine="0"/>
        <w:jc w:val="both"/>
        <w:rPr>
          <w:rFonts w:ascii="Times New Roman" w:hAnsi="Times New Roman" w:cs="Times New Roman" w:eastAsia="Times New Roman"/>
          <w:color w:val="000000"/>
          <w:spacing w:val="0"/>
          <w:position w:val="0"/>
          <w:sz w:val="24"/>
          <w:u w:val="single"/>
          <w:shd w:fill="auto" w:val="clear"/>
        </w:rPr>
      </w:pPr>
    </w:p>
    <w:tbl>
      <w:tblPr/>
      <w:tblGrid>
        <w:gridCol w:w="3006"/>
        <w:gridCol w:w="2524"/>
        <w:gridCol w:w="2490"/>
      </w:tblGrid>
      <w:tr>
        <w:trPr>
          <w:trHeight w:val="305" w:hRule="auto"/>
          <w:jc w:val="left"/>
        </w:trPr>
        <w:tc>
          <w:tcPr>
            <w:tcW w:w="8020" w:type="dxa"/>
            <w:gridSpan w:val="3"/>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KMO and Bartlett's Test</w:t>
            </w:r>
          </w:p>
        </w:tc>
      </w:tr>
      <w:tr>
        <w:trPr>
          <w:trHeight w:val="733" w:hRule="auto"/>
          <w:jc w:val="left"/>
        </w:trPr>
        <w:tc>
          <w:tcPr>
            <w:tcW w:w="5530" w:type="dxa"/>
            <w:gridSpan w:val="2"/>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Kaiser-Meyer-Olkin Measure of Sampling Adequacy.</w:t>
            </w:r>
          </w:p>
        </w:tc>
        <w:tc>
          <w:tcPr>
            <w:tcW w:w="24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0.733</w:t>
            </w:r>
          </w:p>
        </w:tc>
      </w:tr>
      <w:tr>
        <w:trPr>
          <w:trHeight w:val="733" w:hRule="auto"/>
          <w:jc w:val="left"/>
        </w:trPr>
        <w:tc>
          <w:tcPr>
            <w:tcW w:w="3006"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Bartlett's Test of Sphericity</w:t>
            </w:r>
          </w:p>
        </w:tc>
        <w:tc>
          <w:tcPr>
            <w:tcW w:w="2524"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Approx. Chi-Square</w:t>
            </w:r>
          </w:p>
        </w:tc>
        <w:tc>
          <w:tcPr>
            <w:tcW w:w="24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340.217</w:t>
            </w:r>
          </w:p>
        </w:tc>
      </w:tr>
      <w:tr>
        <w:trPr>
          <w:trHeight w:val="305" w:hRule="auto"/>
          <w:jc w:val="left"/>
        </w:trPr>
        <w:tc>
          <w:tcPr>
            <w:tcW w:w="3006"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4"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df</w:t>
            </w:r>
          </w:p>
        </w:tc>
        <w:tc>
          <w:tcPr>
            <w:tcW w:w="24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r>
      <w:tr>
        <w:trPr>
          <w:trHeight w:val="305" w:hRule="auto"/>
          <w:jc w:val="left"/>
        </w:trPr>
        <w:tc>
          <w:tcPr>
            <w:tcW w:w="3006"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4"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Sig.</w:t>
            </w:r>
          </w:p>
        </w:tc>
        <w:tc>
          <w:tcPr>
            <w:tcW w:w="24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w:t>
            </w:r>
          </w:p>
        </w:tc>
      </w:tr>
    </w:tbl>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1 presents the </w:t>
      </w:r>
      <w:r>
        <w:rPr>
          <w:rFonts w:ascii="Times New Roman" w:hAnsi="Times New Roman" w:cs="Times New Roman" w:eastAsia="Times New Roman"/>
          <w:b/>
          <w:color w:val="auto"/>
          <w:spacing w:val="0"/>
          <w:position w:val="0"/>
          <w:sz w:val="24"/>
          <w:shd w:fill="auto" w:val="clear"/>
        </w:rPr>
        <w:t xml:space="preserve">Kaiser-Meyer-Olkin (KMO)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Bartlett’s Test of Sphericity</w:t>
      </w:r>
      <w:r>
        <w:rPr>
          <w:rFonts w:ascii="Times New Roman" w:hAnsi="Times New Roman" w:cs="Times New Roman" w:eastAsia="Times New Roman"/>
          <w:color w:val="auto"/>
          <w:spacing w:val="0"/>
          <w:position w:val="0"/>
          <w:sz w:val="24"/>
          <w:shd w:fill="auto" w:val="clear"/>
        </w:rPr>
        <w:t xml:space="preserve"> results, which assess the suitability of the data for factor analysis. The KMO Measure of Sampling Adequacy is </w:t>
      </w:r>
      <w:r>
        <w:rPr>
          <w:rFonts w:ascii="Times New Roman" w:hAnsi="Times New Roman" w:cs="Times New Roman" w:eastAsia="Times New Roman"/>
          <w:b/>
          <w:color w:val="auto"/>
          <w:spacing w:val="0"/>
          <w:position w:val="0"/>
          <w:sz w:val="24"/>
          <w:shd w:fill="auto" w:val="clear"/>
        </w:rPr>
        <w:t xml:space="preserve">0.733</w:t>
      </w:r>
      <w:r>
        <w:rPr>
          <w:rFonts w:ascii="Times New Roman" w:hAnsi="Times New Roman" w:cs="Times New Roman" w:eastAsia="Times New Roman"/>
          <w:color w:val="auto"/>
          <w:spacing w:val="0"/>
          <w:position w:val="0"/>
          <w:sz w:val="24"/>
          <w:shd w:fill="auto" w:val="clear"/>
        </w:rPr>
        <w:t xml:space="preserve"> which exceeds the commonly recommended minimum (e.g. &gt;0.6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0.7) for acceptable factor analysis This suggests that the patterns of correlations are relatively compact and the sample is adequate for extracting factors. Bartlett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test is highly significant (approx. </w:t>
      </w:r>
      <w:r>
        <w:rPr>
          <w:rFonts w:ascii="Times New Roman" w:hAnsi="Times New Roman" w:cs="Times New Roman" w:eastAsia="Times New Roman"/>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rPr>
        <w:t xml:space="preserve">² = </w:t>
      </w:r>
      <w:r>
        <w:rPr>
          <w:rFonts w:ascii="Times New Roman" w:hAnsi="Times New Roman" w:cs="Times New Roman" w:eastAsia="Times New Roman"/>
          <w:b/>
          <w:color w:val="auto"/>
          <w:spacing w:val="0"/>
          <w:position w:val="0"/>
          <w:sz w:val="24"/>
          <w:shd w:fill="auto" w:val="clear"/>
        </w:rPr>
        <w:t xml:space="preserve">340.217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df</w:t>
      </w:r>
      <w:r>
        <w:rPr>
          <w:rFonts w:ascii="Times New Roman" w:hAnsi="Times New Roman" w:cs="Times New Roman" w:eastAsia="Times New Roman"/>
          <w:color w:val="auto"/>
          <w:spacing w:val="0"/>
          <w:position w:val="0"/>
          <w:sz w:val="24"/>
          <w:shd w:fill="auto" w:val="clear"/>
        </w:rPr>
        <w:t xml:space="preserve"> = 45, </w:t>
      </w:r>
      <w:r>
        <w:rPr>
          <w:rFonts w:ascii="Times New Roman" w:hAnsi="Times New Roman" w:cs="Times New Roman" w:eastAsia="Times New Roman"/>
          <w:b/>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rejecting the null hypothesis that the correlation matrix is an identity matrix. In practical terms, this means there are sufficient inter-correlations between the 10 variables, justifying the use of factor analysis. Together, the KMO and Bartlett’s results indicate that the data is suitable for identifying underlying factors influencing digital marketing strategies of MSMEs.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tbl>
      <w:tblPr/>
      <w:tblGrid>
        <w:gridCol w:w="1336"/>
        <w:gridCol w:w="756"/>
        <w:gridCol w:w="1083"/>
        <w:gridCol w:w="1336"/>
        <w:gridCol w:w="756"/>
        <w:gridCol w:w="1083"/>
        <w:gridCol w:w="1336"/>
        <w:gridCol w:w="756"/>
        <w:gridCol w:w="1083"/>
        <w:gridCol w:w="1336"/>
      </w:tblGrid>
      <w:tr>
        <w:trPr>
          <w:trHeight w:val="288" w:hRule="auto"/>
          <w:jc w:val="left"/>
        </w:trPr>
        <w:tc>
          <w:tcPr>
            <w:tcW w:w="10861" w:type="dxa"/>
            <w:gridSpan w:val="10"/>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Total Variance Explained</w:t>
            </w:r>
          </w:p>
        </w:tc>
      </w:tr>
      <w:tr>
        <w:trPr>
          <w:trHeight w:val="439" w:hRule="auto"/>
          <w:jc w:val="left"/>
        </w:trPr>
        <w:tc>
          <w:tcPr>
            <w:tcW w:w="1336"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Component</w:t>
            </w:r>
          </w:p>
        </w:tc>
        <w:tc>
          <w:tcPr>
            <w:tcW w:w="3175" w:type="dxa"/>
            <w:gridSpan w:val="3"/>
            <w:tcBorders>
              <w:top w:val="single" w:color="000000" w:sz="4"/>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Initial Eigenvalues</w:t>
            </w:r>
          </w:p>
        </w:tc>
        <w:tc>
          <w:tcPr>
            <w:tcW w:w="3175" w:type="dxa"/>
            <w:gridSpan w:val="3"/>
            <w:tcBorders>
              <w:top w:val="single" w:color="000000" w:sz="4"/>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Extraction Sums of Squared Loadings</w:t>
            </w:r>
          </w:p>
        </w:tc>
        <w:tc>
          <w:tcPr>
            <w:tcW w:w="3175" w:type="dxa"/>
            <w:gridSpan w:val="3"/>
            <w:tcBorders>
              <w:top w:val="single" w:color="000000" w:sz="4"/>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Rotation Sums of Squared Loadings</w:t>
            </w:r>
          </w:p>
        </w:tc>
      </w:tr>
      <w:tr>
        <w:trPr>
          <w:trHeight w:val="577" w:hRule="auto"/>
          <w:jc w:val="left"/>
        </w:trPr>
        <w:tc>
          <w:tcPr>
            <w:tcW w:w="1336"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of Variance</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Cumulative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of Variance</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Cumulative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of Variance</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Cumulative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2.978</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29.776</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29.776</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2.978</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29.776</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29.776</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2.965</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29.65</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29.65</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1.489</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14.891</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44.667</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1.489</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14.891</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44.667</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1.334</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13.342</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42.992</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1.274</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12.739</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57.406</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1.274</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12.739</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57.406</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1.28</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12.798</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55.79</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1.029</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10.286</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67.692</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1.029</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10.286</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67.692</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1.19</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11.902</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67.692</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0.907</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9.071</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76.763</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0.732</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7.317</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84.08</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0.632</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6.323</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90.402</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0.48</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4.805</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95.207</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0.278</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2.783</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97.991</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336"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0.201</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2.009</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75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36"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288" w:hRule="auto"/>
          <w:jc w:val="left"/>
        </w:trPr>
        <w:tc>
          <w:tcPr>
            <w:tcW w:w="10861" w:type="dxa"/>
            <w:gridSpan w:val="10"/>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Extraction Method: Principal Component Analysis.</w:t>
            </w:r>
          </w:p>
        </w:tc>
      </w:tr>
    </w:tbl>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Table:2</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summarizes the </w:t>
      </w:r>
      <w:r>
        <w:rPr>
          <w:rFonts w:ascii="Times New Roman" w:hAnsi="Times New Roman" w:cs="Times New Roman" w:eastAsia="Times New Roman"/>
          <w:b/>
          <w:color w:val="auto"/>
          <w:spacing w:val="0"/>
          <w:position w:val="0"/>
          <w:sz w:val="24"/>
          <w:shd w:fill="auto" w:val="clear"/>
        </w:rPr>
        <w:t xml:space="preserve">Total Variance Explained</w:t>
      </w:r>
      <w:r>
        <w:rPr>
          <w:rFonts w:ascii="Times New Roman" w:hAnsi="Times New Roman" w:cs="Times New Roman" w:eastAsia="Times New Roman"/>
          <w:color w:val="auto"/>
          <w:spacing w:val="0"/>
          <w:position w:val="0"/>
          <w:sz w:val="24"/>
          <w:shd w:fill="auto" w:val="clear"/>
        </w:rPr>
        <w:t xml:space="preserve"> by the extracted factors. Using Principal Component Analysis (PCA) as the extraction methodfile-qrztqwnr1rfory7am55136, </w:t>
      </w:r>
      <w:r>
        <w:rPr>
          <w:rFonts w:ascii="Times New Roman" w:hAnsi="Times New Roman" w:cs="Times New Roman" w:eastAsia="Times New Roman"/>
          <w:b/>
          <w:color w:val="auto"/>
          <w:spacing w:val="0"/>
          <w:position w:val="0"/>
          <w:sz w:val="24"/>
          <w:shd w:fill="auto" w:val="clear"/>
        </w:rPr>
        <w:t xml:space="preserve">four components</w:t>
      </w:r>
      <w:r>
        <w:rPr>
          <w:rFonts w:ascii="Times New Roman" w:hAnsi="Times New Roman" w:cs="Times New Roman" w:eastAsia="Times New Roman"/>
          <w:color w:val="auto"/>
          <w:spacing w:val="0"/>
          <w:position w:val="0"/>
          <w:sz w:val="24"/>
          <w:shd w:fill="auto" w:val="clear"/>
        </w:rPr>
        <w:t xml:space="preserve"> had eigenvalues greater than and were retained for rotation. The initial eigenvalue for </w:t>
      </w:r>
      <w:r>
        <w:rPr>
          <w:rFonts w:ascii="Times New Roman" w:hAnsi="Times New Roman" w:cs="Times New Roman" w:eastAsia="Times New Roman"/>
          <w:b/>
          <w:color w:val="auto"/>
          <w:spacing w:val="0"/>
          <w:position w:val="0"/>
          <w:sz w:val="24"/>
          <w:shd w:fill="auto" w:val="clear"/>
        </w:rPr>
        <w:t xml:space="preserve">Component 1</w:t>
      </w:r>
      <w:r>
        <w:rPr>
          <w:rFonts w:ascii="Times New Roman" w:hAnsi="Times New Roman" w:cs="Times New Roman" w:eastAsia="Times New Roman"/>
          <w:color w:val="auto"/>
          <w:spacing w:val="0"/>
          <w:position w:val="0"/>
          <w:sz w:val="24"/>
          <w:shd w:fill="auto" w:val="clear"/>
        </w:rPr>
        <w:t xml:space="preserve"> is </w:t>
      </w:r>
      <w:r>
        <w:rPr>
          <w:rFonts w:ascii="Times New Roman" w:hAnsi="Times New Roman" w:cs="Times New Roman" w:eastAsia="Times New Roman"/>
          <w:b/>
          <w:color w:val="auto"/>
          <w:spacing w:val="0"/>
          <w:position w:val="0"/>
          <w:sz w:val="24"/>
          <w:shd w:fill="auto" w:val="clear"/>
        </w:rPr>
        <w:t xml:space="preserve">2.978</w:t>
      </w:r>
      <w:r>
        <w:rPr>
          <w:rFonts w:ascii="Times New Roman" w:hAnsi="Times New Roman" w:cs="Times New Roman" w:eastAsia="Times New Roman"/>
          <w:color w:val="auto"/>
          <w:spacing w:val="0"/>
          <w:position w:val="0"/>
          <w:sz w:val="24"/>
          <w:shd w:fill="auto" w:val="clear"/>
        </w:rPr>
        <w:t xml:space="preserve">, indicating it alone accounts for about </w:t>
      </w:r>
      <w:r>
        <w:rPr>
          <w:rFonts w:ascii="Times New Roman" w:hAnsi="Times New Roman" w:cs="Times New Roman" w:eastAsia="Times New Roman"/>
          <w:b/>
          <w:color w:val="auto"/>
          <w:spacing w:val="0"/>
          <w:position w:val="0"/>
          <w:sz w:val="24"/>
          <w:shd w:fill="auto" w:val="clear"/>
        </w:rPr>
        <w:t xml:space="preserve">29.8%</w:t>
      </w:r>
      <w:r>
        <w:rPr>
          <w:rFonts w:ascii="Times New Roman" w:hAnsi="Times New Roman" w:cs="Times New Roman" w:eastAsia="Times New Roman"/>
          <w:color w:val="auto"/>
          <w:spacing w:val="0"/>
          <w:position w:val="0"/>
          <w:sz w:val="24"/>
          <w:shd w:fill="auto" w:val="clear"/>
        </w:rPr>
        <w:t xml:space="preserve"> of the variance in the datafile-qrztqwnr1rfory7am55136. Components 2, 3, and 4 have eigenvalues of approximately 1.489 (~14.9%), 1.274 (~12.7%), and 1.029 (~10.3%) respectively, before dropping below 1 for the fifth Cumulatively, the first four factors explain roughly </w:t>
      </w:r>
      <w:r>
        <w:rPr>
          <w:rFonts w:ascii="Times New Roman" w:hAnsi="Times New Roman" w:cs="Times New Roman" w:eastAsia="Times New Roman"/>
          <w:b/>
          <w:color w:val="auto"/>
          <w:spacing w:val="0"/>
          <w:position w:val="0"/>
          <w:sz w:val="24"/>
          <w:shd w:fill="auto" w:val="clear"/>
        </w:rPr>
        <w:t xml:space="preserve">67.7%</w:t>
      </w:r>
      <w:r>
        <w:rPr>
          <w:rFonts w:ascii="Times New Roman" w:hAnsi="Times New Roman" w:cs="Times New Roman" w:eastAsia="Times New Roman"/>
          <w:color w:val="auto"/>
          <w:spacing w:val="0"/>
          <w:position w:val="0"/>
          <w:sz w:val="24"/>
          <w:shd w:fill="auto" w:val="clear"/>
        </w:rPr>
        <w:t xml:space="preserve"> of the total variancefile This level of explained variance is reasonable for social science research, as factors often capture ~60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of variance in complex phenomena In other words, these four underlying factors represent the majority of information contained in the ten original variables, effectively summarizing the key influences on MSMEs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digital marketing strategies in the Mysore District</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object w:dxaOrig="12053" w:dyaOrig="9643">
          <v:rect xmlns:o="urn:schemas-microsoft-com:office:office" xmlns:v="urn:schemas-microsoft-com:vml" id="rectole0000000002" style="width:602.650000pt;height:482.1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Figure 1: Scree plot of eigenvalues for the ten principal components. The plot shows a clear “elbow” at the 4th component, after which eigenvalues drop below 1 (red dashed line), indicating that four factors should be retained.</w:t>
      </w:r>
      <w:r>
        <w:rPr>
          <w:rFonts w:ascii="Times New Roman" w:hAnsi="Times New Roman" w:cs="Times New Roman" w:eastAsia="Times New Roman"/>
          <w:color w:val="auto"/>
          <w:spacing w:val="0"/>
          <w:position w:val="0"/>
          <w:sz w:val="24"/>
          <w:shd w:fill="auto" w:val="clear"/>
        </w:rPr>
        <w:br/>
        <w:t xml:space="preserve">Figure 1 is the </w:t>
      </w:r>
      <w:r>
        <w:rPr>
          <w:rFonts w:ascii="Times New Roman" w:hAnsi="Times New Roman" w:cs="Times New Roman" w:eastAsia="Times New Roman"/>
          <w:b/>
          <w:color w:val="auto"/>
          <w:spacing w:val="0"/>
          <w:position w:val="0"/>
          <w:sz w:val="24"/>
          <w:shd w:fill="auto" w:val="clear"/>
        </w:rPr>
        <w:t xml:space="preserve">Scree Plot</w:t>
      </w:r>
      <w:r>
        <w:rPr>
          <w:rFonts w:ascii="Times New Roman" w:hAnsi="Times New Roman" w:cs="Times New Roman" w:eastAsia="Times New Roman"/>
          <w:color w:val="auto"/>
          <w:spacing w:val="0"/>
          <w:position w:val="0"/>
          <w:sz w:val="24"/>
          <w:shd w:fill="auto" w:val="clear"/>
        </w:rPr>
        <w:t xml:space="preserve"> corresponding to the eigenvalues in Table 2. The scree plot displays each component’s eigenvalue on a downward-curving line. We can observe a noticeable </w:t>
      </w:r>
      <w:r>
        <w:rPr>
          <w:rFonts w:ascii="Times New Roman" w:hAnsi="Times New Roman" w:cs="Times New Roman" w:eastAsia="Times New Roman"/>
          <w:b/>
          <w:color w:val="auto"/>
          <w:spacing w:val="0"/>
          <w:position w:val="0"/>
          <w:sz w:val="24"/>
          <w:shd w:fill="auto" w:val="clear"/>
        </w:rPr>
        <w:t xml:space="preserve">“elbow” at the 4th component</w:t>
      </w:r>
      <w:r>
        <w:rPr>
          <w:rFonts w:ascii="Times New Roman" w:hAnsi="Times New Roman" w:cs="Times New Roman" w:eastAsia="Times New Roman"/>
          <w:color w:val="auto"/>
          <w:spacing w:val="0"/>
          <w:position w:val="0"/>
          <w:sz w:val="24"/>
          <w:shd w:fill="auto" w:val="clear"/>
        </w:rPr>
        <w:t xml:space="preserve">, where the slope of the curve levels off. According to the scree test, the point at which the eigenvalues begin to plateau (the elbow) suggests the optimal number of factors to retain In this case, components 1 through 4 form the steep part of the curve (all with eigenvalues &gt; 1), while components beyond 4 have much smaller eigenvalues that lie on the flatter tail of the plot (all &lt; 1.0). This visual evidence reinforces the decision to retain four factors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components to the left of the elbow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 the meaningful underlying factors shaping digital marketing strategies of MSMEs, whereas additional components would contribute only minimal incremental explanatory power.</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Table:3</w:t>
      </w:r>
    </w:p>
    <w:tbl>
      <w:tblPr/>
      <w:tblGrid>
        <w:gridCol w:w="3953"/>
        <w:gridCol w:w="1237"/>
        <w:gridCol w:w="1237"/>
        <w:gridCol w:w="1237"/>
        <w:gridCol w:w="1237"/>
      </w:tblGrid>
      <w:tr>
        <w:trPr>
          <w:trHeight w:val="302" w:hRule="auto"/>
          <w:jc w:val="left"/>
        </w:trPr>
        <w:tc>
          <w:tcPr>
            <w:tcW w:w="8901" w:type="dxa"/>
            <w:gridSpan w:val="5"/>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Rotated Component Matrix</w:t>
            </w:r>
            <w:r>
              <w:rPr>
                <w:rFonts w:ascii="Times New Roman" w:hAnsi="Times New Roman" w:cs="Times New Roman" w:eastAsia="Times New Roman"/>
                <w:b/>
                <w:color w:val="000000"/>
                <w:spacing w:val="0"/>
                <w:position w:val="0"/>
                <w:sz w:val="24"/>
                <w:shd w:fill="auto" w:val="clear"/>
                <w:vertAlign w:val="superscript"/>
              </w:rPr>
              <w:t xml:space="preserve">a</w:t>
            </w:r>
          </w:p>
        </w:tc>
      </w:tr>
      <w:tr>
        <w:trPr>
          <w:trHeight w:val="302" w:hRule="auto"/>
          <w:jc w:val="left"/>
        </w:trPr>
        <w:tc>
          <w:tcPr>
            <w:tcW w:w="3953"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4948" w:type="dxa"/>
            <w:gridSpan w:val="4"/>
            <w:tcBorders>
              <w:top w:val="single" w:color="000000" w:sz="4"/>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Component</w:t>
            </w:r>
          </w:p>
        </w:tc>
      </w:tr>
      <w:tr>
        <w:trPr>
          <w:trHeight w:val="302" w:hRule="auto"/>
          <w:jc w:val="left"/>
        </w:trPr>
        <w:tc>
          <w:tcPr>
            <w:tcW w:w="3953"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r>
      <w:tr>
        <w:trPr>
          <w:trHeight w:val="302"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Org_cap</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0.775</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-0.021</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0.132</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0.161</w:t>
            </w:r>
          </w:p>
        </w:tc>
      </w:tr>
      <w:tr>
        <w:trPr>
          <w:trHeight w:val="605"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Market_comp</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0.359</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0.503</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-0.439</w:t>
            </w:r>
          </w:p>
        </w:tc>
      </w:tr>
      <w:tr>
        <w:trPr>
          <w:trHeight w:val="605"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Consumer_behav</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-0.006</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-0.768</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0.068</w:t>
            </w:r>
          </w:p>
        </w:tc>
      </w:tr>
      <w:tr>
        <w:trPr>
          <w:trHeight w:val="907"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Financial_resource</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0.865</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-0.006</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-0.034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-0.142</w:t>
            </w:r>
          </w:p>
        </w:tc>
      </w:tr>
      <w:tr>
        <w:trPr>
          <w:trHeight w:val="605"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Govt_policies</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0.908</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-0.076</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-0.001</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-0.068</w:t>
            </w:r>
          </w:p>
        </w:tc>
      </w:tr>
      <w:tr>
        <w:trPr>
          <w:trHeight w:val="605"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Advertisment</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0.883</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0.047</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w:t>
            </w:r>
          </w:p>
        </w:tc>
      </w:tr>
      <w:tr>
        <w:trPr>
          <w:trHeight w:val="302"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R_D</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-0.051</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0.769</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-0.189</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0.025</w:t>
            </w:r>
          </w:p>
        </w:tc>
      </w:tr>
      <w:tr>
        <w:trPr>
          <w:trHeight w:val="907"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Digital_Marketing_era</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0.023</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-0.726</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-0.358</w:t>
            </w:r>
          </w:p>
        </w:tc>
      </w:tr>
      <w:tr>
        <w:trPr>
          <w:trHeight w:val="907"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MarketintProscheme</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0.044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-0.127</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0.655</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-0.058</w:t>
            </w:r>
          </w:p>
        </w:tc>
      </w:tr>
      <w:tr>
        <w:trPr>
          <w:trHeight w:val="907" w:hRule="auto"/>
          <w:jc w:val="left"/>
        </w:trPr>
        <w:tc>
          <w:tcPr>
            <w:tcW w:w="3953" w:type="dxa"/>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Post_pandemic_effect</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0.044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-0.004</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0.107</w:t>
            </w:r>
          </w:p>
        </w:tc>
        <w:tc>
          <w:tcPr>
            <w:tcW w:w="1237"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0.896</w:t>
            </w:r>
          </w:p>
        </w:tc>
      </w:tr>
      <w:tr>
        <w:trPr>
          <w:trHeight w:val="302" w:hRule="auto"/>
          <w:jc w:val="left"/>
        </w:trPr>
        <w:tc>
          <w:tcPr>
            <w:tcW w:w="8901" w:type="dxa"/>
            <w:gridSpan w:val="5"/>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Extraction Method: Principal Component Analysis. </w:t>
            </w:r>
          </w:p>
        </w:tc>
      </w:tr>
      <w:tr>
        <w:trPr>
          <w:trHeight w:val="302" w:hRule="auto"/>
          <w:jc w:val="left"/>
        </w:trPr>
        <w:tc>
          <w:tcPr>
            <w:tcW w:w="8901" w:type="dxa"/>
            <w:gridSpan w:val="5"/>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Rotation Method: Varimax with Kaiser Normalization.</w:t>
            </w:r>
          </w:p>
        </w:tc>
      </w:tr>
      <w:tr>
        <w:trPr>
          <w:trHeight w:val="302" w:hRule="auto"/>
          <w:jc w:val="left"/>
        </w:trPr>
        <w:tc>
          <w:tcPr>
            <w:tcW w:w="8901" w:type="dxa"/>
            <w:gridSpan w:val="5"/>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 Rotation converged in 5 iterations.</w:t>
            </w:r>
          </w:p>
        </w:tc>
      </w:tr>
    </w:tbl>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rotated component matrix identified four key factors that influence the digital marketing strategies of MSMEs in Mysore District. </w:t>
      </w:r>
      <w:r>
        <w:rPr>
          <w:rFonts w:ascii="Times New Roman" w:hAnsi="Times New Roman" w:cs="Times New Roman" w:eastAsia="Times New Roman"/>
          <w:b/>
          <w:color w:val="auto"/>
          <w:spacing w:val="0"/>
          <w:position w:val="0"/>
          <w:sz w:val="24"/>
          <w:shd w:fill="auto" w:val="clear"/>
        </w:rPr>
        <w:t xml:space="preserve">Factor 1</w:t>
      </w:r>
      <w:r>
        <w:rPr>
          <w:rFonts w:ascii="Times New Roman" w:hAnsi="Times New Roman" w:cs="Times New Roman" w:eastAsia="Times New Roman"/>
          <w:color w:val="auto"/>
          <w:spacing w:val="0"/>
          <w:position w:val="0"/>
          <w:sz w:val="24"/>
          <w:shd w:fill="auto" w:val="clear"/>
        </w:rPr>
        <w:t xml:space="preserve">, labeled </w:t>
      </w:r>
      <w:r>
        <w:rPr>
          <w:rFonts w:ascii="Times New Roman" w:hAnsi="Times New Roman" w:cs="Times New Roman" w:eastAsia="Times New Roman"/>
          <w:i/>
          <w:color w:val="auto"/>
          <w:spacing w:val="0"/>
          <w:position w:val="0"/>
          <w:sz w:val="24"/>
          <w:shd w:fill="auto" w:val="clear"/>
        </w:rPr>
        <w:t xml:space="preserve">Marketing Resources &amp; Support</w:t>
      </w:r>
      <w:r>
        <w:rPr>
          <w:rFonts w:ascii="Times New Roman" w:hAnsi="Times New Roman" w:cs="Times New Roman" w:eastAsia="Times New Roman"/>
          <w:color w:val="auto"/>
          <w:spacing w:val="0"/>
          <w:position w:val="0"/>
          <w:sz w:val="24"/>
          <w:shd w:fill="auto" w:val="clear"/>
        </w:rPr>
        <w:t xml:space="preserve">, showed high loadings for Organizational Capability, Financial Resources, Government Policies, and Advertisement Capabilities, indicating that internal strengths and external facilitation play a vital role in enhancing MSMEs’ marketing competitiveness.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Factor 2</w:t>
      </w:r>
      <w:r>
        <w:rPr>
          <w:rFonts w:ascii="Times New Roman" w:hAnsi="Times New Roman" w:cs="Times New Roman" w:eastAsia="Times New Roman"/>
          <w:color w:val="auto"/>
          <w:spacing w:val="0"/>
          <w:position w:val="0"/>
          <w:sz w:val="24"/>
          <w:shd w:fill="auto" w:val="clear"/>
        </w:rPr>
        <w:t xml:space="preserve">, termed </w:t>
      </w:r>
      <w:r>
        <w:rPr>
          <w:rFonts w:ascii="Times New Roman" w:hAnsi="Times New Roman" w:cs="Times New Roman" w:eastAsia="Times New Roman"/>
          <w:i/>
          <w:color w:val="auto"/>
          <w:spacing w:val="0"/>
          <w:position w:val="0"/>
          <w:sz w:val="24"/>
          <w:shd w:fill="auto" w:val="clear"/>
        </w:rPr>
        <w:t xml:space="preserve">Consumer-Centric Innovation</w:t>
      </w:r>
      <w:r>
        <w:rPr>
          <w:rFonts w:ascii="Times New Roman" w:hAnsi="Times New Roman" w:cs="Times New Roman" w:eastAsia="Times New Roman"/>
          <w:color w:val="auto"/>
          <w:spacing w:val="0"/>
          <w:position w:val="0"/>
          <w:sz w:val="24"/>
          <w:shd w:fill="auto" w:val="clear"/>
        </w:rPr>
        <w:t xml:space="preserve">, had a strong positive loading for Research and Development and a strong negative loading for Consumer Behavior, suggesting that MSMEs focusing on innovation and market research may perceive less direct reliance on observable consumer trends, and vice versa.</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Factor 3</w:t>
      </w:r>
      <w:r>
        <w:rPr>
          <w:rFonts w:ascii="Times New Roman" w:hAnsi="Times New Roman" w:cs="Times New Roman" w:eastAsia="Times New Roman"/>
          <w:color w:val="auto"/>
          <w:spacing w:val="0"/>
          <w:position w:val="0"/>
          <w:sz w:val="24"/>
          <w:shd w:fill="auto" w:val="clear"/>
        </w:rPr>
        <w:t xml:space="preserve">, identified as </w:t>
      </w:r>
      <w:r>
        <w:rPr>
          <w:rFonts w:ascii="Times New Roman" w:hAnsi="Times New Roman" w:cs="Times New Roman" w:eastAsia="Times New Roman"/>
          <w:i/>
          <w:color w:val="auto"/>
          <w:spacing w:val="0"/>
          <w:position w:val="0"/>
          <w:sz w:val="24"/>
          <w:shd w:fill="auto" w:val="clear"/>
        </w:rPr>
        <w:t xml:space="preserve">Traditional vs. Digital Orientation</w:t>
      </w:r>
      <w:r>
        <w:rPr>
          <w:rFonts w:ascii="Times New Roman" w:hAnsi="Times New Roman" w:cs="Times New Roman" w:eastAsia="Times New Roman"/>
          <w:color w:val="auto"/>
          <w:spacing w:val="0"/>
          <w:position w:val="0"/>
          <w:sz w:val="24"/>
          <w:shd w:fill="auto" w:val="clear"/>
        </w:rPr>
        <w:t xml:space="preserve">, included significant loadings from Marketing Promotion Schemes and Market Competition, but a negative loading for Digital Marketing Era Awareness. This reflects a strategic tension where MSMEs may still rely on traditional marketing methods while gradually adapting to digital trends.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Factor 4</w:t>
      </w:r>
      <w:r>
        <w:rPr>
          <w:rFonts w:ascii="Times New Roman" w:hAnsi="Times New Roman" w:cs="Times New Roman" w:eastAsia="Times New Roman"/>
          <w:color w:val="auto"/>
          <w:spacing w:val="0"/>
          <w:position w:val="0"/>
          <w:sz w:val="24"/>
          <w:shd w:fill="auto" w:val="clear"/>
        </w:rPr>
        <w:t xml:space="preserve">, named </w:t>
      </w:r>
      <w:r>
        <w:rPr>
          <w:rFonts w:ascii="Times New Roman" w:hAnsi="Times New Roman" w:cs="Times New Roman" w:eastAsia="Times New Roman"/>
          <w:i/>
          <w:color w:val="auto"/>
          <w:spacing w:val="0"/>
          <w:position w:val="0"/>
          <w:sz w:val="24"/>
          <w:shd w:fill="auto" w:val="clear"/>
        </w:rPr>
        <w:t xml:space="preserve">Post-Pandemic Effects</w:t>
      </w:r>
      <w:r>
        <w:rPr>
          <w:rFonts w:ascii="Times New Roman" w:hAnsi="Times New Roman" w:cs="Times New Roman" w:eastAsia="Times New Roman"/>
          <w:color w:val="auto"/>
          <w:spacing w:val="0"/>
          <w:position w:val="0"/>
          <w:sz w:val="24"/>
          <w:shd w:fill="auto" w:val="clear"/>
        </w:rPr>
        <w:t xml:space="preserve">, was dominated solely by the Post-Pandemic Effects variable. This indicates that the impact of the COVID-19 pandemic represents a distinct and significant influence on how MSMEs approach digital marketing, highlighting the importance of adaptation in the post-pandemic context.</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the four extracted components represent distinct dimensions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organizational support, innovation and market orientation, digital transition, and pandemic-driven change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thereby addressing the first research objective of identifying and extracting underlying factors using factor analysis.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Table:4</w:t>
      </w:r>
    </w:p>
    <w:tbl>
      <w:tblPr/>
      <w:tblGrid>
        <w:gridCol w:w="1878"/>
        <w:gridCol w:w="1400"/>
        <w:gridCol w:w="1320"/>
        <w:gridCol w:w="940"/>
        <w:gridCol w:w="1193"/>
        <w:gridCol w:w="1088"/>
        <w:gridCol w:w="1090"/>
      </w:tblGrid>
      <w:tr>
        <w:trPr>
          <w:trHeight w:val="316" w:hRule="auto"/>
          <w:jc w:val="left"/>
        </w:trPr>
        <w:tc>
          <w:tcPr>
            <w:tcW w:w="8909" w:type="dxa"/>
            <w:gridSpan w:val="7"/>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ANOVA</w:t>
            </w:r>
          </w:p>
        </w:tc>
      </w:tr>
      <w:tr>
        <w:trPr>
          <w:trHeight w:val="632" w:hRule="auto"/>
          <w:jc w:val="left"/>
        </w:trPr>
        <w:tc>
          <w:tcPr>
            <w:tcW w:w="3278" w:type="dxa"/>
            <w:gridSpan w:val="2"/>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Sum of Squares</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df</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Mean Square</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F</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Sig.</w:t>
            </w:r>
          </w:p>
        </w:tc>
      </w:tr>
      <w:tr>
        <w:trPr>
          <w:trHeight w:val="632" w:hRule="auto"/>
          <w:jc w:val="left"/>
        </w:trPr>
        <w:tc>
          <w:tcPr>
            <w:tcW w:w="1878"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Marketing Compitation</w:t>
            </w: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Between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1.823</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0.166</w:t>
            </w:r>
          </w:p>
        </w:tc>
      </w:tr>
      <w:tr>
        <w:trPr>
          <w:trHeight w:val="632"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Within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125.4</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0.987</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316"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632" w:hRule="auto"/>
          <w:jc w:val="left"/>
        </w:trPr>
        <w:tc>
          <w:tcPr>
            <w:tcW w:w="1878"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Consumer behaviour</w:t>
            </w: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Between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0.015</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0.008</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0.008</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0.993</w:t>
            </w:r>
          </w:p>
        </w:tc>
      </w:tr>
      <w:tr>
        <w:trPr>
          <w:trHeight w:val="632"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Within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128.985</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1.016</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316"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632" w:hRule="auto"/>
          <w:jc w:val="left"/>
        </w:trPr>
        <w:tc>
          <w:tcPr>
            <w:tcW w:w="1878"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Post Pandemic effects</w:t>
            </w: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Between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5.013</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2.507</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2.568</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0.081</w:t>
            </w:r>
          </w:p>
        </w:tc>
      </w:tr>
      <w:tr>
        <w:trPr>
          <w:trHeight w:val="632"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Within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123.987</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0.976</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316"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632" w:hRule="auto"/>
          <w:jc w:val="left"/>
        </w:trPr>
        <w:tc>
          <w:tcPr>
            <w:tcW w:w="1878" w:type="dxa"/>
            <w:vMerge w:val="restart"/>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Digital Marketing Practices</w:t>
            </w: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Between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0.398</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0.199</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0.193</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0.825</w:t>
            </w:r>
          </w:p>
        </w:tc>
      </w:tr>
      <w:tr>
        <w:trPr>
          <w:trHeight w:val="632"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Within Groups</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130.911</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1.031</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316" w:hRule="auto"/>
          <w:jc w:val="left"/>
        </w:trPr>
        <w:tc>
          <w:tcPr>
            <w:tcW w:w="1878" w:type="dxa"/>
            <w:vMerge/>
            <w:tcBorders>
              <w:top w:val="single" w:color="000000" w:sz="0"/>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Total</w:t>
            </w:r>
          </w:p>
        </w:tc>
        <w:tc>
          <w:tcPr>
            <w:tcW w:w="132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131.308</w:t>
            </w:r>
          </w:p>
        </w:tc>
        <w:tc>
          <w:tcPr>
            <w:tcW w:w="94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1193"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88"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1090" w:type="dxa"/>
            <w:tcBorders>
              <w:top w:val="single" w:color="000000" w:sz="0"/>
              <w:left w:val="single" w:color="000000" w:sz="0"/>
              <w:bottom w:val="single" w:color="000000" w:sz="4"/>
              <w:right w:val="single" w:color="000000" w:sz="4"/>
            </w:tcBorders>
            <w:shd w:color="000000" w:fill="ffffff"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bl>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4 shows that the ANOVA results revealed no statistically significant differences in the mean factor scores across different types of MSMEs (Manufacturing, Services, and Trading) at the 5% significance level. For the “Marketing Competition” factor, the result was F(2,127) = 1.823 with a p-value of 0.166, indicating no significant variation among the groups. Similarly, the “Consumer Behavior” factor showed F(2,127) = 0.008, p = 0.993, suggesting nearly identical means across industries. The “Post-Pandemic Effects” factor recorded F(2,127) = 2.568 with a p-value of 0.081, which, although higher than the 0.05 threshold, suggests only a marginal and statistically non-significant difference. Lastly, for “Digital Marketing Practices”, the result was F(2,127) = 0.193 with a p-value of 0.825, again indicating no meaningful difference across industry types. Overall, these results imply that the underlying factors influencing digital marketing strategies are consistent across all MSME sectors in Mysore, confirming that the impact of these factors is not industry-specific.</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Table:5</w:t>
      </w:r>
    </w:p>
    <w:tbl>
      <w:tblPr>
        <w:tblInd w:w="5" w:type="dxa"/>
      </w:tblPr>
      <w:tblGrid>
        <w:gridCol w:w="3133"/>
        <w:gridCol w:w="2059"/>
        <w:gridCol w:w="571"/>
        <w:gridCol w:w="1228"/>
        <w:gridCol w:w="1708"/>
      </w:tblGrid>
      <w:tr>
        <w:trPr>
          <w:trHeight w:val="1077" w:hRule="auto"/>
          <w:jc w:val="left"/>
        </w:trPr>
        <w:tc>
          <w:tcPr>
            <w:tcW w:w="8699" w:type="dxa"/>
            <w:gridSpan w:val="5"/>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Post-Hoc Comparisons (Tukey HSD &amp; Duncan) Across Industries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1246"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Factor</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Type of Industry</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N</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Subset Means (</w:t>
            </w:r>
            <w:r>
              <w:rPr>
                <w:rFonts w:ascii="Times New Roman" w:hAnsi="Times New Roman" w:cs="Times New Roman" w:eastAsia="Times New Roman"/>
                <w:b/>
                <w:color w:val="000000"/>
                <w:spacing w:val="0"/>
                <w:position w:val="0"/>
                <w:sz w:val="24"/>
                <w:shd w:fill="auto" w:val="clear"/>
              </w:rPr>
              <w:t xml:space="preserve">α = 0.05)</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Sig.</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Marketing Competition</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Manufacturing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-0.257</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0.174 (Tukey)</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Services</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0.083</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0.091 (Duncan)</w:t>
            </w:r>
          </w:p>
        </w:tc>
      </w:tr>
      <w:tr>
        <w:trPr>
          <w:trHeight w:val="311"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Trading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0.129</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Consumer Behaviour</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Services</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-0.012</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0.991 (Tukey)</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Trading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-0.001</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0.907 (Duncan)</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Manufacturing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0.015</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934"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Post-Pandemic Effects</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Manufacturing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-0.188 (Subset 1)</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0.088 (Tukey)</w:t>
            </w:r>
          </w:p>
        </w:tc>
      </w:tr>
      <w:tr>
        <w:trPr>
          <w:trHeight w:val="934"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Trading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-0.103 (Subset 1/2)</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0.690/0.086 (Duncan)</w:t>
            </w:r>
          </w:p>
        </w:tc>
      </w:tr>
      <w:tr>
        <w:trPr>
          <w:trHeight w:val="934"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Services</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0.266 (Subset 2)</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Digital Marketing Practices</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Trading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-0.012</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0.831 (Tukey)</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Services</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0.001</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0.588 (Duncan)</w:t>
            </w:r>
          </w:p>
        </w:tc>
      </w:tr>
      <w:tr>
        <w:trPr>
          <w:trHeight w:val="623" w:hRule="auto"/>
          <w:jc w:val="left"/>
        </w:trPr>
        <w:tc>
          <w:tcPr>
            <w:tcW w:w="3133"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059"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Manufacturing</w:t>
            </w:r>
          </w:p>
        </w:tc>
        <w:tc>
          <w:tcPr>
            <w:tcW w:w="571"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122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0.116</w:t>
            </w:r>
          </w:p>
        </w:tc>
        <w:tc>
          <w:tcPr>
            <w:tcW w:w="1708" w:type="dxa"/>
            <w:tcBorders>
              <w:top w:val="single" w:color="000000" w:sz="4"/>
              <w:left w:val="single" w:color="000000" w:sz="4"/>
              <w:bottom w:val="single" w:color="000000" w:sz="4"/>
              <w:right w:val="single" w:color="000000" w:sz="4"/>
            </w:tcBorders>
            <w:shd w:color="000000" w:fill="auto" w:val="clear"/>
            <w:tcMar>
              <w:left w:w="114" w:type="dxa"/>
              <w:right w:w="114" w:type="dxa"/>
            </w:tcMar>
            <w:vAlign w:val="center"/>
          </w:tcPr>
          <w:p>
            <w:pPr>
              <w:spacing w:before="0" w:after="0" w:line="276"/>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bl>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5 presents the post-hoc comparisons using Tukey’s HSD and Duncan’s tests to examine mean factor score differences among MSME types, despite ANOVA not indicating significant differences. These results help validate the overall consistency in factor scores across industries.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w:t>
      </w:r>
      <w:r>
        <w:rPr>
          <w:rFonts w:ascii="Times New Roman" w:hAnsi="Times New Roman" w:cs="Times New Roman" w:eastAsia="Times New Roman"/>
          <w:b/>
          <w:color w:val="auto"/>
          <w:spacing w:val="0"/>
          <w:position w:val="0"/>
          <w:sz w:val="24"/>
          <w:shd w:fill="auto" w:val="clear"/>
        </w:rPr>
        <w:t xml:space="preserve">Marketing Competition</w:t>
      </w:r>
      <w:r>
        <w:rPr>
          <w:rFonts w:ascii="Times New Roman" w:hAnsi="Times New Roman" w:cs="Times New Roman" w:eastAsia="Times New Roman"/>
          <w:color w:val="auto"/>
          <w:spacing w:val="0"/>
          <w:position w:val="0"/>
          <w:sz w:val="24"/>
          <w:shd w:fill="auto" w:val="clear"/>
        </w:rPr>
        <w:t xml:space="preserve"> factor, the mean scores were -0.257 (Manufacturing), 0.083 (Services), and 0.129 (Trading). Although Services and Trading scored slightly above average, and Manufacturing below, all values were close to zero. Tukey’s test showed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0.174, and Duncan’s test grouped all three industries into the same subset, confirming no significant pairwise differences.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b/>
          <w:color w:val="auto"/>
          <w:spacing w:val="0"/>
          <w:position w:val="0"/>
          <w:sz w:val="24"/>
          <w:shd w:fill="auto" w:val="clear"/>
        </w:rPr>
        <w:t xml:space="preserve">Consumer Behavior</w:t>
      </w:r>
      <w:r>
        <w:rPr>
          <w:rFonts w:ascii="Times New Roman" w:hAnsi="Times New Roman" w:cs="Times New Roman" w:eastAsia="Times New Roman"/>
          <w:color w:val="auto"/>
          <w:spacing w:val="0"/>
          <w:position w:val="0"/>
          <w:sz w:val="24"/>
          <w:shd w:fill="auto" w:val="clear"/>
        </w:rPr>
        <w:t xml:space="preserve"> factor showed nearly identical mean scores across groups: 0.015 (Manufacturing), -0.012 (Services), and -0.001 (Trading). The corresponding Tukey’s test yielded </w:t>
      </w:r>
      <w:r>
        <w:rPr>
          <w:rFonts w:ascii="Times New Roman" w:hAnsi="Times New Roman" w:cs="Times New Roman" w:eastAsia="Times New Roman"/>
          <w:i/>
          <w:color w:val="auto"/>
          <w:spacing w:val="0"/>
          <w:position w:val="0"/>
          <w:sz w:val="24"/>
          <w:shd w:fill="auto" w:val="clear"/>
        </w:rPr>
        <w:t xml:space="preserve">p</w:t>
      </w:r>
      <w:r>
        <w:rPr>
          <w:rFonts w:ascii="Gungsuh" w:hAnsi="Gungsuh" w:cs="Gungsuh" w:eastAsia="Gungsuh"/>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Gungsuh" w:hAnsi="Gungsuh" w:cs="Gungsuh" w:eastAsia="Gungsuh"/>
          <w:color w:val="auto"/>
          <w:spacing w:val="0"/>
          <w:position w:val="0"/>
          <w:sz w:val="24"/>
          <w:shd w:fill="auto" w:val="clear"/>
        </w:rPr>
        <w:t xml:space="preserve"> 0.991, and all industries fell into the same subset, indicating complete overlap and no meaningful variation.</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w:t>
      </w:r>
      <w:r>
        <w:rPr>
          <w:rFonts w:ascii="Times New Roman" w:hAnsi="Times New Roman" w:cs="Times New Roman" w:eastAsia="Times New Roman"/>
          <w:b/>
          <w:color w:val="auto"/>
          <w:spacing w:val="0"/>
          <w:position w:val="0"/>
          <w:sz w:val="24"/>
          <w:shd w:fill="auto" w:val="clear"/>
        </w:rPr>
        <w:t xml:space="preserve">Post-Pandemic Effects</w:t>
      </w:r>
      <w:r>
        <w:rPr>
          <w:rFonts w:ascii="Times New Roman" w:hAnsi="Times New Roman" w:cs="Times New Roman" w:eastAsia="Times New Roman"/>
          <w:color w:val="auto"/>
          <w:spacing w:val="0"/>
          <w:position w:val="0"/>
          <w:sz w:val="24"/>
          <w:shd w:fill="auto" w:val="clear"/>
        </w:rPr>
        <w:t xml:space="preserve"> factor, mean scores were more spread out: -0.188 (Manufacturing), -0.103 (Trading), and 0.266 (Services). Tukey’s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0.088 suggests a marginal difference, with Duncan’s test showing Services in a distinct subset, possibly reflecting a greater post-pandemic digital shift. However, the result is not statistically significant at the 5% level and should be interpreted with caution.</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b/>
          <w:color w:val="auto"/>
          <w:spacing w:val="0"/>
          <w:position w:val="0"/>
          <w:sz w:val="24"/>
          <w:shd w:fill="auto" w:val="clear"/>
        </w:rPr>
        <w:t xml:space="preserve">Digital Marketing Practices</w:t>
      </w:r>
      <w:r>
        <w:rPr>
          <w:rFonts w:ascii="Times New Roman" w:hAnsi="Times New Roman" w:cs="Times New Roman" w:eastAsia="Times New Roman"/>
          <w:color w:val="auto"/>
          <w:spacing w:val="0"/>
          <w:position w:val="0"/>
          <w:sz w:val="24"/>
          <w:shd w:fill="auto" w:val="clear"/>
        </w:rPr>
        <w:t xml:space="preserve"> factor showed minimal differences: 0.116 (Manufacturing), 0.001 (Services), and -0.012 (Trading), with Tukey’s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 0.831. All groups were classified into a single subset, reinforcing the uniformity in digital practices adoption.</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post-hoc tests reinforce the ANOVA results, indicating </w:t>
      </w:r>
      <w:r>
        <w:rPr>
          <w:rFonts w:ascii="Times New Roman" w:hAnsi="Times New Roman" w:cs="Times New Roman" w:eastAsia="Times New Roman"/>
          <w:b/>
          <w:color w:val="auto"/>
          <w:spacing w:val="0"/>
          <w:position w:val="0"/>
          <w:sz w:val="24"/>
          <w:shd w:fill="auto" w:val="clear"/>
        </w:rPr>
        <w:t xml:space="preserve">no statistically significant differences</w:t>
      </w:r>
      <w:r>
        <w:rPr>
          <w:rFonts w:ascii="Times New Roman" w:hAnsi="Times New Roman" w:cs="Times New Roman" w:eastAsia="Times New Roman"/>
          <w:color w:val="auto"/>
          <w:spacing w:val="0"/>
          <w:position w:val="0"/>
          <w:sz w:val="24"/>
          <w:shd w:fill="auto" w:val="clear"/>
        </w:rPr>
        <w:t xml:space="preserve"> in factor scores across MSME types. This supports the view that key digital marketing influences are broadly applicable across manufacturing, service, and trading MSMEs in Mysore.</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Findings:</w:t>
      </w:r>
    </w:p>
    <w:p>
      <w:pPr>
        <w:numPr>
          <w:ilvl w:val="0"/>
          <w:numId w:val="232"/>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Factor analysis extracted four major influences</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Marketing Resources, Innovation Focus, Digital vs. Traditional Orientation, and Post-Pandemic Effects.</w:t>
      </w:r>
    </w:p>
    <w:p>
      <w:pPr>
        <w:numPr>
          <w:ilvl w:val="0"/>
          <w:numId w:val="232"/>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ANOVA showed </w:t>
      </w:r>
      <w:r>
        <w:rPr>
          <w:rFonts w:ascii="Times New Roman" w:hAnsi="Times New Roman" w:cs="Times New Roman" w:eastAsia="Times New Roman"/>
          <w:b/>
          <w:color w:val="000000"/>
          <w:spacing w:val="0"/>
          <w:position w:val="0"/>
          <w:sz w:val="24"/>
          <w:u w:val="single"/>
          <w:shd w:fill="auto" w:val="clear"/>
        </w:rPr>
        <w:t xml:space="preserve">no significant variation</w:t>
      </w:r>
      <w:r>
        <w:rPr>
          <w:rFonts w:ascii="Times New Roman" w:hAnsi="Times New Roman" w:cs="Times New Roman" w:eastAsia="Times New Roman"/>
          <w:color w:val="000000"/>
          <w:spacing w:val="0"/>
          <w:position w:val="0"/>
          <w:sz w:val="24"/>
          <w:u w:val="single"/>
          <w:shd w:fill="auto" w:val="clear"/>
        </w:rPr>
        <w:t xml:space="preserve"> in factor scores across manufacturing, services, and trading MSMEs.</w:t>
      </w:r>
    </w:p>
    <w:p>
      <w:pPr>
        <w:numPr>
          <w:ilvl w:val="0"/>
          <w:numId w:val="232"/>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Post pandemic effect, financial resources, and government policies were </w:t>
      </w:r>
      <w:r>
        <w:rPr>
          <w:rFonts w:ascii="Times New Roman" w:hAnsi="Times New Roman" w:cs="Times New Roman" w:eastAsia="Times New Roman"/>
          <w:b/>
          <w:color w:val="000000"/>
          <w:spacing w:val="0"/>
          <w:position w:val="0"/>
          <w:sz w:val="24"/>
          <w:u w:val="single"/>
          <w:shd w:fill="auto" w:val="clear"/>
        </w:rPr>
        <w:t xml:space="preserve">strong drivers</w:t>
      </w:r>
      <w:r>
        <w:rPr>
          <w:rFonts w:ascii="Times New Roman" w:hAnsi="Times New Roman" w:cs="Times New Roman" w:eastAsia="Times New Roman"/>
          <w:color w:val="000000"/>
          <w:spacing w:val="0"/>
          <w:position w:val="0"/>
          <w:sz w:val="24"/>
          <w:u w:val="single"/>
          <w:shd w:fill="auto" w:val="clear"/>
        </w:rPr>
        <w:t xml:space="preserve"> of digital marketing adoption.</w:t>
      </w:r>
    </w:p>
    <w:p>
      <w:pPr>
        <w:numPr>
          <w:ilvl w:val="0"/>
          <w:numId w:val="232"/>
        </w:numPr>
        <w:spacing w:before="0" w:after="16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Differences in consumer preferences had minimal influence on MSME digital strategies.</w:t>
      </w:r>
    </w:p>
    <w:p>
      <w:pPr>
        <w:spacing w:before="0" w:after="16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Suggestions</w:t>
      </w:r>
    </w:p>
    <w:p>
      <w:pPr>
        <w:numPr>
          <w:ilvl w:val="0"/>
          <w:numId w:val="235"/>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Improve MSME access to digital schemes and government support.</w:t>
      </w:r>
    </w:p>
    <w:p>
      <w:pPr>
        <w:numPr>
          <w:ilvl w:val="0"/>
          <w:numId w:val="235"/>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Provide digital marketing training applicable to all MSME sectors.</w:t>
      </w:r>
    </w:p>
    <w:p>
      <w:pPr>
        <w:numPr>
          <w:ilvl w:val="0"/>
          <w:numId w:val="235"/>
        </w:numPr>
        <w:spacing w:before="0" w:after="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Encourage development of affordable, MSME-friendly marketing platforms.</w:t>
      </w:r>
    </w:p>
    <w:p>
      <w:pPr>
        <w:numPr>
          <w:ilvl w:val="0"/>
          <w:numId w:val="235"/>
        </w:numPr>
        <w:spacing w:before="0" w:after="160" w:line="276"/>
        <w:ind w:right="0" w:left="72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Integrate post-pandemic learnings into long-term digital strategies.</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r>
        <w:rPr>
          <w:rFonts w:ascii="Times New Roman" w:hAnsi="Times New Roman" w:cs="Times New Roman" w:eastAsia="Times New Roman"/>
          <w:color w:val="auto"/>
          <w:spacing w:val="0"/>
          <w:position w:val="0"/>
          <w:sz w:val="24"/>
          <w:shd w:fill="auto" w:val="clear"/>
        </w:rPr>
        <w:br/>
        <w:t xml:space="preserve">The study concludes that digital marketing strategies of MSMEs are shaped by four core factors, uniformly influencing all sectors. Organizational support and government policies play a vital role, while consumer behavior has limited impact. Strengthening digital capacity and policy awareness is essential for inclusive and sustainable MSME growth.</w:t>
      </w: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b/>
          <w:color w:val="000000"/>
          <w:spacing w:val="0"/>
          <w:position w:val="0"/>
          <w:sz w:val="24"/>
          <w:u w:val="single"/>
          <w:shd w:fill="auto" w:val="clear"/>
        </w:rPr>
      </w:pPr>
    </w:p>
    <w:p>
      <w:pPr>
        <w:spacing w:before="0" w:after="0" w:line="360"/>
        <w:ind w:right="0" w:left="72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References:</w:t>
      </w:r>
    </w:p>
    <w:p>
      <w:pPr>
        <w:numPr>
          <w:ilvl w:val="0"/>
          <w:numId w:val="242"/>
        </w:numPr>
        <w:spacing w:before="0" w:after="0" w:line="360"/>
        <w:ind w:right="0" w:left="14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Setiawan, R., Prasetyo, P. T., &amp; Yuniawan, A. (2024). </w:t>
      </w:r>
      <w:r>
        <w:rPr>
          <w:rFonts w:ascii="Times New Roman" w:hAnsi="Times New Roman" w:cs="Times New Roman" w:eastAsia="Times New Roman"/>
          <w:i/>
          <w:color w:val="000000"/>
          <w:spacing w:val="0"/>
          <w:position w:val="0"/>
          <w:sz w:val="24"/>
          <w:u w:val="single"/>
          <w:shd w:fill="auto" w:val="clear"/>
        </w:rPr>
        <w:t xml:space="preserve">Digital Marketing Strategy for Sustainable Performance of MSMEs: Literature Review</w:t>
      </w:r>
      <w:r>
        <w:rPr>
          <w:rFonts w:ascii="Times New Roman" w:hAnsi="Times New Roman" w:cs="Times New Roman" w:eastAsia="Times New Roman"/>
          <w:color w:val="000000"/>
          <w:spacing w:val="0"/>
          <w:position w:val="0"/>
          <w:sz w:val="24"/>
          <w:u w:val="single"/>
          <w:shd w:fill="auto" w:val="clear"/>
        </w:rPr>
        <w:t xml:space="preserve">. Research Horizon, 5(1), 33</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46.</w:t>
      </w:r>
    </w:p>
    <w:p>
      <w:pPr>
        <w:numPr>
          <w:ilvl w:val="0"/>
          <w:numId w:val="242"/>
        </w:numPr>
        <w:spacing w:before="0" w:after="0" w:line="360"/>
        <w:ind w:right="0" w:left="14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Sharabati, A.-A. A., Ali, A. A. A., Allahham, M. I., Hussein, A. A., Alheet, A. F., &amp; Mohammad, A. S. (2024). </w:t>
      </w:r>
      <w:r>
        <w:rPr>
          <w:rFonts w:ascii="Times New Roman" w:hAnsi="Times New Roman" w:cs="Times New Roman" w:eastAsia="Times New Roman"/>
          <w:i/>
          <w:color w:val="000000"/>
          <w:spacing w:val="0"/>
          <w:position w:val="0"/>
          <w:sz w:val="24"/>
          <w:u w:val="single"/>
          <w:shd w:fill="auto" w:val="clear"/>
        </w:rPr>
        <w:t xml:space="preserve">The Impact of Digital Marketing on the Performance of SMEs: An Analytical Study in Light of Modern Digital Transformations</w:t>
      </w:r>
      <w:r>
        <w:rPr>
          <w:rFonts w:ascii="Times New Roman" w:hAnsi="Times New Roman" w:cs="Times New Roman" w:eastAsia="Times New Roman"/>
          <w:color w:val="000000"/>
          <w:spacing w:val="0"/>
          <w:position w:val="0"/>
          <w:sz w:val="24"/>
          <w:u w:val="single"/>
          <w:shd w:fill="auto" w:val="clear"/>
        </w:rPr>
        <w:t xml:space="preserve">. Sustainability, 16(19), 8667.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https://doi.org/10.3390/su16198667</w:t>
        </w:r>
      </w:hyperlink>
    </w:p>
    <w:p>
      <w:pPr>
        <w:numPr>
          <w:ilvl w:val="0"/>
          <w:numId w:val="242"/>
        </w:numPr>
        <w:spacing w:before="0" w:after="0" w:line="360"/>
        <w:ind w:right="0" w:left="14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Gutiérrez Navas, E. B., Sarmiento Suárez, J. E., Ramírez Montañez, J. C., &amp; Rincón Quintero, Y. A. (2025). </w:t>
      </w:r>
      <w:r>
        <w:rPr>
          <w:rFonts w:ascii="Times New Roman" w:hAnsi="Times New Roman" w:cs="Times New Roman" w:eastAsia="Times New Roman"/>
          <w:i/>
          <w:color w:val="000000"/>
          <w:spacing w:val="0"/>
          <w:position w:val="0"/>
          <w:sz w:val="24"/>
          <w:u w:val="single"/>
          <w:shd w:fill="auto" w:val="clear"/>
        </w:rPr>
        <w:t xml:space="preserve">Determining factors for the digitization of micro, small, and medium-sized enterprises (MSMEs) in Ibero-America</w:t>
      </w:r>
      <w:r>
        <w:rPr>
          <w:rFonts w:ascii="Times New Roman" w:hAnsi="Times New Roman" w:cs="Times New Roman" w:eastAsia="Times New Roman"/>
          <w:color w:val="000000"/>
          <w:spacing w:val="0"/>
          <w:position w:val="0"/>
          <w:sz w:val="24"/>
          <w:u w:val="single"/>
          <w:shd w:fill="auto" w:val="clear"/>
        </w:rPr>
        <w:t xml:space="preserve">. Journal of Innovation &amp; Knowledge, 10(1), 100631.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https://doi.org/10.1016/j.jik.2024.100631</w:t>
        </w:r>
      </w:hyperlink>
    </w:p>
    <w:p>
      <w:pPr>
        <w:numPr>
          <w:ilvl w:val="0"/>
          <w:numId w:val="242"/>
        </w:numPr>
        <w:spacing w:before="0" w:after="0" w:line="360"/>
        <w:ind w:right="0" w:left="14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Bermeo-Giraldo, M. C., Valencia-Arias, A., Ramos de Rosas, J. D., Benjumea-Arias, M., &amp; Villanueva Calderón, J. A. (2022). </w:t>
      </w:r>
      <w:r>
        <w:rPr>
          <w:rFonts w:ascii="Times New Roman" w:hAnsi="Times New Roman" w:cs="Times New Roman" w:eastAsia="Times New Roman"/>
          <w:i/>
          <w:color w:val="000000"/>
          <w:spacing w:val="0"/>
          <w:position w:val="0"/>
          <w:sz w:val="24"/>
          <w:u w:val="single"/>
          <w:shd w:fill="auto" w:val="clear"/>
        </w:rPr>
        <w:t xml:space="preserve">Factors influencing the use of digital marketing by small and medium-sized enterprises during COVID-19</w:t>
      </w:r>
      <w:r>
        <w:rPr>
          <w:rFonts w:ascii="Times New Roman" w:hAnsi="Times New Roman" w:cs="Times New Roman" w:eastAsia="Times New Roman"/>
          <w:color w:val="000000"/>
          <w:spacing w:val="0"/>
          <w:position w:val="0"/>
          <w:sz w:val="24"/>
          <w:u w:val="single"/>
          <w:shd w:fill="auto" w:val="clear"/>
        </w:rPr>
        <w:t xml:space="preserve">. Informatics, 9(4), 86.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https://doi.org/10.3390/informatics9040086</w:t>
        </w:r>
      </w:hyperlink>
    </w:p>
    <w:p>
      <w:pPr>
        <w:numPr>
          <w:ilvl w:val="0"/>
          <w:numId w:val="242"/>
        </w:numPr>
        <w:spacing w:before="0" w:after="160" w:line="360"/>
        <w:ind w:right="0" w:left="14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Eze, S. C., Chinedu-Eze, V. C., Awa, H. O., &amp; Diarah, I. S. (2023). </w:t>
      </w:r>
      <w:r>
        <w:rPr>
          <w:rFonts w:ascii="Times New Roman" w:hAnsi="Times New Roman" w:cs="Times New Roman" w:eastAsia="Times New Roman"/>
          <w:i/>
          <w:color w:val="000000"/>
          <w:spacing w:val="0"/>
          <w:position w:val="0"/>
          <w:sz w:val="24"/>
          <w:u w:val="single"/>
          <w:shd w:fill="auto" w:val="clear"/>
        </w:rPr>
        <w:t xml:space="preserve">Critical issues facing SMEs’ actors in the adoption of emerging digital marketing technology (EDMT)</w:t>
      </w:r>
      <w:r>
        <w:rPr>
          <w:rFonts w:ascii="Times New Roman" w:hAnsi="Times New Roman" w:cs="Times New Roman" w:eastAsia="Times New Roman"/>
          <w:color w:val="000000"/>
          <w:spacing w:val="0"/>
          <w:position w:val="0"/>
          <w:sz w:val="24"/>
          <w:u w:val="single"/>
          <w:shd w:fill="auto" w:val="clear"/>
        </w:rPr>
        <w:t xml:space="preserve">. SAGE Open, 13(4), 1</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18. </w:t>
      </w:r>
      <w:hyperlink xmlns:r="http://schemas.openxmlformats.org/officeDocument/2006/relationships" r:id="docRId10">
        <w:r>
          <w:rPr>
            <w:rFonts w:ascii="Times New Roman" w:hAnsi="Times New Roman" w:cs="Times New Roman" w:eastAsia="Times New Roman"/>
            <w:color w:val="000000"/>
            <w:spacing w:val="0"/>
            <w:position w:val="0"/>
            <w:sz w:val="24"/>
            <w:u w:val="single"/>
            <w:shd w:fill="auto" w:val="clear"/>
          </w:rPr>
          <w:t xml:space="preserve">https://doi.org/10.1177/21582440231214847</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5">
    <w:abstractNumId w:val="36"/>
  </w:num>
  <w:num w:numId="37">
    <w:abstractNumId w:val="30"/>
  </w:num>
  <w:num w:numId="39">
    <w:abstractNumId w:val="24"/>
  </w:num>
  <w:num w:numId="41">
    <w:abstractNumId w:val="18"/>
  </w:num>
  <w:num w:numId="232">
    <w:abstractNumId w:val="12"/>
  </w:num>
  <w:num w:numId="235">
    <w:abstractNumId w:val="6"/>
  </w:num>
  <w:num w:numId="2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Mode="External" Target="https://doi.org/10.3390/su16198667" Id="docRId7" Type="http://schemas.openxmlformats.org/officeDocument/2006/relationships/hyperlink" /><Relationship TargetMode="External" Target="https://doi.org/10.1177/21582440231214847" Id="docRId10" Type="http://schemas.openxmlformats.org/officeDocument/2006/relationships/hyperlink" /><Relationship Target="media/image0.wmf" Id="docRId2" Type="http://schemas.openxmlformats.org/officeDocument/2006/relationships/image" /><Relationship Target="media/image2.wmf" Id="docRId6" Type="http://schemas.openxmlformats.org/officeDocument/2006/relationships/image" /><Relationship Target="embeddings/oleObject0.bin" Id="docRId1" Type="http://schemas.openxmlformats.org/officeDocument/2006/relationships/oleObject" /><Relationship Target="numbering.xml" Id="docRId11" Type="http://schemas.openxmlformats.org/officeDocument/2006/relationships/numbering" /><Relationship Target="embeddings/oleObject2.bin" Id="docRId5" Type="http://schemas.openxmlformats.org/officeDocument/2006/relationships/oleObject" /><Relationship TargetMode="External" Target="https://doi.org/10.3390/informatics9040086" Id="docRId9" Type="http://schemas.openxmlformats.org/officeDocument/2006/relationships/hyperlink" /><Relationship TargetMode="External" Target="https://www.indiafilings.com/learn/msme-new-definition/" Id="docRId0" Type="http://schemas.openxmlformats.org/officeDocument/2006/relationships/hyperlink" /><Relationship Target="styles.xml" Id="docRId12" Type="http://schemas.openxmlformats.org/officeDocument/2006/relationships/styles" /><Relationship Target="media/image1.wmf" Id="docRId4" Type="http://schemas.openxmlformats.org/officeDocument/2006/relationships/image" /><Relationship TargetMode="External" Target="https://doi.org/10.1016/j.jik.2024.100631" Id="docRId8" Type="http://schemas.openxmlformats.org/officeDocument/2006/relationships/hyperlink" /></Relationships>
</file>