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A72B7" w14:textId="77777777" w:rsidR="001A3984" w:rsidRDefault="00115E6A">
      <w:pPr>
        <w:pBdr>
          <w:top w:val="nil"/>
          <w:left w:val="nil"/>
          <w:bottom w:val="nil"/>
          <w:right w:val="nil"/>
          <w:between w:val="nil"/>
        </w:pBdr>
        <w:spacing w:befor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Developing Reading Comprehension Skills  through Scaffolded Reading </w:t>
      </w:r>
    </w:p>
    <w:p w14:paraId="5EEF9DE3" w14:textId="77777777" w:rsidR="001A3984" w:rsidRDefault="001A3984">
      <w:pPr>
        <w:pBdr>
          <w:top w:val="nil"/>
          <w:left w:val="nil"/>
          <w:bottom w:val="nil"/>
          <w:right w:val="nil"/>
          <w:between w:val="nil"/>
        </w:pBdr>
        <w:spacing w:before="0"/>
        <w:jc w:val="center"/>
        <w:rPr>
          <w:rFonts w:ascii="Times New Roman" w:eastAsia="Times New Roman" w:hAnsi="Times New Roman" w:cs="Times New Roman"/>
          <w:b/>
          <w:bCs/>
          <w:sz w:val="28"/>
          <w:szCs w:val="28"/>
        </w:rPr>
      </w:pPr>
    </w:p>
    <w:p w14:paraId="2988EB47" w14:textId="33450CD3" w:rsidR="001A3984" w:rsidRDefault="00115E6A">
      <w:pPr>
        <w:pBdr>
          <w:top w:val="nil"/>
          <w:left w:val="nil"/>
          <w:bottom w:val="nil"/>
          <w:right w:val="nil"/>
          <w:between w:val="nil"/>
        </w:pBdr>
        <w:spacing w:before="0"/>
        <w:jc w:val="center"/>
        <w:rPr>
          <w:rFonts w:ascii="Times New Roman" w:eastAsia="Times New Roman" w:hAnsi="Times New Roman" w:cs="Times New Roman"/>
        </w:rPr>
      </w:pPr>
      <w:r>
        <w:rPr>
          <w:rFonts w:ascii="Times New Roman" w:eastAsia="Times New Roman" w:hAnsi="Times New Roman" w:cs="Times New Roman"/>
        </w:rPr>
        <w:t xml:space="preserve"/>
      </w:r>
      <w:r w:rsidR="00AA3563">
        <w:rPr>
          <w:rFonts w:ascii="Times New Roman" w:eastAsia="Times New Roman" w:hAnsi="Times New Roman" w:cs="Times New Roman"/>
        </w:rPr>
        <w:t/>
      </w:r>
    </w:p>
    <w:p w14:paraId="04B6C628" w14:textId="77777777" w:rsidR="001A3984" w:rsidRDefault="00115E6A">
      <w:pPr>
        <w:pBdr>
          <w:top w:val="nil"/>
          <w:left w:val="nil"/>
          <w:bottom w:val="nil"/>
          <w:right w:val="nil"/>
          <w:between w:val="nil"/>
        </w:pBdr>
        <w:spacing w:before="0"/>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sz w:val="20"/>
          <w:szCs w:val="20"/>
        </w:rPr>
        <w:t/>
      </w:r>
    </w:p>
    <w:p w14:paraId="72DCAB52" w14:textId="38DCF192" w:rsidR="001A3984" w:rsidRDefault="00115E6A">
      <w:pPr>
        <w:pBdr>
          <w:top w:val="nil"/>
          <w:left w:val="nil"/>
          <w:bottom w:val="nil"/>
          <w:right w:val="nil"/>
          <w:between w:val="nil"/>
        </w:pBdr>
        <w:spacing w:before="0"/>
        <w:jc w:val="center"/>
        <w:rPr>
          <w:rFonts w:ascii="Times New Roman" w:eastAsia="Times New Roman" w:hAnsi="Times New Roman" w:cs="Times New Roman"/>
          <w:i/>
          <w:iCs/>
          <w:sz w:val="18"/>
          <w:szCs w:val="18"/>
        </w:rPr>
      </w:pPr>
      <w:r>
        <w:rPr>
          <w:rFonts w:ascii="Times New Roman" w:eastAsia="Times New Roman" w:hAnsi="Times New Roman" w:cs="Times New Roman"/>
          <w:i/>
          <w:iCs/>
          <w:sz w:val="20"/>
          <w:szCs w:val="20"/>
        </w:rPr>
        <w:t xml:space="preserve"/>
      </w:r>
      <w:r>
        <w:rPr>
          <w:rFonts w:ascii="Times New Roman" w:eastAsia="Times New Roman" w:hAnsi="Times New Roman" w:cs="Times New Roman"/>
          <w:i/>
          <w:iCs/>
          <w:sz w:val="18"/>
          <w:szCs w:val="18"/>
        </w:rPr>
        <w:t/>
      </w:r>
      <w:hyperlink r:id="rId8">
        <w:r>
          <w:rPr>
            <w:rFonts w:ascii="Times New Roman" w:eastAsia="Times New Roman" w:hAnsi="Times New Roman" w:cs="Times New Roman"/>
            <w:i/>
            <w:iCs/>
            <w:color w:val="1155CC"/>
            <w:sz w:val="20"/>
            <w:szCs w:val="20"/>
            <w:u w:val="single"/>
          </w:rPr>
          <w:t/>
        </w:r>
      </w:hyperlink>
      <w:r>
        <w:rPr>
          <w:rFonts w:ascii="Times New Roman" w:eastAsia="Times New Roman" w:hAnsi="Times New Roman" w:cs="Times New Roman"/>
          <w:i/>
          <w:iCs/>
          <w:sz w:val="18"/>
          <w:szCs w:val="18"/>
        </w:rPr>
        <w:t xml:space="preserve"/>
      </w:r>
      <w:hyperlink r:id="rId9">
        <w:r>
          <w:rPr>
            <w:rFonts w:ascii="Times New Roman" w:eastAsia="Times New Roman" w:hAnsi="Times New Roman" w:cs="Times New Roman"/>
            <w:i/>
            <w:iCs/>
            <w:color w:val="1155CC"/>
            <w:sz w:val="18"/>
            <w:szCs w:val="18"/>
            <w:u w:val="single"/>
          </w:rPr>
          <w:t/>
        </w:r>
      </w:hyperlink>
      <w:r>
        <w:rPr>
          <w:rFonts w:ascii="Times New Roman" w:eastAsia="Times New Roman" w:hAnsi="Times New Roman" w:cs="Times New Roman"/>
          <w:i/>
          <w:iCs/>
          <w:sz w:val="18"/>
          <w:szCs w:val="18"/>
        </w:rPr>
        <w:t xml:space="preserve"/>
      </w:r>
      <w:hyperlink r:id="rId10">
        <w:r>
          <w:rPr>
            <w:rFonts w:ascii="Times New Roman" w:eastAsia="Times New Roman" w:hAnsi="Times New Roman" w:cs="Times New Roman"/>
            <w:i/>
            <w:iCs/>
            <w:color w:val="1155CC"/>
            <w:sz w:val="18"/>
            <w:szCs w:val="18"/>
            <w:u w:val="single"/>
          </w:rPr>
          <w:t/>
        </w:r>
      </w:hyperlink>
      <w:r w:rsidR="00AA3563">
        <w:rPr>
          <w:rFonts w:ascii="Times New Roman" w:eastAsia="Times New Roman" w:hAnsi="Times New Roman" w:cs="Times New Roman"/>
          <w:i/>
          <w:iCs/>
          <w:color w:val="1155CC"/>
          <w:sz w:val="18"/>
          <w:szCs w:val="18"/>
          <w:u w:val="single"/>
        </w:rPr>
        <w:t xml:space="preserve"/>
      </w:r>
      <w:hyperlink r:id="rId11">
        <w:r w:rsidR="00AA3563">
          <w:rPr>
            <w:rFonts w:ascii="Times New Roman" w:eastAsia="Times New Roman" w:hAnsi="Times New Roman" w:cs="Times New Roman"/>
            <w:i/>
            <w:iCs/>
            <w:color w:val="1155CC"/>
            <w:sz w:val="20"/>
            <w:szCs w:val="20"/>
            <w:u w:val="single"/>
          </w:rPr>
          <w:t/>
        </w:r>
      </w:hyperlink>
      <w:hyperlink r:id="rId12">
        <w:r w:rsidR="00AA3563">
          <w:rPr>
            <w:rFonts w:ascii="Times New Roman" w:eastAsia="Times New Roman" w:hAnsi="Times New Roman" w:cs="Times New Roman"/>
            <w:i/>
            <w:iCs/>
            <w:color w:val="1155CC"/>
            <w:sz w:val="20"/>
            <w:szCs w:val="20"/>
            <w:u w:val="single"/>
          </w:rPr>
          <w:t/>
        </w:r>
      </w:hyperlink>
      <w:hyperlink r:id="rId13">
        <w:r w:rsidR="00AA3563">
          <w:rPr>
            <w:rFonts w:ascii="Times New Roman" w:eastAsia="Times New Roman" w:hAnsi="Times New Roman" w:cs="Times New Roman"/>
            <w:i/>
            <w:iCs/>
            <w:color w:val="1155CC"/>
            <w:sz w:val="20"/>
            <w:szCs w:val="20"/>
            <w:u w:val="single"/>
          </w:rPr>
          <w:t/>
        </w:r>
      </w:hyperlink>
      <w:hyperlink r:id="rId14">
        <w:r w:rsidR="00AA3563">
          <w:rPr>
            <w:rFonts w:ascii="Times New Roman" w:eastAsia="Times New Roman" w:hAnsi="Times New Roman" w:cs="Times New Roman"/>
            <w:i/>
            <w:iCs/>
            <w:color w:val="1155CC"/>
            <w:sz w:val="20"/>
            <w:szCs w:val="20"/>
            <w:u w:val="single"/>
          </w:rPr>
          <w:t/>
        </w:r>
      </w:hyperlink>
    </w:p>
    <w:p w14:paraId="16A54AE0" w14:textId="77777777" w:rsidR="001A3984" w:rsidRDefault="001A3984">
      <w:pPr>
        <w:pBdr>
          <w:top w:val="nil"/>
          <w:left w:val="nil"/>
          <w:bottom w:val="nil"/>
          <w:right w:val="nil"/>
          <w:between w:val="nil"/>
        </w:pBdr>
        <w:spacing w:before="0"/>
        <w:jc w:val="center"/>
        <w:rPr>
          <w:rFonts w:ascii="Times New Roman" w:eastAsia="Times New Roman" w:hAnsi="Times New Roman" w:cs="Times New Roman"/>
        </w:rPr>
      </w:pPr>
    </w:p>
    <w:p w14:paraId="5E361E02" w14:textId="77777777" w:rsidR="001A3984" w:rsidRDefault="001A3984">
      <w:pPr>
        <w:pBdr>
          <w:top w:val="nil"/>
          <w:left w:val="nil"/>
          <w:bottom w:val="nil"/>
          <w:right w:val="nil"/>
          <w:between w:val="nil"/>
        </w:pBdr>
        <w:spacing w:before="0"/>
        <w:rPr>
          <w:rFonts w:ascii="Times New Roman" w:eastAsia="Times New Roman" w:hAnsi="Times New Roman" w:cs="Times New Roman"/>
          <w:sz w:val="20"/>
          <w:szCs w:val="20"/>
        </w:rPr>
      </w:pPr>
    </w:p>
    <w:p w14:paraId="5D2A1A20" w14:textId="77777777" w:rsidR="001A3984" w:rsidRDefault="00115E6A">
      <w:pPr>
        <w:pBdr>
          <w:top w:val="nil"/>
          <w:left w:val="nil"/>
          <w:bottom w:val="nil"/>
          <w:right w:val="nil"/>
          <w:between w:val="nil"/>
        </w:pBdr>
        <w:spacing w:befor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ABSTRACT</w:t>
      </w:r>
    </w:p>
    <w:p w14:paraId="333930F1" w14:textId="77777777" w:rsidR="001A3984" w:rsidRDefault="001A3984">
      <w:pPr>
        <w:pBdr>
          <w:top w:val="nil"/>
          <w:left w:val="nil"/>
          <w:bottom w:val="nil"/>
          <w:right w:val="nil"/>
          <w:between w:val="nil"/>
        </w:pBdr>
        <w:spacing w:before="0"/>
        <w:jc w:val="center"/>
        <w:rPr>
          <w:rFonts w:ascii="Times New Roman" w:eastAsia="Times New Roman" w:hAnsi="Times New Roman" w:cs="Times New Roman"/>
          <w:b/>
          <w:bCs/>
          <w:sz w:val="20"/>
          <w:szCs w:val="20"/>
        </w:rPr>
      </w:pPr>
    </w:p>
    <w:p w14:paraId="341755EF" w14:textId="77777777" w:rsidR="001A3984" w:rsidRDefault="00115E6A">
      <w:pPr>
        <w:spacing w:before="240" w:after="12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Reading comprehension is crucial for students' academic growth and ability to engage with complex ideas. Despite the curriculum's focus on reading, many students struggle with literary works, especially in upper grades where texts are more challenging. Educators use various teaching techniques to improve reading comprehension. Scaffolded Reading is widely used, but few studies have investigated its effectiveness using both pre- and post-assessments and students' perceptions. This study uniquely measured students' reading comprehension before and after scaffolded reading and gathered their perceptions of it in terms of intentionality, appropriateness, structure, and differentiation. The study also tested for differences between variables.</w:t>
      </w:r>
    </w:p>
    <w:p w14:paraId="7E487721" w14:textId="77777777" w:rsidR="001A3984" w:rsidRDefault="00115E6A">
      <w:pPr>
        <w:spacing w:before="240" w:after="12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study used a quasi-experimental design. Results showed significant improvement in all levels of reading comprehension after scaffolded reading. There was a clear difference in students' reading comprehension before and after scaffolded reading. Students viewed scaffolded reading positively. Scaffolded reading improves students' comprehension. The study produced a teaching guide for English lessons focused on reading comprehension.</w:t>
      </w:r>
    </w:p>
    <w:p w14:paraId="3D0F2DDE" w14:textId="77777777" w:rsidR="001A3984" w:rsidRDefault="001A3984">
      <w:pPr>
        <w:pBdr>
          <w:top w:val="nil"/>
          <w:left w:val="nil"/>
          <w:bottom w:val="nil"/>
          <w:right w:val="nil"/>
          <w:between w:val="nil"/>
        </w:pBdr>
        <w:spacing w:before="0"/>
        <w:jc w:val="both"/>
        <w:rPr>
          <w:rFonts w:ascii="Times New Roman" w:eastAsia="Times New Roman" w:hAnsi="Times New Roman" w:cs="Times New Roman"/>
          <w:sz w:val="20"/>
          <w:szCs w:val="20"/>
        </w:rPr>
      </w:pPr>
    </w:p>
    <w:p w14:paraId="0A5F6150" w14:textId="77777777" w:rsidR="001A3984" w:rsidRDefault="00115E6A">
      <w:pPr>
        <w:pBdr>
          <w:top w:val="nil"/>
          <w:left w:val="nil"/>
          <w:bottom w:val="nil"/>
          <w:right w:val="nil"/>
          <w:between w:val="nil"/>
        </w:pBdr>
        <w:spacing w:before="0"/>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b/>
          <w:bCs/>
          <w:i/>
          <w:iCs/>
          <w:color w:val="000000"/>
          <w:sz w:val="20"/>
          <w:szCs w:val="20"/>
        </w:rPr>
        <w:t>Keywords:</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i/>
          <w:iCs/>
          <w:color w:val="000000"/>
          <w:sz w:val="20"/>
          <w:szCs w:val="20"/>
        </w:rPr>
        <w:t>Reading Comprehension Skills, Scaffolded Reading</w:t>
      </w:r>
    </w:p>
    <w:p w14:paraId="0824EE5E" w14:textId="77777777" w:rsidR="001A3984" w:rsidRDefault="001A3984">
      <w:pPr>
        <w:pBdr>
          <w:top w:val="nil"/>
          <w:left w:val="nil"/>
          <w:bottom w:val="nil"/>
          <w:right w:val="nil"/>
          <w:between w:val="nil"/>
        </w:pBdr>
        <w:spacing w:before="0"/>
        <w:jc w:val="both"/>
        <w:rPr>
          <w:rFonts w:ascii="Times New Roman" w:eastAsia="Times New Roman" w:hAnsi="Times New Roman" w:cs="Times New Roman"/>
          <w:i/>
          <w:iCs/>
          <w:sz w:val="20"/>
          <w:szCs w:val="20"/>
        </w:rPr>
        <w:sectPr w:rsidR="001A3984">
          <w:headerReference w:type="default" r:id="rId15"/>
          <w:footerReference w:type="default" r:id="rId16"/>
          <w:pgSz w:w="11907" w:h="16839"/>
          <w:pgMar w:top="1440" w:right="1152" w:bottom="1440" w:left="1800" w:header="720" w:footer="720" w:gutter="0"/>
          <w:pgNumType w:start="1"/>
          <w:cols w:space="720"/>
        </w:sectPr>
      </w:pPr>
    </w:p>
    <w:p w14:paraId="0BD93763" w14:textId="77777777" w:rsidR="001A3984" w:rsidRDefault="00115E6A">
      <w:pPr>
        <w:spacing w:before="0"/>
        <w:rPr>
          <w:rFonts w:ascii="Times New Roman" w:eastAsia="Times New Roman" w:hAnsi="Times New Roman" w:cs="Times New Roman"/>
          <w:sz w:val="20"/>
          <w:szCs w:val="20"/>
        </w:rPr>
      </w:pPr>
      <w:r>
        <w:rPr>
          <w:rFonts w:ascii="Times New Roman" w:eastAsia="Times New Roman" w:hAnsi="Times New Roman" w:cs="Times New Roman"/>
          <w:b/>
          <w:bCs/>
          <w:sz w:val="24"/>
          <w:szCs w:val="24"/>
        </w:rPr>
        <w:t xml:space="preserve">1.              INTRODUCTION </w:t>
      </w:r>
    </w:p>
    <w:p w14:paraId="272E7D06" w14:textId="685D41BF"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Reading is a fundamental macro skill essential for academic success and lifelong learning. It is more than just decoding words—it involves deep comprehension, critical thinking, and the ability to analyze and engage with complex texts (Piercey, 2020). The Philippine K to 12 curriculum emphasizes reading in both English and Filipino</w:t>
      </w:r>
      <w:r w:rsidR="007E5CC4">
        <w:rPr>
          <w:rFonts w:ascii="Times New Roman" w:eastAsia="Times New Roman" w:hAnsi="Times New Roman" w:cs="Times New Roman"/>
          <w:sz w:val="20"/>
          <w:szCs w:val="20"/>
        </w:rPr>
        <w:t>, aiming to develop students' ability</w:t>
      </w:r>
      <w:r>
        <w:rPr>
          <w:rFonts w:ascii="Times New Roman" w:eastAsia="Times New Roman" w:hAnsi="Times New Roman" w:cs="Times New Roman"/>
          <w:sz w:val="20"/>
          <w:szCs w:val="20"/>
        </w:rPr>
        <w:t xml:space="preserve"> to interpret literature from various cultures. However, despite this focus, many students, especially those in higher grades, struggle with comprehension due to the texts' complexity and unfamiliarity. A 2024 study by Basali revealed that while many Grade 8 Filipino students are at independent or instructional reading levels, challenges persist when facing more demanding literary works.</w:t>
      </w:r>
    </w:p>
    <w:p w14:paraId="3D7F2187" w14:textId="77777777" w:rsidR="001A3984" w:rsidRDefault="00115E6A">
      <w:pPr>
        <w:shd w:val="clear" w:color="auto" w:fill="FFFFFF"/>
        <w:spacing w:before="0"/>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2022 PISA results ranked the Philippines 76th out of 81 countries in reading comprehension, showing little improvement and a decline among low-performing students (Servallos, 2023). </w:t>
      </w:r>
    </w:p>
    <w:p w14:paraId="5136036C" w14:textId="77777777" w:rsidR="001A3984" w:rsidRDefault="00115E6A">
      <w:pPr>
        <w:shd w:val="clear" w:color="auto" w:fill="FFFFFF"/>
        <w:spacing w:before="0"/>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Resource constraints, absenteeism, and limited parental support still hinder reading development (Idulog et al., 2023). As digital media spreads, reading habits change, often becoming </w:t>
      </w:r>
      <w:r>
        <w:rPr>
          <w:rFonts w:ascii="Times New Roman" w:eastAsia="Times New Roman" w:hAnsi="Times New Roman" w:cs="Times New Roman"/>
          <w:sz w:val="20"/>
          <w:szCs w:val="20"/>
        </w:rPr>
        <w:t>more superficial (Liao et al., 2023). Given these challenges, scaffolded reading offers a structured, step-by-step support to help students understand literary texts. This study explores how scaffolded reading helps Filipino students overcome reading difficulties and engage more deeply with literature.</w:t>
      </w:r>
    </w:p>
    <w:p w14:paraId="202E15BC"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Several studies have highlighted the benefits of scaffolded reading in improving students' comprehension. Ramsa and Rawian (2021) demonstrated that guided reading strategies—applied before, during, and after reading—can enhance students' understanding, particularly when teachers provide consistent support. Their study emphasizes the importance of structured instruction in helping learners activate prior knowledge, make predictions, and summarize key ideas. Similarly, Yawiloeng (2022) found that integrating scaffolding with multimodal texts (such as images and visual aids) significantly improved EFL students' comprehension and engagement. Students reported that visual resources and peer collaboration helped them better understand the material, suggesting that scaffolding is even more effective when combined with multiple instructional modes.</w:t>
      </w:r>
    </w:p>
    <w:p w14:paraId="23049C6C"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 the context of secondary education, Latson (2022) investigated scaffolding practices among ninth-grade teachers and found that techniques such as prompting, questioning, and guided reading positively affected students' comprehension and retention. The study also stressed the importance of adapting these strategies to fit diverse learner needs. Asadipiran, Afraz, and Razmjoo (2022) further explored this by comparing different scaffolding types. Their findings indicated that hard scaffolding produced the highest gains in both reading comprehension and strategy use, while virtual and soft scaffolding showed moderate effects. However, they called for more research on the long-term impact of these methods.</w:t>
      </w:r>
    </w:p>
    <w:p w14:paraId="02F1ADE2"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addition, Ibrahim et al. (2023) reported that combining scaffolding with collaborative learning and self-assessment significantly reduced reading anxiety while increasing comprehension and motivation among Iranian EFL learners. Their results underline the value of integrating supportive practices to create an engaging and less stressful learning environment. A similar outcome was observed by Narina (2022), who conducted action research in an Indonesian junior high school. Her study revealed that scaffolding improved students' abilities to identify main ideas, understand vocabulary, and stay engaged during reading tasks.</w:t>
      </w:r>
    </w:p>
    <w:p w14:paraId="0CA877FE" w14:textId="77777777" w:rsidR="001A3984" w:rsidRDefault="00115E6A">
      <w:pPr>
        <w:shd w:val="clear" w:color="auto" w:fill="FFFFFF"/>
        <w:spacing w:before="0"/>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Locally, Ditona and Rico (2021) addressed the reading challenges faced by Grade II pupils in Botolan, Philippines. Their descriptive study found that students struggled with oral and silent reading, prompting the creation of a Reading Skills Enhancement Program (RSEP) that incorporated scaffolding techniques. This program received positive feedback from teachers for its effectiveness in improving reading fluency and comprehension. Meanwhile, Francis, Mukhtar, and Sadiq (2023) explored the impact of scaffolding in Islamic Studies and found that it significantly boosted student performance. Their study also noted the need to explore gender differences and the long-term retention of knowledge through scaffolded instruction.</w:t>
      </w:r>
    </w:p>
    <w:p w14:paraId="36100A4B" w14:textId="77777777" w:rsidR="001A3984" w:rsidRDefault="001A3984">
      <w:pPr>
        <w:shd w:val="clear" w:color="auto" w:fill="FFFFFF"/>
        <w:spacing w:before="0"/>
        <w:ind w:firstLine="720"/>
        <w:jc w:val="both"/>
        <w:rPr>
          <w:rFonts w:ascii="Times New Roman" w:eastAsia="Times New Roman" w:hAnsi="Times New Roman" w:cs="Times New Roman"/>
          <w:sz w:val="20"/>
          <w:szCs w:val="20"/>
        </w:rPr>
      </w:pPr>
    </w:p>
    <w:p w14:paraId="2067A080" w14:textId="77777777" w:rsidR="001A3984" w:rsidRDefault="00115E6A">
      <w:pPr>
        <w:shd w:val="clear" w:color="auto" w:fill="FFFFFF"/>
        <w:spacing w:before="0"/>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Lastly, Kärbla, Uibu, and Männamaa (2021) conducted a study in Estonian schools and emphasized the importance of teaching students’ multiple comprehension strategies—such as summarizing, questioning, and identifying main ideas—to improve reading at all levels. Their findings suggest that scaffolded instruction not only enhances comprehension but also fosters vocabulary development and critical thinking.</w:t>
      </w:r>
    </w:p>
    <w:p w14:paraId="42852112" w14:textId="77777777" w:rsidR="001A3984" w:rsidRDefault="001A3984">
      <w:pPr>
        <w:spacing w:before="0"/>
        <w:rPr>
          <w:rFonts w:ascii="Times New Roman" w:eastAsia="Times New Roman" w:hAnsi="Times New Roman" w:cs="Times New Roman"/>
          <w:sz w:val="20"/>
          <w:szCs w:val="20"/>
        </w:rPr>
      </w:pPr>
    </w:p>
    <w:p w14:paraId="08528FD3" w14:textId="77777777" w:rsidR="001A3984" w:rsidRDefault="001A3984">
      <w:pPr>
        <w:spacing w:before="0"/>
        <w:ind w:left="270"/>
        <w:rPr>
          <w:rFonts w:ascii="Times New Roman" w:eastAsia="Times New Roman" w:hAnsi="Times New Roman" w:cs="Times New Roman"/>
          <w:sz w:val="20"/>
          <w:szCs w:val="20"/>
        </w:rPr>
      </w:pPr>
    </w:p>
    <w:p w14:paraId="626454C9" w14:textId="77777777" w:rsidR="001A3984" w:rsidRDefault="00115E6A">
      <w:pPr>
        <w:spacing w:before="0"/>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OBJECTIVES</w:t>
      </w:r>
    </w:p>
    <w:p w14:paraId="3E1599A2"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study aimed to determine the effectiveness of scaffolded reading in developing students' reading comprehension skills.</w:t>
      </w:r>
    </w:p>
    <w:p w14:paraId="5DB3A3EE"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Specifically, it sought to answer the following questions:</w:t>
      </w:r>
    </w:p>
    <w:p w14:paraId="4FA4D79F" w14:textId="77777777" w:rsidR="001A3984" w:rsidRDefault="00115E6A">
      <w:pPr>
        <w:numPr>
          <w:ilvl w:val="0"/>
          <w:numId w:val="1"/>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Determine students' reading comprehension skills before exposure to scaffolded reading, at the literal, interpretive, and critical/evaluative levels.</w:t>
      </w:r>
    </w:p>
    <w:p w14:paraId="01F0D9C3" w14:textId="77777777" w:rsidR="001A3984" w:rsidRDefault="00115E6A">
      <w:pPr>
        <w:numPr>
          <w:ilvl w:val="0"/>
          <w:numId w:val="1"/>
        </w:numPr>
        <w:spacing w:before="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Determine students' reading comprehension skills after exposure to scaffolded reading, including literal, interpretive, and critical/evaluative levels.</w:t>
      </w:r>
    </w:p>
    <w:p w14:paraId="0FDED001" w14:textId="77777777" w:rsidR="001A3984" w:rsidRDefault="00115E6A">
      <w:pPr>
        <w:numPr>
          <w:ilvl w:val="0"/>
          <w:numId w:val="1"/>
        </w:numPr>
        <w:spacing w:before="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Determine the significant difference between the levels of reading comprehension skills of students before and after exposure to scaffolded reading.</w:t>
      </w:r>
    </w:p>
    <w:p w14:paraId="71DE78C0" w14:textId="77777777" w:rsidR="001A3984" w:rsidRDefault="00115E6A">
      <w:pPr>
        <w:numPr>
          <w:ilvl w:val="0"/>
          <w:numId w:val="1"/>
        </w:numPr>
        <w:spacing w:before="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Determine the students' perception of scaffolded reading in terms of intentionality, appropriateness, structure, and differentiation.</w:t>
      </w:r>
    </w:p>
    <w:p w14:paraId="7ECB4C0A" w14:textId="77777777" w:rsidR="001A3984" w:rsidRDefault="00115E6A">
      <w:pPr>
        <w:numPr>
          <w:ilvl w:val="0"/>
          <w:numId w:val="1"/>
        </w:numPr>
        <w:spacing w:before="0" w:after="36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Develop a teaching guide to improve reading comprehension skills by integrating scaffolded reading</w:t>
      </w:r>
    </w:p>
    <w:p w14:paraId="58312A38" w14:textId="77777777" w:rsidR="001A3984" w:rsidRDefault="00115E6A">
      <w:pPr>
        <w:spacing w:before="0"/>
        <w:jc w:val="both"/>
        <w:rPr>
          <w:rFonts w:ascii="Times New Roman" w:eastAsia="Times New Roman" w:hAnsi="Times New Roman" w:cs="Times New Roman"/>
          <w:b/>
          <w:bCs/>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4"/>
          <w:szCs w:val="24"/>
        </w:rPr>
        <w:t>3.   MATERIALS AND METHODS</w:t>
      </w:r>
    </w:p>
    <w:p w14:paraId="712D99A8" w14:textId="77777777" w:rsidR="001A3984" w:rsidRDefault="001A3984">
      <w:pPr>
        <w:spacing w:before="0"/>
        <w:rPr>
          <w:rFonts w:ascii="Times New Roman" w:eastAsia="Times New Roman" w:hAnsi="Times New Roman" w:cs="Times New Roman"/>
          <w:b/>
          <w:bCs/>
          <w:sz w:val="24"/>
          <w:szCs w:val="24"/>
        </w:rPr>
      </w:pPr>
    </w:p>
    <w:p w14:paraId="7D6CB0C6" w14:textId="77777777" w:rsidR="001A3984" w:rsidRDefault="00115E6A">
      <w:pPr>
        <w:spacing w:before="0"/>
        <w:jc w:val="both"/>
        <w:rPr>
          <w:rFonts w:ascii="Times New Roman" w:eastAsia="Times New Roman" w:hAnsi="Times New Roman" w:cs="Times New Roman"/>
          <w:b/>
          <w:bCs/>
        </w:rPr>
      </w:pPr>
      <w:r>
        <w:rPr>
          <w:rFonts w:ascii="Times New Roman" w:eastAsia="Times New Roman" w:hAnsi="Times New Roman" w:cs="Times New Roman"/>
          <w:b/>
          <w:bCs/>
        </w:rPr>
        <w:t>3.1 Research Design</w:t>
      </w:r>
    </w:p>
    <w:p w14:paraId="4DC687C0" w14:textId="77777777" w:rsidR="001A3984" w:rsidRDefault="00115E6A">
      <w:pPr>
        <w:spacing w:before="0"/>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researchers used a quasi-experimental design with a pre-test and post-test. Stratton (2019) states that pre-test and post-test methods are a type of quasi-experimental design. "Quasi" means these methods resemble experiments but are not true experiments. Researchers commonly use quasi-experimental designs, such as pretest-posttest designs, to assess interventions.</w:t>
      </w:r>
    </w:p>
    <w:p w14:paraId="5452B946"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researchers used this approach to interpret the findings as impartial evidence. The aim was to develop students' reading comprehension skills through scaffolded reading.. </w:t>
      </w:r>
    </w:p>
    <w:p w14:paraId="049A9B2F" w14:textId="77777777" w:rsidR="001A3984" w:rsidRDefault="001A3984">
      <w:pPr>
        <w:spacing w:before="0"/>
        <w:jc w:val="both"/>
        <w:rPr>
          <w:rFonts w:ascii="Times New Roman" w:eastAsia="Times New Roman" w:hAnsi="Times New Roman" w:cs="Times New Roman"/>
          <w:sz w:val="20"/>
          <w:szCs w:val="20"/>
        </w:rPr>
      </w:pPr>
    </w:p>
    <w:p w14:paraId="3A400B01" w14:textId="77777777" w:rsidR="001A3984" w:rsidRDefault="00115E6A">
      <w:pPr>
        <w:spacing w:before="0"/>
        <w:jc w:val="both"/>
        <w:rPr>
          <w:rFonts w:ascii="Times New Roman" w:eastAsia="Times New Roman" w:hAnsi="Times New Roman" w:cs="Times New Roman"/>
          <w:b/>
          <w:bCs/>
        </w:rPr>
      </w:pPr>
      <w:r>
        <w:rPr>
          <w:rFonts w:ascii="Times New Roman" w:eastAsia="Times New Roman" w:hAnsi="Times New Roman" w:cs="Times New Roman"/>
          <w:b/>
          <w:bCs/>
        </w:rPr>
        <w:t>3.2 Subject of the Study</w:t>
      </w:r>
    </w:p>
    <w:p w14:paraId="45F2F04B"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study included 80 Grade 10 students from three sections in the 2024–2025 school year. Researchers selected them because their grade level </w:t>
      </w:r>
      <w:r>
        <w:rPr>
          <w:rFonts w:ascii="Times New Roman" w:eastAsia="Times New Roman" w:hAnsi="Times New Roman" w:cs="Times New Roman"/>
          <w:sz w:val="20"/>
          <w:szCs w:val="20"/>
        </w:rPr>
        <w:lastRenderedPageBreak/>
        <w:t xml:space="preserve">fits the research. Their reading comprehension skills were key to the observations. </w:t>
      </w:r>
    </w:p>
    <w:p w14:paraId="13F9394D" w14:textId="77777777" w:rsidR="001A3984" w:rsidRDefault="001A3984">
      <w:pPr>
        <w:spacing w:before="0"/>
        <w:ind w:firstLine="720"/>
        <w:jc w:val="both"/>
        <w:rPr>
          <w:rFonts w:ascii="Times New Roman" w:eastAsia="Times New Roman" w:hAnsi="Times New Roman" w:cs="Times New Roman"/>
          <w:sz w:val="20"/>
          <w:szCs w:val="20"/>
        </w:rPr>
      </w:pPr>
    </w:p>
    <w:p w14:paraId="5B180075" w14:textId="77777777" w:rsidR="001A3984" w:rsidRDefault="00115E6A">
      <w:pPr>
        <w:spacing w:before="0"/>
        <w:jc w:val="both"/>
        <w:rPr>
          <w:rFonts w:ascii="Times New Roman" w:eastAsia="Times New Roman" w:hAnsi="Times New Roman" w:cs="Times New Roman"/>
          <w:b/>
          <w:bCs/>
        </w:rPr>
      </w:pPr>
      <w:r>
        <w:rPr>
          <w:rFonts w:ascii="Times New Roman" w:eastAsia="Times New Roman" w:hAnsi="Times New Roman" w:cs="Times New Roman"/>
          <w:b/>
          <w:bCs/>
        </w:rPr>
        <w:t>3.3 Data Gathering Instrument</w:t>
      </w:r>
    </w:p>
    <w:p w14:paraId="42D67F44"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Researchers used survey questionnaires and their own pre-test and post-test instruments to collect data. The pre-test and post-test, which were identical, checked student progress before and after scaffolded reading. Each included two literary pieces: "The Masque of the Red Death" by Edgar Allan Poe and "The Myth of Icarus and Daedalus." Both tests had 60 multiple-choice questions at three levels: literal, interpretive, and evaluative.</w:t>
      </w:r>
    </w:p>
    <w:p w14:paraId="39DD29B9"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adapted questionnaire measured students' perceptions of scaffolded reading. It came from several scholarly articles to strengthen the study. The questionnaire used a four-point Likert scale from 1 (Strongly Disagree) to 4 (Strongly Agree).</w:t>
      </w:r>
    </w:p>
    <w:p w14:paraId="749665C3"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Furthermore, the researcher used the Phil-IRI Reading Scale to assess students' reading comprehension. They also developed a learning plan that guides them in implementing scaffolded reading in the English Lesson.</w:t>
      </w:r>
    </w:p>
    <w:p w14:paraId="48CAD596"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gather the necessary data, the following procedure will be taken by the researchers:</w:t>
      </w:r>
    </w:p>
    <w:p w14:paraId="2870BD20" w14:textId="77777777" w:rsidR="001A3984" w:rsidRDefault="00115E6A">
      <w:pPr>
        <w:spacing w:before="0"/>
        <w:ind w:firstLine="720"/>
        <w:jc w:val="both"/>
        <w:rPr>
          <w:rFonts w:ascii="Times New Roman" w:eastAsia="Times New Roman" w:hAnsi="Times New Roman" w:cs="Times New Roman"/>
          <w:sz w:val="20"/>
          <w:szCs w:val="20"/>
        </w:rPr>
      </w:pPr>
      <w:r>
        <w:rPr>
          <w:rFonts w:ascii="Times New Roman" w:eastAsia="Times New Roman" w:hAnsi="Times New Roman" w:cs="Times New Roman"/>
          <w:b/>
          <w:bCs/>
        </w:rPr>
        <w:t>Construction of the Questionnaire</w:t>
      </w:r>
      <w:r>
        <w:rPr>
          <w:rFonts w:ascii="Times New Roman" w:eastAsia="Times New Roman" w:hAnsi="Times New Roman" w:cs="Times New Roman"/>
          <w:b/>
          <w:bCs/>
          <w:sz w:val="20"/>
          <w:szCs w:val="20"/>
        </w:rPr>
        <w:t xml:space="preserve">. </w:t>
      </w:r>
    </w:p>
    <w:p w14:paraId="0814421B"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primary tools that the researchers utilized in this study were pre-test and post-test, which were adopted from the work of Edgar Allan Poe entitled "The Masque of the Red Death and the version of the story of Icarus and Daedalus from the classic tales. Moreover, survey questionnaires were developed to collect data necessary for the study's accuracy. The researchers drafted the pre-test and post-test based on the study's objectives. The pre-test and post-test contain the same 60-item multiple-choice questions, organized into three levels: literal, interpretive, and evaluative. Each level consists of 20 items. </w:t>
      </w:r>
    </w:p>
    <w:p w14:paraId="0C38B23F" w14:textId="77777777" w:rsidR="001A3984" w:rsidRDefault="00115E6A">
      <w:pPr>
        <w:spacing w:before="0"/>
        <w:ind w:firstLine="720"/>
        <w:jc w:val="both"/>
        <w:rPr>
          <w:rFonts w:ascii="Times New Roman" w:eastAsia="Times New Roman" w:hAnsi="Times New Roman" w:cs="Times New Roman"/>
          <w:b/>
          <w:bCs/>
        </w:rPr>
      </w:pPr>
      <w:r>
        <w:rPr>
          <w:rFonts w:ascii="Times New Roman" w:eastAsia="Times New Roman" w:hAnsi="Times New Roman" w:cs="Times New Roman"/>
          <w:b/>
          <w:bCs/>
        </w:rPr>
        <w:t>Validation of the Questionnaire.</w:t>
      </w:r>
    </w:p>
    <w:p w14:paraId="761AC358"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After creating the questionnaire draft, a panel of invited research experts will develop a content validity procedure. The survey instruments were checked and validated by three validators, who advised corrections and revisions to the researchers </w:t>
      </w:r>
      <w:r>
        <w:rPr>
          <w:rFonts w:ascii="Times New Roman" w:eastAsia="Times New Roman" w:hAnsi="Times New Roman" w:cs="Times New Roman"/>
          <w:sz w:val="20"/>
          <w:szCs w:val="20"/>
        </w:rPr>
        <w:t>to enhance the accuracy of the questionnaires. This meticulous validation phase ensures the questionnaire effectively captures the data needed to achieve the study's objectives. Researchers prepared the updated survey instruments and distributed them to the respondents.</w:t>
      </w:r>
    </w:p>
    <w:p w14:paraId="7BC50A77" w14:textId="77777777" w:rsidR="001A3984" w:rsidRDefault="00115E6A">
      <w:pPr>
        <w:spacing w:befor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rPr>
        <w:t>Administration of the Questionnaire</w:t>
      </w:r>
    </w:p>
    <w:p w14:paraId="512F6F0A" w14:textId="77777777" w:rsidR="001A3984" w:rsidRDefault="00115E6A">
      <w:pPr>
        <w:spacing w:before="240" w:after="120" w:line="276" w:lineRule="auto"/>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researchers began by writing a letter requesting permission to distribute the survey, which was reviewed by the thesis adviser and approved by the Program Chairperson of BSEd English. After this, the researchers sent the letter to the school principal where the study was conducted. Finally, the researchers had permission to administer and distribute the pre-test, post-test, and questionnaires to the respondents.</w:t>
      </w:r>
    </w:p>
    <w:p w14:paraId="23C3BD8F" w14:textId="77777777" w:rsidR="001A3984" w:rsidRDefault="00115E6A">
      <w:pPr>
        <w:spacing w:before="240" w:after="120" w:line="276" w:lineRule="auto"/>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pre-test was administered to the respondents before the instruction, while the post-test was administered after Scaffolded Reading was applied. Along with the posttest was the survey questionnaire, which contained questions about students' perception of the use of Scaffolded Reading in terms of different variables such as appropriateness, differentiation, intentionality, and structure</w:t>
      </w:r>
    </w:p>
    <w:p w14:paraId="274BD225" w14:textId="77777777" w:rsidR="001A3984" w:rsidRDefault="00115E6A">
      <w:pPr>
        <w:spacing w:before="240" w:after="120" w:line="276" w:lineRule="auto"/>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After gathering the completed questionnaires, the researchers commenced data tallying, analysis, and interpretation, ensuring the study's success. </w:t>
      </w:r>
    </w:p>
    <w:p w14:paraId="22C99BF3" w14:textId="77777777" w:rsidR="001A3984" w:rsidRDefault="001A3984">
      <w:pPr>
        <w:spacing w:before="0"/>
        <w:jc w:val="both"/>
        <w:rPr>
          <w:rFonts w:ascii="Times New Roman" w:eastAsia="Times New Roman" w:hAnsi="Times New Roman" w:cs="Times New Roman"/>
          <w:sz w:val="20"/>
          <w:szCs w:val="20"/>
          <w:highlight w:val="white"/>
        </w:rPr>
      </w:pPr>
    </w:p>
    <w:p w14:paraId="2B709032" w14:textId="77777777" w:rsidR="001A3984" w:rsidRDefault="00115E6A">
      <w:pPr>
        <w:spacing w:before="0"/>
        <w:jc w:val="both"/>
        <w:rPr>
          <w:rFonts w:ascii="Times New Roman" w:eastAsia="Times New Roman" w:hAnsi="Times New Roman" w:cs="Times New Roman"/>
          <w:sz w:val="20"/>
          <w:szCs w:val="20"/>
        </w:rPr>
      </w:pPr>
      <w:r>
        <w:rPr>
          <w:rFonts w:ascii="Times New Roman" w:eastAsia="Times New Roman" w:hAnsi="Times New Roman" w:cs="Times New Roman"/>
          <w:b/>
          <w:bCs/>
        </w:rPr>
        <w:t>3.4 Data Gathering Procedure</w:t>
      </w:r>
    </w:p>
    <w:p w14:paraId="18589C9E"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After the questionnaires were validated, the researchers wrote formal letters of approval addressed to the Dean of the College of Teacher Education, the Principal of the research locale, and the teacher handling the English subject of the respondents. These letters sought permission to conduct the study and ensured coordination with the school administration and subject teacher. After securing the necessary approvals, the researchers prepared a pre-test to assess students' prior knowledge of the topics to be covered during the demonstration teaching. After the pre-test was finalized, it was administered to the selected respondents before the teaching sessions began.</w:t>
      </w:r>
    </w:p>
    <w:p w14:paraId="1A7D13B2"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researchers' prepared learning plan anchored the scaffolded reading strategy. The </w:t>
      </w:r>
      <w:r>
        <w:rPr>
          <w:rFonts w:ascii="Times New Roman" w:eastAsia="Times New Roman" w:hAnsi="Times New Roman" w:cs="Times New Roman"/>
          <w:sz w:val="20"/>
          <w:szCs w:val="20"/>
        </w:rPr>
        <w:lastRenderedPageBreak/>
        <w:t>researcher utilized these learning plans during their two-week instruction.</w:t>
      </w:r>
    </w:p>
    <w:p w14:paraId="4B695347"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After scaffolding implementation was complete, the researchers administered the post-test to the participants. This post-test was designed to measure students' reading comprehension after exposure to a scaffolded reading strategy. Along with the post-test, the researchers also distributed survey questionnaires. These questionnaires aimed to gather detailed information about students' perceptions of scaffolded reading in terms of intentionality, appropriateness, structure, and differentiation.</w:t>
      </w:r>
    </w:p>
    <w:p w14:paraId="22ACACCD"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Once the questionnaires and post-tests were distributed, the researchers carefully collected the completed instruments. The gathered data were then consolidated to ensure all responses were accounted for and organized systematically. Following this, the researchers began analyzing and interpreting the data. This includes computing mean scores and performing t-tests to determine whether there is a significant difference in students' reading comprehension levels before and after exposure to scaffolded reading, and to assess the effectiveness of scaffolded reading in developing students' reading comprehension skills.</w:t>
      </w:r>
    </w:p>
    <w:p w14:paraId="556DFE6D"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Throughout the data gathering process, ethical considerations were strictly observed. Participation in the study was voluntary, and informed consent was obtained from all respondents before the questionnaire was administered. Participants were assured that their responses would be kept confidential and used only for academic research. No personally identifiable information was collected, and data were stored securely. The study adhered to the institution's research ethics committee's ethical guidelines to ensure respect, transparency, and the protection of all participants.</w:t>
      </w:r>
    </w:p>
    <w:p w14:paraId="77C68026" w14:textId="77777777" w:rsidR="001A3984" w:rsidRDefault="00115E6A">
      <w:pPr>
        <w:shd w:val="clear" w:color="auto" w:fill="FFFFFF"/>
        <w:spacing w:before="0"/>
        <w:jc w:val="both"/>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3.5. Statistical Treatment of Data</w:t>
      </w:r>
    </w:p>
    <w:p w14:paraId="152F28DE"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The data from the study were collected, interpreted, and systematically compiled by the researchers. The following statistical tools were used to analyze the gathered data.</w:t>
      </w:r>
    </w:p>
    <w:p w14:paraId="4D3F9840" w14:textId="77777777" w:rsidR="001A3984" w:rsidRDefault="00115E6A">
      <w:pPr>
        <w:shd w:val="clear" w:color="auto" w:fill="FFFFFF"/>
        <w:spacing w:before="240" w:after="120" w:line="276" w:lineRule="auto"/>
        <w:jc w:val="both"/>
        <w:rPr>
          <w:rFonts w:ascii="Times New Roman" w:eastAsia="Times New Roman" w:hAnsi="Times New Roman" w:cs="Times New Roman"/>
          <w:color w:val="1C1E21"/>
          <w:sz w:val="20"/>
          <w:szCs w:val="20"/>
        </w:rPr>
      </w:pPr>
      <w:r>
        <w:rPr>
          <w:rFonts w:ascii="Times New Roman" w:eastAsia="Times New Roman" w:hAnsi="Times New Roman" w:cs="Times New Roman"/>
          <w:b/>
          <w:bCs/>
          <w:color w:val="1C1E21"/>
          <w:sz w:val="20"/>
          <w:szCs w:val="20"/>
        </w:rPr>
        <w:t>Frequency Count and Percentage</w:t>
      </w:r>
      <w:r>
        <w:rPr>
          <w:rFonts w:ascii="Times New Roman" w:eastAsia="Times New Roman" w:hAnsi="Times New Roman" w:cs="Times New Roman"/>
          <w:color w:val="1C1E21"/>
          <w:sz w:val="20"/>
          <w:szCs w:val="20"/>
        </w:rPr>
        <w:t>. Frequency counts and percentages were used to calculate the relative frequencies of the questionnaire responses.</w:t>
      </w:r>
    </w:p>
    <w:p w14:paraId="1BC0B3A8" w14:textId="77777777" w:rsidR="001A3984" w:rsidRDefault="00115E6A">
      <w:pPr>
        <w:shd w:val="clear" w:color="auto" w:fill="FFFFFF"/>
        <w:spacing w:before="240" w:after="120" w:line="276" w:lineRule="auto"/>
        <w:jc w:val="both"/>
        <w:rPr>
          <w:rFonts w:ascii="Times New Roman" w:eastAsia="Times New Roman" w:hAnsi="Times New Roman" w:cs="Times New Roman"/>
          <w:color w:val="1C1E21"/>
          <w:sz w:val="20"/>
          <w:szCs w:val="20"/>
        </w:rPr>
      </w:pPr>
      <w:r>
        <w:rPr>
          <w:rFonts w:ascii="Times New Roman" w:eastAsia="Times New Roman" w:hAnsi="Times New Roman" w:cs="Times New Roman"/>
          <w:b/>
          <w:bCs/>
          <w:color w:val="1C1E21"/>
          <w:sz w:val="20"/>
          <w:szCs w:val="20"/>
        </w:rPr>
        <w:t>Ranking</w:t>
      </w:r>
      <w:r>
        <w:rPr>
          <w:rFonts w:ascii="Times New Roman" w:eastAsia="Times New Roman" w:hAnsi="Times New Roman" w:cs="Times New Roman"/>
          <w:color w:val="1C1E21"/>
          <w:sz w:val="20"/>
          <w:szCs w:val="20"/>
        </w:rPr>
        <w:t>. Researchers used this information to determine the popularity and perspectives of each response option among respondents.</w:t>
      </w:r>
    </w:p>
    <w:p w14:paraId="4AB8F6CB" w14:textId="77777777" w:rsidR="001A3984" w:rsidRDefault="00115E6A">
      <w:pPr>
        <w:shd w:val="clear" w:color="auto" w:fill="FFFFFF"/>
        <w:spacing w:before="240" w:after="120" w:line="276" w:lineRule="auto"/>
        <w:jc w:val="both"/>
        <w:rPr>
          <w:rFonts w:ascii="Times New Roman" w:eastAsia="Times New Roman" w:hAnsi="Times New Roman" w:cs="Times New Roman"/>
          <w:color w:val="1C1E21"/>
          <w:sz w:val="20"/>
          <w:szCs w:val="20"/>
        </w:rPr>
      </w:pPr>
      <w:r>
        <w:rPr>
          <w:rFonts w:ascii="Times New Roman" w:eastAsia="Times New Roman" w:hAnsi="Times New Roman" w:cs="Times New Roman"/>
          <w:b/>
          <w:bCs/>
          <w:color w:val="1C1E21"/>
          <w:sz w:val="20"/>
          <w:szCs w:val="20"/>
        </w:rPr>
        <w:t>Weighted Mean</w:t>
      </w:r>
      <w:r>
        <w:rPr>
          <w:rFonts w:ascii="Times New Roman" w:eastAsia="Times New Roman" w:hAnsi="Times New Roman" w:cs="Times New Roman"/>
          <w:color w:val="1C1E21"/>
          <w:sz w:val="20"/>
          <w:szCs w:val="20"/>
        </w:rPr>
        <w:t>. This was used to validate respondents' scores. This was also used to determine the appropriate verbal interpretation of students' responses on the Likert-scale questionnaire.</w:t>
      </w:r>
    </w:p>
    <w:p w14:paraId="34E09D84" w14:textId="77777777" w:rsidR="001A3984" w:rsidRDefault="00115E6A">
      <w:pPr>
        <w:shd w:val="clear" w:color="auto" w:fill="FFFFFF"/>
        <w:spacing w:before="240" w:after="120" w:line="276" w:lineRule="auto"/>
        <w:jc w:val="both"/>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T-test.</w:t>
      </w:r>
      <w:r>
        <w:rPr>
          <w:rFonts w:ascii="Times New Roman" w:eastAsia="Times New Roman" w:hAnsi="Times New Roman" w:cs="Times New Roman"/>
          <w:color w:val="1C1E21"/>
          <w:sz w:val="20"/>
          <w:szCs w:val="20"/>
        </w:rPr>
        <w:t xml:space="preserve"> The t-test is a statistical test frequently used to compare the means of two groups. It is the method used to determine whether there is a significant difference between two groups or subjects. In line with the study, it will be used to determine whether there is a significant difference in students' reading comprehension skills before and after exposure to scaffolded reading.</w:t>
      </w:r>
    </w:p>
    <w:p w14:paraId="2807ADA4" w14:textId="77777777" w:rsidR="001A3984" w:rsidRDefault="001A3984">
      <w:pPr>
        <w:shd w:val="clear" w:color="auto" w:fill="FFFFFF"/>
        <w:spacing w:before="0"/>
        <w:jc w:val="both"/>
        <w:rPr>
          <w:rFonts w:ascii="Times New Roman" w:eastAsia="Times New Roman" w:hAnsi="Times New Roman" w:cs="Times New Roman"/>
          <w:color w:val="1C1E21"/>
          <w:sz w:val="20"/>
          <w:szCs w:val="20"/>
        </w:rPr>
      </w:pPr>
    </w:p>
    <w:p w14:paraId="499D3A81" w14:textId="77777777" w:rsidR="001A3984" w:rsidRDefault="00115E6A">
      <w:pPr>
        <w:shd w:val="clear" w:color="auto" w:fill="FFFFFF"/>
        <w:spacing w:before="0"/>
        <w:jc w:val="both"/>
        <w:rPr>
          <w:rFonts w:ascii="Times New Roman" w:eastAsia="Times New Roman" w:hAnsi="Times New Roman" w:cs="Times New Roman"/>
          <w:b/>
          <w:bCs/>
          <w:color w:val="1C1E21"/>
          <w:sz w:val="24"/>
          <w:szCs w:val="24"/>
        </w:rPr>
      </w:pPr>
      <w:r>
        <w:rPr>
          <w:rFonts w:ascii="Times New Roman" w:eastAsia="Times New Roman" w:hAnsi="Times New Roman" w:cs="Times New Roman"/>
          <w:b/>
          <w:bCs/>
          <w:color w:val="1C1E21"/>
          <w:sz w:val="24"/>
          <w:szCs w:val="24"/>
        </w:rPr>
        <w:t>4.      RESULTS AND DISCUSSION</w:t>
      </w:r>
    </w:p>
    <w:p w14:paraId="2FDA3D1B" w14:textId="77777777" w:rsidR="001A3984" w:rsidRDefault="00115E6A">
      <w:pPr>
        <w:shd w:val="clear" w:color="auto" w:fill="FFFFFF"/>
        <w:spacing w:before="0"/>
        <w:jc w:val="both"/>
        <w:rPr>
          <w:rFonts w:ascii="Times New Roman" w:eastAsia="Times New Roman" w:hAnsi="Times New Roman" w:cs="Times New Roman"/>
          <w:b/>
          <w:bCs/>
          <w:color w:val="1C1E21"/>
        </w:rPr>
      </w:pPr>
      <w:r>
        <w:rPr>
          <w:rFonts w:ascii="Times New Roman" w:eastAsia="Times New Roman" w:hAnsi="Times New Roman" w:cs="Times New Roman"/>
          <w:b/>
          <w:bCs/>
          <w:color w:val="1C1E21"/>
        </w:rPr>
        <w:t xml:space="preserve">4.1. The level of reading comprehension skills of students before exposure to scaffolded reading in terms of: </w:t>
      </w:r>
    </w:p>
    <w:p w14:paraId="62671145" w14:textId="77777777" w:rsidR="001A3984" w:rsidRDefault="001A3984">
      <w:pPr>
        <w:shd w:val="clear" w:color="auto" w:fill="FFFFFF"/>
        <w:spacing w:before="0"/>
        <w:jc w:val="both"/>
        <w:rPr>
          <w:rFonts w:ascii="Times New Roman" w:eastAsia="Times New Roman" w:hAnsi="Times New Roman" w:cs="Times New Roman"/>
          <w:b/>
          <w:bCs/>
          <w:color w:val="1C1E21"/>
        </w:rPr>
      </w:pPr>
    </w:p>
    <w:p w14:paraId="270E6374" w14:textId="77777777" w:rsidR="001A3984" w:rsidRDefault="00115E6A">
      <w:pPr>
        <w:shd w:val="clear" w:color="auto" w:fill="FFFFFF"/>
        <w:spacing w:before="0"/>
        <w:jc w:val="both"/>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Table 1 Literal Level</w:t>
      </w:r>
    </w:p>
    <w:p w14:paraId="6E0A1561" w14:textId="77777777" w:rsidR="001A3984" w:rsidRDefault="001A3984">
      <w:pPr>
        <w:shd w:val="clear" w:color="auto" w:fill="FFFFFF"/>
        <w:spacing w:before="0"/>
        <w:jc w:val="both"/>
        <w:rPr>
          <w:rFonts w:ascii="Times New Roman" w:eastAsia="Times New Roman" w:hAnsi="Times New Roman" w:cs="Times New Roman"/>
          <w:b/>
          <w:bCs/>
          <w:color w:val="1C1E21"/>
          <w:sz w:val="20"/>
          <w:szCs w:val="20"/>
        </w:rPr>
      </w:pPr>
    </w:p>
    <w:p w14:paraId="13E32BF1" w14:textId="77777777" w:rsidR="001A3984" w:rsidRDefault="001A3984">
      <w:pPr>
        <w:shd w:val="clear" w:color="auto" w:fill="FFFFFF"/>
        <w:spacing w:before="0"/>
        <w:jc w:val="both"/>
        <w:rPr>
          <w:rFonts w:ascii="Times New Roman" w:eastAsia="Times New Roman" w:hAnsi="Times New Roman" w:cs="Times New Roman"/>
          <w:b/>
          <w:bCs/>
          <w:color w:val="1C1E21"/>
          <w:sz w:val="20"/>
          <w:szCs w:val="20"/>
        </w:rPr>
      </w:pPr>
    </w:p>
    <w:tbl>
      <w:tblPr>
        <w:tblStyle w:val="aa"/>
        <w:tblW w:w="40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40"/>
        <w:gridCol w:w="1200"/>
        <w:gridCol w:w="1155"/>
      </w:tblGrid>
      <w:tr w:rsidR="001A3984" w14:paraId="695A8F88" w14:textId="77777777">
        <w:trPr>
          <w:trHeight w:val="690"/>
        </w:trPr>
        <w:tc>
          <w:tcPr>
            <w:tcW w:w="1740" w:type="dxa"/>
            <w:tcBorders>
              <w:top w:val="single" w:sz="5" w:space="0" w:color="000000"/>
              <w:left w:val="nil"/>
              <w:bottom w:val="single" w:sz="5" w:space="0" w:color="000000"/>
              <w:right w:val="nil"/>
            </w:tcBorders>
            <w:tcMar>
              <w:top w:w="0" w:type="dxa"/>
              <w:left w:w="100" w:type="dxa"/>
              <w:bottom w:w="0" w:type="dxa"/>
              <w:right w:w="100" w:type="dxa"/>
            </w:tcMar>
          </w:tcPr>
          <w:p w14:paraId="0D198037" w14:textId="77777777" w:rsidR="001A3984" w:rsidRDefault="00115E6A">
            <w:pPr>
              <w:shd w:val="clear" w:color="auto" w:fill="FFFFFF"/>
              <w:spacing w:before="0"/>
              <w:ind w:left="360"/>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Levels of Reading Comprehension</w:t>
            </w:r>
          </w:p>
        </w:tc>
        <w:tc>
          <w:tcPr>
            <w:tcW w:w="1200" w:type="dxa"/>
            <w:tcBorders>
              <w:top w:val="single" w:sz="5" w:space="0" w:color="000000"/>
              <w:left w:val="nil"/>
              <w:bottom w:val="single" w:sz="5" w:space="0" w:color="000000"/>
              <w:right w:val="nil"/>
            </w:tcBorders>
            <w:tcMar>
              <w:top w:w="0" w:type="dxa"/>
              <w:left w:w="100" w:type="dxa"/>
              <w:bottom w:w="0" w:type="dxa"/>
              <w:right w:w="100" w:type="dxa"/>
            </w:tcMar>
          </w:tcPr>
          <w:p w14:paraId="26587248" w14:textId="77777777" w:rsidR="001A3984" w:rsidRDefault="00115E6A">
            <w:pPr>
              <w:shd w:val="clear" w:color="auto" w:fill="FFFFFF"/>
              <w:spacing w:before="240"/>
              <w:jc w:val="center"/>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Frequency of Students</w:t>
            </w:r>
          </w:p>
        </w:tc>
        <w:tc>
          <w:tcPr>
            <w:tcW w:w="1155" w:type="dxa"/>
            <w:tcBorders>
              <w:top w:val="single" w:sz="5" w:space="0" w:color="000000"/>
              <w:left w:val="nil"/>
              <w:bottom w:val="single" w:sz="5" w:space="0" w:color="000000"/>
              <w:right w:val="nil"/>
            </w:tcBorders>
            <w:tcMar>
              <w:top w:w="0" w:type="dxa"/>
              <w:left w:w="100" w:type="dxa"/>
              <w:bottom w:w="0" w:type="dxa"/>
              <w:right w:w="100" w:type="dxa"/>
            </w:tcMar>
          </w:tcPr>
          <w:p w14:paraId="2A2505C1" w14:textId="77777777" w:rsidR="001A3984" w:rsidRDefault="00115E6A">
            <w:pPr>
              <w:shd w:val="clear" w:color="auto" w:fill="FFFFFF"/>
              <w:spacing w:before="240"/>
              <w:jc w:val="center"/>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Percentage (%)</w:t>
            </w:r>
          </w:p>
        </w:tc>
      </w:tr>
      <w:tr w:rsidR="001A3984" w14:paraId="3E526E5F" w14:textId="77777777">
        <w:trPr>
          <w:trHeight w:val="525"/>
        </w:trPr>
        <w:tc>
          <w:tcPr>
            <w:tcW w:w="1740" w:type="dxa"/>
            <w:tcBorders>
              <w:top w:val="nil"/>
              <w:left w:val="nil"/>
              <w:bottom w:val="nil"/>
              <w:right w:val="nil"/>
            </w:tcBorders>
            <w:tcMar>
              <w:top w:w="0" w:type="dxa"/>
              <w:left w:w="100" w:type="dxa"/>
              <w:bottom w:w="0" w:type="dxa"/>
              <w:right w:w="100" w:type="dxa"/>
            </w:tcMar>
          </w:tcPr>
          <w:p w14:paraId="52414D1D"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Independent Level</w:t>
            </w:r>
          </w:p>
        </w:tc>
        <w:tc>
          <w:tcPr>
            <w:tcW w:w="1200" w:type="dxa"/>
            <w:tcBorders>
              <w:top w:val="nil"/>
              <w:left w:val="nil"/>
              <w:bottom w:val="nil"/>
              <w:right w:val="nil"/>
            </w:tcBorders>
            <w:tcMar>
              <w:top w:w="0" w:type="dxa"/>
              <w:left w:w="100" w:type="dxa"/>
              <w:bottom w:w="0" w:type="dxa"/>
              <w:right w:w="100" w:type="dxa"/>
            </w:tcMar>
          </w:tcPr>
          <w:p w14:paraId="2E384347"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12</w:t>
            </w:r>
          </w:p>
        </w:tc>
        <w:tc>
          <w:tcPr>
            <w:tcW w:w="1155" w:type="dxa"/>
            <w:tcBorders>
              <w:top w:val="nil"/>
              <w:left w:val="nil"/>
              <w:bottom w:val="nil"/>
              <w:right w:val="nil"/>
            </w:tcBorders>
            <w:tcMar>
              <w:top w:w="0" w:type="dxa"/>
              <w:left w:w="100" w:type="dxa"/>
              <w:bottom w:w="0" w:type="dxa"/>
              <w:right w:w="100" w:type="dxa"/>
            </w:tcMar>
          </w:tcPr>
          <w:p w14:paraId="3F79CA4B"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15%</w:t>
            </w:r>
          </w:p>
        </w:tc>
      </w:tr>
      <w:tr w:rsidR="001A3984" w14:paraId="3A4E75A2" w14:textId="77777777">
        <w:trPr>
          <w:trHeight w:val="525"/>
        </w:trPr>
        <w:tc>
          <w:tcPr>
            <w:tcW w:w="1740" w:type="dxa"/>
            <w:tcBorders>
              <w:top w:val="nil"/>
              <w:left w:val="nil"/>
              <w:bottom w:val="nil"/>
              <w:right w:val="nil"/>
            </w:tcBorders>
            <w:tcMar>
              <w:top w:w="0" w:type="dxa"/>
              <w:left w:w="100" w:type="dxa"/>
              <w:bottom w:w="0" w:type="dxa"/>
              <w:right w:w="100" w:type="dxa"/>
            </w:tcMar>
          </w:tcPr>
          <w:p w14:paraId="7B610528"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Instructional Level</w:t>
            </w:r>
          </w:p>
        </w:tc>
        <w:tc>
          <w:tcPr>
            <w:tcW w:w="1200" w:type="dxa"/>
            <w:tcBorders>
              <w:top w:val="nil"/>
              <w:left w:val="nil"/>
              <w:bottom w:val="nil"/>
              <w:right w:val="nil"/>
            </w:tcBorders>
            <w:tcMar>
              <w:top w:w="0" w:type="dxa"/>
              <w:left w:w="100" w:type="dxa"/>
              <w:bottom w:w="0" w:type="dxa"/>
              <w:right w:w="100" w:type="dxa"/>
            </w:tcMar>
          </w:tcPr>
          <w:p w14:paraId="540FB6C8"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41</w:t>
            </w:r>
          </w:p>
        </w:tc>
        <w:tc>
          <w:tcPr>
            <w:tcW w:w="1155" w:type="dxa"/>
            <w:tcBorders>
              <w:top w:val="nil"/>
              <w:left w:val="nil"/>
              <w:bottom w:val="nil"/>
              <w:right w:val="nil"/>
            </w:tcBorders>
            <w:tcMar>
              <w:top w:w="0" w:type="dxa"/>
              <w:left w:w="100" w:type="dxa"/>
              <w:bottom w:w="0" w:type="dxa"/>
              <w:right w:w="100" w:type="dxa"/>
            </w:tcMar>
          </w:tcPr>
          <w:p w14:paraId="79E3FC2E"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51%</w:t>
            </w:r>
          </w:p>
        </w:tc>
      </w:tr>
      <w:tr w:rsidR="001A3984" w14:paraId="74400434" w14:textId="77777777">
        <w:trPr>
          <w:trHeight w:val="525"/>
        </w:trPr>
        <w:tc>
          <w:tcPr>
            <w:tcW w:w="1740" w:type="dxa"/>
            <w:tcBorders>
              <w:top w:val="nil"/>
              <w:left w:val="nil"/>
              <w:bottom w:val="single" w:sz="5" w:space="0" w:color="000000"/>
              <w:right w:val="nil"/>
            </w:tcBorders>
            <w:tcMar>
              <w:top w:w="0" w:type="dxa"/>
              <w:left w:w="100" w:type="dxa"/>
              <w:bottom w:w="0" w:type="dxa"/>
              <w:right w:w="100" w:type="dxa"/>
            </w:tcMar>
          </w:tcPr>
          <w:p w14:paraId="6F03AAAE"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Frustration Level</w:t>
            </w:r>
          </w:p>
        </w:tc>
        <w:tc>
          <w:tcPr>
            <w:tcW w:w="1200" w:type="dxa"/>
            <w:tcBorders>
              <w:top w:val="nil"/>
              <w:left w:val="nil"/>
              <w:bottom w:val="single" w:sz="5" w:space="0" w:color="000000"/>
              <w:right w:val="nil"/>
            </w:tcBorders>
            <w:tcMar>
              <w:top w:w="0" w:type="dxa"/>
              <w:left w:w="100" w:type="dxa"/>
              <w:bottom w:w="0" w:type="dxa"/>
              <w:right w:w="100" w:type="dxa"/>
            </w:tcMar>
          </w:tcPr>
          <w:p w14:paraId="7AB7C573"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27</w:t>
            </w:r>
          </w:p>
        </w:tc>
        <w:tc>
          <w:tcPr>
            <w:tcW w:w="1155" w:type="dxa"/>
            <w:tcBorders>
              <w:top w:val="nil"/>
              <w:left w:val="nil"/>
              <w:bottom w:val="single" w:sz="5" w:space="0" w:color="000000"/>
              <w:right w:val="nil"/>
            </w:tcBorders>
            <w:tcMar>
              <w:top w:w="0" w:type="dxa"/>
              <w:left w:w="100" w:type="dxa"/>
              <w:bottom w:w="0" w:type="dxa"/>
              <w:right w:w="100" w:type="dxa"/>
            </w:tcMar>
          </w:tcPr>
          <w:p w14:paraId="771ED0DF"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34%</w:t>
            </w:r>
          </w:p>
        </w:tc>
      </w:tr>
      <w:tr w:rsidR="001A3984" w14:paraId="7DFB35F8" w14:textId="77777777">
        <w:trPr>
          <w:trHeight w:val="315"/>
        </w:trPr>
        <w:tc>
          <w:tcPr>
            <w:tcW w:w="1740" w:type="dxa"/>
            <w:tcBorders>
              <w:top w:val="nil"/>
              <w:left w:val="nil"/>
              <w:bottom w:val="single" w:sz="5" w:space="0" w:color="000000"/>
              <w:right w:val="nil"/>
            </w:tcBorders>
            <w:tcMar>
              <w:top w:w="0" w:type="dxa"/>
              <w:left w:w="100" w:type="dxa"/>
              <w:bottom w:w="0" w:type="dxa"/>
              <w:right w:w="100" w:type="dxa"/>
            </w:tcMar>
          </w:tcPr>
          <w:p w14:paraId="56EE2F35" w14:textId="77777777" w:rsidR="001A3984" w:rsidRDefault="00115E6A">
            <w:pPr>
              <w:shd w:val="clear" w:color="auto" w:fill="FFFFFF"/>
              <w:spacing w:before="0"/>
              <w:ind w:left="360"/>
              <w:jc w:val="both"/>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TOTAL</w:t>
            </w:r>
          </w:p>
        </w:tc>
        <w:tc>
          <w:tcPr>
            <w:tcW w:w="1200" w:type="dxa"/>
            <w:tcBorders>
              <w:top w:val="nil"/>
              <w:left w:val="nil"/>
              <w:bottom w:val="single" w:sz="5" w:space="0" w:color="000000"/>
              <w:right w:val="nil"/>
            </w:tcBorders>
            <w:tcMar>
              <w:top w:w="0" w:type="dxa"/>
              <w:left w:w="100" w:type="dxa"/>
              <w:bottom w:w="0" w:type="dxa"/>
              <w:right w:w="100" w:type="dxa"/>
            </w:tcMar>
          </w:tcPr>
          <w:p w14:paraId="0A95E8E3" w14:textId="77777777" w:rsidR="001A3984" w:rsidRDefault="00115E6A">
            <w:pPr>
              <w:shd w:val="clear" w:color="auto" w:fill="FFFFFF"/>
              <w:spacing w:before="0"/>
              <w:ind w:left="360"/>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80</w:t>
            </w:r>
          </w:p>
        </w:tc>
        <w:tc>
          <w:tcPr>
            <w:tcW w:w="1155" w:type="dxa"/>
            <w:tcBorders>
              <w:top w:val="nil"/>
              <w:left w:val="nil"/>
              <w:bottom w:val="single" w:sz="5" w:space="0" w:color="000000"/>
              <w:right w:val="nil"/>
            </w:tcBorders>
            <w:tcMar>
              <w:top w:w="0" w:type="dxa"/>
              <w:left w:w="100" w:type="dxa"/>
              <w:bottom w:w="0" w:type="dxa"/>
              <w:right w:w="100" w:type="dxa"/>
            </w:tcMar>
          </w:tcPr>
          <w:p w14:paraId="3413FDC5" w14:textId="77777777" w:rsidR="001A3984" w:rsidRDefault="00115E6A">
            <w:pPr>
              <w:shd w:val="clear" w:color="auto" w:fill="FFFFFF"/>
              <w:spacing w:before="0"/>
              <w:ind w:left="360"/>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100%</w:t>
            </w:r>
          </w:p>
        </w:tc>
      </w:tr>
    </w:tbl>
    <w:p w14:paraId="29526F45"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Table 1 presents students' pre-test performance on the literal level. The results show that 51% of the students fall into instructional levels of reading comprehension, 34% into frustration levels, and the other 15% into independent levels. The data shows a predominance of students in the Instructional Level, which is a positive sign. Still, the notable percentage in the Frustration Level indicates that a significant number of students may require additional support.</w:t>
      </w:r>
    </w:p>
    <w:p w14:paraId="5A836D6D" w14:textId="77777777" w:rsidR="001A3984" w:rsidRDefault="00115E6A">
      <w:pPr>
        <w:shd w:val="clear" w:color="auto" w:fill="FFFFFF"/>
        <w:spacing w:before="0"/>
        <w:ind w:firstLine="720"/>
        <w:jc w:val="both"/>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 xml:space="preserve">As supported by the study of EnglishBix (2024), to enhance their literal comprehension, students can use several strategies, such as identifying keywords and applying skimming and scanning techniques. The subject teacher may </w:t>
      </w:r>
      <w:r>
        <w:rPr>
          <w:rFonts w:ascii="Times New Roman" w:eastAsia="Times New Roman" w:hAnsi="Times New Roman" w:cs="Times New Roman"/>
          <w:color w:val="1C1E21"/>
          <w:sz w:val="20"/>
          <w:szCs w:val="20"/>
        </w:rPr>
        <w:lastRenderedPageBreak/>
        <w:t>develop alternative, effective instructional strategies for reading to help students not only understand the story but also develop their reading comprehension skills</w:t>
      </w:r>
    </w:p>
    <w:p w14:paraId="7F09D3BF" w14:textId="77777777" w:rsidR="001A3984" w:rsidRDefault="001A3984">
      <w:pPr>
        <w:shd w:val="clear" w:color="auto" w:fill="FFFFFF"/>
        <w:spacing w:before="0"/>
        <w:jc w:val="both"/>
        <w:rPr>
          <w:rFonts w:ascii="Times New Roman" w:eastAsia="Times New Roman" w:hAnsi="Times New Roman" w:cs="Times New Roman"/>
          <w:b/>
          <w:bCs/>
          <w:color w:val="1C1E21"/>
          <w:sz w:val="20"/>
          <w:szCs w:val="20"/>
        </w:rPr>
      </w:pPr>
    </w:p>
    <w:p w14:paraId="370D4ED5" w14:textId="77777777" w:rsidR="001A3984" w:rsidRDefault="00115E6A">
      <w:pPr>
        <w:shd w:val="clear" w:color="auto" w:fill="FFFFFF"/>
        <w:spacing w:before="0"/>
        <w:jc w:val="both"/>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 xml:space="preserve">Table 2 Interpretive Level </w:t>
      </w:r>
    </w:p>
    <w:p w14:paraId="14961261" w14:textId="77777777" w:rsidR="001A3984" w:rsidRDefault="001A3984">
      <w:pPr>
        <w:shd w:val="clear" w:color="auto" w:fill="FFFFFF"/>
        <w:spacing w:before="0"/>
        <w:jc w:val="both"/>
        <w:rPr>
          <w:rFonts w:ascii="Times New Roman" w:eastAsia="Times New Roman" w:hAnsi="Times New Roman" w:cs="Times New Roman"/>
          <w:color w:val="1C1E21"/>
          <w:sz w:val="20"/>
          <w:szCs w:val="20"/>
        </w:rPr>
      </w:pPr>
    </w:p>
    <w:tbl>
      <w:tblPr>
        <w:tblStyle w:val="ab"/>
        <w:tblW w:w="41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40"/>
        <w:gridCol w:w="1155"/>
        <w:gridCol w:w="1215"/>
      </w:tblGrid>
      <w:tr w:rsidR="001A3984" w14:paraId="08B0C9E1" w14:textId="77777777">
        <w:trPr>
          <w:trHeight w:val="525"/>
        </w:trPr>
        <w:tc>
          <w:tcPr>
            <w:tcW w:w="1740" w:type="dxa"/>
            <w:tcBorders>
              <w:top w:val="single" w:sz="5" w:space="0" w:color="000000"/>
              <w:left w:val="nil"/>
              <w:bottom w:val="single" w:sz="5" w:space="0" w:color="000000"/>
              <w:right w:val="nil"/>
            </w:tcBorders>
            <w:tcMar>
              <w:top w:w="0" w:type="dxa"/>
              <w:left w:w="100" w:type="dxa"/>
              <w:bottom w:w="0" w:type="dxa"/>
              <w:right w:w="100" w:type="dxa"/>
            </w:tcMar>
          </w:tcPr>
          <w:p w14:paraId="5C4BD446" w14:textId="77777777" w:rsidR="001A3984" w:rsidRDefault="00115E6A">
            <w:pPr>
              <w:shd w:val="clear" w:color="auto" w:fill="FFFFFF"/>
              <w:spacing w:before="0"/>
              <w:ind w:left="360"/>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Levels of Reading Comprehension</w:t>
            </w:r>
          </w:p>
        </w:tc>
        <w:tc>
          <w:tcPr>
            <w:tcW w:w="1155" w:type="dxa"/>
            <w:tcBorders>
              <w:top w:val="single" w:sz="5" w:space="0" w:color="000000"/>
              <w:left w:val="nil"/>
              <w:bottom w:val="single" w:sz="5" w:space="0" w:color="000000"/>
              <w:right w:val="nil"/>
            </w:tcBorders>
            <w:tcMar>
              <w:top w:w="0" w:type="dxa"/>
              <w:left w:w="100" w:type="dxa"/>
              <w:bottom w:w="0" w:type="dxa"/>
              <w:right w:w="100" w:type="dxa"/>
            </w:tcMar>
          </w:tcPr>
          <w:p w14:paraId="641B74BE" w14:textId="77777777" w:rsidR="001A3984" w:rsidRDefault="00115E6A">
            <w:pPr>
              <w:shd w:val="clear" w:color="auto" w:fill="FFFFFF"/>
              <w:spacing w:before="0"/>
              <w:jc w:val="center"/>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Frequency of Students</w:t>
            </w:r>
          </w:p>
        </w:tc>
        <w:tc>
          <w:tcPr>
            <w:tcW w:w="1215" w:type="dxa"/>
            <w:tcBorders>
              <w:top w:val="single" w:sz="5" w:space="0" w:color="000000"/>
              <w:left w:val="nil"/>
              <w:bottom w:val="single" w:sz="5" w:space="0" w:color="000000"/>
              <w:right w:val="nil"/>
            </w:tcBorders>
            <w:tcMar>
              <w:top w:w="0" w:type="dxa"/>
              <w:left w:w="100" w:type="dxa"/>
              <w:bottom w:w="0" w:type="dxa"/>
              <w:right w:w="100" w:type="dxa"/>
            </w:tcMar>
          </w:tcPr>
          <w:p w14:paraId="0C5A8BC5" w14:textId="77777777" w:rsidR="001A3984" w:rsidRDefault="00115E6A">
            <w:pPr>
              <w:shd w:val="clear" w:color="auto" w:fill="FFFFFF"/>
              <w:spacing w:before="0"/>
              <w:jc w:val="center"/>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Percentage (%)</w:t>
            </w:r>
          </w:p>
        </w:tc>
      </w:tr>
      <w:tr w:rsidR="001A3984" w14:paraId="0B0F4201" w14:textId="77777777">
        <w:trPr>
          <w:trHeight w:val="525"/>
        </w:trPr>
        <w:tc>
          <w:tcPr>
            <w:tcW w:w="1740" w:type="dxa"/>
            <w:tcBorders>
              <w:top w:val="nil"/>
              <w:left w:val="nil"/>
              <w:bottom w:val="nil"/>
              <w:right w:val="nil"/>
            </w:tcBorders>
            <w:tcMar>
              <w:top w:w="0" w:type="dxa"/>
              <w:left w:w="100" w:type="dxa"/>
              <w:bottom w:w="0" w:type="dxa"/>
              <w:right w:w="100" w:type="dxa"/>
            </w:tcMar>
          </w:tcPr>
          <w:p w14:paraId="013D70E4" w14:textId="77777777" w:rsidR="001A3984" w:rsidRDefault="00115E6A">
            <w:pPr>
              <w:shd w:val="clear" w:color="auto" w:fill="FFFFFF"/>
              <w:spacing w:before="0"/>
              <w:ind w:left="360"/>
              <w:jc w:val="both"/>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Instructional Level</w:t>
            </w:r>
          </w:p>
        </w:tc>
        <w:tc>
          <w:tcPr>
            <w:tcW w:w="1155" w:type="dxa"/>
            <w:tcBorders>
              <w:top w:val="nil"/>
              <w:left w:val="nil"/>
              <w:bottom w:val="nil"/>
              <w:right w:val="nil"/>
            </w:tcBorders>
            <w:tcMar>
              <w:top w:w="0" w:type="dxa"/>
              <w:left w:w="100" w:type="dxa"/>
              <w:bottom w:w="0" w:type="dxa"/>
              <w:right w:w="100" w:type="dxa"/>
            </w:tcMar>
          </w:tcPr>
          <w:p w14:paraId="2D209E7D"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9</w:t>
            </w:r>
          </w:p>
        </w:tc>
        <w:tc>
          <w:tcPr>
            <w:tcW w:w="1215" w:type="dxa"/>
            <w:tcBorders>
              <w:top w:val="nil"/>
              <w:left w:val="nil"/>
              <w:bottom w:val="nil"/>
              <w:right w:val="nil"/>
            </w:tcBorders>
            <w:tcMar>
              <w:top w:w="0" w:type="dxa"/>
              <w:left w:w="100" w:type="dxa"/>
              <w:bottom w:w="0" w:type="dxa"/>
              <w:right w:w="100" w:type="dxa"/>
            </w:tcMar>
          </w:tcPr>
          <w:p w14:paraId="576CFC13"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11%</w:t>
            </w:r>
          </w:p>
        </w:tc>
      </w:tr>
      <w:tr w:rsidR="001A3984" w14:paraId="32BFBA78" w14:textId="77777777">
        <w:trPr>
          <w:trHeight w:val="525"/>
        </w:trPr>
        <w:tc>
          <w:tcPr>
            <w:tcW w:w="1740" w:type="dxa"/>
            <w:tcBorders>
              <w:top w:val="nil"/>
              <w:left w:val="nil"/>
              <w:bottom w:val="single" w:sz="5" w:space="0" w:color="000000"/>
              <w:right w:val="nil"/>
            </w:tcBorders>
            <w:tcMar>
              <w:top w:w="0" w:type="dxa"/>
              <w:left w:w="100" w:type="dxa"/>
              <w:bottom w:w="0" w:type="dxa"/>
              <w:right w:w="100" w:type="dxa"/>
            </w:tcMar>
          </w:tcPr>
          <w:p w14:paraId="6363DB1B" w14:textId="77777777" w:rsidR="001A3984" w:rsidRDefault="00115E6A">
            <w:pPr>
              <w:shd w:val="clear" w:color="auto" w:fill="FFFFFF"/>
              <w:spacing w:before="0"/>
              <w:ind w:left="360"/>
              <w:jc w:val="both"/>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Frustration Level</w:t>
            </w:r>
          </w:p>
        </w:tc>
        <w:tc>
          <w:tcPr>
            <w:tcW w:w="1155" w:type="dxa"/>
            <w:tcBorders>
              <w:top w:val="nil"/>
              <w:left w:val="nil"/>
              <w:bottom w:val="single" w:sz="5" w:space="0" w:color="000000"/>
              <w:right w:val="nil"/>
            </w:tcBorders>
            <w:tcMar>
              <w:top w:w="0" w:type="dxa"/>
              <w:left w:w="100" w:type="dxa"/>
              <w:bottom w:w="0" w:type="dxa"/>
              <w:right w:w="100" w:type="dxa"/>
            </w:tcMar>
          </w:tcPr>
          <w:p w14:paraId="08D9843D"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71</w:t>
            </w:r>
          </w:p>
        </w:tc>
        <w:tc>
          <w:tcPr>
            <w:tcW w:w="1215" w:type="dxa"/>
            <w:tcBorders>
              <w:top w:val="nil"/>
              <w:left w:val="nil"/>
              <w:bottom w:val="single" w:sz="5" w:space="0" w:color="000000"/>
              <w:right w:val="nil"/>
            </w:tcBorders>
            <w:tcMar>
              <w:top w:w="0" w:type="dxa"/>
              <w:left w:w="100" w:type="dxa"/>
              <w:bottom w:w="0" w:type="dxa"/>
              <w:right w:w="100" w:type="dxa"/>
            </w:tcMar>
          </w:tcPr>
          <w:p w14:paraId="1BB2BB14"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89%</w:t>
            </w:r>
          </w:p>
        </w:tc>
      </w:tr>
      <w:tr w:rsidR="001A3984" w14:paraId="1AF07AF9" w14:textId="77777777">
        <w:trPr>
          <w:trHeight w:val="315"/>
        </w:trPr>
        <w:tc>
          <w:tcPr>
            <w:tcW w:w="1740" w:type="dxa"/>
            <w:tcBorders>
              <w:top w:val="nil"/>
              <w:left w:val="nil"/>
              <w:bottom w:val="single" w:sz="5" w:space="0" w:color="000000"/>
              <w:right w:val="nil"/>
            </w:tcBorders>
            <w:tcMar>
              <w:top w:w="0" w:type="dxa"/>
              <w:left w:w="100" w:type="dxa"/>
              <w:bottom w:w="0" w:type="dxa"/>
              <w:right w:w="100" w:type="dxa"/>
            </w:tcMar>
          </w:tcPr>
          <w:p w14:paraId="00615D06" w14:textId="77777777" w:rsidR="001A3984" w:rsidRDefault="00115E6A">
            <w:pPr>
              <w:shd w:val="clear" w:color="auto" w:fill="FFFFFF"/>
              <w:spacing w:before="0"/>
              <w:ind w:left="360"/>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TOTAL</w:t>
            </w:r>
          </w:p>
        </w:tc>
        <w:tc>
          <w:tcPr>
            <w:tcW w:w="1155" w:type="dxa"/>
            <w:tcBorders>
              <w:top w:val="nil"/>
              <w:left w:val="nil"/>
              <w:bottom w:val="single" w:sz="5" w:space="0" w:color="000000"/>
              <w:right w:val="nil"/>
            </w:tcBorders>
            <w:tcMar>
              <w:top w:w="0" w:type="dxa"/>
              <w:left w:w="100" w:type="dxa"/>
              <w:bottom w:w="0" w:type="dxa"/>
              <w:right w:w="100" w:type="dxa"/>
            </w:tcMar>
          </w:tcPr>
          <w:p w14:paraId="323A50F9" w14:textId="77777777" w:rsidR="001A3984" w:rsidRDefault="00115E6A">
            <w:pPr>
              <w:shd w:val="clear" w:color="auto" w:fill="FFFFFF"/>
              <w:spacing w:before="0"/>
              <w:ind w:left="360"/>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80</w:t>
            </w:r>
          </w:p>
        </w:tc>
        <w:tc>
          <w:tcPr>
            <w:tcW w:w="1215" w:type="dxa"/>
            <w:tcBorders>
              <w:top w:val="nil"/>
              <w:left w:val="nil"/>
              <w:bottom w:val="single" w:sz="5" w:space="0" w:color="000000"/>
              <w:right w:val="nil"/>
            </w:tcBorders>
            <w:tcMar>
              <w:top w:w="0" w:type="dxa"/>
              <w:left w:w="100" w:type="dxa"/>
              <w:bottom w:w="0" w:type="dxa"/>
              <w:right w:w="100" w:type="dxa"/>
            </w:tcMar>
          </w:tcPr>
          <w:p w14:paraId="0241373B" w14:textId="77777777" w:rsidR="001A3984" w:rsidRDefault="00115E6A">
            <w:pPr>
              <w:shd w:val="clear" w:color="auto" w:fill="FFFFFF"/>
              <w:spacing w:before="0"/>
              <w:ind w:left="360"/>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100%</w:t>
            </w:r>
          </w:p>
        </w:tc>
      </w:tr>
    </w:tbl>
    <w:p w14:paraId="16AA6034" w14:textId="77777777" w:rsidR="001A3984" w:rsidRDefault="001A3984">
      <w:pPr>
        <w:shd w:val="clear" w:color="auto" w:fill="FFFFFF"/>
        <w:spacing w:before="0"/>
        <w:jc w:val="both"/>
        <w:rPr>
          <w:rFonts w:ascii="Times New Roman" w:eastAsia="Times New Roman" w:hAnsi="Times New Roman" w:cs="Times New Roman"/>
          <w:b/>
          <w:bCs/>
          <w:color w:val="1C1E21"/>
          <w:sz w:val="20"/>
          <w:szCs w:val="20"/>
        </w:rPr>
      </w:pPr>
    </w:p>
    <w:p w14:paraId="213968C9" w14:textId="77777777" w:rsidR="001A3984" w:rsidRDefault="00115E6A">
      <w:pPr>
        <w:shd w:val="clear" w:color="auto" w:fill="FFFFFF"/>
        <w:spacing w:before="0"/>
        <w:ind w:firstLine="720"/>
        <w:jc w:val="both"/>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 xml:space="preserve">Table 2 presents students’ pre-test performance on the interpretive level. The results show that the majority of 89% of the students fall into frustration levels of reading comprehension while 11% of them fall into instructional level and none of them are on an independent level. The result revealed that the majority of students got a failed score on interpretive level pre-test. </w:t>
      </w:r>
    </w:p>
    <w:p w14:paraId="32759BD8" w14:textId="77777777" w:rsidR="001A3984" w:rsidRDefault="00115E6A">
      <w:pPr>
        <w:shd w:val="clear" w:color="auto" w:fill="FFFFFF"/>
        <w:spacing w:before="0"/>
        <w:ind w:firstLine="720"/>
        <w:jc w:val="both"/>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 xml:space="preserve">In accordance with these findings, the investigation of Singh et al. (2020) indicates that students with lower proficiency levels did not experience the same level of engagement and critical thinking development. </w:t>
      </w:r>
    </w:p>
    <w:p w14:paraId="64E8897B" w14:textId="77777777" w:rsidR="001A3984" w:rsidRDefault="001A3984">
      <w:pPr>
        <w:shd w:val="clear" w:color="auto" w:fill="FFFFFF"/>
        <w:spacing w:before="0"/>
        <w:jc w:val="both"/>
        <w:rPr>
          <w:rFonts w:ascii="Times New Roman" w:eastAsia="Times New Roman" w:hAnsi="Times New Roman" w:cs="Times New Roman"/>
          <w:color w:val="1C1E21"/>
          <w:sz w:val="20"/>
          <w:szCs w:val="20"/>
        </w:rPr>
      </w:pPr>
    </w:p>
    <w:p w14:paraId="47EF0F9F" w14:textId="77777777" w:rsidR="001A3984" w:rsidRDefault="00115E6A">
      <w:pPr>
        <w:shd w:val="clear" w:color="auto" w:fill="FFFFFF"/>
        <w:spacing w:before="0"/>
        <w:jc w:val="both"/>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 xml:space="preserve">Table 3 Critical/ Evaluative Level </w:t>
      </w:r>
    </w:p>
    <w:p w14:paraId="39371BBB" w14:textId="77777777" w:rsidR="001A3984" w:rsidRDefault="001A3984">
      <w:pPr>
        <w:shd w:val="clear" w:color="auto" w:fill="FFFFFF"/>
        <w:spacing w:before="0"/>
        <w:jc w:val="both"/>
        <w:rPr>
          <w:rFonts w:ascii="Times New Roman" w:eastAsia="Times New Roman" w:hAnsi="Times New Roman" w:cs="Times New Roman"/>
          <w:b/>
          <w:bCs/>
          <w:color w:val="1C1E21"/>
          <w:sz w:val="20"/>
          <w:szCs w:val="20"/>
        </w:rPr>
      </w:pPr>
    </w:p>
    <w:tbl>
      <w:tblPr>
        <w:tblStyle w:val="ac"/>
        <w:tblpPr w:leftFromText="180" w:rightFromText="180" w:topFromText="180" w:bottomFromText="180" w:vertAnchor="text" w:tblpX="-75"/>
        <w:tblW w:w="41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65"/>
        <w:gridCol w:w="1260"/>
        <w:gridCol w:w="1200"/>
      </w:tblGrid>
      <w:tr w:rsidR="001A3984" w14:paraId="25DD3371" w14:textId="77777777">
        <w:trPr>
          <w:trHeight w:val="1050"/>
        </w:trPr>
        <w:tc>
          <w:tcPr>
            <w:tcW w:w="1665" w:type="dxa"/>
            <w:tcBorders>
              <w:top w:val="single" w:sz="5" w:space="0" w:color="000000"/>
              <w:bottom w:val="single" w:sz="5" w:space="0" w:color="000000"/>
            </w:tcBorders>
            <w:tcMar>
              <w:top w:w="0" w:type="dxa"/>
              <w:bottom w:w="0" w:type="dxa"/>
            </w:tcMar>
          </w:tcPr>
          <w:p w14:paraId="122FAE07" w14:textId="77777777" w:rsidR="001A3984" w:rsidRDefault="00115E6A">
            <w:pPr>
              <w:shd w:val="clear" w:color="auto" w:fill="FFFFFF"/>
              <w:spacing w:before="0"/>
              <w:ind w:left="360"/>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Levels of Reading Comprehension</w:t>
            </w:r>
          </w:p>
        </w:tc>
        <w:tc>
          <w:tcPr>
            <w:tcW w:w="1260" w:type="dxa"/>
            <w:tcBorders>
              <w:top w:val="single" w:sz="5" w:space="0" w:color="000000"/>
              <w:bottom w:val="single" w:sz="5" w:space="0" w:color="000000"/>
            </w:tcBorders>
            <w:tcMar>
              <w:top w:w="0" w:type="dxa"/>
              <w:bottom w:w="0" w:type="dxa"/>
            </w:tcMar>
          </w:tcPr>
          <w:p w14:paraId="4A33F4E5" w14:textId="77777777" w:rsidR="001A3984" w:rsidRDefault="00115E6A">
            <w:pPr>
              <w:shd w:val="clear" w:color="auto" w:fill="FFFFFF"/>
              <w:spacing w:before="240"/>
              <w:jc w:val="center"/>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Frequency of Students</w:t>
            </w:r>
          </w:p>
        </w:tc>
        <w:tc>
          <w:tcPr>
            <w:tcW w:w="1200" w:type="dxa"/>
            <w:tcBorders>
              <w:top w:val="single" w:sz="5" w:space="0" w:color="000000"/>
              <w:bottom w:val="single" w:sz="5" w:space="0" w:color="000000"/>
            </w:tcBorders>
            <w:tcMar>
              <w:top w:w="0" w:type="dxa"/>
              <w:bottom w:w="0" w:type="dxa"/>
            </w:tcMar>
          </w:tcPr>
          <w:p w14:paraId="4646D16E" w14:textId="77777777" w:rsidR="001A3984" w:rsidRDefault="00115E6A">
            <w:pPr>
              <w:shd w:val="clear" w:color="auto" w:fill="FFFFFF"/>
              <w:spacing w:before="240"/>
              <w:jc w:val="center"/>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Percentage (%)</w:t>
            </w:r>
          </w:p>
        </w:tc>
      </w:tr>
      <w:tr w:rsidR="001A3984" w14:paraId="392BDC7E" w14:textId="77777777">
        <w:trPr>
          <w:trHeight w:val="525"/>
        </w:trPr>
        <w:tc>
          <w:tcPr>
            <w:tcW w:w="1665" w:type="dxa"/>
            <w:tcBorders>
              <w:top w:val="single" w:sz="5" w:space="0" w:color="000000"/>
            </w:tcBorders>
            <w:tcMar>
              <w:top w:w="0" w:type="dxa"/>
              <w:bottom w:w="0" w:type="dxa"/>
            </w:tcMar>
          </w:tcPr>
          <w:p w14:paraId="320B3EA8"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Instructional Level</w:t>
            </w:r>
          </w:p>
        </w:tc>
        <w:tc>
          <w:tcPr>
            <w:tcW w:w="1260" w:type="dxa"/>
            <w:tcBorders>
              <w:top w:val="single" w:sz="5" w:space="0" w:color="000000"/>
            </w:tcBorders>
            <w:tcMar>
              <w:top w:w="0" w:type="dxa"/>
              <w:bottom w:w="0" w:type="dxa"/>
            </w:tcMar>
          </w:tcPr>
          <w:p w14:paraId="746F8D3E"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1</w:t>
            </w:r>
          </w:p>
        </w:tc>
        <w:tc>
          <w:tcPr>
            <w:tcW w:w="1200" w:type="dxa"/>
            <w:tcBorders>
              <w:top w:val="single" w:sz="5" w:space="0" w:color="000000"/>
            </w:tcBorders>
            <w:tcMar>
              <w:top w:w="0" w:type="dxa"/>
              <w:bottom w:w="0" w:type="dxa"/>
            </w:tcMar>
          </w:tcPr>
          <w:p w14:paraId="768A7809"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1%</w:t>
            </w:r>
          </w:p>
        </w:tc>
      </w:tr>
      <w:tr w:rsidR="001A3984" w14:paraId="025CE25F" w14:textId="77777777">
        <w:trPr>
          <w:trHeight w:val="525"/>
        </w:trPr>
        <w:tc>
          <w:tcPr>
            <w:tcW w:w="1665" w:type="dxa"/>
            <w:tcBorders>
              <w:bottom w:val="single" w:sz="5" w:space="0" w:color="000000"/>
            </w:tcBorders>
            <w:tcMar>
              <w:top w:w="0" w:type="dxa"/>
              <w:bottom w:w="0" w:type="dxa"/>
            </w:tcMar>
          </w:tcPr>
          <w:p w14:paraId="62B6A4EA"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Frustration Level</w:t>
            </w:r>
          </w:p>
        </w:tc>
        <w:tc>
          <w:tcPr>
            <w:tcW w:w="1260" w:type="dxa"/>
            <w:tcBorders>
              <w:bottom w:val="single" w:sz="5" w:space="0" w:color="000000"/>
            </w:tcBorders>
            <w:tcMar>
              <w:top w:w="0" w:type="dxa"/>
              <w:bottom w:w="0" w:type="dxa"/>
            </w:tcMar>
          </w:tcPr>
          <w:p w14:paraId="13E1885E"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79</w:t>
            </w:r>
          </w:p>
        </w:tc>
        <w:tc>
          <w:tcPr>
            <w:tcW w:w="1200" w:type="dxa"/>
            <w:tcBorders>
              <w:bottom w:val="single" w:sz="5" w:space="0" w:color="000000"/>
            </w:tcBorders>
            <w:tcMar>
              <w:top w:w="0" w:type="dxa"/>
              <w:bottom w:w="0" w:type="dxa"/>
            </w:tcMar>
          </w:tcPr>
          <w:p w14:paraId="4E392C14"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99%</w:t>
            </w:r>
          </w:p>
        </w:tc>
      </w:tr>
      <w:tr w:rsidR="001A3984" w14:paraId="3963875A" w14:textId="77777777">
        <w:trPr>
          <w:trHeight w:val="360"/>
        </w:trPr>
        <w:tc>
          <w:tcPr>
            <w:tcW w:w="1665" w:type="dxa"/>
            <w:tcBorders>
              <w:top w:val="single" w:sz="5" w:space="0" w:color="000000"/>
              <w:bottom w:val="single" w:sz="5" w:space="0" w:color="000000"/>
            </w:tcBorders>
            <w:tcMar>
              <w:top w:w="0" w:type="dxa"/>
              <w:bottom w:w="0" w:type="dxa"/>
            </w:tcMar>
          </w:tcPr>
          <w:p w14:paraId="40650797" w14:textId="77777777" w:rsidR="001A3984" w:rsidRDefault="00115E6A">
            <w:pPr>
              <w:shd w:val="clear" w:color="auto" w:fill="FFFFFF"/>
              <w:spacing w:before="0"/>
              <w:ind w:left="360"/>
              <w:jc w:val="both"/>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TOTAL</w:t>
            </w:r>
          </w:p>
        </w:tc>
        <w:tc>
          <w:tcPr>
            <w:tcW w:w="1260" w:type="dxa"/>
            <w:tcBorders>
              <w:top w:val="single" w:sz="5" w:space="0" w:color="000000"/>
              <w:bottom w:val="single" w:sz="5" w:space="0" w:color="000000"/>
            </w:tcBorders>
            <w:tcMar>
              <w:top w:w="0" w:type="dxa"/>
              <w:bottom w:w="0" w:type="dxa"/>
            </w:tcMar>
          </w:tcPr>
          <w:p w14:paraId="7EE104B8" w14:textId="77777777" w:rsidR="001A3984" w:rsidRDefault="00115E6A">
            <w:pPr>
              <w:shd w:val="clear" w:color="auto" w:fill="FFFFFF"/>
              <w:spacing w:before="0"/>
              <w:ind w:left="360"/>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80</w:t>
            </w:r>
          </w:p>
        </w:tc>
        <w:tc>
          <w:tcPr>
            <w:tcW w:w="1200" w:type="dxa"/>
            <w:tcBorders>
              <w:top w:val="single" w:sz="5" w:space="0" w:color="000000"/>
              <w:bottom w:val="single" w:sz="5" w:space="0" w:color="000000"/>
            </w:tcBorders>
            <w:tcMar>
              <w:top w:w="0" w:type="dxa"/>
              <w:bottom w:w="0" w:type="dxa"/>
            </w:tcMar>
          </w:tcPr>
          <w:p w14:paraId="197F0806" w14:textId="77777777" w:rsidR="001A3984" w:rsidRDefault="00115E6A">
            <w:pPr>
              <w:shd w:val="clear" w:color="auto" w:fill="FFFFFF"/>
              <w:spacing w:before="0"/>
              <w:ind w:left="360"/>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100%</w:t>
            </w:r>
          </w:p>
        </w:tc>
      </w:tr>
    </w:tbl>
    <w:p w14:paraId="3A4C51E0"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Table 3 presents students' pre-test performance on an evaluative level. The results show that 99% of the students fall into the frustration level of reading comprehension, and the remaining 1% is the only group at the instructional level.</w:t>
      </w:r>
    </w:p>
    <w:p w14:paraId="1CEDD179"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 xml:space="preserve">The results indicate that students' comprehension levels are very alarming, and the teacher must use different methods that cater to the students' diverse needs. In line with these findings, </w:t>
      </w:r>
      <w:r>
        <w:rPr>
          <w:rFonts w:ascii="Times New Roman" w:eastAsia="Times New Roman" w:hAnsi="Times New Roman" w:cs="Times New Roman"/>
          <w:color w:val="1C1E21"/>
          <w:sz w:val="20"/>
          <w:szCs w:val="20"/>
        </w:rPr>
        <w:t>Ditona and Rico's (2021) research indicated that students were performing at a frustration level across all assessed reading areas. Such results highlight the need to expose students to a variety of reading strategies, techniques, and exercises to help them achieve reading proficiency in line with Department of Education standards.</w:t>
      </w:r>
    </w:p>
    <w:p w14:paraId="6A89D34A" w14:textId="77777777" w:rsidR="001A3984" w:rsidRDefault="001A3984">
      <w:pPr>
        <w:shd w:val="clear" w:color="auto" w:fill="FFFFFF"/>
        <w:spacing w:before="0"/>
        <w:jc w:val="both"/>
        <w:rPr>
          <w:rFonts w:ascii="Times New Roman" w:eastAsia="Times New Roman" w:hAnsi="Times New Roman" w:cs="Times New Roman"/>
          <w:b/>
          <w:bCs/>
          <w:color w:val="1C1E21"/>
          <w:sz w:val="20"/>
          <w:szCs w:val="20"/>
        </w:rPr>
      </w:pPr>
    </w:p>
    <w:p w14:paraId="447BB0E6" w14:textId="77777777" w:rsidR="001A3984" w:rsidRDefault="00115E6A">
      <w:pPr>
        <w:shd w:val="clear" w:color="auto" w:fill="FFFFFF"/>
        <w:spacing w:before="0"/>
        <w:jc w:val="both"/>
        <w:rPr>
          <w:rFonts w:ascii="Times New Roman" w:eastAsia="Times New Roman" w:hAnsi="Times New Roman" w:cs="Times New Roman"/>
          <w:b/>
          <w:bCs/>
        </w:rPr>
      </w:pPr>
      <w:r>
        <w:rPr>
          <w:rFonts w:ascii="Times New Roman" w:eastAsia="Times New Roman" w:hAnsi="Times New Roman" w:cs="Times New Roman"/>
          <w:b/>
          <w:bCs/>
        </w:rPr>
        <w:t xml:space="preserve">4.2. The level of reading comprehension skills of students after exposure to scaffolded reading in terms of: </w:t>
      </w:r>
    </w:p>
    <w:p w14:paraId="583E3A6D" w14:textId="77777777" w:rsidR="001A3984" w:rsidRDefault="001A3984">
      <w:pPr>
        <w:shd w:val="clear" w:color="auto" w:fill="FFFFFF"/>
        <w:spacing w:before="0"/>
        <w:jc w:val="both"/>
        <w:rPr>
          <w:rFonts w:ascii="Times New Roman" w:eastAsia="Times New Roman" w:hAnsi="Times New Roman" w:cs="Times New Roman"/>
          <w:b/>
          <w:bCs/>
        </w:rPr>
      </w:pPr>
    </w:p>
    <w:p w14:paraId="66543D63" w14:textId="77777777" w:rsidR="001A3984" w:rsidRDefault="00115E6A">
      <w:pPr>
        <w:shd w:val="clear" w:color="auto" w:fill="FFFFFF"/>
        <w:spacing w:befor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0"/>
          <w:szCs w:val="20"/>
        </w:rPr>
        <w:t>Table 4 Literal Level</w:t>
      </w:r>
      <w:r>
        <w:rPr>
          <w:rFonts w:ascii="Times New Roman" w:eastAsia="Times New Roman" w:hAnsi="Times New Roman" w:cs="Times New Roman"/>
          <w:b/>
          <w:bCs/>
          <w:sz w:val="24"/>
          <w:szCs w:val="24"/>
        </w:rPr>
        <w:t xml:space="preserve"> </w:t>
      </w:r>
    </w:p>
    <w:p w14:paraId="48C3FE58" w14:textId="77777777" w:rsidR="001A3984" w:rsidRDefault="001A3984">
      <w:pPr>
        <w:shd w:val="clear" w:color="auto" w:fill="FFFFFF"/>
        <w:spacing w:before="0"/>
        <w:jc w:val="both"/>
        <w:rPr>
          <w:rFonts w:ascii="Times New Roman" w:eastAsia="Times New Roman" w:hAnsi="Times New Roman" w:cs="Times New Roman"/>
          <w:sz w:val="20"/>
          <w:szCs w:val="20"/>
        </w:rPr>
      </w:pPr>
    </w:p>
    <w:tbl>
      <w:tblPr>
        <w:tblStyle w:val="ad"/>
        <w:tblW w:w="41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70"/>
        <w:gridCol w:w="1125"/>
        <w:gridCol w:w="1215"/>
      </w:tblGrid>
      <w:tr w:rsidR="001A3984" w14:paraId="1DF8ACBF" w14:textId="77777777">
        <w:trPr>
          <w:trHeight w:val="1050"/>
        </w:trPr>
        <w:tc>
          <w:tcPr>
            <w:tcW w:w="1770" w:type="dxa"/>
            <w:tcBorders>
              <w:top w:val="single" w:sz="5" w:space="0" w:color="000000"/>
              <w:left w:val="nil"/>
              <w:bottom w:val="single" w:sz="5" w:space="0" w:color="000000"/>
              <w:right w:val="nil"/>
            </w:tcBorders>
            <w:tcMar>
              <w:top w:w="0" w:type="dxa"/>
              <w:left w:w="100" w:type="dxa"/>
              <w:bottom w:w="0" w:type="dxa"/>
              <w:right w:w="100" w:type="dxa"/>
            </w:tcMar>
          </w:tcPr>
          <w:p w14:paraId="220147B8" w14:textId="77777777" w:rsidR="001A3984" w:rsidRDefault="00115E6A">
            <w:pPr>
              <w:shd w:val="clear" w:color="auto" w:fill="FFFFFF"/>
              <w:spacing w:before="0"/>
              <w:ind w:left="36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Levels of Reading Comprehension</w:t>
            </w:r>
          </w:p>
        </w:tc>
        <w:tc>
          <w:tcPr>
            <w:tcW w:w="1125" w:type="dxa"/>
            <w:tcBorders>
              <w:top w:val="single" w:sz="5" w:space="0" w:color="000000"/>
              <w:left w:val="nil"/>
              <w:bottom w:val="single" w:sz="5" w:space="0" w:color="000000"/>
              <w:right w:val="nil"/>
            </w:tcBorders>
            <w:tcMar>
              <w:top w:w="0" w:type="dxa"/>
              <w:left w:w="100" w:type="dxa"/>
              <w:bottom w:w="0" w:type="dxa"/>
              <w:right w:w="100" w:type="dxa"/>
            </w:tcMar>
          </w:tcPr>
          <w:p w14:paraId="262917D7"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Frequency of Students</w:t>
            </w:r>
          </w:p>
        </w:tc>
        <w:tc>
          <w:tcPr>
            <w:tcW w:w="1215" w:type="dxa"/>
            <w:tcBorders>
              <w:top w:val="single" w:sz="5" w:space="0" w:color="000000"/>
              <w:left w:val="nil"/>
              <w:bottom w:val="single" w:sz="5" w:space="0" w:color="000000"/>
              <w:right w:val="nil"/>
            </w:tcBorders>
            <w:tcMar>
              <w:top w:w="0" w:type="dxa"/>
              <w:left w:w="100" w:type="dxa"/>
              <w:bottom w:w="0" w:type="dxa"/>
              <w:right w:w="100" w:type="dxa"/>
            </w:tcMar>
          </w:tcPr>
          <w:p w14:paraId="11845D36"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Percentage (%)</w:t>
            </w:r>
          </w:p>
        </w:tc>
      </w:tr>
      <w:tr w:rsidR="001A3984" w14:paraId="6F8FA6B0" w14:textId="77777777">
        <w:trPr>
          <w:trHeight w:val="525"/>
        </w:trPr>
        <w:tc>
          <w:tcPr>
            <w:tcW w:w="1770" w:type="dxa"/>
            <w:tcBorders>
              <w:top w:val="nil"/>
              <w:left w:val="nil"/>
              <w:bottom w:val="nil"/>
              <w:right w:val="nil"/>
            </w:tcBorders>
            <w:tcMar>
              <w:top w:w="0" w:type="dxa"/>
              <w:left w:w="100" w:type="dxa"/>
              <w:bottom w:w="0" w:type="dxa"/>
              <w:right w:w="100" w:type="dxa"/>
            </w:tcMar>
          </w:tcPr>
          <w:p w14:paraId="6807E3D7" w14:textId="77777777" w:rsidR="001A3984" w:rsidRDefault="00115E6A">
            <w:pPr>
              <w:shd w:val="clear" w:color="auto" w:fill="FFFFFF"/>
              <w:spacing w:before="0"/>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Independent Level</w:t>
            </w:r>
          </w:p>
        </w:tc>
        <w:tc>
          <w:tcPr>
            <w:tcW w:w="1125" w:type="dxa"/>
            <w:tcBorders>
              <w:top w:val="nil"/>
              <w:left w:val="nil"/>
              <w:bottom w:val="nil"/>
              <w:right w:val="nil"/>
            </w:tcBorders>
            <w:tcMar>
              <w:top w:w="0" w:type="dxa"/>
              <w:left w:w="100" w:type="dxa"/>
              <w:bottom w:w="0" w:type="dxa"/>
              <w:right w:w="100" w:type="dxa"/>
            </w:tcMar>
          </w:tcPr>
          <w:p w14:paraId="11BCA1C0" w14:textId="77777777" w:rsidR="001A3984" w:rsidRDefault="00115E6A">
            <w:pPr>
              <w:shd w:val="clear" w:color="auto" w:fill="FFFFFF"/>
              <w:spacing w:before="0"/>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1215" w:type="dxa"/>
            <w:tcBorders>
              <w:top w:val="nil"/>
              <w:left w:val="nil"/>
              <w:bottom w:val="nil"/>
              <w:right w:val="nil"/>
            </w:tcBorders>
            <w:tcMar>
              <w:top w:w="0" w:type="dxa"/>
              <w:left w:w="100" w:type="dxa"/>
              <w:bottom w:w="0" w:type="dxa"/>
              <w:right w:w="100" w:type="dxa"/>
            </w:tcMar>
          </w:tcPr>
          <w:p w14:paraId="0C95F2C8" w14:textId="77777777" w:rsidR="001A3984" w:rsidRDefault="00115E6A">
            <w:pPr>
              <w:shd w:val="clear" w:color="auto" w:fill="FFFFFF"/>
              <w:spacing w:before="0"/>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1A3984" w14:paraId="2658C4C4" w14:textId="77777777">
        <w:trPr>
          <w:trHeight w:val="330"/>
        </w:trPr>
        <w:tc>
          <w:tcPr>
            <w:tcW w:w="1770" w:type="dxa"/>
            <w:tcBorders>
              <w:top w:val="single" w:sz="5" w:space="0" w:color="000000"/>
              <w:left w:val="nil"/>
              <w:bottom w:val="single" w:sz="5" w:space="0" w:color="000000"/>
              <w:right w:val="nil"/>
            </w:tcBorders>
            <w:tcMar>
              <w:top w:w="0" w:type="dxa"/>
              <w:left w:w="100" w:type="dxa"/>
              <w:bottom w:w="0" w:type="dxa"/>
              <w:right w:w="100" w:type="dxa"/>
            </w:tcMar>
          </w:tcPr>
          <w:p w14:paraId="74FAAB71" w14:textId="77777777" w:rsidR="001A3984" w:rsidRDefault="00115E6A">
            <w:pPr>
              <w:shd w:val="clear" w:color="auto" w:fill="FFFFFF"/>
              <w:spacing w:before="0"/>
              <w:ind w:left="36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125" w:type="dxa"/>
            <w:tcBorders>
              <w:top w:val="single" w:sz="5" w:space="0" w:color="000000"/>
              <w:left w:val="nil"/>
              <w:bottom w:val="single" w:sz="5" w:space="0" w:color="000000"/>
              <w:right w:val="nil"/>
            </w:tcBorders>
            <w:tcMar>
              <w:top w:w="0" w:type="dxa"/>
              <w:left w:w="100" w:type="dxa"/>
              <w:bottom w:w="0" w:type="dxa"/>
              <w:right w:w="100" w:type="dxa"/>
            </w:tcMar>
          </w:tcPr>
          <w:p w14:paraId="4F8FF17B" w14:textId="77777777" w:rsidR="001A3984" w:rsidRDefault="00115E6A">
            <w:pPr>
              <w:shd w:val="clear" w:color="auto" w:fill="FFFFFF"/>
              <w:spacing w:before="0"/>
              <w:ind w:left="36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215" w:type="dxa"/>
            <w:tcBorders>
              <w:top w:val="single" w:sz="5" w:space="0" w:color="000000"/>
              <w:left w:val="nil"/>
              <w:bottom w:val="single" w:sz="5" w:space="0" w:color="000000"/>
              <w:right w:val="nil"/>
            </w:tcBorders>
            <w:tcMar>
              <w:top w:w="0" w:type="dxa"/>
              <w:left w:w="100" w:type="dxa"/>
              <w:bottom w:w="0" w:type="dxa"/>
              <w:right w:w="100" w:type="dxa"/>
            </w:tcMar>
          </w:tcPr>
          <w:p w14:paraId="602FD705" w14:textId="77777777" w:rsidR="001A3984" w:rsidRDefault="00115E6A">
            <w:pPr>
              <w:shd w:val="clear" w:color="auto" w:fill="FFFFFF"/>
              <w:spacing w:before="0"/>
              <w:ind w:left="36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r>
    </w:tbl>
    <w:p w14:paraId="368166E6"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Table 4 presents the students' levels after exposure to scaffolded reading. The data show that 100% of the students fall into the Independent level. This finding suggests that all students were able to understand text effectively after using the scaffolded reading method.</w:t>
      </w:r>
    </w:p>
    <w:p w14:paraId="1D555B46"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 supported by the study of Ramsa and Rawian (2021), when teachers apply these guided reading techniques thoughtfully, students show improved reading comprehension skills and a greater ability to engage independently with texts.</w:t>
      </w:r>
    </w:p>
    <w:p w14:paraId="6E9B5E79" w14:textId="77777777" w:rsidR="001A3984" w:rsidRDefault="001A3984">
      <w:pPr>
        <w:shd w:val="clear" w:color="auto" w:fill="FFFFFF"/>
        <w:spacing w:before="0"/>
        <w:jc w:val="both"/>
        <w:rPr>
          <w:rFonts w:ascii="Times New Roman" w:eastAsia="Times New Roman" w:hAnsi="Times New Roman" w:cs="Times New Roman"/>
          <w:b/>
          <w:bCs/>
          <w:sz w:val="20"/>
          <w:szCs w:val="20"/>
        </w:rPr>
      </w:pPr>
    </w:p>
    <w:p w14:paraId="59844430" w14:textId="77777777" w:rsidR="001A3984" w:rsidRDefault="001A3984">
      <w:pPr>
        <w:shd w:val="clear" w:color="auto" w:fill="FFFFFF"/>
        <w:spacing w:before="0"/>
        <w:jc w:val="both"/>
        <w:rPr>
          <w:rFonts w:ascii="Times New Roman" w:eastAsia="Times New Roman" w:hAnsi="Times New Roman" w:cs="Times New Roman"/>
          <w:b/>
          <w:bCs/>
          <w:sz w:val="20"/>
          <w:szCs w:val="20"/>
        </w:rPr>
      </w:pPr>
    </w:p>
    <w:p w14:paraId="4238C592" w14:textId="77777777" w:rsidR="001A3984" w:rsidRDefault="001A3984">
      <w:pPr>
        <w:shd w:val="clear" w:color="auto" w:fill="FFFFFF"/>
        <w:spacing w:before="0"/>
        <w:jc w:val="both"/>
        <w:rPr>
          <w:rFonts w:ascii="Times New Roman" w:eastAsia="Times New Roman" w:hAnsi="Times New Roman" w:cs="Times New Roman"/>
          <w:b/>
          <w:bCs/>
          <w:sz w:val="20"/>
          <w:szCs w:val="20"/>
        </w:rPr>
      </w:pPr>
    </w:p>
    <w:p w14:paraId="17004D9B" w14:textId="77777777" w:rsidR="001A3984" w:rsidRDefault="001A3984">
      <w:pPr>
        <w:shd w:val="clear" w:color="auto" w:fill="FFFFFF"/>
        <w:spacing w:before="0"/>
        <w:jc w:val="both"/>
        <w:rPr>
          <w:rFonts w:ascii="Times New Roman" w:eastAsia="Times New Roman" w:hAnsi="Times New Roman" w:cs="Times New Roman"/>
          <w:b/>
          <w:bCs/>
          <w:sz w:val="20"/>
          <w:szCs w:val="20"/>
        </w:rPr>
      </w:pPr>
    </w:p>
    <w:p w14:paraId="01ADE571" w14:textId="77777777" w:rsidR="001A3984" w:rsidRDefault="001A3984">
      <w:pPr>
        <w:shd w:val="clear" w:color="auto" w:fill="FFFFFF"/>
        <w:spacing w:before="0"/>
        <w:jc w:val="both"/>
        <w:rPr>
          <w:rFonts w:ascii="Times New Roman" w:eastAsia="Times New Roman" w:hAnsi="Times New Roman" w:cs="Times New Roman"/>
          <w:b/>
          <w:bCs/>
          <w:sz w:val="20"/>
          <w:szCs w:val="20"/>
        </w:rPr>
      </w:pPr>
    </w:p>
    <w:p w14:paraId="0747C106" w14:textId="77777777" w:rsidR="001A3984" w:rsidRDefault="001A3984">
      <w:pPr>
        <w:shd w:val="clear" w:color="auto" w:fill="FFFFFF"/>
        <w:spacing w:before="0"/>
        <w:jc w:val="both"/>
        <w:rPr>
          <w:rFonts w:ascii="Times New Roman" w:eastAsia="Times New Roman" w:hAnsi="Times New Roman" w:cs="Times New Roman"/>
          <w:b/>
          <w:bCs/>
          <w:sz w:val="20"/>
          <w:szCs w:val="20"/>
        </w:rPr>
      </w:pPr>
    </w:p>
    <w:p w14:paraId="66C4B3A9" w14:textId="77777777" w:rsidR="001A3984" w:rsidRDefault="001A3984">
      <w:pPr>
        <w:shd w:val="clear" w:color="auto" w:fill="FFFFFF"/>
        <w:spacing w:before="0"/>
        <w:jc w:val="both"/>
        <w:rPr>
          <w:rFonts w:ascii="Times New Roman" w:eastAsia="Times New Roman" w:hAnsi="Times New Roman" w:cs="Times New Roman"/>
          <w:b/>
          <w:bCs/>
          <w:sz w:val="20"/>
          <w:szCs w:val="20"/>
        </w:rPr>
      </w:pPr>
    </w:p>
    <w:p w14:paraId="232D38DF" w14:textId="77777777" w:rsidR="001A3984" w:rsidRDefault="00115E6A">
      <w:pPr>
        <w:shd w:val="clear" w:color="auto" w:fill="FFFFFF"/>
        <w:spacing w:befor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0"/>
          <w:szCs w:val="20"/>
        </w:rPr>
        <w:t>Table 5 Interpretive Level</w:t>
      </w:r>
      <w:r>
        <w:rPr>
          <w:rFonts w:ascii="Times New Roman" w:eastAsia="Times New Roman" w:hAnsi="Times New Roman" w:cs="Times New Roman"/>
          <w:b/>
          <w:bCs/>
          <w:sz w:val="24"/>
          <w:szCs w:val="24"/>
        </w:rPr>
        <w:t xml:space="preserve"> </w:t>
      </w:r>
    </w:p>
    <w:tbl>
      <w:tblPr>
        <w:tblStyle w:val="ae"/>
        <w:tblpPr w:leftFromText="180" w:rightFromText="180" w:topFromText="180" w:bottomFromText="180" w:vertAnchor="text" w:tblpX="180"/>
        <w:tblW w:w="41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85"/>
        <w:gridCol w:w="1155"/>
        <w:gridCol w:w="1185"/>
      </w:tblGrid>
      <w:tr w:rsidR="001A3984" w14:paraId="16A38791" w14:textId="77777777">
        <w:trPr>
          <w:trHeight w:val="1050"/>
        </w:trPr>
        <w:tc>
          <w:tcPr>
            <w:tcW w:w="1785" w:type="dxa"/>
            <w:tcBorders>
              <w:top w:val="single" w:sz="5" w:space="0" w:color="000000"/>
              <w:bottom w:val="single" w:sz="5" w:space="0" w:color="000000"/>
            </w:tcBorders>
            <w:tcMar>
              <w:top w:w="0" w:type="dxa"/>
              <w:bottom w:w="0" w:type="dxa"/>
            </w:tcMar>
          </w:tcPr>
          <w:p w14:paraId="18EB8F71" w14:textId="77777777" w:rsidR="001A3984" w:rsidRDefault="00115E6A">
            <w:pPr>
              <w:shd w:val="clear" w:color="auto" w:fill="FFFFFF"/>
              <w:spacing w:before="0"/>
              <w:ind w:left="360"/>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Levels of Reading Comprehension</w:t>
            </w:r>
          </w:p>
        </w:tc>
        <w:tc>
          <w:tcPr>
            <w:tcW w:w="1155" w:type="dxa"/>
            <w:tcBorders>
              <w:top w:val="single" w:sz="5" w:space="0" w:color="000000"/>
              <w:bottom w:val="single" w:sz="5" w:space="0" w:color="000000"/>
            </w:tcBorders>
            <w:tcMar>
              <w:top w:w="0" w:type="dxa"/>
              <w:bottom w:w="0" w:type="dxa"/>
            </w:tcMar>
          </w:tcPr>
          <w:p w14:paraId="1FEAA005" w14:textId="77777777" w:rsidR="001A3984" w:rsidRDefault="00115E6A">
            <w:pPr>
              <w:shd w:val="clear" w:color="auto" w:fill="FFFFFF"/>
              <w:spacing w:before="240"/>
              <w:jc w:val="center"/>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Frequency of Students</w:t>
            </w:r>
          </w:p>
        </w:tc>
        <w:tc>
          <w:tcPr>
            <w:tcW w:w="1185" w:type="dxa"/>
            <w:tcBorders>
              <w:top w:val="single" w:sz="5" w:space="0" w:color="000000"/>
              <w:bottom w:val="single" w:sz="5" w:space="0" w:color="000000"/>
            </w:tcBorders>
            <w:tcMar>
              <w:top w:w="0" w:type="dxa"/>
              <w:bottom w:w="0" w:type="dxa"/>
            </w:tcMar>
          </w:tcPr>
          <w:p w14:paraId="07099B9D" w14:textId="77777777" w:rsidR="001A3984" w:rsidRDefault="00115E6A">
            <w:pPr>
              <w:shd w:val="clear" w:color="auto" w:fill="FFFFFF"/>
              <w:spacing w:before="240"/>
              <w:jc w:val="center"/>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Percentage (%)</w:t>
            </w:r>
          </w:p>
        </w:tc>
      </w:tr>
      <w:tr w:rsidR="001A3984" w14:paraId="75B5680D" w14:textId="77777777">
        <w:trPr>
          <w:trHeight w:val="525"/>
        </w:trPr>
        <w:tc>
          <w:tcPr>
            <w:tcW w:w="1785" w:type="dxa"/>
            <w:tcBorders>
              <w:top w:val="single" w:sz="5" w:space="0" w:color="000000"/>
            </w:tcBorders>
            <w:tcMar>
              <w:top w:w="0" w:type="dxa"/>
              <w:bottom w:w="0" w:type="dxa"/>
            </w:tcMar>
          </w:tcPr>
          <w:p w14:paraId="1A947BA0"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Independent Level</w:t>
            </w:r>
          </w:p>
        </w:tc>
        <w:tc>
          <w:tcPr>
            <w:tcW w:w="1155" w:type="dxa"/>
            <w:tcBorders>
              <w:top w:val="single" w:sz="5" w:space="0" w:color="000000"/>
            </w:tcBorders>
            <w:tcMar>
              <w:top w:w="0" w:type="dxa"/>
              <w:bottom w:w="0" w:type="dxa"/>
            </w:tcMar>
          </w:tcPr>
          <w:p w14:paraId="4D577A92"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42</w:t>
            </w:r>
          </w:p>
        </w:tc>
        <w:tc>
          <w:tcPr>
            <w:tcW w:w="1185" w:type="dxa"/>
            <w:tcBorders>
              <w:top w:val="single" w:sz="5" w:space="0" w:color="000000"/>
            </w:tcBorders>
            <w:tcMar>
              <w:top w:w="0" w:type="dxa"/>
              <w:bottom w:w="0" w:type="dxa"/>
            </w:tcMar>
          </w:tcPr>
          <w:p w14:paraId="30061DE3"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53%</w:t>
            </w:r>
          </w:p>
        </w:tc>
      </w:tr>
      <w:tr w:rsidR="001A3984" w14:paraId="59067111" w14:textId="77777777">
        <w:trPr>
          <w:trHeight w:val="525"/>
        </w:trPr>
        <w:tc>
          <w:tcPr>
            <w:tcW w:w="1785" w:type="dxa"/>
            <w:tcBorders>
              <w:bottom w:val="single" w:sz="5" w:space="0" w:color="000000"/>
            </w:tcBorders>
            <w:tcMar>
              <w:top w:w="0" w:type="dxa"/>
              <w:bottom w:w="0" w:type="dxa"/>
            </w:tcMar>
          </w:tcPr>
          <w:p w14:paraId="4B65ABB7"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Instructional Level</w:t>
            </w:r>
          </w:p>
        </w:tc>
        <w:tc>
          <w:tcPr>
            <w:tcW w:w="1155" w:type="dxa"/>
            <w:tcBorders>
              <w:bottom w:val="single" w:sz="5" w:space="0" w:color="000000"/>
            </w:tcBorders>
            <w:tcMar>
              <w:top w:w="0" w:type="dxa"/>
              <w:bottom w:w="0" w:type="dxa"/>
            </w:tcMar>
          </w:tcPr>
          <w:p w14:paraId="16796207"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38</w:t>
            </w:r>
          </w:p>
        </w:tc>
        <w:tc>
          <w:tcPr>
            <w:tcW w:w="1185" w:type="dxa"/>
            <w:tcBorders>
              <w:bottom w:val="single" w:sz="5" w:space="0" w:color="000000"/>
            </w:tcBorders>
            <w:tcMar>
              <w:top w:w="0" w:type="dxa"/>
              <w:bottom w:w="0" w:type="dxa"/>
            </w:tcMar>
          </w:tcPr>
          <w:p w14:paraId="49B25227" w14:textId="77777777" w:rsidR="001A3984" w:rsidRDefault="00115E6A">
            <w:pPr>
              <w:shd w:val="clear" w:color="auto" w:fill="FFFFFF"/>
              <w:spacing w:before="0"/>
              <w:ind w:left="360"/>
              <w:rPr>
                <w:rFonts w:ascii="Times New Roman" w:eastAsia="Times New Roman" w:hAnsi="Times New Roman" w:cs="Times New Roman"/>
                <w:color w:val="1C1E21"/>
                <w:sz w:val="20"/>
                <w:szCs w:val="20"/>
              </w:rPr>
            </w:pPr>
            <w:r>
              <w:rPr>
                <w:rFonts w:ascii="Times New Roman" w:eastAsia="Times New Roman" w:hAnsi="Times New Roman" w:cs="Times New Roman"/>
                <w:color w:val="1C1E21"/>
                <w:sz w:val="20"/>
                <w:szCs w:val="20"/>
              </w:rPr>
              <w:t>47%</w:t>
            </w:r>
          </w:p>
        </w:tc>
      </w:tr>
      <w:tr w:rsidR="001A3984" w14:paraId="54098675" w14:textId="77777777">
        <w:trPr>
          <w:trHeight w:val="360"/>
        </w:trPr>
        <w:tc>
          <w:tcPr>
            <w:tcW w:w="1785" w:type="dxa"/>
            <w:tcBorders>
              <w:top w:val="single" w:sz="5" w:space="0" w:color="000000"/>
              <w:bottom w:val="single" w:sz="5" w:space="0" w:color="000000"/>
            </w:tcBorders>
            <w:tcMar>
              <w:top w:w="0" w:type="dxa"/>
              <w:bottom w:w="0" w:type="dxa"/>
            </w:tcMar>
          </w:tcPr>
          <w:p w14:paraId="672C7D47" w14:textId="77777777" w:rsidR="001A3984" w:rsidRDefault="00115E6A">
            <w:pPr>
              <w:shd w:val="clear" w:color="auto" w:fill="FFFFFF"/>
              <w:spacing w:before="0"/>
              <w:ind w:left="360"/>
              <w:jc w:val="both"/>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TOTAL</w:t>
            </w:r>
          </w:p>
        </w:tc>
        <w:tc>
          <w:tcPr>
            <w:tcW w:w="1155" w:type="dxa"/>
            <w:tcBorders>
              <w:top w:val="single" w:sz="5" w:space="0" w:color="000000"/>
              <w:bottom w:val="single" w:sz="5" w:space="0" w:color="000000"/>
            </w:tcBorders>
            <w:tcMar>
              <w:top w:w="0" w:type="dxa"/>
              <w:bottom w:w="0" w:type="dxa"/>
            </w:tcMar>
          </w:tcPr>
          <w:p w14:paraId="30CF0069" w14:textId="77777777" w:rsidR="001A3984" w:rsidRDefault="00115E6A">
            <w:pPr>
              <w:shd w:val="clear" w:color="auto" w:fill="FFFFFF"/>
              <w:spacing w:before="0"/>
              <w:ind w:left="360"/>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80</w:t>
            </w:r>
          </w:p>
        </w:tc>
        <w:tc>
          <w:tcPr>
            <w:tcW w:w="1185" w:type="dxa"/>
            <w:tcBorders>
              <w:top w:val="single" w:sz="5" w:space="0" w:color="000000"/>
              <w:bottom w:val="single" w:sz="5" w:space="0" w:color="000000"/>
            </w:tcBorders>
            <w:tcMar>
              <w:top w:w="0" w:type="dxa"/>
              <w:bottom w:w="0" w:type="dxa"/>
            </w:tcMar>
          </w:tcPr>
          <w:p w14:paraId="104F7A0A" w14:textId="77777777" w:rsidR="001A3984" w:rsidRDefault="00115E6A">
            <w:pPr>
              <w:shd w:val="clear" w:color="auto" w:fill="FFFFFF"/>
              <w:spacing w:before="0"/>
              <w:ind w:left="360"/>
              <w:rPr>
                <w:rFonts w:ascii="Times New Roman" w:eastAsia="Times New Roman" w:hAnsi="Times New Roman" w:cs="Times New Roman"/>
                <w:b/>
                <w:bCs/>
                <w:color w:val="1C1E21"/>
                <w:sz w:val="20"/>
                <w:szCs w:val="20"/>
              </w:rPr>
            </w:pPr>
            <w:r>
              <w:rPr>
                <w:rFonts w:ascii="Times New Roman" w:eastAsia="Times New Roman" w:hAnsi="Times New Roman" w:cs="Times New Roman"/>
                <w:b/>
                <w:bCs/>
                <w:color w:val="1C1E21"/>
                <w:sz w:val="20"/>
                <w:szCs w:val="20"/>
              </w:rPr>
              <w:t>100%</w:t>
            </w:r>
          </w:p>
        </w:tc>
      </w:tr>
    </w:tbl>
    <w:p w14:paraId="0C781285"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Table 5 shows the results of the students' interpretive level post-test. The results indicate that 53% of the students fall into the independent level of reading comprehension, 47% into the instructional level, and none are identified as frustrated readers. This result indicates that the scaffolded reading method was effective in gradually guiding these students to a higher level of comprehension.</w:t>
      </w:r>
    </w:p>
    <w:p w14:paraId="756B2DE3"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0"/>
          <w:szCs w:val="20"/>
        </w:rPr>
        <w:t xml:space="preserve">In line with this result, the study by Sphero Team (2022) found that scaffolding strategies, when implemented effectively, foster a supportive learning environment that encourages student independence, peer collaboration, and critical thinking. </w:t>
      </w:r>
    </w:p>
    <w:p w14:paraId="2BCC58CC" w14:textId="77777777" w:rsidR="001A3984" w:rsidRDefault="001A3984">
      <w:pPr>
        <w:shd w:val="clear" w:color="auto" w:fill="FFFFFF"/>
        <w:spacing w:before="0"/>
        <w:jc w:val="both"/>
        <w:rPr>
          <w:rFonts w:ascii="Times New Roman" w:eastAsia="Times New Roman" w:hAnsi="Times New Roman" w:cs="Times New Roman"/>
          <w:sz w:val="20"/>
          <w:szCs w:val="20"/>
        </w:rPr>
      </w:pPr>
    </w:p>
    <w:p w14:paraId="59776359" w14:textId="77777777" w:rsidR="001A3984" w:rsidRDefault="00115E6A">
      <w:pPr>
        <w:shd w:val="clear" w:color="auto" w:fill="FFFFFF"/>
        <w:spacing w:befor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0"/>
          <w:szCs w:val="20"/>
        </w:rPr>
        <w:t>Table 6 Critical/ Evaluative Level</w:t>
      </w:r>
      <w:r>
        <w:rPr>
          <w:rFonts w:ascii="Times New Roman" w:eastAsia="Times New Roman" w:hAnsi="Times New Roman" w:cs="Times New Roman"/>
          <w:b/>
          <w:bCs/>
          <w:sz w:val="24"/>
          <w:szCs w:val="24"/>
        </w:rPr>
        <w:t xml:space="preserve"> </w:t>
      </w:r>
    </w:p>
    <w:p w14:paraId="542B33FC" w14:textId="77777777" w:rsidR="001A3984" w:rsidRDefault="001A3984">
      <w:pPr>
        <w:shd w:val="clear" w:color="auto" w:fill="FFFFFF"/>
        <w:spacing w:before="0"/>
        <w:jc w:val="both"/>
        <w:rPr>
          <w:rFonts w:ascii="Times New Roman" w:eastAsia="Times New Roman" w:hAnsi="Times New Roman" w:cs="Times New Roman"/>
          <w:sz w:val="20"/>
          <w:szCs w:val="20"/>
        </w:rPr>
      </w:pPr>
    </w:p>
    <w:tbl>
      <w:tblPr>
        <w:tblStyle w:val="af"/>
        <w:tblW w:w="41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5"/>
        <w:gridCol w:w="1155"/>
        <w:gridCol w:w="1230"/>
      </w:tblGrid>
      <w:tr w:rsidR="001A3984" w14:paraId="3D41D9B8" w14:textId="77777777">
        <w:trPr>
          <w:trHeight w:val="1050"/>
        </w:trPr>
        <w:tc>
          <w:tcPr>
            <w:tcW w:w="1725" w:type="dxa"/>
            <w:tcBorders>
              <w:top w:val="single" w:sz="5" w:space="0" w:color="000000"/>
              <w:left w:val="nil"/>
              <w:bottom w:val="single" w:sz="5" w:space="0" w:color="000000"/>
              <w:right w:val="nil"/>
            </w:tcBorders>
            <w:tcMar>
              <w:top w:w="0" w:type="dxa"/>
              <w:left w:w="100" w:type="dxa"/>
              <w:bottom w:w="0" w:type="dxa"/>
              <w:right w:w="100" w:type="dxa"/>
            </w:tcMar>
          </w:tcPr>
          <w:p w14:paraId="18761E8B" w14:textId="77777777" w:rsidR="001A3984" w:rsidRDefault="00115E6A">
            <w:pPr>
              <w:shd w:val="clear" w:color="auto" w:fill="FFFFFF"/>
              <w:spacing w:before="0"/>
              <w:ind w:left="36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Levels of Reading Comprehension</w:t>
            </w:r>
          </w:p>
        </w:tc>
        <w:tc>
          <w:tcPr>
            <w:tcW w:w="1155" w:type="dxa"/>
            <w:tcBorders>
              <w:top w:val="single" w:sz="5" w:space="0" w:color="000000"/>
              <w:left w:val="nil"/>
              <w:bottom w:val="single" w:sz="5" w:space="0" w:color="000000"/>
              <w:right w:val="nil"/>
            </w:tcBorders>
            <w:tcMar>
              <w:top w:w="0" w:type="dxa"/>
              <w:left w:w="100" w:type="dxa"/>
              <w:bottom w:w="0" w:type="dxa"/>
              <w:right w:w="100" w:type="dxa"/>
            </w:tcMar>
          </w:tcPr>
          <w:p w14:paraId="067E85BA"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Frequency of Students</w:t>
            </w:r>
          </w:p>
        </w:tc>
        <w:tc>
          <w:tcPr>
            <w:tcW w:w="1230" w:type="dxa"/>
            <w:tcBorders>
              <w:top w:val="single" w:sz="5" w:space="0" w:color="000000"/>
              <w:left w:val="nil"/>
              <w:bottom w:val="single" w:sz="5" w:space="0" w:color="000000"/>
              <w:right w:val="nil"/>
            </w:tcBorders>
            <w:tcMar>
              <w:top w:w="0" w:type="dxa"/>
              <w:left w:w="100" w:type="dxa"/>
              <w:bottom w:w="0" w:type="dxa"/>
              <w:right w:w="100" w:type="dxa"/>
            </w:tcMar>
          </w:tcPr>
          <w:p w14:paraId="3EDCF222"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Percentage (%)</w:t>
            </w:r>
          </w:p>
        </w:tc>
      </w:tr>
      <w:tr w:rsidR="001A3984" w14:paraId="7E950685" w14:textId="77777777">
        <w:trPr>
          <w:trHeight w:val="525"/>
        </w:trPr>
        <w:tc>
          <w:tcPr>
            <w:tcW w:w="1725" w:type="dxa"/>
            <w:tcBorders>
              <w:top w:val="nil"/>
              <w:left w:val="nil"/>
              <w:bottom w:val="nil"/>
              <w:right w:val="nil"/>
            </w:tcBorders>
            <w:tcMar>
              <w:top w:w="0" w:type="dxa"/>
              <w:left w:w="100" w:type="dxa"/>
              <w:bottom w:w="0" w:type="dxa"/>
              <w:right w:w="100" w:type="dxa"/>
            </w:tcMar>
          </w:tcPr>
          <w:p w14:paraId="224A39BE" w14:textId="77777777" w:rsidR="001A3984" w:rsidRDefault="00115E6A">
            <w:pPr>
              <w:shd w:val="clear" w:color="auto" w:fill="FFFFFF"/>
              <w:spacing w:before="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Independent Level</w:t>
            </w:r>
          </w:p>
        </w:tc>
        <w:tc>
          <w:tcPr>
            <w:tcW w:w="1155" w:type="dxa"/>
            <w:tcBorders>
              <w:top w:val="nil"/>
              <w:left w:val="nil"/>
              <w:bottom w:val="nil"/>
              <w:right w:val="nil"/>
            </w:tcBorders>
            <w:tcMar>
              <w:top w:w="0" w:type="dxa"/>
              <w:left w:w="100" w:type="dxa"/>
              <w:bottom w:w="0" w:type="dxa"/>
              <w:right w:w="100" w:type="dxa"/>
            </w:tcMar>
          </w:tcPr>
          <w:p w14:paraId="1495F5F5" w14:textId="77777777" w:rsidR="001A3984" w:rsidRDefault="00115E6A">
            <w:pPr>
              <w:shd w:val="clear" w:color="auto" w:fill="FFFFFF"/>
              <w:spacing w:before="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230" w:type="dxa"/>
            <w:tcBorders>
              <w:top w:val="nil"/>
              <w:left w:val="nil"/>
              <w:bottom w:val="nil"/>
              <w:right w:val="nil"/>
            </w:tcBorders>
            <w:tcMar>
              <w:top w:w="0" w:type="dxa"/>
              <w:left w:w="100" w:type="dxa"/>
              <w:bottom w:w="0" w:type="dxa"/>
              <w:right w:w="100" w:type="dxa"/>
            </w:tcMar>
          </w:tcPr>
          <w:p w14:paraId="580979DD" w14:textId="77777777" w:rsidR="001A3984" w:rsidRDefault="00115E6A">
            <w:pPr>
              <w:shd w:val="clear" w:color="auto" w:fill="FFFFFF"/>
              <w:spacing w:before="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1A3984" w14:paraId="4C9561CD" w14:textId="77777777">
        <w:trPr>
          <w:trHeight w:val="525"/>
        </w:trPr>
        <w:tc>
          <w:tcPr>
            <w:tcW w:w="1725" w:type="dxa"/>
            <w:tcBorders>
              <w:top w:val="nil"/>
              <w:left w:val="nil"/>
              <w:bottom w:val="nil"/>
              <w:right w:val="nil"/>
            </w:tcBorders>
            <w:tcMar>
              <w:top w:w="0" w:type="dxa"/>
              <w:left w:w="100" w:type="dxa"/>
              <w:bottom w:w="0" w:type="dxa"/>
              <w:right w:w="100" w:type="dxa"/>
            </w:tcMar>
          </w:tcPr>
          <w:p w14:paraId="36282A75" w14:textId="77777777" w:rsidR="001A3984" w:rsidRDefault="00115E6A">
            <w:pPr>
              <w:shd w:val="clear" w:color="auto" w:fill="FFFFFF"/>
              <w:spacing w:before="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Instructional Level</w:t>
            </w:r>
          </w:p>
        </w:tc>
        <w:tc>
          <w:tcPr>
            <w:tcW w:w="1155" w:type="dxa"/>
            <w:tcBorders>
              <w:top w:val="nil"/>
              <w:left w:val="nil"/>
              <w:bottom w:val="nil"/>
              <w:right w:val="nil"/>
            </w:tcBorders>
            <w:tcMar>
              <w:top w:w="0" w:type="dxa"/>
              <w:left w:w="100" w:type="dxa"/>
              <w:bottom w:w="0" w:type="dxa"/>
              <w:right w:w="100" w:type="dxa"/>
            </w:tcMar>
          </w:tcPr>
          <w:p w14:paraId="3DF19402" w14:textId="77777777" w:rsidR="001A3984" w:rsidRDefault="00115E6A">
            <w:pPr>
              <w:shd w:val="clear" w:color="auto" w:fill="FFFFFF"/>
              <w:spacing w:before="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1230" w:type="dxa"/>
            <w:tcBorders>
              <w:top w:val="nil"/>
              <w:left w:val="nil"/>
              <w:bottom w:val="nil"/>
              <w:right w:val="nil"/>
            </w:tcBorders>
            <w:tcMar>
              <w:top w:w="0" w:type="dxa"/>
              <w:left w:w="100" w:type="dxa"/>
              <w:bottom w:w="0" w:type="dxa"/>
              <w:right w:w="100" w:type="dxa"/>
            </w:tcMar>
          </w:tcPr>
          <w:p w14:paraId="77C7F1D5" w14:textId="77777777" w:rsidR="001A3984" w:rsidRDefault="00115E6A">
            <w:pPr>
              <w:shd w:val="clear" w:color="auto" w:fill="FFFFFF"/>
              <w:spacing w:before="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r>
      <w:tr w:rsidR="001A3984" w14:paraId="434C435F" w14:textId="77777777">
        <w:trPr>
          <w:trHeight w:val="525"/>
        </w:trPr>
        <w:tc>
          <w:tcPr>
            <w:tcW w:w="1725" w:type="dxa"/>
            <w:tcBorders>
              <w:top w:val="nil"/>
              <w:left w:val="nil"/>
              <w:bottom w:val="single" w:sz="5" w:space="0" w:color="000000"/>
              <w:right w:val="nil"/>
            </w:tcBorders>
            <w:tcMar>
              <w:top w:w="0" w:type="dxa"/>
              <w:left w:w="100" w:type="dxa"/>
              <w:bottom w:w="0" w:type="dxa"/>
              <w:right w:w="100" w:type="dxa"/>
            </w:tcMar>
          </w:tcPr>
          <w:p w14:paraId="19D5E532" w14:textId="77777777" w:rsidR="001A3984" w:rsidRDefault="00115E6A">
            <w:pPr>
              <w:shd w:val="clear" w:color="auto" w:fill="FFFFFF"/>
              <w:spacing w:before="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Frustration Level</w:t>
            </w:r>
          </w:p>
        </w:tc>
        <w:tc>
          <w:tcPr>
            <w:tcW w:w="1155" w:type="dxa"/>
            <w:tcBorders>
              <w:top w:val="nil"/>
              <w:left w:val="nil"/>
              <w:bottom w:val="single" w:sz="5" w:space="0" w:color="000000"/>
              <w:right w:val="nil"/>
            </w:tcBorders>
            <w:tcMar>
              <w:top w:w="0" w:type="dxa"/>
              <w:left w:w="100" w:type="dxa"/>
              <w:bottom w:w="0" w:type="dxa"/>
              <w:right w:w="100" w:type="dxa"/>
            </w:tcMar>
          </w:tcPr>
          <w:p w14:paraId="3DC65BF9" w14:textId="77777777" w:rsidR="001A3984" w:rsidRDefault="00115E6A">
            <w:pPr>
              <w:shd w:val="clear" w:color="auto" w:fill="FFFFFF"/>
              <w:spacing w:before="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30" w:type="dxa"/>
            <w:tcBorders>
              <w:top w:val="nil"/>
              <w:left w:val="nil"/>
              <w:bottom w:val="single" w:sz="5" w:space="0" w:color="000000"/>
              <w:right w:val="nil"/>
            </w:tcBorders>
            <w:tcMar>
              <w:top w:w="0" w:type="dxa"/>
              <w:left w:w="100" w:type="dxa"/>
              <w:bottom w:w="0" w:type="dxa"/>
              <w:right w:w="100" w:type="dxa"/>
            </w:tcMar>
          </w:tcPr>
          <w:p w14:paraId="7DC32AC2" w14:textId="77777777" w:rsidR="001A3984" w:rsidRDefault="00115E6A">
            <w:pPr>
              <w:shd w:val="clear" w:color="auto" w:fill="FFFFFF"/>
              <w:spacing w:before="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1A3984" w14:paraId="09551C85" w14:textId="77777777">
        <w:trPr>
          <w:trHeight w:val="300"/>
        </w:trPr>
        <w:tc>
          <w:tcPr>
            <w:tcW w:w="1725" w:type="dxa"/>
            <w:tcBorders>
              <w:top w:val="nil"/>
              <w:left w:val="nil"/>
              <w:bottom w:val="single" w:sz="5" w:space="0" w:color="000000"/>
              <w:right w:val="nil"/>
            </w:tcBorders>
            <w:tcMar>
              <w:top w:w="0" w:type="dxa"/>
              <w:left w:w="100" w:type="dxa"/>
              <w:bottom w:w="0" w:type="dxa"/>
              <w:right w:w="100" w:type="dxa"/>
            </w:tcMar>
          </w:tcPr>
          <w:p w14:paraId="5FC166C1" w14:textId="77777777" w:rsidR="001A3984" w:rsidRDefault="00115E6A">
            <w:pPr>
              <w:shd w:val="clear" w:color="auto" w:fill="FFFFFF"/>
              <w:spacing w:before="0"/>
              <w:ind w:left="36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155" w:type="dxa"/>
            <w:tcBorders>
              <w:top w:val="nil"/>
              <w:left w:val="nil"/>
              <w:bottom w:val="single" w:sz="5" w:space="0" w:color="000000"/>
              <w:right w:val="nil"/>
            </w:tcBorders>
            <w:tcMar>
              <w:top w:w="0" w:type="dxa"/>
              <w:left w:w="100" w:type="dxa"/>
              <w:bottom w:w="0" w:type="dxa"/>
              <w:right w:w="100" w:type="dxa"/>
            </w:tcMar>
          </w:tcPr>
          <w:p w14:paraId="198FF2C0" w14:textId="77777777" w:rsidR="001A3984" w:rsidRDefault="00115E6A">
            <w:pPr>
              <w:shd w:val="clear" w:color="auto" w:fill="FFFFFF"/>
              <w:spacing w:before="0"/>
              <w:ind w:left="36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230" w:type="dxa"/>
            <w:tcBorders>
              <w:top w:val="nil"/>
              <w:left w:val="nil"/>
              <w:bottom w:val="single" w:sz="5" w:space="0" w:color="000000"/>
              <w:right w:val="nil"/>
            </w:tcBorders>
            <w:tcMar>
              <w:top w:w="0" w:type="dxa"/>
              <w:left w:w="100" w:type="dxa"/>
              <w:bottom w:w="0" w:type="dxa"/>
              <w:right w:w="100" w:type="dxa"/>
            </w:tcMar>
          </w:tcPr>
          <w:p w14:paraId="42607429" w14:textId="77777777" w:rsidR="001A3984" w:rsidRDefault="00115E6A">
            <w:pPr>
              <w:shd w:val="clear" w:color="auto" w:fill="FFFFFF"/>
              <w:spacing w:before="0"/>
              <w:ind w:left="36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r>
    </w:tbl>
    <w:p w14:paraId="2133C2B4"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Table 6 shows the result of the students' evaluative level post-test. The results indicate that 73% of the students fall into the independent level of reading comprehension, 21% into the instructional level, and the remaining 6% into the frustration level. The result shows the effectiveness of integrating scaffolded reading into the literary discussion. However, it also suggests that the teacher's support should not be removed in the meantime until the others reach the independent level.</w:t>
      </w:r>
    </w:p>
    <w:p w14:paraId="59C1498F" w14:textId="77777777" w:rsidR="001A3984" w:rsidRDefault="00115E6A">
      <w:pPr>
        <w:shd w:val="clear" w:color="auto" w:fill="FFFFFF"/>
        <w:spacing w:before="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The investigation of DeFrance (2022) highlights that scaffolding is highly effective; it requires significant planning, as educators must cater to different learning styles and assess students' individual strengths and weaknesses. He emphasizes that teachers should avoid over-teaching and encourage students to gradually take ownership of their learning process</w:t>
      </w:r>
    </w:p>
    <w:p w14:paraId="672FC871" w14:textId="77777777" w:rsidR="001A3984" w:rsidRDefault="001A3984">
      <w:pPr>
        <w:shd w:val="clear" w:color="auto" w:fill="FFFFFF"/>
        <w:spacing w:before="0"/>
        <w:jc w:val="both"/>
        <w:rPr>
          <w:rFonts w:ascii="Times New Roman" w:eastAsia="Times New Roman" w:hAnsi="Times New Roman" w:cs="Times New Roman"/>
          <w:sz w:val="20"/>
          <w:szCs w:val="20"/>
        </w:rPr>
      </w:pPr>
    </w:p>
    <w:p w14:paraId="2F297A8F" w14:textId="77777777" w:rsidR="001A3984" w:rsidRDefault="001A3984">
      <w:pPr>
        <w:shd w:val="clear" w:color="auto" w:fill="FFFFFF"/>
        <w:spacing w:before="0"/>
        <w:jc w:val="both"/>
        <w:rPr>
          <w:rFonts w:ascii="Times New Roman" w:eastAsia="Times New Roman" w:hAnsi="Times New Roman" w:cs="Times New Roman"/>
          <w:sz w:val="20"/>
          <w:szCs w:val="20"/>
        </w:rPr>
      </w:pPr>
    </w:p>
    <w:p w14:paraId="654F7BD1" w14:textId="77777777" w:rsidR="001A3984" w:rsidRDefault="00115E6A">
      <w:pPr>
        <w:shd w:val="clear" w:color="auto" w:fill="FFFFFF"/>
        <w:spacing w:before="0"/>
        <w:jc w:val="both"/>
        <w:rPr>
          <w:rFonts w:ascii="Times New Roman" w:eastAsia="Times New Roman" w:hAnsi="Times New Roman" w:cs="Times New Roman"/>
          <w:b/>
          <w:bCs/>
        </w:rPr>
      </w:pPr>
      <w:r>
        <w:rPr>
          <w:rFonts w:ascii="Times New Roman" w:eastAsia="Times New Roman" w:hAnsi="Times New Roman" w:cs="Times New Roman"/>
          <w:b/>
          <w:bCs/>
          <w:sz w:val="24"/>
          <w:szCs w:val="24"/>
        </w:rPr>
        <w:t xml:space="preserve">4.3. </w:t>
      </w:r>
      <w:r>
        <w:rPr>
          <w:rFonts w:ascii="Times New Roman" w:eastAsia="Times New Roman" w:hAnsi="Times New Roman" w:cs="Times New Roman"/>
          <w:b/>
          <w:bCs/>
        </w:rPr>
        <w:t xml:space="preserve">The Test of significant difference between the levels of reading comprehension skills of students before and after exposure to scaffolded reading. </w:t>
      </w:r>
    </w:p>
    <w:p w14:paraId="354DDFC9" w14:textId="77777777" w:rsidR="001A3984" w:rsidRDefault="001A3984">
      <w:pPr>
        <w:shd w:val="clear" w:color="auto" w:fill="FFFFFF"/>
        <w:spacing w:before="0"/>
        <w:jc w:val="both"/>
        <w:rPr>
          <w:rFonts w:ascii="Times New Roman" w:eastAsia="Times New Roman" w:hAnsi="Times New Roman" w:cs="Times New Roman"/>
          <w:b/>
          <w:bCs/>
        </w:rPr>
      </w:pPr>
    </w:p>
    <w:p w14:paraId="078EFA37" w14:textId="77777777" w:rsidR="001A3984" w:rsidRDefault="00115E6A">
      <w:pPr>
        <w:shd w:val="clear" w:color="auto" w:fill="FFFFFF"/>
        <w:spacing w:before="0"/>
        <w:jc w:val="both"/>
        <w:rPr>
          <w:rFonts w:ascii="Times New Roman" w:eastAsia="Times New Roman" w:hAnsi="Times New Roman" w:cs="Times New Roman"/>
          <w:b/>
          <w:bCs/>
          <w:sz w:val="20"/>
          <w:szCs w:val="20"/>
        </w:rPr>
      </w:pPr>
      <w:r>
        <w:rPr>
          <w:rFonts w:ascii="Times New Roman" w:eastAsia="Times New Roman" w:hAnsi="Times New Roman" w:cs="Times New Roman"/>
          <w:b/>
          <w:bCs/>
        </w:rPr>
        <w:t xml:space="preserve">Table 7 </w:t>
      </w:r>
      <w:r>
        <w:rPr>
          <w:rFonts w:ascii="Times New Roman" w:eastAsia="Times New Roman" w:hAnsi="Times New Roman" w:cs="Times New Roman"/>
          <w:b/>
          <w:bCs/>
          <w:sz w:val="20"/>
          <w:szCs w:val="20"/>
        </w:rPr>
        <w:t xml:space="preserve">Significant Differences between the Levels of Reading Comprehension Skills of Students Before and After Exposure to Scaffolded Reading. </w:t>
      </w:r>
    </w:p>
    <w:p w14:paraId="1321BB71" w14:textId="77777777" w:rsidR="001A3984" w:rsidRDefault="001A3984">
      <w:pPr>
        <w:shd w:val="clear" w:color="auto" w:fill="FFFFFF"/>
        <w:spacing w:before="0"/>
        <w:jc w:val="both"/>
        <w:rPr>
          <w:rFonts w:ascii="Times New Roman" w:eastAsia="Times New Roman" w:hAnsi="Times New Roman" w:cs="Times New Roman"/>
          <w:b/>
          <w:bCs/>
        </w:rPr>
      </w:pPr>
    </w:p>
    <w:tbl>
      <w:tblPr>
        <w:tblStyle w:val="af0"/>
        <w:tblW w:w="44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20"/>
        <w:gridCol w:w="750"/>
        <w:gridCol w:w="750"/>
        <w:gridCol w:w="645"/>
        <w:gridCol w:w="510"/>
        <w:gridCol w:w="780"/>
      </w:tblGrid>
      <w:tr w:rsidR="001A3984" w14:paraId="6EF90A3B" w14:textId="77777777">
        <w:trPr>
          <w:trHeight w:val="1322"/>
        </w:trPr>
        <w:tc>
          <w:tcPr>
            <w:tcW w:w="1020" w:type="dxa"/>
            <w:tcBorders>
              <w:top w:val="single" w:sz="5" w:space="0" w:color="000000"/>
              <w:left w:val="nil"/>
              <w:bottom w:val="single" w:sz="5" w:space="0" w:color="000000"/>
              <w:right w:val="nil"/>
            </w:tcBorders>
            <w:tcMar>
              <w:top w:w="0" w:type="dxa"/>
              <w:left w:w="100" w:type="dxa"/>
              <w:bottom w:w="0" w:type="dxa"/>
              <w:right w:w="100" w:type="dxa"/>
            </w:tcMar>
          </w:tcPr>
          <w:p w14:paraId="10209F04" w14:textId="77777777" w:rsidR="001A3984" w:rsidRDefault="00115E6A">
            <w:pPr>
              <w:shd w:val="clear" w:color="auto" w:fill="FFFFFF"/>
              <w:spacing w:before="24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Variables</w:t>
            </w:r>
          </w:p>
        </w:tc>
        <w:tc>
          <w:tcPr>
            <w:tcW w:w="750" w:type="dxa"/>
            <w:tcBorders>
              <w:top w:val="single" w:sz="5" w:space="0" w:color="000000"/>
              <w:left w:val="nil"/>
              <w:bottom w:val="single" w:sz="5" w:space="0" w:color="000000"/>
              <w:right w:val="nil"/>
            </w:tcBorders>
            <w:tcMar>
              <w:top w:w="0" w:type="dxa"/>
              <w:left w:w="100" w:type="dxa"/>
              <w:bottom w:w="0" w:type="dxa"/>
              <w:right w:w="100" w:type="dxa"/>
            </w:tcMar>
          </w:tcPr>
          <w:p w14:paraId="4E812270" w14:textId="77777777" w:rsidR="001A3984" w:rsidRDefault="00115E6A">
            <w:pPr>
              <w:shd w:val="clear" w:color="auto" w:fill="FFFFFF"/>
              <w:spacing w:before="24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Weighted Mean(Pre- Test)</w:t>
            </w:r>
          </w:p>
        </w:tc>
        <w:tc>
          <w:tcPr>
            <w:tcW w:w="750" w:type="dxa"/>
            <w:tcBorders>
              <w:top w:val="single" w:sz="5" w:space="0" w:color="000000"/>
              <w:left w:val="nil"/>
              <w:bottom w:val="single" w:sz="5" w:space="0" w:color="000000"/>
              <w:right w:val="nil"/>
            </w:tcBorders>
            <w:tcMar>
              <w:top w:w="0" w:type="dxa"/>
              <w:left w:w="100" w:type="dxa"/>
              <w:bottom w:w="0" w:type="dxa"/>
              <w:right w:w="100" w:type="dxa"/>
            </w:tcMar>
          </w:tcPr>
          <w:p w14:paraId="4B12EF30" w14:textId="77777777" w:rsidR="001A3984" w:rsidRDefault="00115E6A">
            <w:pPr>
              <w:shd w:val="clear" w:color="auto" w:fill="FFFFFF"/>
              <w:spacing w:before="24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Weighted Mean(Post- Test)</w:t>
            </w:r>
          </w:p>
        </w:tc>
        <w:tc>
          <w:tcPr>
            <w:tcW w:w="645" w:type="dxa"/>
            <w:tcBorders>
              <w:top w:val="single" w:sz="5" w:space="0" w:color="000000"/>
              <w:left w:val="nil"/>
              <w:bottom w:val="single" w:sz="5" w:space="0" w:color="000000"/>
              <w:right w:val="nil"/>
            </w:tcBorders>
            <w:tcMar>
              <w:top w:w="0" w:type="dxa"/>
              <w:left w:w="100" w:type="dxa"/>
              <w:bottom w:w="0" w:type="dxa"/>
              <w:right w:w="100" w:type="dxa"/>
            </w:tcMar>
          </w:tcPr>
          <w:p w14:paraId="306EEFBC" w14:textId="77777777" w:rsidR="001A3984" w:rsidRDefault="00115E6A">
            <w:pPr>
              <w:shd w:val="clear" w:color="auto" w:fill="FFFFFF"/>
              <w:spacing w:before="24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Sig. (2-tailed)*</w:t>
            </w:r>
          </w:p>
        </w:tc>
        <w:tc>
          <w:tcPr>
            <w:tcW w:w="510" w:type="dxa"/>
            <w:tcBorders>
              <w:top w:val="single" w:sz="5" w:space="0" w:color="000000"/>
              <w:left w:val="nil"/>
              <w:bottom w:val="single" w:sz="5" w:space="0" w:color="000000"/>
              <w:right w:val="nil"/>
            </w:tcBorders>
            <w:tcMar>
              <w:top w:w="0" w:type="dxa"/>
              <w:left w:w="100" w:type="dxa"/>
              <w:bottom w:w="0" w:type="dxa"/>
              <w:right w:w="100" w:type="dxa"/>
            </w:tcMar>
          </w:tcPr>
          <w:p w14:paraId="2AEFDD55" w14:textId="77777777" w:rsidR="001A3984" w:rsidRDefault="00115E6A">
            <w:pPr>
              <w:shd w:val="clear" w:color="auto" w:fill="FFFFFF"/>
              <w:spacing w:before="24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Decision</w:t>
            </w:r>
          </w:p>
        </w:tc>
        <w:tc>
          <w:tcPr>
            <w:tcW w:w="780" w:type="dxa"/>
            <w:tcBorders>
              <w:top w:val="single" w:sz="5" w:space="0" w:color="000000"/>
              <w:left w:val="nil"/>
              <w:bottom w:val="single" w:sz="5" w:space="0" w:color="000000"/>
              <w:right w:val="nil"/>
            </w:tcBorders>
            <w:tcMar>
              <w:top w:w="0" w:type="dxa"/>
              <w:left w:w="100" w:type="dxa"/>
              <w:bottom w:w="0" w:type="dxa"/>
              <w:right w:w="100" w:type="dxa"/>
            </w:tcMar>
          </w:tcPr>
          <w:p w14:paraId="4F0ADE25" w14:textId="77777777" w:rsidR="001A3984" w:rsidRDefault="00115E6A">
            <w:pPr>
              <w:shd w:val="clear" w:color="auto" w:fill="FFFFFF"/>
              <w:spacing w:before="24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Interpretation</w:t>
            </w:r>
          </w:p>
        </w:tc>
      </w:tr>
      <w:tr w:rsidR="001A3984" w14:paraId="5FFDDD76" w14:textId="77777777">
        <w:trPr>
          <w:trHeight w:val="840"/>
        </w:trPr>
        <w:tc>
          <w:tcPr>
            <w:tcW w:w="1020" w:type="dxa"/>
            <w:tcBorders>
              <w:top w:val="nil"/>
              <w:left w:val="nil"/>
              <w:bottom w:val="nil"/>
              <w:right w:val="nil"/>
            </w:tcBorders>
            <w:tcMar>
              <w:top w:w="0" w:type="dxa"/>
              <w:left w:w="100" w:type="dxa"/>
              <w:bottom w:w="0" w:type="dxa"/>
              <w:right w:w="100" w:type="dxa"/>
            </w:tcMar>
          </w:tcPr>
          <w:p w14:paraId="630A5CA3" w14:textId="77777777" w:rsidR="001A3984" w:rsidRDefault="00115E6A">
            <w:pPr>
              <w:shd w:val="clear" w:color="auto" w:fill="FFFFFF"/>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Literal Level</w:t>
            </w:r>
          </w:p>
        </w:tc>
        <w:tc>
          <w:tcPr>
            <w:tcW w:w="750" w:type="dxa"/>
            <w:tcBorders>
              <w:top w:val="nil"/>
              <w:left w:val="nil"/>
              <w:bottom w:val="nil"/>
              <w:right w:val="nil"/>
            </w:tcBorders>
            <w:tcMar>
              <w:top w:w="0" w:type="dxa"/>
              <w:left w:w="100" w:type="dxa"/>
              <w:bottom w:w="0" w:type="dxa"/>
              <w:right w:w="100" w:type="dxa"/>
            </w:tcMar>
          </w:tcPr>
          <w:p w14:paraId="1F90C5F0" w14:textId="77777777" w:rsidR="001A3984" w:rsidRDefault="00115E6A">
            <w:pPr>
              <w:shd w:val="clear" w:color="auto" w:fill="FFFFFF"/>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12.86</w:t>
            </w:r>
          </w:p>
        </w:tc>
        <w:tc>
          <w:tcPr>
            <w:tcW w:w="750" w:type="dxa"/>
            <w:tcBorders>
              <w:top w:val="nil"/>
              <w:left w:val="nil"/>
              <w:bottom w:val="nil"/>
              <w:right w:val="nil"/>
            </w:tcBorders>
            <w:tcMar>
              <w:top w:w="0" w:type="dxa"/>
              <w:left w:w="100" w:type="dxa"/>
              <w:bottom w:w="0" w:type="dxa"/>
              <w:right w:w="100" w:type="dxa"/>
            </w:tcMar>
          </w:tcPr>
          <w:p w14:paraId="1006512C" w14:textId="77777777" w:rsidR="001A3984" w:rsidRDefault="00115E6A">
            <w:pPr>
              <w:shd w:val="clear" w:color="auto" w:fill="FFFFFF"/>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18.34</w:t>
            </w:r>
          </w:p>
        </w:tc>
        <w:tc>
          <w:tcPr>
            <w:tcW w:w="645" w:type="dxa"/>
            <w:tcBorders>
              <w:top w:val="nil"/>
              <w:left w:val="nil"/>
              <w:bottom w:val="nil"/>
              <w:right w:val="nil"/>
            </w:tcBorders>
            <w:tcMar>
              <w:top w:w="0" w:type="dxa"/>
              <w:left w:w="100" w:type="dxa"/>
              <w:bottom w:w="0" w:type="dxa"/>
              <w:right w:w="100" w:type="dxa"/>
            </w:tcMar>
          </w:tcPr>
          <w:p w14:paraId="5D64B550" w14:textId="77777777" w:rsidR="001A3984" w:rsidRDefault="00115E6A">
            <w:pPr>
              <w:shd w:val="clear" w:color="auto" w:fill="FFFFFF"/>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510" w:type="dxa"/>
            <w:tcBorders>
              <w:top w:val="nil"/>
              <w:left w:val="nil"/>
              <w:bottom w:val="nil"/>
              <w:right w:val="nil"/>
            </w:tcBorders>
            <w:tcMar>
              <w:top w:w="0" w:type="dxa"/>
              <w:left w:w="100" w:type="dxa"/>
              <w:bottom w:w="0" w:type="dxa"/>
              <w:right w:w="100" w:type="dxa"/>
            </w:tcMar>
          </w:tcPr>
          <w:p w14:paraId="7B8C9DF8" w14:textId="77777777" w:rsidR="001A3984" w:rsidRDefault="00115E6A">
            <w:pPr>
              <w:shd w:val="clear" w:color="auto" w:fill="FFFFFF"/>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Reject Ho</w:t>
            </w:r>
          </w:p>
        </w:tc>
        <w:tc>
          <w:tcPr>
            <w:tcW w:w="780" w:type="dxa"/>
            <w:tcBorders>
              <w:top w:val="nil"/>
              <w:left w:val="nil"/>
              <w:bottom w:val="nil"/>
              <w:right w:val="nil"/>
            </w:tcBorders>
            <w:tcMar>
              <w:top w:w="0" w:type="dxa"/>
              <w:left w:w="100" w:type="dxa"/>
              <w:bottom w:w="0" w:type="dxa"/>
              <w:right w:w="100" w:type="dxa"/>
            </w:tcMar>
          </w:tcPr>
          <w:p w14:paraId="5C95201D" w14:textId="77777777" w:rsidR="001A3984" w:rsidRDefault="00115E6A">
            <w:pPr>
              <w:shd w:val="clear" w:color="auto" w:fill="FFFFFF"/>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There is a significant difference</w:t>
            </w:r>
          </w:p>
        </w:tc>
      </w:tr>
      <w:tr w:rsidR="001A3984" w14:paraId="02C3C7A5" w14:textId="77777777">
        <w:trPr>
          <w:trHeight w:val="825"/>
        </w:trPr>
        <w:tc>
          <w:tcPr>
            <w:tcW w:w="1020" w:type="dxa"/>
            <w:tcBorders>
              <w:top w:val="nil"/>
              <w:left w:val="nil"/>
              <w:bottom w:val="nil"/>
              <w:right w:val="nil"/>
            </w:tcBorders>
            <w:tcMar>
              <w:top w:w="0" w:type="dxa"/>
              <w:left w:w="100" w:type="dxa"/>
              <w:bottom w:w="0" w:type="dxa"/>
              <w:right w:w="100" w:type="dxa"/>
            </w:tcMar>
          </w:tcPr>
          <w:p w14:paraId="2925EB69" w14:textId="77777777" w:rsidR="001A3984" w:rsidRDefault="00115E6A">
            <w:pPr>
              <w:shd w:val="clear" w:color="auto" w:fill="FFFFFF"/>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Interpretive Level</w:t>
            </w:r>
          </w:p>
        </w:tc>
        <w:tc>
          <w:tcPr>
            <w:tcW w:w="750" w:type="dxa"/>
            <w:tcBorders>
              <w:top w:val="nil"/>
              <w:left w:val="nil"/>
              <w:bottom w:val="nil"/>
              <w:right w:val="nil"/>
            </w:tcBorders>
            <w:tcMar>
              <w:top w:w="0" w:type="dxa"/>
              <w:left w:w="100" w:type="dxa"/>
              <w:bottom w:w="0" w:type="dxa"/>
              <w:right w:w="100" w:type="dxa"/>
            </w:tcMar>
          </w:tcPr>
          <w:p w14:paraId="2EC4D211" w14:textId="77777777" w:rsidR="001A3984" w:rsidRDefault="00115E6A">
            <w:pPr>
              <w:shd w:val="clear" w:color="auto" w:fill="FFFFFF"/>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8.89</w:t>
            </w:r>
          </w:p>
        </w:tc>
        <w:tc>
          <w:tcPr>
            <w:tcW w:w="750" w:type="dxa"/>
            <w:tcBorders>
              <w:top w:val="nil"/>
              <w:left w:val="nil"/>
              <w:bottom w:val="nil"/>
              <w:right w:val="nil"/>
            </w:tcBorders>
            <w:tcMar>
              <w:top w:w="0" w:type="dxa"/>
              <w:left w:w="100" w:type="dxa"/>
              <w:bottom w:w="0" w:type="dxa"/>
              <w:right w:w="100" w:type="dxa"/>
            </w:tcMar>
          </w:tcPr>
          <w:p w14:paraId="4FBBB57C" w14:textId="77777777" w:rsidR="001A3984" w:rsidRDefault="00115E6A">
            <w:pPr>
              <w:shd w:val="clear" w:color="auto" w:fill="FFFFFF"/>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15.63</w:t>
            </w:r>
          </w:p>
        </w:tc>
        <w:tc>
          <w:tcPr>
            <w:tcW w:w="645" w:type="dxa"/>
            <w:tcBorders>
              <w:top w:val="nil"/>
              <w:left w:val="nil"/>
              <w:bottom w:val="nil"/>
              <w:right w:val="nil"/>
            </w:tcBorders>
            <w:tcMar>
              <w:top w:w="0" w:type="dxa"/>
              <w:left w:w="100" w:type="dxa"/>
              <w:bottom w:w="0" w:type="dxa"/>
              <w:right w:w="100" w:type="dxa"/>
            </w:tcMar>
          </w:tcPr>
          <w:p w14:paraId="6F2E31AE" w14:textId="77777777" w:rsidR="001A3984" w:rsidRDefault="00115E6A">
            <w:pPr>
              <w:shd w:val="clear" w:color="auto" w:fill="FFFFFF"/>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510" w:type="dxa"/>
            <w:tcBorders>
              <w:top w:val="nil"/>
              <w:left w:val="nil"/>
              <w:bottom w:val="nil"/>
              <w:right w:val="nil"/>
            </w:tcBorders>
            <w:tcMar>
              <w:top w:w="0" w:type="dxa"/>
              <w:left w:w="100" w:type="dxa"/>
              <w:bottom w:w="0" w:type="dxa"/>
              <w:right w:w="100" w:type="dxa"/>
            </w:tcMar>
          </w:tcPr>
          <w:p w14:paraId="5A34E608" w14:textId="77777777" w:rsidR="001A3984" w:rsidRDefault="00115E6A">
            <w:pPr>
              <w:shd w:val="clear" w:color="auto" w:fill="FFFFFF"/>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Reject Ho</w:t>
            </w:r>
          </w:p>
        </w:tc>
        <w:tc>
          <w:tcPr>
            <w:tcW w:w="780" w:type="dxa"/>
            <w:tcBorders>
              <w:top w:val="nil"/>
              <w:left w:val="nil"/>
              <w:bottom w:val="nil"/>
              <w:right w:val="nil"/>
            </w:tcBorders>
            <w:tcMar>
              <w:top w:w="0" w:type="dxa"/>
              <w:left w:w="100" w:type="dxa"/>
              <w:bottom w:w="0" w:type="dxa"/>
              <w:right w:w="100" w:type="dxa"/>
            </w:tcMar>
          </w:tcPr>
          <w:p w14:paraId="3A69AAA1" w14:textId="77777777" w:rsidR="001A3984" w:rsidRDefault="00115E6A">
            <w:pPr>
              <w:shd w:val="clear" w:color="auto" w:fill="FFFFFF"/>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There is a significant difference</w:t>
            </w:r>
          </w:p>
        </w:tc>
      </w:tr>
      <w:tr w:rsidR="001A3984" w14:paraId="523DD20A" w14:textId="77777777">
        <w:trPr>
          <w:trHeight w:val="840"/>
        </w:trPr>
        <w:tc>
          <w:tcPr>
            <w:tcW w:w="1020" w:type="dxa"/>
            <w:tcBorders>
              <w:top w:val="nil"/>
              <w:left w:val="nil"/>
              <w:bottom w:val="single" w:sz="5" w:space="0" w:color="000000"/>
              <w:right w:val="nil"/>
            </w:tcBorders>
            <w:tcMar>
              <w:top w:w="0" w:type="dxa"/>
              <w:left w:w="100" w:type="dxa"/>
              <w:bottom w:w="0" w:type="dxa"/>
              <w:right w:w="100" w:type="dxa"/>
            </w:tcMar>
          </w:tcPr>
          <w:p w14:paraId="2BCEC0A9" w14:textId="77777777" w:rsidR="001A3984" w:rsidRDefault="00115E6A">
            <w:pPr>
              <w:shd w:val="clear" w:color="auto" w:fill="FFFFFF"/>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Evaluative Level</w:t>
            </w:r>
          </w:p>
        </w:tc>
        <w:tc>
          <w:tcPr>
            <w:tcW w:w="750" w:type="dxa"/>
            <w:tcBorders>
              <w:top w:val="nil"/>
              <w:left w:val="nil"/>
              <w:bottom w:val="single" w:sz="5" w:space="0" w:color="000000"/>
              <w:right w:val="nil"/>
            </w:tcBorders>
            <w:tcMar>
              <w:top w:w="0" w:type="dxa"/>
              <w:left w:w="100" w:type="dxa"/>
              <w:bottom w:w="0" w:type="dxa"/>
              <w:right w:w="100" w:type="dxa"/>
            </w:tcMar>
          </w:tcPr>
          <w:p w14:paraId="35C1E452" w14:textId="77777777" w:rsidR="001A3984" w:rsidRDefault="00115E6A">
            <w:pPr>
              <w:shd w:val="clear" w:color="auto" w:fill="FFFFFF"/>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7.15</w:t>
            </w:r>
          </w:p>
        </w:tc>
        <w:tc>
          <w:tcPr>
            <w:tcW w:w="750" w:type="dxa"/>
            <w:tcBorders>
              <w:top w:val="nil"/>
              <w:left w:val="nil"/>
              <w:bottom w:val="single" w:sz="5" w:space="0" w:color="000000"/>
              <w:right w:val="nil"/>
            </w:tcBorders>
            <w:tcMar>
              <w:top w:w="0" w:type="dxa"/>
              <w:left w:w="100" w:type="dxa"/>
              <w:bottom w:w="0" w:type="dxa"/>
              <w:right w:w="100" w:type="dxa"/>
            </w:tcMar>
          </w:tcPr>
          <w:p w14:paraId="6A60EEDC" w14:textId="77777777" w:rsidR="001A3984" w:rsidRDefault="00115E6A">
            <w:pPr>
              <w:shd w:val="clear" w:color="auto" w:fill="FFFFFF"/>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14.33</w:t>
            </w:r>
          </w:p>
        </w:tc>
        <w:tc>
          <w:tcPr>
            <w:tcW w:w="645" w:type="dxa"/>
            <w:tcBorders>
              <w:top w:val="nil"/>
              <w:left w:val="nil"/>
              <w:bottom w:val="single" w:sz="5" w:space="0" w:color="000000"/>
              <w:right w:val="nil"/>
            </w:tcBorders>
            <w:tcMar>
              <w:top w:w="0" w:type="dxa"/>
              <w:left w:w="100" w:type="dxa"/>
              <w:bottom w:w="0" w:type="dxa"/>
              <w:right w:w="100" w:type="dxa"/>
            </w:tcMar>
          </w:tcPr>
          <w:p w14:paraId="23B85C4B" w14:textId="77777777" w:rsidR="001A3984" w:rsidRDefault="00115E6A">
            <w:pPr>
              <w:shd w:val="clear" w:color="auto" w:fill="FFFFFF"/>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510" w:type="dxa"/>
            <w:tcBorders>
              <w:top w:val="nil"/>
              <w:left w:val="nil"/>
              <w:bottom w:val="single" w:sz="5" w:space="0" w:color="000000"/>
              <w:right w:val="nil"/>
            </w:tcBorders>
            <w:tcMar>
              <w:top w:w="0" w:type="dxa"/>
              <w:left w:w="100" w:type="dxa"/>
              <w:bottom w:w="0" w:type="dxa"/>
              <w:right w:w="100" w:type="dxa"/>
            </w:tcMar>
          </w:tcPr>
          <w:p w14:paraId="72B97213" w14:textId="77777777" w:rsidR="001A3984" w:rsidRDefault="00115E6A">
            <w:pPr>
              <w:shd w:val="clear" w:color="auto" w:fill="FFFFFF"/>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Reject Ho</w:t>
            </w:r>
          </w:p>
        </w:tc>
        <w:tc>
          <w:tcPr>
            <w:tcW w:w="780" w:type="dxa"/>
            <w:tcBorders>
              <w:top w:val="nil"/>
              <w:left w:val="nil"/>
              <w:bottom w:val="single" w:sz="5" w:space="0" w:color="000000"/>
              <w:right w:val="nil"/>
            </w:tcBorders>
            <w:tcMar>
              <w:top w:w="0" w:type="dxa"/>
              <w:left w:w="100" w:type="dxa"/>
              <w:bottom w:w="0" w:type="dxa"/>
              <w:right w:w="100" w:type="dxa"/>
            </w:tcMar>
          </w:tcPr>
          <w:p w14:paraId="4F5A3205" w14:textId="77777777" w:rsidR="001A3984" w:rsidRDefault="00115E6A">
            <w:pPr>
              <w:shd w:val="clear" w:color="auto" w:fill="FFFFFF"/>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There is a significant difference</w:t>
            </w:r>
          </w:p>
        </w:tc>
      </w:tr>
    </w:tbl>
    <w:p w14:paraId="28AFBCE0"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Table 7 presents the results of the test for the significant difference between the levels of reading comprehension skills of the students before and after exposure to scaffolded reading. It revealed a significant difference between participants' pre-test and post-test scores across all three (3) levels: literal, interpretive, and evaluative. It is evident that the weighted means of the variables have increased: literal level from 12.86 to 18.34, interpretive level from 8.89 to 15.63, and evaluative level from 7.15 to 14.33. These findings are supported by computed p-values of 0.0000 across all categories, which are below the 0.05 significance level. This led to the decision to reject the null hypothesis (Ho), confirming that there is a significant difference in students' reading comprehension skills before and after using scaffolded reading across the three key areas.</w:t>
      </w:r>
    </w:p>
    <w:p w14:paraId="78ED9EC9"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This finding was strongly supported by Lastiri's (2021) study, which also reported a significant difference between the before and after conditions using the scaffolding strategy. It indicates that the scaffolding strategy students used could improve their reading comprehension through a step-by-step activity.</w:t>
      </w:r>
    </w:p>
    <w:p w14:paraId="4EF174D0" w14:textId="77777777" w:rsidR="001A3984" w:rsidRDefault="001A3984">
      <w:pPr>
        <w:shd w:val="clear" w:color="auto" w:fill="FFFFFF"/>
        <w:spacing w:before="0"/>
        <w:jc w:val="both"/>
        <w:rPr>
          <w:rFonts w:ascii="Times New Roman" w:eastAsia="Times New Roman" w:hAnsi="Times New Roman" w:cs="Times New Roman"/>
          <w:sz w:val="20"/>
          <w:szCs w:val="20"/>
        </w:rPr>
      </w:pPr>
    </w:p>
    <w:p w14:paraId="201B29B4" w14:textId="77777777" w:rsidR="001A3984" w:rsidRDefault="00115E6A">
      <w:pPr>
        <w:shd w:val="clear" w:color="auto" w:fill="FFFFFF"/>
        <w:spacing w:before="0"/>
        <w:jc w:val="both"/>
        <w:rPr>
          <w:rFonts w:ascii="Times New Roman" w:eastAsia="Times New Roman" w:hAnsi="Times New Roman" w:cs="Times New Roman"/>
          <w:b/>
          <w:bCs/>
        </w:rPr>
      </w:pPr>
      <w:r>
        <w:rPr>
          <w:rFonts w:ascii="Times New Roman" w:eastAsia="Times New Roman" w:hAnsi="Times New Roman" w:cs="Times New Roman"/>
          <w:b/>
          <w:bCs/>
        </w:rPr>
        <w:t>4.4. 1.</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bCs/>
        </w:rPr>
        <w:t xml:space="preserve">Students’ perception on the use of scaffolded reading in terms of:  </w:t>
      </w:r>
    </w:p>
    <w:p w14:paraId="4D1BA592" w14:textId="77777777" w:rsidR="001A3984" w:rsidRDefault="001A3984">
      <w:pPr>
        <w:shd w:val="clear" w:color="auto" w:fill="FFFFFF"/>
        <w:spacing w:before="0"/>
        <w:jc w:val="both"/>
        <w:rPr>
          <w:rFonts w:ascii="Times New Roman" w:eastAsia="Times New Roman" w:hAnsi="Times New Roman" w:cs="Times New Roman"/>
          <w:b/>
          <w:bCs/>
        </w:rPr>
      </w:pPr>
    </w:p>
    <w:p w14:paraId="38ABC14F" w14:textId="77777777" w:rsidR="001A3984" w:rsidRDefault="00115E6A">
      <w:pPr>
        <w:shd w:val="clear" w:color="auto" w:fill="FFFFFF"/>
        <w:spacing w:before="0"/>
        <w:jc w:val="both"/>
        <w:rPr>
          <w:rFonts w:ascii="Times New Roman" w:eastAsia="Times New Roman" w:hAnsi="Times New Roman" w:cs="Times New Roman"/>
          <w:b/>
          <w:bCs/>
        </w:rPr>
      </w:pPr>
      <w:r>
        <w:rPr>
          <w:rFonts w:ascii="Times New Roman" w:eastAsia="Times New Roman" w:hAnsi="Times New Roman" w:cs="Times New Roman"/>
          <w:b/>
          <w:bCs/>
          <w:sz w:val="20"/>
          <w:szCs w:val="20"/>
        </w:rPr>
        <w:t>Table 8 Intentionality</w:t>
      </w:r>
      <w:r>
        <w:rPr>
          <w:rFonts w:ascii="Times New Roman" w:eastAsia="Times New Roman" w:hAnsi="Times New Roman" w:cs="Times New Roman"/>
          <w:b/>
          <w:bCs/>
        </w:rPr>
        <w:t xml:space="preserve"> </w:t>
      </w:r>
    </w:p>
    <w:p w14:paraId="3023C36D" w14:textId="77777777" w:rsidR="001A3984" w:rsidRDefault="001A3984">
      <w:pPr>
        <w:shd w:val="clear" w:color="auto" w:fill="FFFFFF"/>
        <w:spacing w:before="0"/>
        <w:jc w:val="both"/>
        <w:rPr>
          <w:rFonts w:ascii="Times New Roman" w:eastAsia="Times New Roman" w:hAnsi="Times New Roman" w:cs="Times New Roman"/>
          <w:b/>
          <w:bCs/>
        </w:rPr>
      </w:pPr>
    </w:p>
    <w:tbl>
      <w:tblPr>
        <w:tblStyle w:val="af1"/>
        <w:tblW w:w="40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95"/>
        <w:gridCol w:w="735"/>
        <w:gridCol w:w="1020"/>
        <w:gridCol w:w="645"/>
      </w:tblGrid>
      <w:tr w:rsidR="001A3984" w14:paraId="49542D43" w14:textId="77777777">
        <w:trPr>
          <w:trHeight w:val="1050"/>
        </w:trPr>
        <w:tc>
          <w:tcPr>
            <w:tcW w:w="1695" w:type="dxa"/>
            <w:tcBorders>
              <w:top w:val="single" w:sz="5" w:space="0" w:color="000000"/>
              <w:left w:val="nil"/>
              <w:bottom w:val="single" w:sz="5" w:space="0" w:color="000000"/>
              <w:right w:val="nil"/>
            </w:tcBorders>
            <w:tcMar>
              <w:top w:w="0" w:type="dxa"/>
              <w:left w:w="100" w:type="dxa"/>
              <w:bottom w:w="0" w:type="dxa"/>
              <w:right w:w="100" w:type="dxa"/>
            </w:tcMar>
          </w:tcPr>
          <w:p w14:paraId="670CEA43"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Statements</w:t>
            </w:r>
          </w:p>
        </w:tc>
        <w:tc>
          <w:tcPr>
            <w:tcW w:w="735" w:type="dxa"/>
            <w:tcBorders>
              <w:top w:val="single" w:sz="5" w:space="0" w:color="000000"/>
              <w:left w:val="nil"/>
              <w:bottom w:val="single" w:sz="5" w:space="0" w:color="000000"/>
              <w:right w:val="nil"/>
            </w:tcBorders>
            <w:tcMar>
              <w:top w:w="0" w:type="dxa"/>
              <w:left w:w="100" w:type="dxa"/>
              <w:bottom w:w="0" w:type="dxa"/>
              <w:right w:w="100" w:type="dxa"/>
            </w:tcMar>
          </w:tcPr>
          <w:p w14:paraId="7583F8FC"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Weighted Mean</w:t>
            </w:r>
          </w:p>
        </w:tc>
        <w:tc>
          <w:tcPr>
            <w:tcW w:w="1020" w:type="dxa"/>
            <w:tcBorders>
              <w:top w:val="single" w:sz="5" w:space="0" w:color="000000"/>
              <w:left w:val="nil"/>
              <w:bottom w:val="single" w:sz="5" w:space="0" w:color="000000"/>
              <w:right w:val="nil"/>
            </w:tcBorders>
            <w:tcMar>
              <w:top w:w="0" w:type="dxa"/>
              <w:left w:w="100" w:type="dxa"/>
              <w:bottom w:w="0" w:type="dxa"/>
              <w:right w:w="100" w:type="dxa"/>
            </w:tcMar>
          </w:tcPr>
          <w:p w14:paraId="62F3C3EC"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Verbal Interpretation</w:t>
            </w:r>
          </w:p>
        </w:tc>
        <w:tc>
          <w:tcPr>
            <w:tcW w:w="645" w:type="dxa"/>
            <w:tcBorders>
              <w:top w:val="single" w:sz="5" w:space="0" w:color="000000"/>
              <w:left w:val="nil"/>
              <w:bottom w:val="single" w:sz="5" w:space="0" w:color="000000"/>
              <w:right w:val="nil"/>
            </w:tcBorders>
            <w:tcMar>
              <w:top w:w="0" w:type="dxa"/>
              <w:left w:w="100" w:type="dxa"/>
              <w:bottom w:w="0" w:type="dxa"/>
              <w:right w:w="100" w:type="dxa"/>
            </w:tcMar>
          </w:tcPr>
          <w:p w14:paraId="3CB00F9F"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Rank</w:t>
            </w:r>
          </w:p>
        </w:tc>
      </w:tr>
      <w:tr w:rsidR="001A3984" w14:paraId="183C3164" w14:textId="77777777">
        <w:trPr>
          <w:trHeight w:val="945"/>
        </w:trPr>
        <w:tc>
          <w:tcPr>
            <w:tcW w:w="1695" w:type="dxa"/>
            <w:tcBorders>
              <w:top w:val="nil"/>
              <w:left w:val="nil"/>
              <w:bottom w:val="nil"/>
              <w:right w:val="nil"/>
            </w:tcBorders>
            <w:tcMar>
              <w:top w:w="0" w:type="dxa"/>
              <w:left w:w="100" w:type="dxa"/>
              <w:bottom w:w="0" w:type="dxa"/>
              <w:right w:w="100" w:type="dxa"/>
            </w:tcMar>
          </w:tcPr>
          <w:p w14:paraId="3D594FC3"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1.Scaffolded reading helps in activating prior knowledge.</w:t>
            </w:r>
          </w:p>
        </w:tc>
        <w:tc>
          <w:tcPr>
            <w:tcW w:w="735" w:type="dxa"/>
            <w:tcBorders>
              <w:top w:val="nil"/>
              <w:left w:val="nil"/>
              <w:bottom w:val="nil"/>
              <w:right w:val="nil"/>
            </w:tcBorders>
            <w:tcMar>
              <w:top w:w="0" w:type="dxa"/>
              <w:left w:w="100" w:type="dxa"/>
              <w:bottom w:w="0" w:type="dxa"/>
              <w:right w:w="100" w:type="dxa"/>
            </w:tcMar>
          </w:tcPr>
          <w:p w14:paraId="2655BF50"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w:t>
            </w:r>
          </w:p>
        </w:tc>
        <w:tc>
          <w:tcPr>
            <w:tcW w:w="1020" w:type="dxa"/>
            <w:tcBorders>
              <w:top w:val="nil"/>
              <w:left w:val="nil"/>
              <w:bottom w:val="nil"/>
              <w:right w:val="nil"/>
            </w:tcBorders>
            <w:tcMar>
              <w:top w:w="0" w:type="dxa"/>
              <w:left w:w="100" w:type="dxa"/>
              <w:bottom w:w="0" w:type="dxa"/>
              <w:right w:w="100" w:type="dxa"/>
            </w:tcMar>
          </w:tcPr>
          <w:p w14:paraId="429920E0"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Strongly Agree</w:t>
            </w:r>
          </w:p>
        </w:tc>
        <w:tc>
          <w:tcPr>
            <w:tcW w:w="645" w:type="dxa"/>
            <w:tcBorders>
              <w:top w:val="nil"/>
              <w:left w:val="nil"/>
              <w:bottom w:val="nil"/>
              <w:right w:val="nil"/>
            </w:tcBorders>
            <w:tcMar>
              <w:top w:w="0" w:type="dxa"/>
              <w:left w:w="100" w:type="dxa"/>
              <w:bottom w:w="0" w:type="dxa"/>
              <w:right w:w="100" w:type="dxa"/>
            </w:tcMar>
          </w:tcPr>
          <w:p w14:paraId="078F0FCA"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14:paraId="165D66C4"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1A3984" w14:paraId="6A5E4639" w14:textId="77777777">
        <w:trPr>
          <w:trHeight w:val="960"/>
        </w:trPr>
        <w:tc>
          <w:tcPr>
            <w:tcW w:w="1695" w:type="dxa"/>
            <w:tcBorders>
              <w:top w:val="nil"/>
              <w:left w:val="nil"/>
              <w:bottom w:val="nil"/>
              <w:right w:val="nil"/>
            </w:tcBorders>
            <w:tcMar>
              <w:top w:w="0" w:type="dxa"/>
              <w:left w:w="100" w:type="dxa"/>
              <w:bottom w:w="0" w:type="dxa"/>
              <w:right w:w="100" w:type="dxa"/>
            </w:tcMar>
          </w:tcPr>
          <w:p w14:paraId="583F880B"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2.Scaffolded reading improves reading comprehension.</w:t>
            </w:r>
          </w:p>
        </w:tc>
        <w:tc>
          <w:tcPr>
            <w:tcW w:w="735" w:type="dxa"/>
            <w:tcBorders>
              <w:top w:val="nil"/>
              <w:left w:val="nil"/>
              <w:bottom w:val="nil"/>
              <w:right w:val="nil"/>
            </w:tcBorders>
            <w:tcMar>
              <w:top w:w="0" w:type="dxa"/>
              <w:left w:w="100" w:type="dxa"/>
              <w:bottom w:w="0" w:type="dxa"/>
              <w:right w:w="100" w:type="dxa"/>
            </w:tcMar>
          </w:tcPr>
          <w:p w14:paraId="1852E91D"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3.54</w:t>
            </w:r>
          </w:p>
        </w:tc>
        <w:tc>
          <w:tcPr>
            <w:tcW w:w="1020" w:type="dxa"/>
            <w:tcBorders>
              <w:top w:val="nil"/>
              <w:left w:val="nil"/>
              <w:bottom w:val="nil"/>
              <w:right w:val="nil"/>
            </w:tcBorders>
            <w:tcMar>
              <w:top w:w="0" w:type="dxa"/>
              <w:left w:w="100" w:type="dxa"/>
              <w:bottom w:w="0" w:type="dxa"/>
              <w:right w:w="100" w:type="dxa"/>
            </w:tcMar>
          </w:tcPr>
          <w:p w14:paraId="3FC5AC37"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Strongly Agree</w:t>
            </w:r>
          </w:p>
        </w:tc>
        <w:tc>
          <w:tcPr>
            <w:tcW w:w="645" w:type="dxa"/>
            <w:tcBorders>
              <w:top w:val="nil"/>
              <w:left w:val="nil"/>
              <w:bottom w:val="nil"/>
              <w:right w:val="nil"/>
            </w:tcBorders>
            <w:tcMar>
              <w:top w:w="0" w:type="dxa"/>
              <w:left w:w="100" w:type="dxa"/>
              <w:bottom w:w="0" w:type="dxa"/>
              <w:right w:w="100" w:type="dxa"/>
            </w:tcMar>
          </w:tcPr>
          <w:p w14:paraId="1D6C9A0A"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1A3984" w14:paraId="4F622450" w14:textId="77777777">
        <w:trPr>
          <w:trHeight w:val="1035"/>
        </w:trPr>
        <w:tc>
          <w:tcPr>
            <w:tcW w:w="1695" w:type="dxa"/>
            <w:tcBorders>
              <w:top w:val="nil"/>
              <w:left w:val="nil"/>
              <w:bottom w:val="nil"/>
              <w:right w:val="nil"/>
            </w:tcBorders>
            <w:tcMar>
              <w:top w:w="0" w:type="dxa"/>
              <w:left w:w="100" w:type="dxa"/>
              <w:bottom w:w="0" w:type="dxa"/>
              <w:right w:w="100" w:type="dxa"/>
            </w:tcMar>
          </w:tcPr>
          <w:p w14:paraId="3DB8FBAF"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3.Scaffolded reading makes the text more simple and easy to understand.</w:t>
            </w:r>
          </w:p>
        </w:tc>
        <w:tc>
          <w:tcPr>
            <w:tcW w:w="735" w:type="dxa"/>
            <w:tcBorders>
              <w:top w:val="nil"/>
              <w:left w:val="nil"/>
              <w:bottom w:val="nil"/>
              <w:right w:val="nil"/>
            </w:tcBorders>
            <w:tcMar>
              <w:top w:w="0" w:type="dxa"/>
              <w:left w:w="100" w:type="dxa"/>
              <w:bottom w:w="0" w:type="dxa"/>
              <w:right w:w="100" w:type="dxa"/>
            </w:tcMar>
          </w:tcPr>
          <w:p w14:paraId="7C9C2F87"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w:t>
            </w:r>
          </w:p>
        </w:tc>
        <w:tc>
          <w:tcPr>
            <w:tcW w:w="1020" w:type="dxa"/>
            <w:tcBorders>
              <w:top w:val="nil"/>
              <w:left w:val="nil"/>
              <w:bottom w:val="nil"/>
              <w:right w:val="nil"/>
            </w:tcBorders>
            <w:tcMar>
              <w:top w:w="0" w:type="dxa"/>
              <w:left w:w="100" w:type="dxa"/>
              <w:bottom w:w="0" w:type="dxa"/>
              <w:right w:w="100" w:type="dxa"/>
            </w:tcMar>
          </w:tcPr>
          <w:p w14:paraId="0ED84EC6"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Agree</w:t>
            </w:r>
          </w:p>
        </w:tc>
        <w:tc>
          <w:tcPr>
            <w:tcW w:w="645" w:type="dxa"/>
            <w:tcBorders>
              <w:top w:val="nil"/>
              <w:left w:val="nil"/>
              <w:bottom w:val="nil"/>
              <w:right w:val="nil"/>
            </w:tcBorders>
            <w:tcMar>
              <w:top w:w="0" w:type="dxa"/>
              <w:left w:w="100" w:type="dxa"/>
              <w:bottom w:w="0" w:type="dxa"/>
              <w:right w:w="100" w:type="dxa"/>
            </w:tcMar>
          </w:tcPr>
          <w:p w14:paraId="1B52B7CE"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1A3984" w14:paraId="0F5DBCA5" w14:textId="77777777">
        <w:trPr>
          <w:trHeight w:val="1560"/>
        </w:trPr>
        <w:tc>
          <w:tcPr>
            <w:tcW w:w="1695" w:type="dxa"/>
            <w:tcBorders>
              <w:top w:val="nil"/>
              <w:left w:val="nil"/>
              <w:bottom w:val="nil"/>
              <w:right w:val="nil"/>
            </w:tcBorders>
            <w:tcMar>
              <w:top w:w="0" w:type="dxa"/>
              <w:left w:w="100" w:type="dxa"/>
              <w:bottom w:w="0" w:type="dxa"/>
              <w:right w:w="100" w:type="dxa"/>
            </w:tcMar>
          </w:tcPr>
          <w:p w14:paraId="03180009"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4.Scaffolded reading makes reading more accessible to students of all abilities.</w:t>
            </w:r>
          </w:p>
        </w:tc>
        <w:tc>
          <w:tcPr>
            <w:tcW w:w="735" w:type="dxa"/>
            <w:tcBorders>
              <w:top w:val="nil"/>
              <w:left w:val="nil"/>
              <w:bottom w:val="nil"/>
              <w:right w:val="nil"/>
            </w:tcBorders>
            <w:tcMar>
              <w:top w:w="0" w:type="dxa"/>
              <w:left w:w="100" w:type="dxa"/>
              <w:bottom w:w="0" w:type="dxa"/>
              <w:right w:w="100" w:type="dxa"/>
            </w:tcMar>
          </w:tcPr>
          <w:p w14:paraId="4AC60D1F"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020" w:type="dxa"/>
            <w:tcBorders>
              <w:top w:val="nil"/>
              <w:left w:val="nil"/>
              <w:bottom w:val="nil"/>
              <w:right w:val="nil"/>
            </w:tcBorders>
            <w:tcMar>
              <w:top w:w="0" w:type="dxa"/>
              <w:left w:w="100" w:type="dxa"/>
              <w:bottom w:w="0" w:type="dxa"/>
              <w:right w:w="100" w:type="dxa"/>
            </w:tcMar>
          </w:tcPr>
          <w:p w14:paraId="2AF22C6A"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Strongly Agree</w:t>
            </w:r>
          </w:p>
        </w:tc>
        <w:tc>
          <w:tcPr>
            <w:tcW w:w="645" w:type="dxa"/>
            <w:tcBorders>
              <w:top w:val="nil"/>
              <w:left w:val="nil"/>
              <w:bottom w:val="nil"/>
              <w:right w:val="nil"/>
            </w:tcBorders>
            <w:tcMar>
              <w:top w:w="0" w:type="dxa"/>
              <w:left w:w="100" w:type="dxa"/>
              <w:bottom w:w="0" w:type="dxa"/>
              <w:right w:w="100" w:type="dxa"/>
            </w:tcMar>
          </w:tcPr>
          <w:p w14:paraId="279EBA4C"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1A3984" w14:paraId="3273DCF4" w14:textId="77777777">
        <w:trPr>
          <w:trHeight w:val="1425"/>
        </w:trPr>
        <w:tc>
          <w:tcPr>
            <w:tcW w:w="1695" w:type="dxa"/>
            <w:tcBorders>
              <w:top w:val="nil"/>
              <w:left w:val="nil"/>
              <w:bottom w:val="single" w:sz="5" w:space="0" w:color="000000"/>
              <w:right w:val="nil"/>
            </w:tcBorders>
            <w:tcMar>
              <w:top w:w="0" w:type="dxa"/>
              <w:left w:w="100" w:type="dxa"/>
              <w:bottom w:w="0" w:type="dxa"/>
              <w:right w:w="100" w:type="dxa"/>
            </w:tcMar>
          </w:tcPr>
          <w:p w14:paraId="1A1AC0EA"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5.Scaffolded reading provides support to students to understand complex texts.</w:t>
            </w:r>
          </w:p>
        </w:tc>
        <w:tc>
          <w:tcPr>
            <w:tcW w:w="735" w:type="dxa"/>
            <w:tcBorders>
              <w:top w:val="nil"/>
              <w:left w:val="nil"/>
              <w:bottom w:val="single" w:sz="5" w:space="0" w:color="000000"/>
              <w:right w:val="nil"/>
            </w:tcBorders>
            <w:tcMar>
              <w:top w:w="0" w:type="dxa"/>
              <w:left w:w="100" w:type="dxa"/>
              <w:bottom w:w="0" w:type="dxa"/>
              <w:right w:w="100" w:type="dxa"/>
            </w:tcMar>
          </w:tcPr>
          <w:p w14:paraId="0F67829D"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020" w:type="dxa"/>
            <w:tcBorders>
              <w:top w:val="nil"/>
              <w:left w:val="nil"/>
              <w:bottom w:val="single" w:sz="5" w:space="0" w:color="000000"/>
              <w:right w:val="nil"/>
            </w:tcBorders>
            <w:tcMar>
              <w:top w:w="0" w:type="dxa"/>
              <w:left w:w="100" w:type="dxa"/>
              <w:bottom w:w="0" w:type="dxa"/>
              <w:right w:w="100" w:type="dxa"/>
            </w:tcMar>
          </w:tcPr>
          <w:p w14:paraId="110A7DF4"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Agree</w:t>
            </w:r>
          </w:p>
        </w:tc>
        <w:tc>
          <w:tcPr>
            <w:tcW w:w="645" w:type="dxa"/>
            <w:tcBorders>
              <w:top w:val="nil"/>
              <w:left w:val="nil"/>
              <w:bottom w:val="single" w:sz="5" w:space="0" w:color="000000"/>
              <w:right w:val="nil"/>
            </w:tcBorders>
            <w:tcMar>
              <w:top w:w="0" w:type="dxa"/>
              <w:left w:w="100" w:type="dxa"/>
              <w:bottom w:w="0" w:type="dxa"/>
              <w:right w:w="100" w:type="dxa"/>
            </w:tcMar>
          </w:tcPr>
          <w:p w14:paraId="5A8EC6F7"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1A3984" w14:paraId="27F74577" w14:textId="77777777">
        <w:trPr>
          <w:trHeight w:val="525"/>
        </w:trPr>
        <w:tc>
          <w:tcPr>
            <w:tcW w:w="1695" w:type="dxa"/>
            <w:tcBorders>
              <w:top w:val="nil"/>
              <w:left w:val="nil"/>
              <w:bottom w:val="single" w:sz="5" w:space="0" w:color="000000"/>
              <w:right w:val="nil"/>
            </w:tcBorders>
            <w:tcMar>
              <w:top w:w="0" w:type="dxa"/>
              <w:left w:w="100" w:type="dxa"/>
              <w:bottom w:w="0" w:type="dxa"/>
              <w:right w:w="100" w:type="dxa"/>
            </w:tcMar>
          </w:tcPr>
          <w:p w14:paraId="21F053B6" w14:textId="77777777" w:rsidR="001A3984" w:rsidRDefault="00115E6A">
            <w:pPr>
              <w:shd w:val="clear" w:color="auto" w:fill="FFFFFF"/>
              <w:spacing w:befor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GWM</w:t>
            </w:r>
          </w:p>
        </w:tc>
        <w:tc>
          <w:tcPr>
            <w:tcW w:w="735" w:type="dxa"/>
            <w:tcBorders>
              <w:top w:val="nil"/>
              <w:left w:val="nil"/>
              <w:bottom w:val="single" w:sz="5" w:space="0" w:color="000000"/>
              <w:right w:val="nil"/>
            </w:tcBorders>
            <w:tcMar>
              <w:top w:w="0" w:type="dxa"/>
              <w:left w:w="100" w:type="dxa"/>
              <w:bottom w:w="0" w:type="dxa"/>
              <w:right w:w="100" w:type="dxa"/>
            </w:tcMar>
          </w:tcPr>
          <w:p w14:paraId="1BC82325"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3.5</w:t>
            </w:r>
          </w:p>
        </w:tc>
        <w:tc>
          <w:tcPr>
            <w:tcW w:w="1020" w:type="dxa"/>
            <w:tcBorders>
              <w:top w:val="nil"/>
              <w:left w:val="nil"/>
              <w:bottom w:val="single" w:sz="5" w:space="0" w:color="000000"/>
              <w:right w:val="nil"/>
            </w:tcBorders>
            <w:tcMar>
              <w:top w:w="0" w:type="dxa"/>
              <w:left w:w="100" w:type="dxa"/>
              <w:bottom w:w="0" w:type="dxa"/>
              <w:right w:w="100" w:type="dxa"/>
            </w:tcMar>
          </w:tcPr>
          <w:p w14:paraId="67F8F47E"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Strongly Agree</w:t>
            </w:r>
          </w:p>
        </w:tc>
        <w:tc>
          <w:tcPr>
            <w:tcW w:w="645" w:type="dxa"/>
            <w:tcBorders>
              <w:top w:val="nil"/>
              <w:left w:val="nil"/>
              <w:bottom w:val="single" w:sz="5" w:space="0" w:color="000000"/>
              <w:right w:val="nil"/>
            </w:tcBorders>
            <w:tcMar>
              <w:top w:w="0" w:type="dxa"/>
              <w:left w:w="100" w:type="dxa"/>
              <w:bottom w:w="0" w:type="dxa"/>
              <w:right w:w="100" w:type="dxa"/>
            </w:tcMar>
          </w:tcPr>
          <w:p w14:paraId="54C86C80"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14:paraId="5430AD56"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Based on Table 8, the three statements are ranked chronologically and receive the verbal interpretation of strongly agree. The statement "</w:t>
      </w:r>
      <w:r>
        <w:rPr>
          <w:rFonts w:ascii="Times New Roman" w:eastAsia="Times New Roman" w:hAnsi="Times New Roman" w:cs="Times New Roman"/>
          <w:i/>
          <w:iCs/>
          <w:sz w:val="20"/>
          <w:szCs w:val="20"/>
        </w:rPr>
        <w:t>Scaffolded reading helps in activating prior knowledge"</w:t>
      </w:r>
      <w:r>
        <w:rPr>
          <w:rFonts w:ascii="Times New Roman" w:eastAsia="Times New Roman" w:hAnsi="Times New Roman" w:cs="Times New Roman"/>
          <w:sz w:val="20"/>
          <w:szCs w:val="20"/>
        </w:rPr>
        <w:t xml:space="preserve"> earned the highest rank and a weighted mean of 3.64. The statement obtained the second rank, "</w:t>
      </w:r>
      <w:r>
        <w:rPr>
          <w:rFonts w:ascii="Times New Roman" w:eastAsia="Times New Roman" w:hAnsi="Times New Roman" w:cs="Times New Roman"/>
          <w:i/>
          <w:iCs/>
          <w:sz w:val="20"/>
          <w:szCs w:val="20"/>
        </w:rPr>
        <w:t>Scaffolded reading improves reading comprehension"</w:t>
      </w:r>
      <w:r>
        <w:rPr>
          <w:rFonts w:ascii="Times New Roman" w:eastAsia="Times New Roman" w:hAnsi="Times New Roman" w:cs="Times New Roman"/>
          <w:sz w:val="20"/>
          <w:szCs w:val="20"/>
        </w:rPr>
        <w:t>, with a weighted mean of 3.54. Furthermore, the statement "</w:t>
      </w:r>
      <w:r>
        <w:rPr>
          <w:rFonts w:ascii="Times New Roman" w:eastAsia="Times New Roman" w:hAnsi="Times New Roman" w:cs="Times New Roman"/>
          <w:i/>
          <w:iCs/>
          <w:sz w:val="20"/>
          <w:szCs w:val="20"/>
        </w:rPr>
        <w:t xml:space="preserve">Scaffolded reading makes reading more accessible to students of all </w:t>
      </w:r>
      <w:r>
        <w:rPr>
          <w:rFonts w:ascii="Times New Roman" w:eastAsia="Times New Roman" w:hAnsi="Times New Roman" w:cs="Times New Roman"/>
          <w:i/>
          <w:iCs/>
          <w:sz w:val="20"/>
          <w:szCs w:val="20"/>
        </w:rPr>
        <w:t xml:space="preserve">abilities" </w:t>
      </w:r>
      <w:r>
        <w:rPr>
          <w:rFonts w:ascii="Times New Roman" w:eastAsia="Times New Roman" w:hAnsi="Times New Roman" w:cs="Times New Roman"/>
          <w:sz w:val="20"/>
          <w:szCs w:val="20"/>
        </w:rPr>
        <w:t>ranked third, with a weighted mean of 3.5. Meanwhile, the lowest weighted mean of 3.4, with a verbal interpretation of "Agree," was achieved for the last statement, "</w:t>
      </w:r>
      <w:r>
        <w:rPr>
          <w:rFonts w:ascii="Times New Roman" w:eastAsia="Times New Roman" w:hAnsi="Times New Roman" w:cs="Times New Roman"/>
          <w:i/>
          <w:iCs/>
          <w:sz w:val="20"/>
          <w:szCs w:val="20"/>
        </w:rPr>
        <w:t>Scaffolded reading provides support to students to understand complex texts."</w:t>
      </w:r>
    </w:p>
    <w:p w14:paraId="6A76A48A"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Overall, the weighted mean of 3.5, with the verbal interpretation of strongly agree, indicates that students perceived scaffolded reading as intentionally effective for developing their reading comprehension. In line with these findings, the study of Latson (2022) presented those teachers employed various scaffolding techniques in their classrooms to enhance student learning. </w:t>
      </w:r>
    </w:p>
    <w:p w14:paraId="64933C57" w14:textId="77777777" w:rsidR="001A3984" w:rsidRDefault="001A3984">
      <w:pPr>
        <w:shd w:val="clear" w:color="auto" w:fill="FFFFFF"/>
        <w:spacing w:before="0"/>
        <w:jc w:val="both"/>
        <w:rPr>
          <w:rFonts w:ascii="Times New Roman" w:eastAsia="Times New Roman" w:hAnsi="Times New Roman" w:cs="Times New Roman"/>
          <w:sz w:val="20"/>
          <w:szCs w:val="20"/>
        </w:rPr>
      </w:pPr>
    </w:p>
    <w:p w14:paraId="7F7EB942" w14:textId="77777777" w:rsidR="001A3984" w:rsidRDefault="001A3984">
      <w:pPr>
        <w:shd w:val="clear" w:color="auto" w:fill="FFFFFF"/>
        <w:spacing w:before="0"/>
        <w:jc w:val="both"/>
        <w:rPr>
          <w:rFonts w:ascii="Times New Roman" w:eastAsia="Times New Roman" w:hAnsi="Times New Roman" w:cs="Times New Roman"/>
          <w:sz w:val="20"/>
          <w:szCs w:val="20"/>
        </w:rPr>
      </w:pPr>
    </w:p>
    <w:p w14:paraId="3B960925" w14:textId="77777777" w:rsidR="001A3984" w:rsidRDefault="00115E6A">
      <w:pPr>
        <w:shd w:val="clear" w:color="auto" w:fill="FFFFFF"/>
        <w:spacing w:befor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Table 9 Appropriateness </w:t>
      </w:r>
    </w:p>
    <w:p w14:paraId="05E9A723" w14:textId="77777777" w:rsidR="001A3984" w:rsidRDefault="001A3984">
      <w:pPr>
        <w:shd w:val="clear" w:color="auto" w:fill="FFFFFF"/>
        <w:spacing w:before="0"/>
        <w:jc w:val="both"/>
        <w:rPr>
          <w:rFonts w:ascii="Times New Roman" w:eastAsia="Times New Roman" w:hAnsi="Times New Roman" w:cs="Times New Roman"/>
          <w:b/>
          <w:bCs/>
          <w:sz w:val="20"/>
          <w:szCs w:val="20"/>
        </w:rPr>
      </w:pPr>
    </w:p>
    <w:tbl>
      <w:tblPr>
        <w:tblStyle w:val="af2"/>
        <w:tblW w:w="41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0"/>
        <w:gridCol w:w="645"/>
        <w:gridCol w:w="1065"/>
        <w:gridCol w:w="690"/>
      </w:tblGrid>
      <w:tr w:rsidR="001A3984" w14:paraId="022AE97C" w14:textId="77777777">
        <w:trPr>
          <w:trHeight w:val="1050"/>
        </w:trPr>
        <w:tc>
          <w:tcPr>
            <w:tcW w:w="1710" w:type="dxa"/>
            <w:tcBorders>
              <w:top w:val="single" w:sz="5" w:space="0" w:color="000000"/>
              <w:left w:val="nil"/>
              <w:bottom w:val="single" w:sz="5" w:space="0" w:color="000000"/>
              <w:right w:val="nil"/>
            </w:tcBorders>
            <w:tcMar>
              <w:top w:w="0" w:type="dxa"/>
              <w:left w:w="100" w:type="dxa"/>
              <w:bottom w:w="0" w:type="dxa"/>
              <w:right w:w="100" w:type="dxa"/>
            </w:tcMar>
          </w:tcPr>
          <w:p w14:paraId="6FBDA342"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Statements</w:t>
            </w:r>
          </w:p>
        </w:tc>
        <w:tc>
          <w:tcPr>
            <w:tcW w:w="645" w:type="dxa"/>
            <w:tcBorders>
              <w:top w:val="single" w:sz="5" w:space="0" w:color="000000"/>
              <w:left w:val="nil"/>
              <w:bottom w:val="single" w:sz="5" w:space="0" w:color="000000"/>
              <w:right w:val="nil"/>
            </w:tcBorders>
            <w:tcMar>
              <w:top w:w="0" w:type="dxa"/>
              <w:left w:w="100" w:type="dxa"/>
              <w:bottom w:w="0" w:type="dxa"/>
              <w:right w:w="100" w:type="dxa"/>
            </w:tcMar>
          </w:tcPr>
          <w:p w14:paraId="592D07FF"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Weighted Mean</w:t>
            </w:r>
          </w:p>
        </w:tc>
        <w:tc>
          <w:tcPr>
            <w:tcW w:w="1065" w:type="dxa"/>
            <w:tcBorders>
              <w:top w:val="single" w:sz="5" w:space="0" w:color="000000"/>
              <w:left w:val="nil"/>
              <w:bottom w:val="single" w:sz="5" w:space="0" w:color="000000"/>
              <w:right w:val="nil"/>
            </w:tcBorders>
            <w:tcMar>
              <w:top w:w="0" w:type="dxa"/>
              <w:left w:w="100" w:type="dxa"/>
              <w:bottom w:w="0" w:type="dxa"/>
              <w:right w:w="100" w:type="dxa"/>
            </w:tcMar>
          </w:tcPr>
          <w:p w14:paraId="2F98A691"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Verbal Interpretation</w:t>
            </w:r>
          </w:p>
        </w:tc>
        <w:tc>
          <w:tcPr>
            <w:tcW w:w="690" w:type="dxa"/>
            <w:tcBorders>
              <w:top w:val="single" w:sz="5" w:space="0" w:color="000000"/>
              <w:left w:val="nil"/>
              <w:bottom w:val="single" w:sz="5" w:space="0" w:color="000000"/>
              <w:right w:val="nil"/>
            </w:tcBorders>
            <w:tcMar>
              <w:top w:w="0" w:type="dxa"/>
              <w:left w:w="100" w:type="dxa"/>
              <w:bottom w:w="0" w:type="dxa"/>
              <w:right w:w="100" w:type="dxa"/>
            </w:tcMar>
          </w:tcPr>
          <w:p w14:paraId="0E3AD5DB"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Rank</w:t>
            </w:r>
          </w:p>
        </w:tc>
      </w:tr>
      <w:tr w:rsidR="001A3984" w14:paraId="43F08978" w14:textId="77777777">
        <w:trPr>
          <w:trHeight w:val="1440"/>
        </w:trPr>
        <w:tc>
          <w:tcPr>
            <w:tcW w:w="1710" w:type="dxa"/>
            <w:tcBorders>
              <w:top w:val="nil"/>
              <w:left w:val="nil"/>
              <w:bottom w:val="nil"/>
              <w:right w:val="nil"/>
            </w:tcBorders>
            <w:tcMar>
              <w:top w:w="0" w:type="dxa"/>
              <w:left w:w="100" w:type="dxa"/>
              <w:bottom w:w="0" w:type="dxa"/>
              <w:right w:w="100" w:type="dxa"/>
            </w:tcMar>
          </w:tcPr>
          <w:p w14:paraId="434BF2FE"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Scaffolded reading prepares me for challenging texts, reducing my intimidation.</w:t>
            </w:r>
          </w:p>
        </w:tc>
        <w:tc>
          <w:tcPr>
            <w:tcW w:w="645" w:type="dxa"/>
            <w:tcBorders>
              <w:top w:val="nil"/>
              <w:left w:val="nil"/>
              <w:bottom w:val="nil"/>
              <w:right w:val="nil"/>
            </w:tcBorders>
            <w:tcMar>
              <w:top w:w="0" w:type="dxa"/>
              <w:left w:w="100" w:type="dxa"/>
              <w:bottom w:w="0" w:type="dxa"/>
              <w:right w:w="100" w:type="dxa"/>
            </w:tcMar>
          </w:tcPr>
          <w:p w14:paraId="53B5D5EA"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3.38</w:t>
            </w:r>
          </w:p>
        </w:tc>
        <w:tc>
          <w:tcPr>
            <w:tcW w:w="1065" w:type="dxa"/>
            <w:tcBorders>
              <w:top w:val="nil"/>
              <w:left w:val="nil"/>
              <w:bottom w:val="nil"/>
              <w:right w:val="nil"/>
            </w:tcBorders>
            <w:tcMar>
              <w:top w:w="0" w:type="dxa"/>
              <w:left w:w="100" w:type="dxa"/>
              <w:bottom w:w="0" w:type="dxa"/>
              <w:right w:w="100" w:type="dxa"/>
            </w:tcMar>
          </w:tcPr>
          <w:p w14:paraId="01DC421C"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Agree</w:t>
            </w:r>
          </w:p>
        </w:tc>
        <w:tc>
          <w:tcPr>
            <w:tcW w:w="690" w:type="dxa"/>
            <w:tcBorders>
              <w:top w:val="nil"/>
              <w:left w:val="nil"/>
              <w:bottom w:val="nil"/>
              <w:right w:val="nil"/>
            </w:tcBorders>
            <w:tcMar>
              <w:top w:w="0" w:type="dxa"/>
              <w:left w:w="100" w:type="dxa"/>
              <w:bottom w:w="0" w:type="dxa"/>
              <w:right w:w="100" w:type="dxa"/>
            </w:tcMar>
          </w:tcPr>
          <w:p w14:paraId="79E0E650"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1A3984" w14:paraId="7ED6D3A2" w14:textId="77777777">
        <w:trPr>
          <w:trHeight w:val="1035"/>
        </w:trPr>
        <w:tc>
          <w:tcPr>
            <w:tcW w:w="1710" w:type="dxa"/>
            <w:tcBorders>
              <w:top w:val="nil"/>
              <w:left w:val="nil"/>
              <w:bottom w:val="nil"/>
              <w:right w:val="nil"/>
            </w:tcBorders>
            <w:tcMar>
              <w:top w:w="0" w:type="dxa"/>
              <w:left w:w="100" w:type="dxa"/>
              <w:bottom w:w="0" w:type="dxa"/>
              <w:right w:w="100" w:type="dxa"/>
            </w:tcMar>
          </w:tcPr>
          <w:p w14:paraId="7DD69B7A"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I receive adequate support during scaffolded reading tasks.</w:t>
            </w:r>
          </w:p>
        </w:tc>
        <w:tc>
          <w:tcPr>
            <w:tcW w:w="645" w:type="dxa"/>
            <w:tcBorders>
              <w:top w:val="nil"/>
              <w:left w:val="nil"/>
              <w:bottom w:val="nil"/>
              <w:right w:val="nil"/>
            </w:tcBorders>
            <w:tcMar>
              <w:top w:w="0" w:type="dxa"/>
              <w:left w:w="100" w:type="dxa"/>
              <w:bottom w:w="0" w:type="dxa"/>
              <w:right w:w="100" w:type="dxa"/>
            </w:tcMar>
          </w:tcPr>
          <w:p w14:paraId="2D17A430"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w:t>
            </w:r>
          </w:p>
        </w:tc>
        <w:tc>
          <w:tcPr>
            <w:tcW w:w="1065" w:type="dxa"/>
            <w:tcBorders>
              <w:top w:val="nil"/>
              <w:left w:val="nil"/>
              <w:bottom w:val="nil"/>
              <w:right w:val="nil"/>
            </w:tcBorders>
            <w:tcMar>
              <w:top w:w="0" w:type="dxa"/>
              <w:left w:w="100" w:type="dxa"/>
              <w:bottom w:w="0" w:type="dxa"/>
              <w:right w:w="100" w:type="dxa"/>
            </w:tcMar>
          </w:tcPr>
          <w:p w14:paraId="7F028B7E"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Agree</w:t>
            </w:r>
          </w:p>
        </w:tc>
        <w:tc>
          <w:tcPr>
            <w:tcW w:w="690" w:type="dxa"/>
            <w:tcBorders>
              <w:top w:val="nil"/>
              <w:left w:val="nil"/>
              <w:bottom w:val="nil"/>
              <w:right w:val="nil"/>
            </w:tcBorders>
            <w:tcMar>
              <w:top w:w="0" w:type="dxa"/>
              <w:left w:w="100" w:type="dxa"/>
              <w:bottom w:w="0" w:type="dxa"/>
              <w:right w:w="100" w:type="dxa"/>
            </w:tcMar>
          </w:tcPr>
          <w:p w14:paraId="1FAE5A9C"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1A3984" w14:paraId="4608F9C0" w14:textId="77777777">
        <w:trPr>
          <w:trHeight w:val="1905"/>
        </w:trPr>
        <w:tc>
          <w:tcPr>
            <w:tcW w:w="1710" w:type="dxa"/>
            <w:tcBorders>
              <w:top w:val="nil"/>
              <w:left w:val="nil"/>
              <w:bottom w:val="nil"/>
              <w:right w:val="nil"/>
            </w:tcBorders>
            <w:tcMar>
              <w:top w:w="0" w:type="dxa"/>
              <w:left w:w="100" w:type="dxa"/>
              <w:bottom w:w="0" w:type="dxa"/>
              <w:right w:w="100" w:type="dxa"/>
            </w:tcMar>
          </w:tcPr>
          <w:p w14:paraId="1281DA33"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I become more engaged in the discussion when the teacher let the class collaborate through scaffolded reading.</w:t>
            </w:r>
          </w:p>
        </w:tc>
        <w:tc>
          <w:tcPr>
            <w:tcW w:w="645" w:type="dxa"/>
            <w:tcBorders>
              <w:top w:val="nil"/>
              <w:left w:val="nil"/>
              <w:bottom w:val="nil"/>
              <w:right w:val="nil"/>
            </w:tcBorders>
            <w:tcMar>
              <w:top w:w="0" w:type="dxa"/>
              <w:left w:w="100" w:type="dxa"/>
              <w:bottom w:w="0" w:type="dxa"/>
              <w:right w:w="100" w:type="dxa"/>
            </w:tcMar>
          </w:tcPr>
          <w:p w14:paraId="1A9CA32E"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w:t>
            </w:r>
          </w:p>
        </w:tc>
        <w:tc>
          <w:tcPr>
            <w:tcW w:w="1065" w:type="dxa"/>
            <w:tcBorders>
              <w:top w:val="nil"/>
              <w:left w:val="nil"/>
              <w:bottom w:val="nil"/>
              <w:right w:val="nil"/>
            </w:tcBorders>
            <w:tcMar>
              <w:top w:w="0" w:type="dxa"/>
              <w:left w:w="100" w:type="dxa"/>
              <w:bottom w:w="0" w:type="dxa"/>
              <w:right w:w="100" w:type="dxa"/>
            </w:tcMar>
          </w:tcPr>
          <w:p w14:paraId="062CEE96"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Agree</w:t>
            </w:r>
          </w:p>
        </w:tc>
        <w:tc>
          <w:tcPr>
            <w:tcW w:w="690" w:type="dxa"/>
            <w:tcBorders>
              <w:top w:val="nil"/>
              <w:left w:val="nil"/>
              <w:bottom w:val="nil"/>
              <w:right w:val="nil"/>
            </w:tcBorders>
            <w:tcMar>
              <w:top w:w="0" w:type="dxa"/>
              <w:left w:w="100" w:type="dxa"/>
              <w:bottom w:w="0" w:type="dxa"/>
              <w:right w:w="100" w:type="dxa"/>
            </w:tcMar>
          </w:tcPr>
          <w:p w14:paraId="04C99FED"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1A3984" w14:paraId="5235031F" w14:textId="77777777">
        <w:trPr>
          <w:trHeight w:val="1035"/>
        </w:trPr>
        <w:tc>
          <w:tcPr>
            <w:tcW w:w="1710" w:type="dxa"/>
            <w:tcBorders>
              <w:top w:val="nil"/>
              <w:left w:val="nil"/>
              <w:bottom w:val="nil"/>
              <w:right w:val="nil"/>
            </w:tcBorders>
            <w:tcMar>
              <w:top w:w="0" w:type="dxa"/>
              <w:left w:w="100" w:type="dxa"/>
              <w:bottom w:w="0" w:type="dxa"/>
              <w:right w:w="100" w:type="dxa"/>
            </w:tcMar>
          </w:tcPr>
          <w:p w14:paraId="61620C7F"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I can easily understand the text through a simplified instruction.</w:t>
            </w:r>
          </w:p>
        </w:tc>
        <w:tc>
          <w:tcPr>
            <w:tcW w:w="645" w:type="dxa"/>
            <w:tcBorders>
              <w:top w:val="nil"/>
              <w:left w:val="nil"/>
              <w:bottom w:val="nil"/>
              <w:right w:val="nil"/>
            </w:tcBorders>
            <w:tcMar>
              <w:top w:w="0" w:type="dxa"/>
              <w:left w:w="100" w:type="dxa"/>
              <w:bottom w:w="0" w:type="dxa"/>
              <w:right w:w="100" w:type="dxa"/>
            </w:tcMar>
          </w:tcPr>
          <w:p w14:paraId="09864480"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w:t>
            </w:r>
          </w:p>
        </w:tc>
        <w:tc>
          <w:tcPr>
            <w:tcW w:w="1065" w:type="dxa"/>
            <w:tcBorders>
              <w:top w:val="nil"/>
              <w:left w:val="nil"/>
              <w:bottom w:val="nil"/>
              <w:right w:val="nil"/>
            </w:tcBorders>
            <w:tcMar>
              <w:top w:w="0" w:type="dxa"/>
              <w:left w:w="100" w:type="dxa"/>
              <w:bottom w:w="0" w:type="dxa"/>
              <w:right w:w="100" w:type="dxa"/>
            </w:tcMar>
          </w:tcPr>
          <w:p w14:paraId="7EFE863D"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Agree</w:t>
            </w:r>
          </w:p>
        </w:tc>
        <w:tc>
          <w:tcPr>
            <w:tcW w:w="690" w:type="dxa"/>
            <w:tcBorders>
              <w:top w:val="nil"/>
              <w:left w:val="nil"/>
              <w:bottom w:val="nil"/>
              <w:right w:val="nil"/>
            </w:tcBorders>
            <w:tcMar>
              <w:top w:w="0" w:type="dxa"/>
              <w:left w:w="100" w:type="dxa"/>
              <w:bottom w:w="0" w:type="dxa"/>
              <w:right w:w="100" w:type="dxa"/>
            </w:tcMar>
          </w:tcPr>
          <w:p w14:paraId="0570C4A8"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1A3984" w14:paraId="493EC723" w14:textId="77777777">
        <w:trPr>
          <w:trHeight w:val="1050"/>
        </w:trPr>
        <w:tc>
          <w:tcPr>
            <w:tcW w:w="1710" w:type="dxa"/>
            <w:tcBorders>
              <w:top w:val="nil"/>
              <w:left w:val="nil"/>
              <w:bottom w:val="single" w:sz="5" w:space="0" w:color="000000"/>
              <w:right w:val="nil"/>
            </w:tcBorders>
            <w:tcMar>
              <w:top w:w="0" w:type="dxa"/>
              <w:left w:w="100" w:type="dxa"/>
              <w:bottom w:w="0" w:type="dxa"/>
              <w:right w:w="100" w:type="dxa"/>
            </w:tcMar>
          </w:tcPr>
          <w:p w14:paraId="56C5AEE7"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I find scaffolding as an appropriate method used in teaching reading.</w:t>
            </w:r>
          </w:p>
        </w:tc>
        <w:tc>
          <w:tcPr>
            <w:tcW w:w="645" w:type="dxa"/>
            <w:tcBorders>
              <w:top w:val="nil"/>
              <w:left w:val="nil"/>
              <w:bottom w:val="single" w:sz="5" w:space="0" w:color="000000"/>
              <w:right w:val="nil"/>
            </w:tcBorders>
            <w:tcMar>
              <w:top w:w="0" w:type="dxa"/>
              <w:left w:w="100" w:type="dxa"/>
              <w:bottom w:w="0" w:type="dxa"/>
              <w:right w:w="100" w:type="dxa"/>
            </w:tcMar>
          </w:tcPr>
          <w:p w14:paraId="78D3AA4F"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w:t>
            </w:r>
          </w:p>
        </w:tc>
        <w:tc>
          <w:tcPr>
            <w:tcW w:w="1065" w:type="dxa"/>
            <w:tcBorders>
              <w:top w:val="nil"/>
              <w:left w:val="nil"/>
              <w:bottom w:val="single" w:sz="5" w:space="0" w:color="000000"/>
              <w:right w:val="nil"/>
            </w:tcBorders>
            <w:tcMar>
              <w:top w:w="0" w:type="dxa"/>
              <w:left w:w="100" w:type="dxa"/>
              <w:bottom w:w="0" w:type="dxa"/>
              <w:right w:w="100" w:type="dxa"/>
            </w:tcMar>
          </w:tcPr>
          <w:p w14:paraId="6B398318"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Agree</w:t>
            </w:r>
          </w:p>
        </w:tc>
        <w:tc>
          <w:tcPr>
            <w:tcW w:w="690" w:type="dxa"/>
            <w:tcBorders>
              <w:top w:val="nil"/>
              <w:left w:val="nil"/>
              <w:bottom w:val="single" w:sz="5" w:space="0" w:color="000000"/>
              <w:right w:val="nil"/>
            </w:tcBorders>
            <w:tcMar>
              <w:top w:w="0" w:type="dxa"/>
              <w:left w:w="100" w:type="dxa"/>
              <w:bottom w:w="0" w:type="dxa"/>
              <w:right w:w="100" w:type="dxa"/>
            </w:tcMar>
          </w:tcPr>
          <w:p w14:paraId="18672D3A"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1A3984" w14:paraId="53EDB3A3" w14:textId="77777777">
        <w:trPr>
          <w:trHeight w:val="300"/>
        </w:trPr>
        <w:tc>
          <w:tcPr>
            <w:tcW w:w="1710" w:type="dxa"/>
            <w:tcBorders>
              <w:top w:val="nil"/>
              <w:left w:val="nil"/>
              <w:bottom w:val="single" w:sz="5" w:space="0" w:color="000000"/>
              <w:right w:val="nil"/>
            </w:tcBorders>
            <w:tcMar>
              <w:top w:w="0" w:type="dxa"/>
              <w:left w:w="100" w:type="dxa"/>
              <w:bottom w:w="0" w:type="dxa"/>
              <w:right w:w="100" w:type="dxa"/>
            </w:tcMar>
          </w:tcPr>
          <w:p w14:paraId="086A64FB" w14:textId="77777777" w:rsidR="001A3984" w:rsidRDefault="00115E6A">
            <w:pPr>
              <w:shd w:val="clear" w:color="auto" w:fill="FFFFFF"/>
              <w:spacing w:befor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GWM</w:t>
            </w:r>
          </w:p>
        </w:tc>
        <w:tc>
          <w:tcPr>
            <w:tcW w:w="645" w:type="dxa"/>
            <w:tcBorders>
              <w:top w:val="nil"/>
              <w:left w:val="nil"/>
              <w:bottom w:val="single" w:sz="5" w:space="0" w:color="000000"/>
              <w:right w:val="nil"/>
            </w:tcBorders>
            <w:tcMar>
              <w:top w:w="0" w:type="dxa"/>
              <w:left w:w="100" w:type="dxa"/>
              <w:bottom w:w="0" w:type="dxa"/>
              <w:right w:w="100" w:type="dxa"/>
            </w:tcMar>
          </w:tcPr>
          <w:p w14:paraId="74B0ADCC"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3.43</w:t>
            </w:r>
          </w:p>
        </w:tc>
        <w:tc>
          <w:tcPr>
            <w:tcW w:w="1065" w:type="dxa"/>
            <w:tcBorders>
              <w:top w:val="nil"/>
              <w:left w:val="nil"/>
              <w:bottom w:val="single" w:sz="5" w:space="0" w:color="000000"/>
              <w:right w:val="nil"/>
            </w:tcBorders>
            <w:tcMar>
              <w:top w:w="0" w:type="dxa"/>
              <w:left w:w="100" w:type="dxa"/>
              <w:bottom w:w="0" w:type="dxa"/>
              <w:right w:w="100" w:type="dxa"/>
            </w:tcMar>
          </w:tcPr>
          <w:p w14:paraId="3908694A"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Agree</w:t>
            </w:r>
          </w:p>
        </w:tc>
        <w:tc>
          <w:tcPr>
            <w:tcW w:w="690" w:type="dxa"/>
            <w:tcBorders>
              <w:top w:val="nil"/>
              <w:left w:val="nil"/>
              <w:bottom w:val="single" w:sz="5" w:space="0" w:color="000000"/>
              <w:right w:val="nil"/>
            </w:tcBorders>
            <w:tcMar>
              <w:top w:w="0" w:type="dxa"/>
              <w:left w:w="100" w:type="dxa"/>
              <w:bottom w:w="0" w:type="dxa"/>
              <w:right w:w="100" w:type="dxa"/>
            </w:tcMar>
          </w:tcPr>
          <w:p w14:paraId="12BC113B"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tc>
      </w:tr>
    </w:tbl>
    <w:p w14:paraId="61115EB0"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Based on Table 9, all statements have a verbal interpretation of 'agree'.The statement "</w:t>
      </w:r>
      <w:r>
        <w:rPr>
          <w:rFonts w:ascii="Times New Roman" w:eastAsia="Times New Roman" w:hAnsi="Times New Roman" w:cs="Times New Roman"/>
          <w:i/>
          <w:iCs/>
          <w:sz w:val="20"/>
          <w:szCs w:val="20"/>
        </w:rPr>
        <w:t xml:space="preserve">I can easily understand the text through a simplified </w:t>
      </w:r>
      <w:r>
        <w:rPr>
          <w:rFonts w:ascii="Times New Roman" w:eastAsia="Times New Roman" w:hAnsi="Times New Roman" w:cs="Times New Roman"/>
          <w:i/>
          <w:iCs/>
          <w:sz w:val="20"/>
          <w:szCs w:val="20"/>
        </w:rPr>
        <w:lastRenderedPageBreak/>
        <w:t>instruction" receives</w:t>
      </w:r>
      <w:r>
        <w:rPr>
          <w:rFonts w:ascii="Times New Roman" w:eastAsia="Times New Roman" w:hAnsi="Times New Roman" w:cs="Times New Roman"/>
          <w:sz w:val="20"/>
          <w:szCs w:val="20"/>
        </w:rPr>
        <w:t xml:space="preserve"> the highest rank, with a weighted mean of 3.46. The second highest statement is "</w:t>
      </w:r>
      <w:r>
        <w:rPr>
          <w:rFonts w:ascii="Times New Roman" w:eastAsia="Times New Roman" w:hAnsi="Times New Roman" w:cs="Times New Roman"/>
          <w:i/>
          <w:iCs/>
          <w:sz w:val="20"/>
          <w:szCs w:val="20"/>
        </w:rPr>
        <w:t xml:space="preserve">I become more engaged in the discussion when the teacher lets the class collaborate through scaffolded reading", </w:t>
      </w:r>
      <w:r>
        <w:rPr>
          <w:rFonts w:ascii="Times New Roman" w:eastAsia="Times New Roman" w:hAnsi="Times New Roman" w:cs="Times New Roman"/>
          <w:sz w:val="20"/>
          <w:szCs w:val="20"/>
        </w:rPr>
        <w:t>with a 3.45 weighted mean. Students agreed least with the statement "</w:t>
      </w:r>
      <w:r>
        <w:rPr>
          <w:rFonts w:ascii="Times New Roman" w:eastAsia="Times New Roman" w:hAnsi="Times New Roman" w:cs="Times New Roman"/>
          <w:i/>
          <w:iCs/>
          <w:sz w:val="20"/>
          <w:szCs w:val="20"/>
        </w:rPr>
        <w:t xml:space="preserve">Scaffolded reading prepares me for challenging texts, reducing my intimidation," </w:t>
      </w:r>
      <w:r>
        <w:rPr>
          <w:rFonts w:ascii="Times New Roman" w:eastAsia="Times New Roman" w:hAnsi="Times New Roman" w:cs="Times New Roman"/>
          <w:sz w:val="20"/>
          <w:szCs w:val="20"/>
        </w:rPr>
        <w:t>with a weighted mean of 3.38.</w:t>
      </w:r>
    </w:p>
    <w:p w14:paraId="726A640B"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Overall, the result shows a general weighted mean of 3.43, indicating agreement, and suggests that simplified instructions and collaborative learning through scaffolded reading enhance understanding and engagement while also helping reduce intimidation when approaching challenging texts.</w:t>
      </w:r>
    </w:p>
    <w:p w14:paraId="768CFF97" w14:textId="77777777" w:rsidR="001A3984" w:rsidRDefault="00115E6A">
      <w:pPr>
        <w:shd w:val="clear" w:color="auto" w:fill="FFFFFF"/>
        <w:spacing w:before="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To support the findings, the study of Ibrahim, Carbajal, Zuta, and Bayat (2023) concluded that scaffolding instruction, self-assessment, and collaborative learning (CL) significantly benefited learners. Through scaffolding, students received step-by-step guidance that helped them gradually develop the skills needed to comprehend texts independently</w:t>
      </w:r>
    </w:p>
    <w:p w14:paraId="1A363EF7" w14:textId="77777777" w:rsidR="001A3984" w:rsidRDefault="001A3984">
      <w:pPr>
        <w:shd w:val="clear" w:color="auto" w:fill="FFFFFF"/>
        <w:spacing w:before="0"/>
        <w:jc w:val="both"/>
        <w:rPr>
          <w:rFonts w:ascii="Times New Roman" w:eastAsia="Times New Roman" w:hAnsi="Times New Roman" w:cs="Times New Roman"/>
          <w:sz w:val="20"/>
          <w:szCs w:val="20"/>
          <w:highlight w:val="white"/>
        </w:rPr>
      </w:pPr>
    </w:p>
    <w:p w14:paraId="2E1A4DFE" w14:textId="77777777" w:rsidR="001A3984" w:rsidRDefault="001A3984">
      <w:pPr>
        <w:shd w:val="clear" w:color="auto" w:fill="FFFFFF"/>
        <w:spacing w:before="0"/>
        <w:ind w:firstLine="720"/>
        <w:jc w:val="both"/>
        <w:rPr>
          <w:rFonts w:ascii="Times New Roman" w:eastAsia="Times New Roman" w:hAnsi="Times New Roman" w:cs="Times New Roman"/>
          <w:sz w:val="20"/>
          <w:szCs w:val="20"/>
          <w:highlight w:val="white"/>
        </w:rPr>
      </w:pPr>
    </w:p>
    <w:p w14:paraId="422ECEF5" w14:textId="77777777" w:rsidR="001A3984" w:rsidRDefault="00115E6A">
      <w:pPr>
        <w:shd w:val="clear" w:color="auto" w:fill="FFFFFF"/>
        <w:spacing w:befor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Table 10 Structure </w:t>
      </w:r>
    </w:p>
    <w:p w14:paraId="18C66400" w14:textId="77777777" w:rsidR="001A3984" w:rsidRDefault="001A3984">
      <w:pPr>
        <w:shd w:val="clear" w:color="auto" w:fill="FFFFFF"/>
        <w:spacing w:before="0"/>
        <w:jc w:val="both"/>
        <w:rPr>
          <w:rFonts w:ascii="Times New Roman" w:eastAsia="Times New Roman" w:hAnsi="Times New Roman" w:cs="Times New Roman"/>
          <w:b/>
          <w:bCs/>
          <w:sz w:val="20"/>
          <w:szCs w:val="20"/>
        </w:rPr>
      </w:pPr>
    </w:p>
    <w:tbl>
      <w:tblPr>
        <w:tblStyle w:val="af3"/>
        <w:tblW w:w="41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35"/>
        <w:gridCol w:w="735"/>
        <w:gridCol w:w="1020"/>
        <w:gridCol w:w="720"/>
      </w:tblGrid>
      <w:tr w:rsidR="001A3984" w14:paraId="0031DC88" w14:textId="77777777">
        <w:trPr>
          <w:trHeight w:val="720"/>
        </w:trPr>
        <w:tc>
          <w:tcPr>
            <w:tcW w:w="1635" w:type="dxa"/>
            <w:tcBorders>
              <w:top w:val="single" w:sz="5" w:space="0" w:color="000000"/>
              <w:left w:val="nil"/>
              <w:bottom w:val="single" w:sz="5" w:space="0" w:color="000000"/>
              <w:right w:val="nil"/>
            </w:tcBorders>
            <w:tcMar>
              <w:top w:w="0" w:type="dxa"/>
              <w:left w:w="100" w:type="dxa"/>
              <w:bottom w:w="0" w:type="dxa"/>
              <w:right w:w="100" w:type="dxa"/>
            </w:tcMar>
          </w:tcPr>
          <w:p w14:paraId="0DF7030F"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Statements</w:t>
            </w:r>
          </w:p>
        </w:tc>
        <w:tc>
          <w:tcPr>
            <w:tcW w:w="735" w:type="dxa"/>
            <w:tcBorders>
              <w:top w:val="single" w:sz="5" w:space="0" w:color="000000"/>
              <w:left w:val="nil"/>
              <w:bottom w:val="single" w:sz="5" w:space="0" w:color="000000"/>
              <w:right w:val="nil"/>
            </w:tcBorders>
            <w:tcMar>
              <w:top w:w="0" w:type="dxa"/>
              <w:left w:w="100" w:type="dxa"/>
              <w:bottom w:w="0" w:type="dxa"/>
              <w:right w:w="100" w:type="dxa"/>
            </w:tcMar>
          </w:tcPr>
          <w:p w14:paraId="583D0C9F"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Weighted Mean</w:t>
            </w:r>
          </w:p>
        </w:tc>
        <w:tc>
          <w:tcPr>
            <w:tcW w:w="1020" w:type="dxa"/>
            <w:tcBorders>
              <w:top w:val="single" w:sz="5" w:space="0" w:color="000000"/>
              <w:left w:val="nil"/>
              <w:bottom w:val="single" w:sz="5" w:space="0" w:color="000000"/>
              <w:right w:val="nil"/>
            </w:tcBorders>
            <w:tcMar>
              <w:top w:w="0" w:type="dxa"/>
              <w:left w:w="100" w:type="dxa"/>
              <w:bottom w:w="0" w:type="dxa"/>
              <w:right w:w="100" w:type="dxa"/>
            </w:tcMar>
          </w:tcPr>
          <w:p w14:paraId="391A161D"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Verbal Interpretation</w:t>
            </w:r>
          </w:p>
        </w:tc>
        <w:tc>
          <w:tcPr>
            <w:tcW w:w="720" w:type="dxa"/>
            <w:tcBorders>
              <w:top w:val="single" w:sz="5" w:space="0" w:color="000000"/>
              <w:left w:val="nil"/>
              <w:bottom w:val="single" w:sz="5" w:space="0" w:color="000000"/>
              <w:right w:val="nil"/>
            </w:tcBorders>
            <w:tcMar>
              <w:top w:w="0" w:type="dxa"/>
              <w:left w:w="100" w:type="dxa"/>
              <w:bottom w:w="0" w:type="dxa"/>
              <w:right w:w="100" w:type="dxa"/>
            </w:tcMar>
          </w:tcPr>
          <w:p w14:paraId="38CF3505"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Rank</w:t>
            </w:r>
          </w:p>
        </w:tc>
      </w:tr>
      <w:tr w:rsidR="001A3984" w14:paraId="1981D3B4" w14:textId="77777777">
        <w:trPr>
          <w:trHeight w:val="1050"/>
        </w:trPr>
        <w:tc>
          <w:tcPr>
            <w:tcW w:w="1635" w:type="dxa"/>
            <w:tcBorders>
              <w:top w:val="nil"/>
              <w:left w:val="nil"/>
              <w:bottom w:val="nil"/>
              <w:right w:val="nil"/>
            </w:tcBorders>
            <w:tcMar>
              <w:top w:w="0" w:type="dxa"/>
              <w:left w:w="100" w:type="dxa"/>
              <w:bottom w:w="0" w:type="dxa"/>
              <w:right w:w="100" w:type="dxa"/>
            </w:tcMar>
          </w:tcPr>
          <w:p w14:paraId="13E60D79"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Scaffolded reading makes it easier to find main ideas in the text.</w:t>
            </w:r>
          </w:p>
        </w:tc>
        <w:tc>
          <w:tcPr>
            <w:tcW w:w="735" w:type="dxa"/>
            <w:tcBorders>
              <w:top w:val="nil"/>
              <w:left w:val="nil"/>
              <w:bottom w:val="nil"/>
              <w:right w:val="nil"/>
            </w:tcBorders>
            <w:tcMar>
              <w:top w:w="0" w:type="dxa"/>
              <w:left w:w="100" w:type="dxa"/>
              <w:bottom w:w="0" w:type="dxa"/>
              <w:right w:w="100" w:type="dxa"/>
            </w:tcMar>
          </w:tcPr>
          <w:p w14:paraId="7B9F9A0B"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w:t>
            </w:r>
          </w:p>
        </w:tc>
        <w:tc>
          <w:tcPr>
            <w:tcW w:w="1020" w:type="dxa"/>
            <w:tcBorders>
              <w:top w:val="nil"/>
              <w:left w:val="nil"/>
              <w:bottom w:val="nil"/>
              <w:right w:val="nil"/>
            </w:tcBorders>
            <w:tcMar>
              <w:top w:w="0" w:type="dxa"/>
              <w:left w:w="100" w:type="dxa"/>
              <w:bottom w:w="0" w:type="dxa"/>
              <w:right w:w="100" w:type="dxa"/>
            </w:tcMar>
          </w:tcPr>
          <w:p w14:paraId="34E5A452"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Strongly Agree</w:t>
            </w:r>
          </w:p>
        </w:tc>
        <w:tc>
          <w:tcPr>
            <w:tcW w:w="720" w:type="dxa"/>
            <w:tcBorders>
              <w:top w:val="nil"/>
              <w:left w:val="nil"/>
              <w:bottom w:val="nil"/>
              <w:right w:val="nil"/>
            </w:tcBorders>
            <w:tcMar>
              <w:top w:w="0" w:type="dxa"/>
              <w:left w:w="100" w:type="dxa"/>
              <w:bottom w:w="0" w:type="dxa"/>
              <w:right w:w="100" w:type="dxa"/>
            </w:tcMar>
          </w:tcPr>
          <w:p w14:paraId="68DDA14C"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1A3984" w14:paraId="7B2A18F0" w14:textId="77777777">
        <w:trPr>
          <w:trHeight w:val="885"/>
        </w:trPr>
        <w:tc>
          <w:tcPr>
            <w:tcW w:w="1635" w:type="dxa"/>
            <w:tcBorders>
              <w:top w:val="nil"/>
              <w:left w:val="nil"/>
              <w:bottom w:val="nil"/>
              <w:right w:val="nil"/>
            </w:tcBorders>
            <w:tcMar>
              <w:top w:w="0" w:type="dxa"/>
              <w:left w:w="100" w:type="dxa"/>
              <w:bottom w:w="0" w:type="dxa"/>
              <w:right w:w="100" w:type="dxa"/>
            </w:tcMar>
          </w:tcPr>
          <w:p w14:paraId="24A353DE"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.Scaffolded reading helps clarify difficult vocabulary.</w:t>
            </w:r>
          </w:p>
        </w:tc>
        <w:tc>
          <w:tcPr>
            <w:tcW w:w="735" w:type="dxa"/>
            <w:tcBorders>
              <w:top w:val="nil"/>
              <w:left w:val="nil"/>
              <w:bottom w:val="nil"/>
              <w:right w:val="nil"/>
            </w:tcBorders>
            <w:tcMar>
              <w:top w:w="0" w:type="dxa"/>
              <w:left w:w="100" w:type="dxa"/>
              <w:bottom w:w="0" w:type="dxa"/>
              <w:right w:w="100" w:type="dxa"/>
            </w:tcMar>
          </w:tcPr>
          <w:p w14:paraId="28D53D52"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w:t>
            </w:r>
          </w:p>
        </w:tc>
        <w:tc>
          <w:tcPr>
            <w:tcW w:w="1020" w:type="dxa"/>
            <w:tcBorders>
              <w:top w:val="nil"/>
              <w:left w:val="nil"/>
              <w:bottom w:val="nil"/>
              <w:right w:val="nil"/>
            </w:tcBorders>
            <w:tcMar>
              <w:top w:w="0" w:type="dxa"/>
              <w:left w:w="100" w:type="dxa"/>
              <w:bottom w:w="0" w:type="dxa"/>
              <w:right w:w="100" w:type="dxa"/>
            </w:tcMar>
          </w:tcPr>
          <w:p w14:paraId="179E4C2E"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Agree</w:t>
            </w:r>
          </w:p>
        </w:tc>
        <w:tc>
          <w:tcPr>
            <w:tcW w:w="720" w:type="dxa"/>
            <w:tcBorders>
              <w:top w:val="nil"/>
              <w:left w:val="nil"/>
              <w:bottom w:val="nil"/>
              <w:right w:val="nil"/>
            </w:tcBorders>
            <w:tcMar>
              <w:top w:w="0" w:type="dxa"/>
              <w:left w:w="100" w:type="dxa"/>
              <w:bottom w:w="0" w:type="dxa"/>
              <w:right w:w="100" w:type="dxa"/>
            </w:tcMar>
          </w:tcPr>
          <w:p w14:paraId="2EDD4EF0"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1A3984" w14:paraId="0152783A" w14:textId="77777777">
        <w:trPr>
          <w:trHeight w:val="2085"/>
        </w:trPr>
        <w:tc>
          <w:tcPr>
            <w:tcW w:w="1635" w:type="dxa"/>
            <w:tcBorders>
              <w:top w:val="nil"/>
              <w:left w:val="nil"/>
              <w:bottom w:val="nil"/>
              <w:right w:val="nil"/>
            </w:tcBorders>
            <w:tcMar>
              <w:top w:w="0" w:type="dxa"/>
              <w:left w:w="100" w:type="dxa"/>
              <w:bottom w:w="0" w:type="dxa"/>
              <w:right w:w="100" w:type="dxa"/>
            </w:tcMar>
          </w:tcPr>
          <w:p w14:paraId="190BA188"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.Scaffolded reading facilitates the improvement of reading fluency through regular practice and continuous support.</w:t>
            </w:r>
          </w:p>
        </w:tc>
        <w:tc>
          <w:tcPr>
            <w:tcW w:w="735" w:type="dxa"/>
            <w:tcBorders>
              <w:top w:val="nil"/>
              <w:left w:val="nil"/>
              <w:bottom w:val="nil"/>
              <w:right w:val="nil"/>
            </w:tcBorders>
            <w:tcMar>
              <w:top w:w="0" w:type="dxa"/>
              <w:left w:w="100" w:type="dxa"/>
              <w:bottom w:w="0" w:type="dxa"/>
              <w:right w:w="100" w:type="dxa"/>
            </w:tcMar>
          </w:tcPr>
          <w:p w14:paraId="6E409913"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w:t>
            </w:r>
          </w:p>
        </w:tc>
        <w:tc>
          <w:tcPr>
            <w:tcW w:w="1020" w:type="dxa"/>
            <w:tcBorders>
              <w:top w:val="nil"/>
              <w:left w:val="nil"/>
              <w:bottom w:val="nil"/>
              <w:right w:val="nil"/>
            </w:tcBorders>
            <w:tcMar>
              <w:top w:w="0" w:type="dxa"/>
              <w:left w:w="100" w:type="dxa"/>
              <w:bottom w:w="0" w:type="dxa"/>
              <w:right w:w="100" w:type="dxa"/>
            </w:tcMar>
          </w:tcPr>
          <w:p w14:paraId="3F3D505C"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Agree</w:t>
            </w:r>
          </w:p>
        </w:tc>
        <w:tc>
          <w:tcPr>
            <w:tcW w:w="720" w:type="dxa"/>
            <w:tcBorders>
              <w:top w:val="nil"/>
              <w:left w:val="nil"/>
              <w:bottom w:val="nil"/>
              <w:right w:val="nil"/>
            </w:tcBorders>
            <w:tcMar>
              <w:top w:w="0" w:type="dxa"/>
              <w:left w:w="100" w:type="dxa"/>
              <w:bottom w:w="0" w:type="dxa"/>
              <w:right w:w="100" w:type="dxa"/>
            </w:tcMar>
          </w:tcPr>
          <w:p w14:paraId="2E40A6F9"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1A3984" w14:paraId="566429CE" w14:textId="77777777">
        <w:trPr>
          <w:trHeight w:val="1875"/>
        </w:trPr>
        <w:tc>
          <w:tcPr>
            <w:tcW w:w="1635" w:type="dxa"/>
            <w:tcBorders>
              <w:top w:val="nil"/>
              <w:left w:val="nil"/>
              <w:bottom w:val="nil"/>
              <w:right w:val="nil"/>
            </w:tcBorders>
            <w:tcMar>
              <w:top w:w="0" w:type="dxa"/>
              <w:left w:w="100" w:type="dxa"/>
              <w:bottom w:w="0" w:type="dxa"/>
              <w:right w:w="100" w:type="dxa"/>
            </w:tcMar>
          </w:tcPr>
          <w:p w14:paraId="53DAED69"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Scaffolded reading helps improve students' reading skills by supporting the identification of main ideas and key details</w:t>
            </w:r>
          </w:p>
        </w:tc>
        <w:tc>
          <w:tcPr>
            <w:tcW w:w="735" w:type="dxa"/>
            <w:tcBorders>
              <w:top w:val="nil"/>
              <w:left w:val="nil"/>
              <w:bottom w:val="nil"/>
              <w:right w:val="nil"/>
            </w:tcBorders>
            <w:tcMar>
              <w:top w:w="0" w:type="dxa"/>
              <w:left w:w="100" w:type="dxa"/>
              <w:bottom w:w="0" w:type="dxa"/>
              <w:right w:w="100" w:type="dxa"/>
            </w:tcMar>
          </w:tcPr>
          <w:p w14:paraId="10D2B2A9"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3.51</w:t>
            </w:r>
          </w:p>
        </w:tc>
        <w:tc>
          <w:tcPr>
            <w:tcW w:w="1020" w:type="dxa"/>
            <w:tcBorders>
              <w:top w:val="nil"/>
              <w:left w:val="nil"/>
              <w:bottom w:val="nil"/>
              <w:right w:val="nil"/>
            </w:tcBorders>
            <w:tcMar>
              <w:top w:w="0" w:type="dxa"/>
              <w:left w:w="100" w:type="dxa"/>
              <w:bottom w:w="0" w:type="dxa"/>
              <w:right w:w="100" w:type="dxa"/>
            </w:tcMar>
          </w:tcPr>
          <w:p w14:paraId="7E1CB058"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Strongly Agree</w:t>
            </w:r>
          </w:p>
        </w:tc>
        <w:tc>
          <w:tcPr>
            <w:tcW w:w="720" w:type="dxa"/>
            <w:tcBorders>
              <w:top w:val="nil"/>
              <w:left w:val="nil"/>
              <w:bottom w:val="nil"/>
              <w:right w:val="nil"/>
            </w:tcBorders>
            <w:tcMar>
              <w:top w:w="0" w:type="dxa"/>
              <w:left w:w="100" w:type="dxa"/>
              <w:bottom w:w="0" w:type="dxa"/>
              <w:right w:w="100" w:type="dxa"/>
            </w:tcMar>
          </w:tcPr>
          <w:p w14:paraId="2DA60D97"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1A3984" w14:paraId="6E580924" w14:textId="77777777">
        <w:trPr>
          <w:trHeight w:val="1050"/>
        </w:trPr>
        <w:tc>
          <w:tcPr>
            <w:tcW w:w="1635" w:type="dxa"/>
            <w:tcBorders>
              <w:top w:val="nil"/>
              <w:left w:val="nil"/>
              <w:bottom w:val="single" w:sz="5" w:space="0" w:color="000000"/>
              <w:right w:val="nil"/>
            </w:tcBorders>
            <w:tcMar>
              <w:top w:w="0" w:type="dxa"/>
              <w:left w:w="100" w:type="dxa"/>
              <w:bottom w:w="0" w:type="dxa"/>
              <w:right w:w="100" w:type="dxa"/>
            </w:tcMar>
          </w:tcPr>
          <w:p w14:paraId="5BA49668"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Scaffolded reading makes reading more comfortable.</w:t>
            </w:r>
          </w:p>
        </w:tc>
        <w:tc>
          <w:tcPr>
            <w:tcW w:w="735" w:type="dxa"/>
            <w:tcBorders>
              <w:top w:val="nil"/>
              <w:left w:val="nil"/>
              <w:bottom w:val="single" w:sz="5" w:space="0" w:color="000000"/>
              <w:right w:val="nil"/>
            </w:tcBorders>
            <w:tcMar>
              <w:top w:w="0" w:type="dxa"/>
              <w:left w:w="100" w:type="dxa"/>
              <w:bottom w:w="0" w:type="dxa"/>
              <w:right w:w="100" w:type="dxa"/>
            </w:tcMar>
          </w:tcPr>
          <w:p w14:paraId="542AF410"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3.49</w:t>
            </w:r>
          </w:p>
        </w:tc>
        <w:tc>
          <w:tcPr>
            <w:tcW w:w="1020" w:type="dxa"/>
            <w:tcBorders>
              <w:top w:val="nil"/>
              <w:left w:val="nil"/>
              <w:bottom w:val="single" w:sz="5" w:space="0" w:color="000000"/>
              <w:right w:val="nil"/>
            </w:tcBorders>
            <w:tcMar>
              <w:top w:w="0" w:type="dxa"/>
              <w:left w:w="100" w:type="dxa"/>
              <w:bottom w:w="0" w:type="dxa"/>
              <w:right w:w="100" w:type="dxa"/>
            </w:tcMar>
          </w:tcPr>
          <w:p w14:paraId="0EE1F351"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Agree</w:t>
            </w:r>
          </w:p>
        </w:tc>
        <w:tc>
          <w:tcPr>
            <w:tcW w:w="720" w:type="dxa"/>
            <w:tcBorders>
              <w:top w:val="nil"/>
              <w:left w:val="nil"/>
              <w:bottom w:val="single" w:sz="5" w:space="0" w:color="000000"/>
              <w:right w:val="nil"/>
            </w:tcBorders>
            <w:tcMar>
              <w:top w:w="0" w:type="dxa"/>
              <w:left w:w="100" w:type="dxa"/>
              <w:bottom w:w="0" w:type="dxa"/>
              <w:right w:w="100" w:type="dxa"/>
            </w:tcMar>
          </w:tcPr>
          <w:p w14:paraId="0D401450"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1A3984" w14:paraId="2550F73E" w14:textId="77777777">
        <w:trPr>
          <w:trHeight w:val="525"/>
        </w:trPr>
        <w:tc>
          <w:tcPr>
            <w:tcW w:w="1635" w:type="dxa"/>
            <w:tcBorders>
              <w:top w:val="nil"/>
              <w:left w:val="nil"/>
              <w:bottom w:val="single" w:sz="5" w:space="0" w:color="000000"/>
              <w:right w:val="nil"/>
            </w:tcBorders>
            <w:tcMar>
              <w:top w:w="0" w:type="dxa"/>
              <w:left w:w="100" w:type="dxa"/>
              <w:bottom w:w="0" w:type="dxa"/>
              <w:right w:w="100" w:type="dxa"/>
            </w:tcMar>
          </w:tcPr>
          <w:p w14:paraId="4263A03D" w14:textId="77777777" w:rsidR="001A3984" w:rsidRDefault="00115E6A">
            <w:pPr>
              <w:shd w:val="clear" w:color="auto" w:fill="FFFFFF"/>
              <w:spacing w:befor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GWM</w:t>
            </w:r>
          </w:p>
        </w:tc>
        <w:tc>
          <w:tcPr>
            <w:tcW w:w="735" w:type="dxa"/>
            <w:tcBorders>
              <w:top w:val="nil"/>
              <w:left w:val="nil"/>
              <w:bottom w:val="single" w:sz="5" w:space="0" w:color="000000"/>
              <w:right w:val="nil"/>
            </w:tcBorders>
            <w:tcMar>
              <w:top w:w="0" w:type="dxa"/>
              <w:left w:w="100" w:type="dxa"/>
              <w:bottom w:w="0" w:type="dxa"/>
              <w:right w:w="100" w:type="dxa"/>
            </w:tcMar>
          </w:tcPr>
          <w:p w14:paraId="03072F3D"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3.51</w:t>
            </w:r>
          </w:p>
        </w:tc>
        <w:tc>
          <w:tcPr>
            <w:tcW w:w="1020" w:type="dxa"/>
            <w:tcBorders>
              <w:top w:val="nil"/>
              <w:left w:val="nil"/>
              <w:bottom w:val="single" w:sz="5" w:space="0" w:color="000000"/>
              <w:right w:val="nil"/>
            </w:tcBorders>
            <w:tcMar>
              <w:top w:w="0" w:type="dxa"/>
              <w:left w:w="100" w:type="dxa"/>
              <w:bottom w:w="0" w:type="dxa"/>
              <w:right w:w="100" w:type="dxa"/>
            </w:tcMar>
          </w:tcPr>
          <w:p w14:paraId="45ABD9ED"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Strongly Agree</w:t>
            </w:r>
          </w:p>
        </w:tc>
        <w:tc>
          <w:tcPr>
            <w:tcW w:w="720" w:type="dxa"/>
            <w:tcBorders>
              <w:top w:val="nil"/>
              <w:left w:val="nil"/>
              <w:bottom w:val="single" w:sz="5" w:space="0" w:color="000000"/>
              <w:right w:val="nil"/>
            </w:tcBorders>
            <w:tcMar>
              <w:top w:w="0" w:type="dxa"/>
              <w:left w:w="100" w:type="dxa"/>
              <w:bottom w:w="0" w:type="dxa"/>
              <w:right w:w="100" w:type="dxa"/>
            </w:tcMar>
          </w:tcPr>
          <w:p w14:paraId="6CD43DBA"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tc>
      </w:tr>
    </w:tbl>
    <w:p w14:paraId="2E29C3F1"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table shows that the statement "</w:t>
      </w:r>
      <w:r>
        <w:rPr>
          <w:rFonts w:ascii="Times New Roman" w:eastAsia="Times New Roman" w:hAnsi="Times New Roman" w:cs="Times New Roman"/>
          <w:i/>
          <w:iCs/>
          <w:sz w:val="20"/>
          <w:szCs w:val="20"/>
        </w:rPr>
        <w:t xml:space="preserve">Scaffolded reading makes it easier to find main ideas in the text" </w:t>
      </w:r>
      <w:r>
        <w:rPr>
          <w:rFonts w:ascii="Times New Roman" w:eastAsia="Times New Roman" w:hAnsi="Times New Roman" w:cs="Times New Roman"/>
          <w:sz w:val="20"/>
          <w:szCs w:val="20"/>
        </w:rPr>
        <w:t>has the highest rank with a 3.64 weighted mean and verbal interpretation of strongly agree. The next highest in the ranking is the statement "</w:t>
      </w:r>
      <w:r>
        <w:rPr>
          <w:rFonts w:ascii="Times New Roman" w:eastAsia="Times New Roman" w:hAnsi="Times New Roman" w:cs="Times New Roman"/>
          <w:i/>
          <w:iCs/>
          <w:sz w:val="20"/>
          <w:szCs w:val="20"/>
        </w:rPr>
        <w:t xml:space="preserve">Scaffolded reading helps improve students' reading skills by supporting the identification of main ideas," </w:t>
      </w:r>
      <w:r>
        <w:rPr>
          <w:rFonts w:ascii="Times New Roman" w:eastAsia="Times New Roman" w:hAnsi="Times New Roman" w:cs="Times New Roman"/>
          <w:sz w:val="20"/>
          <w:szCs w:val="20"/>
        </w:rPr>
        <w:t>with a weighted mean of 3.51 and a verbal interpretation of strongly agree. It was followed by the statement</w:t>
      </w:r>
      <w:r>
        <w:rPr>
          <w:rFonts w:ascii="Times New Roman" w:eastAsia="Times New Roman" w:hAnsi="Times New Roman" w:cs="Times New Roman"/>
          <w:i/>
          <w:iCs/>
          <w:sz w:val="20"/>
          <w:szCs w:val="20"/>
        </w:rPr>
        <w:t xml:space="preserve"> "Scaffolded reading makes reading more comfortable"</w:t>
      </w:r>
      <w:r>
        <w:rPr>
          <w:rFonts w:ascii="Times New Roman" w:eastAsia="Times New Roman" w:hAnsi="Times New Roman" w:cs="Times New Roman"/>
          <w:sz w:val="20"/>
          <w:szCs w:val="20"/>
        </w:rPr>
        <w:t xml:space="preserve"> with an average agreement of 3.49 and verbal interpretation of agree. The statement that received the lowest ranking was "</w:t>
      </w:r>
      <w:r>
        <w:rPr>
          <w:rFonts w:ascii="Times New Roman" w:eastAsia="Times New Roman" w:hAnsi="Times New Roman" w:cs="Times New Roman"/>
          <w:i/>
          <w:iCs/>
          <w:sz w:val="20"/>
          <w:szCs w:val="20"/>
        </w:rPr>
        <w:t xml:space="preserve">Scaffolded reading facilitates the improvement of reading fluency through regular practice and continuous support," </w:t>
      </w:r>
      <w:r>
        <w:rPr>
          <w:rFonts w:ascii="Times New Roman" w:eastAsia="Times New Roman" w:hAnsi="Times New Roman" w:cs="Times New Roman"/>
          <w:sz w:val="20"/>
          <w:szCs w:val="20"/>
        </w:rPr>
        <w:t>with a weighted mean of 3.43, indicating an interpretation of agree.</w:t>
      </w:r>
    </w:p>
    <w:p w14:paraId="134EB3CB"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Therefore, the result indicates a general weighted mean of 3.51 and a verbal interpretation of strongly agree, suggesting that students perceived that a proper scaffolded reading structure helps them understand difficult vocabulary, facilitates their reading fluency, and makes learning more comfortable by offering continuous support and helping them generate the main ideas from the text. As supported by the study, Kärbla, Uibu, and Männamaa (2021) investigated effective teaching strategies for enhancing vocabulary and text comprehension, and found that students who participated in these strategies demonstrated significant improvements in vocabulary and text comprehension. </w:t>
      </w:r>
    </w:p>
    <w:p w14:paraId="4D5431E9" w14:textId="77777777" w:rsidR="001A3984" w:rsidRDefault="001A3984">
      <w:pPr>
        <w:shd w:val="clear" w:color="auto" w:fill="FFFFFF"/>
        <w:spacing w:before="0"/>
        <w:jc w:val="both"/>
        <w:rPr>
          <w:rFonts w:ascii="Times New Roman" w:eastAsia="Times New Roman" w:hAnsi="Times New Roman" w:cs="Times New Roman"/>
          <w:sz w:val="20"/>
          <w:szCs w:val="20"/>
        </w:rPr>
      </w:pPr>
    </w:p>
    <w:p w14:paraId="320B9635"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Table 4.4.4. Differentiation</w:t>
      </w:r>
      <w:r>
        <w:rPr>
          <w:rFonts w:ascii="Times New Roman" w:eastAsia="Times New Roman" w:hAnsi="Times New Roman" w:cs="Times New Roman"/>
          <w:sz w:val="20"/>
          <w:szCs w:val="20"/>
        </w:rPr>
        <w:t xml:space="preserve"> </w:t>
      </w:r>
    </w:p>
    <w:p w14:paraId="018E2B93" w14:textId="77777777" w:rsidR="001A3984" w:rsidRDefault="001A3984">
      <w:pPr>
        <w:shd w:val="clear" w:color="auto" w:fill="FFFFFF"/>
        <w:spacing w:before="0"/>
        <w:jc w:val="both"/>
        <w:rPr>
          <w:rFonts w:ascii="Times New Roman" w:eastAsia="Times New Roman" w:hAnsi="Times New Roman" w:cs="Times New Roman"/>
          <w:sz w:val="20"/>
          <w:szCs w:val="20"/>
        </w:rPr>
      </w:pPr>
    </w:p>
    <w:p w14:paraId="462A6258" w14:textId="77777777" w:rsidR="001A3984" w:rsidRDefault="001A3984">
      <w:pPr>
        <w:shd w:val="clear" w:color="auto" w:fill="FFFFFF"/>
        <w:spacing w:before="0"/>
        <w:jc w:val="both"/>
        <w:rPr>
          <w:rFonts w:ascii="Times New Roman" w:eastAsia="Times New Roman" w:hAnsi="Times New Roman" w:cs="Times New Roman"/>
          <w:sz w:val="20"/>
          <w:szCs w:val="20"/>
        </w:rPr>
      </w:pPr>
    </w:p>
    <w:tbl>
      <w:tblPr>
        <w:tblStyle w:val="af4"/>
        <w:tblW w:w="41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0"/>
        <w:gridCol w:w="650"/>
        <w:gridCol w:w="1016"/>
        <w:gridCol w:w="724"/>
      </w:tblGrid>
      <w:tr w:rsidR="001A3984" w14:paraId="123FDDC2" w14:textId="77777777">
        <w:trPr>
          <w:trHeight w:val="1050"/>
        </w:trPr>
        <w:tc>
          <w:tcPr>
            <w:tcW w:w="1718" w:type="dxa"/>
            <w:tcBorders>
              <w:top w:val="single" w:sz="5" w:space="0" w:color="000000"/>
              <w:left w:val="nil"/>
              <w:bottom w:val="single" w:sz="5" w:space="0" w:color="000000"/>
              <w:right w:val="nil"/>
            </w:tcBorders>
            <w:tcMar>
              <w:top w:w="0" w:type="dxa"/>
              <w:left w:w="100" w:type="dxa"/>
              <w:bottom w:w="0" w:type="dxa"/>
              <w:right w:w="100" w:type="dxa"/>
            </w:tcMar>
          </w:tcPr>
          <w:p w14:paraId="630BAFCC"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Statements</w:t>
            </w:r>
          </w:p>
        </w:tc>
        <w:tc>
          <w:tcPr>
            <w:tcW w:w="650" w:type="dxa"/>
            <w:tcBorders>
              <w:top w:val="single" w:sz="5" w:space="0" w:color="000000"/>
              <w:left w:val="nil"/>
              <w:bottom w:val="single" w:sz="5" w:space="0" w:color="000000"/>
              <w:right w:val="nil"/>
            </w:tcBorders>
            <w:tcMar>
              <w:top w:w="0" w:type="dxa"/>
              <w:left w:w="100" w:type="dxa"/>
              <w:bottom w:w="0" w:type="dxa"/>
              <w:right w:w="100" w:type="dxa"/>
            </w:tcMar>
          </w:tcPr>
          <w:p w14:paraId="526404A4"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Weighted Mean</w:t>
            </w:r>
          </w:p>
        </w:tc>
        <w:tc>
          <w:tcPr>
            <w:tcW w:w="1016" w:type="dxa"/>
            <w:tcBorders>
              <w:top w:val="single" w:sz="5" w:space="0" w:color="000000"/>
              <w:left w:val="nil"/>
              <w:bottom w:val="single" w:sz="5" w:space="0" w:color="000000"/>
              <w:right w:val="nil"/>
            </w:tcBorders>
            <w:tcMar>
              <w:top w:w="0" w:type="dxa"/>
              <w:left w:w="100" w:type="dxa"/>
              <w:bottom w:w="0" w:type="dxa"/>
              <w:right w:w="100" w:type="dxa"/>
            </w:tcMar>
          </w:tcPr>
          <w:p w14:paraId="6212F81E"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Verbal Interpretation</w:t>
            </w:r>
          </w:p>
        </w:tc>
        <w:tc>
          <w:tcPr>
            <w:tcW w:w="724" w:type="dxa"/>
            <w:tcBorders>
              <w:top w:val="single" w:sz="5" w:space="0" w:color="000000"/>
              <w:left w:val="nil"/>
              <w:bottom w:val="single" w:sz="5" w:space="0" w:color="000000"/>
              <w:right w:val="nil"/>
            </w:tcBorders>
            <w:tcMar>
              <w:top w:w="0" w:type="dxa"/>
              <w:left w:w="100" w:type="dxa"/>
              <w:bottom w:w="0" w:type="dxa"/>
              <w:right w:w="100" w:type="dxa"/>
            </w:tcMar>
          </w:tcPr>
          <w:p w14:paraId="0CC5905C"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Rank</w:t>
            </w:r>
          </w:p>
        </w:tc>
      </w:tr>
      <w:tr w:rsidR="001A3984" w14:paraId="691A5BE2" w14:textId="77777777">
        <w:trPr>
          <w:trHeight w:val="1185"/>
        </w:trPr>
        <w:tc>
          <w:tcPr>
            <w:tcW w:w="1718" w:type="dxa"/>
            <w:tcBorders>
              <w:top w:val="nil"/>
              <w:left w:val="nil"/>
              <w:bottom w:val="nil"/>
              <w:right w:val="nil"/>
            </w:tcBorders>
            <w:tcMar>
              <w:top w:w="0" w:type="dxa"/>
              <w:left w:w="100" w:type="dxa"/>
              <w:bottom w:w="0" w:type="dxa"/>
              <w:right w:w="100" w:type="dxa"/>
            </w:tcMar>
          </w:tcPr>
          <w:p w14:paraId="372B2821"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The choice of reading materials used in scaffolded reading captured students’ interest.</w:t>
            </w:r>
          </w:p>
        </w:tc>
        <w:tc>
          <w:tcPr>
            <w:tcW w:w="650" w:type="dxa"/>
            <w:tcBorders>
              <w:top w:val="nil"/>
              <w:left w:val="nil"/>
              <w:bottom w:val="nil"/>
              <w:right w:val="nil"/>
            </w:tcBorders>
            <w:tcMar>
              <w:top w:w="0" w:type="dxa"/>
              <w:left w:w="100" w:type="dxa"/>
              <w:bottom w:w="0" w:type="dxa"/>
              <w:right w:w="100" w:type="dxa"/>
            </w:tcMar>
          </w:tcPr>
          <w:p w14:paraId="0DAF4CDD"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3.39</w:t>
            </w:r>
          </w:p>
        </w:tc>
        <w:tc>
          <w:tcPr>
            <w:tcW w:w="1016" w:type="dxa"/>
            <w:tcBorders>
              <w:top w:val="nil"/>
              <w:left w:val="nil"/>
              <w:bottom w:val="nil"/>
              <w:right w:val="nil"/>
            </w:tcBorders>
            <w:tcMar>
              <w:top w:w="0" w:type="dxa"/>
              <w:left w:w="100" w:type="dxa"/>
              <w:bottom w:w="0" w:type="dxa"/>
              <w:right w:w="100" w:type="dxa"/>
            </w:tcMar>
          </w:tcPr>
          <w:p w14:paraId="192469B8"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Agree</w:t>
            </w:r>
          </w:p>
        </w:tc>
        <w:tc>
          <w:tcPr>
            <w:tcW w:w="724" w:type="dxa"/>
            <w:tcBorders>
              <w:top w:val="nil"/>
              <w:left w:val="nil"/>
              <w:bottom w:val="nil"/>
              <w:right w:val="nil"/>
            </w:tcBorders>
            <w:tcMar>
              <w:top w:w="0" w:type="dxa"/>
              <w:left w:w="100" w:type="dxa"/>
              <w:bottom w:w="0" w:type="dxa"/>
              <w:right w:w="100" w:type="dxa"/>
            </w:tcMar>
          </w:tcPr>
          <w:p w14:paraId="24F86A7F"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1A3984" w14:paraId="6EFDE18D" w14:textId="77777777">
        <w:trPr>
          <w:trHeight w:val="1395"/>
        </w:trPr>
        <w:tc>
          <w:tcPr>
            <w:tcW w:w="1718" w:type="dxa"/>
            <w:tcBorders>
              <w:top w:val="nil"/>
              <w:left w:val="nil"/>
              <w:bottom w:val="nil"/>
              <w:right w:val="nil"/>
            </w:tcBorders>
            <w:tcMar>
              <w:top w:w="0" w:type="dxa"/>
              <w:left w:w="100" w:type="dxa"/>
              <w:bottom w:w="0" w:type="dxa"/>
              <w:right w:w="100" w:type="dxa"/>
            </w:tcMar>
          </w:tcPr>
          <w:p w14:paraId="3343CD76" w14:textId="25F798C9"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Various reading activities and questions are posed with increasing </w:t>
            </w:r>
            <w:r w:rsidR="007E5CC4">
              <w:rPr>
                <w:rFonts w:ascii="Times New Roman" w:eastAsia="Times New Roman" w:hAnsi="Times New Roman" w:cs="Times New Roman"/>
                <w:sz w:val="20"/>
                <w:szCs w:val="20"/>
              </w:rPr>
              <w:t>difficulty</w:t>
            </w:r>
            <w:r>
              <w:rPr>
                <w:rFonts w:ascii="Times New Roman" w:eastAsia="Times New Roman" w:hAnsi="Times New Roman" w:cs="Times New Roman"/>
                <w:sz w:val="20"/>
                <w:szCs w:val="20"/>
              </w:rPr>
              <w:t>.</w:t>
            </w:r>
          </w:p>
        </w:tc>
        <w:tc>
          <w:tcPr>
            <w:tcW w:w="650" w:type="dxa"/>
            <w:tcBorders>
              <w:top w:val="nil"/>
              <w:left w:val="nil"/>
              <w:bottom w:val="nil"/>
              <w:right w:val="nil"/>
            </w:tcBorders>
            <w:tcMar>
              <w:top w:w="0" w:type="dxa"/>
              <w:left w:w="100" w:type="dxa"/>
              <w:bottom w:w="0" w:type="dxa"/>
              <w:right w:w="100" w:type="dxa"/>
            </w:tcMar>
          </w:tcPr>
          <w:p w14:paraId="4B2DF1F9"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3.36</w:t>
            </w:r>
          </w:p>
        </w:tc>
        <w:tc>
          <w:tcPr>
            <w:tcW w:w="1016" w:type="dxa"/>
            <w:tcBorders>
              <w:top w:val="nil"/>
              <w:left w:val="nil"/>
              <w:bottom w:val="nil"/>
              <w:right w:val="nil"/>
            </w:tcBorders>
            <w:tcMar>
              <w:top w:w="0" w:type="dxa"/>
              <w:left w:w="100" w:type="dxa"/>
              <w:bottom w:w="0" w:type="dxa"/>
              <w:right w:w="100" w:type="dxa"/>
            </w:tcMar>
          </w:tcPr>
          <w:p w14:paraId="3CA8A996"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Agree</w:t>
            </w:r>
          </w:p>
        </w:tc>
        <w:tc>
          <w:tcPr>
            <w:tcW w:w="724" w:type="dxa"/>
            <w:tcBorders>
              <w:top w:val="nil"/>
              <w:left w:val="nil"/>
              <w:bottom w:val="nil"/>
              <w:right w:val="nil"/>
            </w:tcBorders>
            <w:tcMar>
              <w:top w:w="0" w:type="dxa"/>
              <w:left w:w="100" w:type="dxa"/>
              <w:bottom w:w="0" w:type="dxa"/>
              <w:right w:w="100" w:type="dxa"/>
            </w:tcMar>
          </w:tcPr>
          <w:p w14:paraId="2D7EA7F3"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1A3984" w14:paraId="116F5DEB" w14:textId="77777777">
        <w:trPr>
          <w:trHeight w:val="1035"/>
        </w:trPr>
        <w:tc>
          <w:tcPr>
            <w:tcW w:w="1718" w:type="dxa"/>
            <w:tcBorders>
              <w:top w:val="nil"/>
              <w:left w:val="nil"/>
              <w:bottom w:val="nil"/>
              <w:right w:val="nil"/>
            </w:tcBorders>
            <w:tcMar>
              <w:top w:w="0" w:type="dxa"/>
              <w:left w:w="100" w:type="dxa"/>
              <w:bottom w:w="0" w:type="dxa"/>
              <w:right w:w="100" w:type="dxa"/>
            </w:tcMar>
          </w:tcPr>
          <w:p w14:paraId="1CC2DAFB"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Scaffolded reading breaks down the reading text into manageable parts</w:t>
            </w:r>
          </w:p>
        </w:tc>
        <w:tc>
          <w:tcPr>
            <w:tcW w:w="650" w:type="dxa"/>
            <w:tcBorders>
              <w:top w:val="nil"/>
              <w:left w:val="nil"/>
              <w:bottom w:val="nil"/>
              <w:right w:val="nil"/>
            </w:tcBorders>
            <w:tcMar>
              <w:top w:w="0" w:type="dxa"/>
              <w:left w:w="100" w:type="dxa"/>
              <w:bottom w:w="0" w:type="dxa"/>
              <w:right w:w="100" w:type="dxa"/>
            </w:tcMar>
          </w:tcPr>
          <w:p w14:paraId="7A57934A"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3.36</w:t>
            </w:r>
          </w:p>
        </w:tc>
        <w:tc>
          <w:tcPr>
            <w:tcW w:w="1016" w:type="dxa"/>
            <w:tcBorders>
              <w:top w:val="nil"/>
              <w:left w:val="nil"/>
              <w:bottom w:val="nil"/>
              <w:right w:val="nil"/>
            </w:tcBorders>
            <w:tcMar>
              <w:top w:w="0" w:type="dxa"/>
              <w:left w:w="100" w:type="dxa"/>
              <w:bottom w:w="0" w:type="dxa"/>
              <w:right w:w="100" w:type="dxa"/>
            </w:tcMar>
          </w:tcPr>
          <w:p w14:paraId="0CBA825C"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Agree</w:t>
            </w:r>
          </w:p>
        </w:tc>
        <w:tc>
          <w:tcPr>
            <w:tcW w:w="724" w:type="dxa"/>
            <w:tcBorders>
              <w:top w:val="nil"/>
              <w:left w:val="nil"/>
              <w:bottom w:val="nil"/>
              <w:right w:val="nil"/>
            </w:tcBorders>
            <w:tcMar>
              <w:top w:w="0" w:type="dxa"/>
              <w:left w:w="100" w:type="dxa"/>
              <w:bottom w:w="0" w:type="dxa"/>
              <w:right w:w="100" w:type="dxa"/>
            </w:tcMar>
          </w:tcPr>
          <w:p w14:paraId="6A27BC4A"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1A3984" w14:paraId="39A2CFD5" w14:textId="77777777">
        <w:trPr>
          <w:trHeight w:val="1560"/>
        </w:trPr>
        <w:tc>
          <w:tcPr>
            <w:tcW w:w="1718" w:type="dxa"/>
            <w:tcBorders>
              <w:top w:val="nil"/>
              <w:left w:val="nil"/>
              <w:bottom w:val="nil"/>
              <w:right w:val="nil"/>
            </w:tcBorders>
            <w:tcMar>
              <w:top w:w="0" w:type="dxa"/>
              <w:left w:w="100" w:type="dxa"/>
              <w:bottom w:w="0" w:type="dxa"/>
              <w:right w:w="100" w:type="dxa"/>
            </w:tcMar>
          </w:tcPr>
          <w:p w14:paraId="7872BD96"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Scaffolded reading addressed students' reading difficulty in grasping the context of a literary text.</w:t>
            </w:r>
          </w:p>
        </w:tc>
        <w:tc>
          <w:tcPr>
            <w:tcW w:w="650" w:type="dxa"/>
            <w:tcBorders>
              <w:top w:val="nil"/>
              <w:left w:val="nil"/>
              <w:bottom w:val="nil"/>
              <w:right w:val="nil"/>
            </w:tcBorders>
            <w:tcMar>
              <w:top w:w="0" w:type="dxa"/>
              <w:left w:w="100" w:type="dxa"/>
              <w:bottom w:w="0" w:type="dxa"/>
              <w:right w:w="100" w:type="dxa"/>
            </w:tcMar>
          </w:tcPr>
          <w:p w14:paraId="64E00CB1"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w:t>
            </w:r>
          </w:p>
        </w:tc>
        <w:tc>
          <w:tcPr>
            <w:tcW w:w="1016" w:type="dxa"/>
            <w:tcBorders>
              <w:top w:val="nil"/>
              <w:left w:val="nil"/>
              <w:bottom w:val="nil"/>
              <w:right w:val="nil"/>
            </w:tcBorders>
            <w:tcMar>
              <w:top w:w="0" w:type="dxa"/>
              <w:left w:w="100" w:type="dxa"/>
              <w:bottom w:w="0" w:type="dxa"/>
              <w:right w:w="100" w:type="dxa"/>
            </w:tcMar>
          </w:tcPr>
          <w:p w14:paraId="0253BD0B"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Agree</w:t>
            </w:r>
          </w:p>
        </w:tc>
        <w:tc>
          <w:tcPr>
            <w:tcW w:w="724" w:type="dxa"/>
            <w:tcBorders>
              <w:top w:val="nil"/>
              <w:left w:val="nil"/>
              <w:bottom w:val="nil"/>
              <w:right w:val="nil"/>
            </w:tcBorders>
            <w:tcMar>
              <w:top w:w="0" w:type="dxa"/>
              <w:left w:w="100" w:type="dxa"/>
              <w:bottom w:w="0" w:type="dxa"/>
              <w:right w:w="100" w:type="dxa"/>
            </w:tcMar>
          </w:tcPr>
          <w:p w14:paraId="61880132"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1A3984" w14:paraId="2F7C2538" w14:textId="77777777">
        <w:trPr>
          <w:trHeight w:val="1905"/>
        </w:trPr>
        <w:tc>
          <w:tcPr>
            <w:tcW w:w="1718" w:type="dxa"/>
            <w:tcBorders>
              <w:top w:val="nil"/>
              <w:left w:val="nil"/>
              <w:bottom w:val="single" w:sz="5" w:space="0" w:color="000000"/>
              <w:right w:val="nil"/>
            </w:tcBorders>
            <w:tcMar>
              <w:top w:w="0" w:type="dxa"/>
              <w:left w:w="100" w:type="dxa"/>
              <w:bottom w:w="0" w:type="dxa"/>
              <w:right w:w="100" w:type="dxa"/>
            </w:tcMar>
          </w:tcPr>
          <w:p w14:paraId="360BE1BE"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Scaffolded reading helps students to gradually develop their comprehension skills and confidence.</w:t>
            </w:r>
          </w:p>
        </w:tc>
        <w:tc>
          <w:tcPr>
            <w:tcW w:w="650" w:type="dxa"/>
            <w:tcBorders>
              <w:top w:val="nil"/>
              <w:left w:val="nil"/>
              <w:bottom w:val="single" w:sz="5" w:space="0" w:color="000000"/>
              <w:right w:val="nil"/>
            </w:tcBorders>
            <w:tcMar>
              <w:top w:w="0" w:type="dxa"/>
              <w:left w:w="100" w:type="dxa"/>
              <w:bottom w:w="0" w:type="dxa"/>
              <w:right w:w="100" w:type="dxa"/>
            </w:tcMar>
          </w:tcPr>
          <w:p w14:paraId="00DFF4D1"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016" w:type="dxa"/>
            <w:tcBorders>
              <w:top w:val="nil"/>
              <w:left w:val="nil"/>
              <w:bottom w:val="single" w:sz="5" w:space="0" w:color="000000"/>
              <w:right w:val="nil"/>
            </w:tcBorders>
            <w:tcMar>
              <w:top w:w="0" w:type="dxa"/>
              <w:left w:w="100" w:type="dxa"/>
              <w:bottom w:w="0" w:type="dxa"/>
              <w:right w:w="100" w:type="dxa"/>
            </w:tcMar>
          </w:tcPr>
          <w:p w14:paraId="2ABFB1A5"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Agree</w:t>
            </w:r>
          </w:p>
        </w:tc>
        <w:tc>
          <w:tcPr>
            <w:tcW w:w="724" w:type="dxa"/>
            <w:tcBorders>
              <w:top w:val="nil"/>
              <w:left w:val="nil"/>
              <w:bottom w:val="single" w:sz="5" w:space="0" w:color="000000"/>
              <w:right w:val="nil"/>
            </w:tcBorders>
            <w:tcMar>
              <w:top w:w="0" w:type="dxa"/>
              <w:left w:w="100" w:type="dxa"/>
              <w:bottom w:w="0" w:type="dxa"/>
              <w:right w:w="100" w:type="dxa"/>
            </w:tcMar>
          </w:tcPr>
          <w:p w14:paraId="170ED7DE" w14:textId="77777777" w:rsidR="001A3984" w:rsidRDefault="00115E6A">
            <w:pPr>
              <w:shd w:val="clear" w:color="auto" w:fill="FFFFFF"/>
              <w:spacing w:befor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1A3984" w14:paraId="14A07C7C" w14:textId="77777777">
        <w:trPr>
          <w:trHeight w:val="285"/>
        </w:trPr>
        <w:tc>
          <w:tcPr>
            <w:tcW w:w="1718" w:type="dxa"/>
            <w:tcBorders>
              <w:top w:val="nil"/>
              <w:left w:val="nil"/>
              <w:bottom w:val="single" w:sz="5" w:space="0" w:color="000000"/>
              <w:right w:val="nil"/>
            </w:tcBorders>
            <w:tcMar>
              <w:top w:w="0" w:type="dxa"/>
              <w:left w:w="100" w:type="dxa"/>
              <w:bottom w:w="0" w:type="dxa"/>
              <w:right w:w="100" w:type="dxa"/>
            </w:tcMar>
          </w:tcPr>
          <w:p w14:paraId="48ACB510" w14:textId="77777777" w:rsidR="001A3984" w:rsidRDefault="00115E6A">
            <w:pPr>
              <w:shd w:val="clear" w:color="auto" w:fill="FFFFFF"/>
              <w:spacing w:before="0"/>
              <w:ind w:left="54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GWM</w:t>
            </w:r>
          </w:p>
        </w:tc>
        <w:tc>
          <w:tcPr>
            <w:tcW w:w="650" w:type="dxa"/>
            <w:tcBorders>
              <w:top w:val="nil"/>
              <w:left w:val="nil"/>
              <w:bottom w:val="single" w:sz="5" w:space="0" w:color="000000"/>
              <w:right w:val="nil"/>
            </w:tcBorders>
            <w:tcMar>
              <w:top w:w="0" w:type="dxa"/>
              <w:left w:w="100" w:type="dxa"/>
              <w:bottom w:w="0" w:type="dxa"/>
              <w:right w:w="100" w:type="dxa"/>
            </w:tcMar>
          </w:tcPr>
          <w:p w14:paraId="24AB1599"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3.39</w:t>
            </w:r>
          </w:p>
        </w:tc>
        <w:tc>
          <w:tcPr>
            <w:tcW w:w="1016" w:type="dxa"/>
            <w:tcBorders>
              <w:top w:val="nil"/>
              <w:left w:val="nil"/>
              <w:bottom w:val="single" w:sz="5" w:space="0" w:color="000000"/>
              <w:right w:val="nil"/>
            </w:tcBorders>
            <w:tcMar>
              <w:top w:w="0" w:type="dxa"/>
              <w:left w:w="100" w:type="dxa"/>
              <w:bottom w:w="0" w:type="dxa"/>
              <w:right w:w="100" w:type="dxa"/>
            </w:tcMar>
          </w:tcPr>
          <w:p w14:paraId="5268443B"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Agree</w:t>
            </w:r>
          </w:p>
        </w:tc>
        <w:tc>
          <w:tcPr>
            <w:tcW w:w="724" w:type="dxa"/>
            <w:tcBorders>
              <w:top w:val="nil"/>
              <w:left w:val="nil"/>
              <w:bottom w:val="single" w:sz="5" w:space="0" w:color="000000"/>
              <w:right w:val="nil"/>
            </w:tcBorders>
            <w:tcMar>
              <w:top w:w="0" w:type="dxa"/>
              <w:left w:w="100" w:type="dxa"/>
              <w:bottom w:w="0" w:type="dxa"/>
              <w:right w:w="100" w:type="dxa"/>
            </w:tcMar>
          </w:tcPr>
          <w:p w14:paraId="050E6760" w14:textId="77777777" w:rsidR="001A3984" w:rsidRDefault="00115E6A">
            <w:pPr>
              <w:shd w:val="clear" w:color="auto" w:fill="FFFFFF"/>
              <w:spacing w:befor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tc>
      </w:tr>
    </w:tbl>
    <w:p w14:paraId="6BD453C5"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Based on the gathered data, all statements were interpreted as agree. Still, the students agreed most with the statement "</w:t>
      </w:r>
      <w:r>
        <w:rPr>
          <w:rFonts w:ascii="Times New Roman" w:eastAsia="Times New Roman" w:hAnsi="Times New Roman" w:cs="Times New Roman"/>
          <w:i/>
          <w:iCs/>
          <w:sz w:val="20"/>
          <w:szCs w:val="20"/>
        </w:rPr>
        <w:t>Scaffolded reading addressed students' reading difficulty in grasping the context of a literary text,</w:t>
      </w:r>
      <w:r>
        <w:rPr>
          <w:rFonts w:ascii="Times New Roman" w:eastAsia="Times New Roman" w:hAnsi="Times New Roman" w:cs="Times New Roman"/>
          <w:sz w:val="20"/>
          <w:szCs w:val="20"/>
        </w:rPr>
        <w:t>" with a weighted mean of 3.46. The second-highest statement is "</w:t>
      </w:r>
      <w:r>
        <w:rPr>
          <w:rFonts w:ascii="Times New Roman" w:eastAsia="Times New Roman" w:hAnsi="Times New Roman" w:cs="Times New Roman"/>
          <w:i/>
          <w:iCs/>
          <w:sz w:val="20"/>
          <w:szCs w:val="20"/>
        </w:rPr>
        <w:t>Scaffolded reading helps students to gradually develop their comprehension skills and confidence,"</w:t>
      </w:r>
      <w:r>
        <w:rPr>
          <w:rFonts w:ascii="Times New Roman" w:eastAsia="Times New Roman" w:hAnsi="Times New Roman" w:cs="Times New Roman"/>
          <w:sz w:val="20"/>
          <w:szCs w:val="20"/>
        </w:rPr>
        <w:t xml:space="preserve"> with a weighted mean of 3.4. Meanwhile, students agreed least with the statements "</w:t>
      </w:r>
      <w:r>
        <w:rPr>
          <w:rFonts w:ascii="Times New Roman" w:eastAsia="Times New Roman" w:hAnsi="Times New Roman" w:cs="Times New Roman"/>
          <w:i/>
          <w:iCs/>
          <w:sz w:val="20"/>
          <w:szCs w:val="20"/>
        </w:rPr>
        <w:t>Various reading activities and questions are posed with increasing difficulties"</w:t>
      </w:r>
      <w:r>
        <w:rPr>
          <w:rFonts w:ascii="Times New Roman" w:eastAsia="Times New Roman" w:hAnsi="Times New Roman" w:cs="Times New Roman"/>
          <w:sz w:val="20"/>
          <w:szCs w:val="20"/>
        </w:rPr>
        <w:t xml:space="preserve"> and "</w:t>
      </w:r>
      <w:r>
        <w:rPr>
          <w:rFonts w:ascii="Times New Roman" w:eastAsia="Times New Roman" w:hAnsi="Times New Roman" w:cs="Times New Roman"/>
          <w:i/>
          <w:iCs/>
          <w:sz w:val="20"/>
          <w:szCs w:val="20"/>
        </w:rPr>
        <w:t>Scaffolded reading breaks down the reading text into manageable parts,</w:t>
      </w:r>
      <w:r>
        <w:rPr>
          <w:rFonts w:ascii="Times New Roman" w:eastAsia="Times New Roman" w:hAnsi="Times New Roman" w:cs="Times New Roman"/>
          <w:sz w:val="20"/>
          <w:szCs w:val="20"/>
        </w:rPr>
        <w:t>" with weighted means of 3.36.</w:t>
      </w:r>
    </w:p>
    <w:p w14:paraId="4B9EABA5" w14:textId="7F231CDC" w:rsidR="001A3984" w:rsidRDefault="00115E6A">
      <w:pPr>
        <w:shd w:val="clear" w:color="auto" w:fill="FFFFFF"/>
        <w:spacing w:before="0"/>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 in all, the table presents a general weighted mean of 3.39 and an interpretation of 'agree,' indicating that scaffolded reading addressed students' reading difficulties by breaking down </w:t>
      </w:r>
      <w:r>
        <w:rPr>
          <w:rFonts w:ascii="Times New Roman" w:eastAsia="Times New Roman" w:hAnsi="Times New Roman" w:cs="Times New Roman"/>
          <w:sz w:val="20"/>
          <w:szCs w:val="20"/>
        </w:rPr>
        <w:t xml:space="preserve">complex texts, engaging them through different multimodal texts, and prompting them to reflect through questions and activities. </w:t>
      </w:r>
      <w:r w:rsidR="007E5CC4">
        <w:rPr>
          <w:rFonts w:ascii="Times New Roman" w:eastAsia="Times New Roman" w:hAnsi="Times New Roman" w:cs="Times New Roman"/>
          <w:sz w:val="20"/>
          <w:szCs w:val="20"/>
        </w:rPr>
        <w:t>In line with these findings, the study by Yawiloeng (2022) explores how scaffolding techniques and multimodal resources, such as visual texts, images, and photos, affect EFL students' reading comprehension and gauges</w:t>
      </w:r>
      <w:r>
        <w:rPr>
          <w:rFonts w:ascii="Times New Roman" w:eastAsia="Times New Roman" w:hAnsi="Times New Roman" w:cs="Times New Roman"/>
          <w:sz w:val="20"/>
          <w:szCs w:val="20"/>
        </w:rPr>
        <w:t xml:space="preserve"> their attitudes toward these methods. The study found that most students perceived the teacher's instructions and the use of multimodal texts, such as visual aids, photos, and images, as beneficial to their reading comprehension. These findings suggest that multimodal texts, when combined with scaffolding, can significantly enhance students' reading comprehension</w:t>
      </w:r>
    </w:p>
    <w:p w14:paraId="212BB52E" w14:textId="77777777" w:rsidR="001A3984" w:rsidRDefault="001A3984">
      <w:pPr>
        <w:shd w:val="clear" w:color="auto" w:fill="FFFFFF"/>
        <w:spacing w:before="0"/>
        <w:jc w:val="both"/>
        <w:rPr>
          <w:rFonts w:ascii="Times New Roman" w:eastAsia="Times New Roman" w:hAnsi="Times New Roman" w:cs="Times New Roman"/>
          <w:sz w:val="20"/>
          <w:szCs w:val="20"/>
        </w:rPr>
      </w:pPr>
    </w:p>
    <w:p w14:paraId="24D27031"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b/>
          <w:bCs/>
        </w:rPr>
        <w:t xml:space="preserve">5. Teaching Guide </w:t>
      </w:r>
    </w:p>
    <w:p w14:paraId="3826D068" w14:textId="27B0779D"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teaching guide entitled "Unlocking Understanding: The Scaffolded Reading Comprehension Guide" was developed. This guide is designed to support educators in implementing the scaffolded reading strategy to enhance students' reading comprehension. This guide integrates a four-step process—pre-reading, during-reading, comprehension checks, and post-reading activities—to support students at all levels of comprehension, particularly in tackling complex literary texts. The guide also includes differentiated materials, teacher-led discussions, and varied assessment tools to meet diverse learning needs. Students can improve their reading comprehension with this guide.</w:t>
      </w:r>
    </w:p>
    <w:p w14:paraId="02D3B52C" w14:textId="1450A455" w:rsidR="001A3984" w:rsidRDefault="00115E6A" w:rsidP="007E5CC4">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 supported by Ding's (2021) study, Teaching Guides (TGs) simplify instruction by focusing on how to teach rather than just what to teach. They enable teachers to spend more time addressing students' emotional and personalized learning needs without compromising teaching quality. Moreover, the Indeed Employer Content Team (2025) notes that the modern teacher's role has evolved significantly, and TGs play a crucial role in supporting these expanded responsibilities. They help teachers nurture student curiosity, integrate real-world applications, and use technology effectively. A well-designed TG should thus empower educators to create meaningful, learner-centered experiences while adapting to individual student needs.</w:t>
      </w:r>
    </w:p>
    <w:p w14:paraId="74BD17E8" w14:textId="77777777" w:rsidR="007E5CC4" w:rsidRDefault="007E5CC4" w:rsidP="007E5CC4">
      <w:pPr>
        <w:shd w:val="clear" w:color="auto" w:fill="FFFFFF"/>
        <w:spacing w:before="240" w:after="120" w:line="276" w:lineRule="auto"/>
        <w:ind w:firstLine="720"/>
        <w:jc w:val="both"/>
        <w:rPr>
          <w:rFonts w:ascii="Times New Roman" w:eastAsia="Times New Roman" w:hAnsi="Times New Roman" w:cs="Times New Roman"/>
          <w:sz w:val="20"/>
          <w:szCs w:val="20"/>
        </w:rPr>
      </w:pPr>
    </w:p>
    <w:p w14:paraId="0EDA02B9" w14:textId="77777777" w:rsidR="001A3984" w:rsidRDefault="001A3984">
      <w:pPr>
        <w:shd w:val="clear" w:color="auto" w:fill="FFFFFF"/>
        <w:spacing w:before="0"/>
        <w:jc w:val="both"/>
        <w:rPr>
          <w:rFonts w:ascii="Times New Roman" w:eastAsia="Times New Roman" w:hAnsi="Times New Roman" w:cs="Times New Roman"/>
          <w:b/>
          <w:bCs/>
        </w:rPr>
      </w:pPr>
    </w:p>
    <w:p w14:paraId="5CA72D5A" w14:textId="77777777" w:rsidR="001A3984" w:rsidRDefault="00115E6A">
      <w:pPr>
        <w:shd w:val="clear" w:color="auto" w:fill="FFFFFF"/>
        <w:spacing w:befor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CONCLUSIONS</w:t>
      </w:r>
    </w:p>
    <w:p w14:paraId="1483C4BE" w14:textId="77777777" w:rsidR="001A3984" w:rsidRDefault="00115E6A">
      <w:pPr>
        <w:shd w:val="clear" w:color="auto" w:fill="FFFFFF"/>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The following are the conclusions drawn from the study's findings.</w:t>
      </w:r>
    </w:p>
    <w:p w14:paraId="1E1F67D8" w14:textId="77777777" w:rsidR="001A3984" w:rsidRDefault="00115E6A">
      <w:pPr>
        <w:numPr>
          <w:ilvl w:val="0"/>
          <w:numId w:val="2"/>
        </w:numPr>
        <w:shd w:val="clear" w:color="auto" w:fill="FFFFFF"/>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Before the integration of scaffolded reading, the majority of Grade 10 students struggled with reading comprehension, particularly in interpretive and evaluative levels, with most performing at the frustration level.</w:t>
      </w:r>
    </w:p>
    <w:p w14:paraId="35DF9380" w14:textId="77777777" w:rsidR="001A3984" w:rsidRDefault="00115E6A">
      <w:pPr>
        <w:numPr>
          <w:ilvl w:val="0"/>
          <w:numId w:val="2"/>
        </w:numPr>
        <w:shd w:val="clear" w:color="auto" w:fill="FFFFFF"/>
        <w:spacing w:before="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After implementing the scaffolded reading approach, significant improvement was observed in all three levels of reading comprehension, with many students progressing to independent and instructional levels.</w:t>
      </w:r>
    </w:p>
    <w:p w14:paraId="5D2A5AA8" w14:textId="77777777" w:rsidR="001A3984" w:rsidRDefault="00115E6A">
      <w:pPr>
        <w:numPr>
          <w:ilvl w:val="0"/>
          <w:numId w:val="2"/>
        </w:numPr>
        <w:shd w:val="clear" w:color="auto" w:fill="FFFFFF"/>
        <w:spacing w:before="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statistical analysis confirmed that the improvements were significant and not due to chance, affirming the effectiveness of scaffolded reading in enhancing comprehension skills.</w:t>
      </w:r>
    </w:p>
    <w:p w14:paraId="3CE4D1F9" w14:textId="77777777" w:rsidR="001A3984" w:rsidRDefault="00115E6A">
      <w:pPr>
        <w:numPr>
          <w:ilvl w:val="0"/>
          <w:numId w:val="2"/>
        </w:numPr>
        <w:shd w:val="clear" w:color="auto" w:fill="FFFFFF"/>
        <w:spacing w:before="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expressed a positive perception of scaffolded reading in terms of intentionality, appropriateness, structure, and differentiation, indicating that the method was engaging, clear, and responsive to their learning needs.</w:t>
      </w:r>
    </w:p>
    <w:p w14:paraId="3158095C" w14:textId="77777777" w:rsidR="001A3984" w:rsidRDefault="00115E6A">
      <w:pPr>
        <w:numPr>
          <w:ilvl w:val="0"/>
          <w:numId w:val="2"/>
        </w:numPr>
        <w:shd w:val="clear" w:color="auto" w:fill="FFFFFF"/>
        <w:spacing w:before="0" w:after="36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teaching guide offers a structured, scaffolded reading approach that effectively enhances students' reading comprehension by supporting them before, during, and after reading. It promotes engagement, critical thinking, and differentiation to meet diverse learning needs.</w:t>
      </w:r>
    </w:p>
    <w:p w14:paraId="196BE857"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b/>
          <w:bCs/>
          <w:sz w:val="24"/>
          <w:szCs w:val="24"/>
        </w:rPr>
        <w:t>6.          RECOMMENDATIONS</w:t>
      </w:r>
    </w:p>
    <w:p w14:paraId="5BBD03E2" w14:textId="77777777" w:rsidR="001A3984" w:rsidRDefault="00115E6A">
      <w:pPr>
        <w:shd w:val="clear" w:color="auto" w:fill="FFFFFF"/>
        <w:spacing w:before="240" w:after="12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From the findings and conclusions of the study, the following recommendations are hereby endorsed:</w:t>
      </w:r>
    </w:p>
    <w:p w14:paraId="7D4ACA5E" w14:textId="77777777" w:rsidR="001A3984" w:rsidRDefault="00115E6A">
      <w:pPr>
        <w:numPr>
          <w:ilvl w:val="0"/>
          <w:numId w:val="3"/>
        </w:numPr>
        <w:shd w:val="clear" w:color="auto" w:fill="FFFFFF"/>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developed teaching guide may be used as a resource for English lessons, focusing on students' reading comprehension.</w:t>
      </w:r>
    </w:p>
    <w:p w14:paraId="39426D1D" w14:textId="77777777" w:rsidR="001A3984" w:rsidRDefault="00115E6A">
      <w:pPr>
        <w:numPr>
          <w:ilvl w:val="0"/>
          <w:numId w:val="3"/>
        </w:numPr>
        <w:shd w:val="clear" w:color="auto" w:fill="FFFFFF"/>
        <w:spacing w:before="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implementation of scaffolded reading should emphasize helping students improve their reading comprehension, fluency, vocabulary, and overall literacy skills.</w:t>
      </w:r>
    </w:p>
    <w:p w14:paraId="4460B9D7" w14:textId="77777777" w:rsidR="001A3984" w:rsidRDefault="00115E6A">
      <w:pPr>
        <w:numPr>
          <w:ilvl w:val="0"/>
          <w:numId w:val="3"/>
        </w:numPr>
        <w:shd w:val="clear" w:color="auto" w:fill="FFFFFF"/>
        <w:spacing w:before="0" w:after="36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further studies, a follow-up study can be conducted to determine other teaching strategies anchored in scaffolded reading </w:t>
      </w:r>
      <w:r>
        <w:rPr>
          <w:rFonts w:ascii="Times New Roman" w:eastAsia="Times New Roman" w:hAnsi="Times New Roman" w:cs="Times New Roman"/>
          <w:sz w:val="20"/>
          <w:szCs w:val="20"/>
        </w:rPr>
        <w:t>that may help improve students' reading comprehension skills.</w:t>
      </w:r>
    </w:p>
    <w:p w14:paraId="4DC651CF" w14:textId="77777777" w:rsidR="001A3984" w:rsidRDefault="00115E6A">
      <w:pPr>
        <w:shd w:val="clear" w:color="auto" w:fill="FFFFFF"/>
        <w:spacing w:before="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REFERENCES</w:t>
      </w:r>
    </w:p>
    <w:p w14:paraId="4C3D50D5" w14:textId="77777777" w:rsidR="001A3984" w:rsidRDefault="001A3984">
      <w:pPr>
        <w:shd w:val="clear" w:color="auto" w:fill="FFFFFF"/>
        <w:spacing w:before="0"/>
        <w:jc w:val="both"/>
        <w:rPr>
          <w:rFonts w:ascii="Times New Roman" w:eastAsia="Times New Roman" w:hAnsi="Times New Roman" w:cs="Times New Roman"/>
          <w:b/>
          <w:bCs/>
          <w:sz w:val="24"/>
          <w:szCs w:val="24"/>
          <w:highlight w:val="white"/>
        </w:rPr>
      </w:pPr>
    </w:p>
    <w:p w14:paraId="6752E507" w14:textId="77777777" w:rsidR="001A3984" w:rsidRDefault="00115E6A">
      <w:pPr>
        <w:shd w:val="clear" w:color="auto" w:fill="FFFFFF"/>
        <w:spacing w:befor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 DeFrance, E. (2022). What is scaffolding? </w:t>
      </w:r>
      <w:r>
        <w:rPr>
          <w:rFonts w:ascii="Times New Roman" w:eastAsia="Times New Roman" w:hAnsi="Times New Roman" w:cs="Times New Roman"/>
          <w:i/>
          <w:iCs/>
          <w:sz w:val="20"/>
          <w:szCs w:val="20"/>
          <w:highlight w:val="white"/>
        </w:rPr>
        <w:t>Exploring this child development concept.</w:t>
      </w:r>
      <w:r>
        <w:rPr>
          <w:rFonts w:ascii="Times New Roman" w:eastAsia="Times New Roman" w:hAnsi="Times New Roman" w:cs="Times New Roman"/>
          <w:sz w:val="20"/>
          <w:szCs w:val="20"/>
          <w:highlight w:val="white"/>
        </w:rPr>
        <w:t xml:space="preserve"> Rasmussen University. https://www.rasmussen.edu/degrees/education/blog/what-is-scaffolding/#:~:text=1.,%2Dand%2Dtrue%20scaffolding%20approach</w:t>
      </w:r>
    </w:p>
    <w:p w14:paraId="72291BBA" w14:textId="77777777" w:rsidR="001A3984" w:rsidRDefault="001A3984">
      <w:pPr>
        <w:shd w:val="clear" w:color="auto" w:fill="FFFFFF"/>
        <w:spacing w:before="0"/>
        <w:jc w:val="both"/>
        <w:rPr>
          <w:rFonts w:ascii="Times New Roman" w:eastAsia="Times New Roman" w:hAnsi="Times New Roman" w:cs="Times New Roman"/>
          <w:sz w:val="20"/>
          <w:szCs w:val="20"/>
          <w:highlight w:val="white"/>
        </w:rPr>
      </w:pPr>
    </w:p>
    <w:p w14:paraId="2E1994C6" w14:textId="77777777" w:rsidR="001A3984" w:rsidRDefault="00115E6A">
      <w:pPr>
        <w:shd w:val="clear" w:color="auto" w:fill="FFFFFF"/>
        <w:spacing w:befor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[2] Ding, E. (2021). </w:t>
      </w:r>
      <w:r>
        <w:rPr>
          <w:rFonts w:ascii="Times New Roman" w:eastAsia="Times New Roman" w:hAnsi="Times New Roman" w:cs="Times New Roman"/>
          <w:i/>
          <w:iCs/>
          <w:sz w:val="20"/>
          <w:szCs w:val="20"/>
          <w:highlight w:val="white"/>
        </w:rPr>
        <w:t>Raising the foundation without lowering the ceiling: How to utilize teachers’ guides to facilitate high-quality instruction.</w:t>
      </w:r>
      <w:r>
        <w:rPr>
          <w:rFonts w:ascii="Times New Roman" w:eastAsia="Times New Roman" w:hAnsi="Times New Roman" w:cs="Times New Roman"/>
          <w:sz w:val="20"/>
          <w:szCs w:val="20"/>
          <w:highlight w:val="white"/>
        </w:rPr>
        <w:t xml:space="preserve"> World Bank Blogs. https://blogs.worldbank.org/en/education/raising-foundation-without-lowering-ceiling-how-utilize-teachers-guides-facilitate-high#:~:text=TGs%20are%20one%20of%20the,and%20improves%20student%20learning%20outcomes.</w:t>
      </w:r>
    </w:p>
    <w:p w14:paraId="266D407B" w14:textId="77777777" w:rsidR="001A3984" w:rsidRDefault="001A3984">
      <w:pPr>
        <w:shd w:val="clear" w:color="auto" w:fill="FFFFFF"/>
        <w:spacing w:before="0"/>
        <w:jc w:val="both"/>
        <w:rPr>
          <w:rFonts w:ascii="Times New Roman" w:eastAsia="Times New Roman" w:hAnsi="Times New Roman" w:cs="Times New Roman"/>
          <w:sz w:val="20"/>
          <w:szCs w:val="20"/>
          <w:highlight w:val="white"/>
        </w:rPr>
      </w:pPr>
    </w:p>
    <w:p w14:paraId="484F6C46" w14:textId="77777777" w:rsidR="001A3984" w:rsidRDefault="00115E6A">
      <w:pPr>
        <w:shd w:val="clear" w:color="auto" w:fill="FFFFFF"/>
        <w:spacing w:before="0"/>
        <w:jc w:val="both"/>
        <w:rPr>
          <w:rFonts w:ascii="Times New Roman" w:eastAsia="Times New Roman" w:hAnsi="Times New Roman" w:cs="Times New Roman"/>
          <w:i/>
          <w:iCs/>
          <w:sz w:val="20"/>
          <w:szCs w:val="20"/>
          <w:highlight w:val="white"/>
        </w:rPr>
      </w:pPr>
      <w:r>
        <w:rPr>
          <w:rFonts w:ascii="Times New Roman" w:eastAsia="Times New Roman" w:hAnsi="Times New Roman" w:cs="Times New Roman"/>
          <w:sz w:val="20"/>
          <w:szCs w:val="20"/>
          <w:highlight w:val="white"/>
        </w:rPr>
        <w:t xml:space="preserve">[3] Ditona, G., &amp; Rico, F. (2021). Reading level of grade II pupils scaffolding for reading program of Eastern schools in Botolan District, Philippines. </w:t>
      </w:r>
      <w:r>
        <w:rPr>
          <w:rFonts w:ascii="Times New Roman" w:eastAsia="Times New Roman" w:hAnsi="Times New Roman" w:cs="Times New Roman"/>
          <w:i/>
          <w:iCs/>
          <w:sz w:val="20"/>
          <w:szCs w:val="20"/>
          <w:highlight w:val="white"/>
        </w:rPr>
        <w:t>American Journal of Humanities and Social Sciences Research (AJHSS), 5(8), 86-94.</w:t>
      </w:r>
    </w:p>
    <w:p w14:paraId="29F99F1C" w14:textId="77777777" w:rsidR="001A3984" w:rsidRDefault="001A3984">
      <w:pPr>
        <w:shd w:val="clear" w:color="auto" w:fill="FFFFFF"/>
        <w:spacing w:before="0"/>
        <w:jc w:val="both"/>
        <w:rPr>
          <w:rFonts w:ascii="Times New Roman" w:eastAsia="Times New Roman" w:hAnsi="Times New Roman" w:cs="Times New Roman"/>
          <w:i/>
          <w:iCs/>
          <w:sz w:val="20"/>
          <w:szCs w:val="20"/>
          <w:highlight w:val="white"/>
        </w:rPr>
      </w:pPr>
    </w:p>
    <w:p w14:paraId="6859BB4D" w14:textId="77777777" w:rsidR="001A3984" w:rsidRDefault="00115E6A">
      <w:pPr>
        <w:shd w:val="clear" w:color="auto" w:fill="FFFFFF"/>
        <w:spacing w:befor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[4] EnglishBix. (2024). </w:t>
      </w:r>
      <w:r>
        <w:rPr>
          <w:rFonts w:ascii="Times New Roman" w:eastAsia="Times New Roman" w:hAnsi="Times New Roman" w:cs="Times New Roman"/>
          <w:i/>
          <w:iCs/>
          <w:sz w:val="20"/>
          <w:szCs w:val="20"/>
          <w:highlight w:val="white"/>
        </w:rPr>
        <w:t>3 levels of reading comprehension.</w:t>
      </w:r>
      <w:r>
        <w:rPr>
          <w:rFonts w:ascii="Times New Roman" w:eastAsia="Times New Roman" w:hAnsi="Times New Roman" w:cs="Times New Roman"/>
          <w:sz w:val="20"/>
          <w:szCs w:val="20"/>
          <w:highlight w:val="white"/>
        </w:rPr>
        <w:t xml:space="preserve"> EnglishBix. https://www.englishbix.com/3-levels-of readingcomprehension/?srsltid=AfmBOorA2MUNX5j0cRpTlRMy7YKeDrqYpvWSNBkHdfYi85fHCwBmtd</w:t>
      </w:r>
    </w:p>
    <w:p w14:paraId="557379C6" w14:textId="77777777" w:rsidR="001A3984" w:rsidRDefault="001A3984">
      <w:pPr>
        <w:shd w:val="clear" w:color="auto" w:fill="FFFFFF"/>
        <w:spacing w:before="0"/>
        <w:jc w:val="both"/>
        <w:rPr>
          <w:rFonts w:ascii="Times New Roman" w:eastAsia="Times New Roman" w:hAnsi="Times New Roman" w:cs="Times New Roman"/>
          <w:sz w:val="20"/>
          <w:szCs w:val="20"/>
          <w:highlight w:val="white"/>
        </w:rPr>
      </w:pPr>
    </w:p>
    <w:p w14:paraId="4A1383FC" w14:textId="77777777" w:rsidR="001A3984" w:rsidRDefault="00115E6A">
      <w:pPr>
        <w:shd w:val="clear" w:color="auto" w:fill="FFFFFF"/>
        <w:spacing w:befor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[5] Ibrahim, K. A. A., Carbajal, N. C., Zuta, M. E. C., &amp; Bayat, S. (2023). Collaborative learning, scaffolding-based instruction, and self-assessment: Impacts on </w:t>
      </w:r>
    </w:p>
    <w:p w14:paraId="69BB3954" w14:textId="77777777" w:rsidR="001A3984" w:rsidRDefault="001A3984">
      <w:pPr>
        <w:shd w:val="clear" w:color="auto" w:fill="FFFFFF"/>
        <w:spacing w:before="0"/>
        <w:jc w:val="both"/>
        <w:rPr>
          <w:rFonts w:ascii="Times New Roman" w:eastAsia="Times New Roman" w:hAnsi="Times New Roman" w:cs="Times New Roman"/>
          <w:sz w:val="20"/>
          <w:szCs w:val="20"/>
          <w:highlight w:val="white"/>
        </w:rPr>
      </w:pPr>
    </w:p>
    <w:p w14:paraId="4E93431A" w14:textId="77777777" w:rsidR="001A3984" w:rsidRDefault="00115E6A">
      <w:pPr>
        <w:shd w:val="clear" w:color="auto" w:fill="FFFFFF"/>
        <w:spacing w:befor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[6] Indeed Employer Content Team. (2025, February 26). </w:t>
      </w:r>
      <w:r>
        <w:rPr>
          <w:rFonts w:ascii="Times New Roman" w:eastAsia="Times New Roman" w:hAnsi="Times New Roman" w:cs="Times New Roman"/>
          <w:i/>
          <w:iCs/>
          <w:sz w:val="20"/>
          <w:szCs w:val="20"/>
          <w:highlight w:val="white"/>
        </w:rPr>
        <w:t>The 7 roles of a teacher. Indeed</w:t>
      </w:r>
      <w:r>
        <w:rPr>
          <w:rFonts w:ascii="Times New Roman" w:eastAsia="Times New Roman" w:hAnsi="Times New Roman" w:cs="Times New Roman"/>
          <w:sz w:val="20"/>
          <w:szCs w:val="20"/>
          <w:highlight w:val="white"/>
        </w:rPr>
        <w:t>. https://www.indeed.com/hire/c/info/roles-of-a-teacher</w:t>
      </w:r>
    </w:p>
    <w:p w14:paraId="02821264" w14:textId="77777777" w:rsidR="001A3984" w:rsidRDefault="001A3984">
      <w:pPr>
        <w:shd w:val="clear" w:color="auto" w:fill="FFFFFF"/>
        <w:spacing w:before="0"/>
        <w:jc w:val="both"/>
        <w:rPr>
          <w:rFonts w:ascii="Times New Roman" w:eastAsia="Times New Roman" w:hAnsi="Times New Roman" w:cs="Times New Roman"/>
          <w:sz w:val="20"/>
          <w:szCs w:val="20"/>
          <w:highlight w:val="white"/>
        </w:rPr>
      </w:pPr>
    </w:p>
    <w:p w14:paraId="530846EA" w14:textId="77777777" w:rsidR="001A3984" w:rsidRDefault="00115E6A">
      <w:pPr>
        <w:shd w:val="clear" w:color="auto" w:fill="FFFFFF"/>
        <w:spacing w:before="0"/>
        <w:jc w:val="both"/>
        <w:rPr>
          <w:rFonts w:ascii="Times New Roman" w:eastAsia="Times New Roman" w:hAnsi="Times New Roman" w:cs="Times New Roman"/>
          <w:b/>
          <w:bCs/>
          <w:sz w:val="20"/>
          <w:szCs w:val="20"/>
          <w:highlight w:val="white"/>
        </w:rPr>
      </w:pPr>
      <w:r>
        <w:rPr>
          <w:rFonts w:ascii="Times New Roman" w:eastAsia="Times New Roman" w:hAnsi="Times New Roman" w:cs="Times New Roman"/>
          <w:sz w:val="20"/>
          <w:szCs w:val="20"/>
          <w:highlight w:val="white"/>
        </w:rPr>
        <w:t xml:space="preserve">[7] Kärbla, T., Uibu, K., &amp; Männamaa, M. (2021). Teaching strategies to improve students’ vocabulary and text comprehension. </w:t>
      </w:r>
      <w:r>
        <w:rPr>
          <w:rFonts w:ascii="Times New Roman" w:eastAsia="Times New Roman" w:hAnsi="Times New Roman" w:cs="Times New Roman"/>
          <w:i/>
          <w:iCs/>
          <w:sz w:val="20"/>
          <w:szCs w:val="20"/>
          <w:highlight w:val="white"/>
        </w:rPr>
        <w:t>European Journal of Psychology of Education, 36, 553-572</w:t>
      </w:r>
      <w:r>
        <w:rPr>
          <w:rFonts w:ascii="Times New Roman" w:eastAsia="Times New Roman" w:hAnsi="Times New Roman" w:cs="Times New Roman"/>
          <w:sz w:val="20"/>
          <w:szCs w:val="20"/>
          <w:highlight w:val="white"/>
        </w:rPr>
        <w:t>. https://doi.org/10.1007/s10212-021-00512-6</w:t>
      </w:r>
      <w:r>
        <w:rPr>
          <w:rFonts w:ascii="Times New Roman" w:eastAsia="Times New Roman" w:hAnsi="Times New Roman" w:cs="Times New Roman"/>
          <w:b/>
          <w:bCs/>
          <w:sz w:val="20"/>
          <w:szCs w:val="20"/>
          <w:highlight w:val="white"/>
        </w:rPr>
        <w:t xml:space="preserve">    </w:t>
      </w:r>
    </w:p>
    <w:p w14:paraId="7F956EE0" w14:textId="77777777" w:rsidR="001A3984" w:rsidRDefault="001A3984">
      <w:pPr>
        <w:shd w:val="clear" w:color="auto" w:fill="FFFFFF"/>
        <w:spacing w:before="0"/>
        <w:jc w:val="both"/>
        <w:rPr>
          <w:rFonts w:ascii="Times New Roman" w:eastAsia="Times New Roman" w:hAnsi="Times New Roman" w:cs="Times New Roman"/>
          <w:sz w:val="20"/>
          <w:szCs w:val="20"/>
          <w:highlight w:val="white"/>
        </w:rPr>
      </w:pPr>
    </w:p>
    <w:p w14:paraId="22CB7F7D" w14:textId="77777777" w:rsidR="001A3984" w:rsidRDefault="00115E6A">
      <w:pPr>
        <w:shd w:val="clear" w:color="auto" w:fill="FFFFFF"/>
        <w:spacing w:befor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[8] Lastiri, L. (2022). </w:t>
      </w:r>
      <w:r>
        <w:rPr>
          <w:rFonts w:ascii="Times New Roman" w:eastAsia="Times New Roman" w:hAnsi="Times New Roman" w:cs="Times New Roman"/>
          <w:i/>
          <w:iCs/>
          <w:sz w:val="20"/>
          <w:szCs w:val="20"/>
          <w:highlight w:val="white"/>
        </w:rPr>
        <w:t>What are the levels of comprehension</w:t>
      </w:r>
      <w:r>
        <w:rPr>
          <w:rFonts w:ascii="Times New Roman" w:eastAsia="Times New Roman" w:hAnsi="Times New Roman" w:cs="Times New Roman"/>
          <w:sz w:val="20"/>
          <w:szCs w:val="20"/>
          <w:highlight w:val="white"/>
        </w:rPr>
        <w:t>? Iris Reading. https://irisreadingom/what-are-the-levels-of-comprehension/#:~:text=Literal%20comprehension%20means%20understanding%20a,Who%20took%20Sandra's%20pen%3F</w:t>
      </w:r>
    </w:p>
    <w:p w14:paraId="73E6987A" w14:textId="77777777" w:rsidR="001A3984" w:rsidRDefault="001A3984">
      <w:pPr>
        <w:shd w:val="clear" w:color="auto" w:fill="FFFFFF"/>
        <w:spacing w:before="0"/>
        <w:jc w:val="both"/>
        <w:rPr>
          <w:rFonts w:ascii="Times New Roman" w:eastAsia="Times New Roman" w:hAnsi="Times New Roman" w:cs="Times New Roman"/>
          <w:sz w:val="20"/>
          <w:szCs w:val="20"/>
          <w:highlight w:val="white"/>
        </w:rPr>
      </w:pPr>
    </w:p>
    <w:p w14:paraId="707477C1" w14:textId="77777777" w:rsidR="001A3984" w:rsidRDefault="00115E6A">
      <w:pPr>
        <w:shd w:val="clear" w:color="auto" w:fill="FFFFFF"/>
        <w:spacing w:befor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[9] Latson, R. R. (2022). </w:t>
      </w:r>
      <w:r>
        <w:rPr>
          <w:rFonts w:ascii="Times New Roman" w:eastAsia="Times New Roman" w:hAnsi="Times New Roman" w:cs="Times New Roman"/>
          <w:i/>
          <w:iCs/>
          <w:sz w:val="20"/>
          <w:szCs w:val="20"/>
          <w:highlight w:val="white"/>
        </w:rPr>
        <w:t>Effects of scaffolding on reading comprehension</w:t>
      </w:r>
      <w:r>
        <w:rPr>
          <w:rFonts w:ascii="Times New Roman" w:eastAsia="Times New Roman" w:hAnsi="Times New Roman" w:cs="Times New Roman"/>
          <w:sz w:val="20"/>
          <w:szCs w:val="20"/>
          <w:highlight w:val="white"/>
        </w:rPr>
        <w:t xml:space="preserve"> (Doctoral dissertation). Walden University. https://www.proquest.com/openview/196c4660c2b679fb2c5eccf633ee03ba/1?pq-origsite=gscholar&amp;cbl=18750&amp;diss=y</w:t>
      </w:r>
    </w:p>
    <w:p w14:paraId="3F2315A2" w14:textId="77777777" w:rsidR="001A3984" w:rsidRDefault="001A3984">
      <w:pPr>
        <w:shd w:val="clear" w:color="auto" w:fill="FFFFFF"/>
        <w:spacing w:before="0"/>
        <w:jc w:val="both"/>
        <w:rPr>
          <w:rFonts w:ascii="Times New Roman" w:eastAsia="Times New Roman" w:hAnsi="Times New Roman" w:cs="Times New Roman"/>
          <w:sz w:val="20"/>
          <w:szCs w:val="20"/>
          <w:highlight w:val="white"/>
        </w:rPr>
      </w:pPr>
    </w:p>
    <w:p w14:paraId="4001BEB2" w14:textId="77777777" w:rsidR="001A3984" w:rsidRDefault="00115E6A">
      <w:pPr>
        <w:shd w:val="clear" w:color="auto" w:fill="FFFFFF"/>
        <w:spacing w:befor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[10] Ramsa, N. I. B., &amp; Rawian, R. M. (2021). A review on systematic guided reading strategies and its implication on reading comprehension. </w:t>
      </w:r>
      <w:r>
        <w:rPr>
          <w:rFonts w:ascii="Times New Roman" w:eastAsia="Times New Roman" w:hAnsi="Times New Roman" w:cs="Times New Roman"/>
          <w:i/>
          <w:iCs/>
          <w:sz w:val="20"/>
          <w:szCs w:val="20"/>
          <w:highlight w:val="white"/>
        </w:rPr>
        <w:t xml:space="preserve">International Journal of Academic Research in Business &amp; Social Sciences </w:t>
      </w:r>
      <w:r>
        <w:rPr>
          <w:rFonts w:ascii="Times New Roman" w:eastAsia="Times New Roman" w:hAnsi="Times New Roman" w:cs="Times New Roman"/>
          <w:sz w:val="20"/>
          <w:szCs w:val="20"/>
          <w:highlight w:val="white"/>
        </w:rPr>
        <w:t>11, 203-215. https://doi.org/10.6007/IJARBSS/v11-i2/8956</w:t>
      </w:r>
    </w:p>
    <w:p w14:paraId="1DFD7A26" w14:textId="77777777" w:rsidR="001A3984" w:rsidRDefault="001A3984">
      <w:pPr>
        <w:shd w:val="clear" w:color="auto" w:fill="FFFFFF"/>
        <w:spacing w:before="0"/>
        <w:jc w:val="both"/>
        <w:rPr>
          <w:rFonts w:ascii="Times New Roman" w:eastAsia="Times New Roman" w:hAnsi="Times New Roman" w:cs="Times New Roman"/>
          <w:sz w:val="20"/>
          <w:szCs w:val="20"/>
          <w:highlight w:val="white"/>
        </w:rPr>
      </w:pPr>
    </w:p>
    <w:p w14:paraId="2043C239" w14:textId="77777777" w:rsidR="001A3984" w:rsidRDefault="00115E6A">
      <w:pPr>
        <w:shd w:val="clear" w:color="auto" w:fill="FFFFFF"/>
        <w:spacing w:befor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[11] Singh, C. K. S., Singh, T. S. M., Ja’afar, H., Tek, O. E., Kaur, H., Moastafa, N. A., &amp; Yunus, M. (2020). Teaching strategies to develop higher-order thinking skills in </w:t>
      </w:r>
      <w:r>
        <w:rPr>
          <w:rFonts w:ascii="Times New Roman" w:eastAsia="Times New Roman" w:hAnsi="Times New Roman" w:cs="Times New Roman"/>
          <w:i/>
          <w:iCs/>
          <w:sz w:val="20"/>
          <w:szCs w:val="20"/>
          <w:highlight w:val="white"/>
        </w:rPr>
        <w:t>English literature. International Journal of Innovation, Creativity and Change,</w:t>
      </w:r>
      <w:r>
        <w:rPr>
          <w:rFonts w:ascii="Times New Roman" w:eastAsia="Times New Roman" w:hAnsi="Times New Roman" w:cs="Times New Roman"/>
          <w:sz w:val="20"/>
          <w:szCs w:val="20"/>
          <w:highlight w:val="white"/>
        </w:rPr>
        <w:t xml:space="preserve"> 11(80), 211-231. Retrieved from https://ijicc.net/images/vol_11/Iss_80/1183_Singh_2020_E_R.pdf</w:t>
      </w:r>
    </w:p>
    <w:p w14:paraId="627EC3F2" w14:textId="77777777" w:rsidR="001A3984" w:rsidRDefault="001A3984">
      <w:pPr>
        <w:shd w:val="clear" w:color="auto" w:fill="FFFFFF"/>
        <w:spacing w:before="0"/>
        <w:jc w:val="both"/>
        <w:rPr>
          <w:rFonts w:ascii="Times New Roman" w:eastAsia="Times New Roman" w:hAnsi="Times New Roman" w:cs="Times New Roman"/>
          <w:sz w:val="20"/>
          <w:szCs w:val="20"/>
          <w:highlight w:val="white"/>
        </w:rPr>
      </w:pPr>
    </w:p>
    <w:p w14:paraId="34300071" w14:textId="77777777" w:rsidR="001A3984" w:rsidRDefault="00115E6A">
      <w:pPr>
        <w:shd w:val="clear" w:color="auto" w:fill="FFFFFF"/>
        <w:spacing w:befor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[12] Sphero Team. (2022). </w:t>
      </w:r>
      <w:r>
        <w:rPr>
          <w:rFonts w:ascii="Times New Roman" w:eastAsia="Times New Roman" w:hAnsi="Times New Roman" w:cs="Times New Roman"/>
          <w:i/>
          <w:iCs/>
          <w:sz w:val="20"/>
          <w:szCs w:val="20"/>
          <w:highlight w:val="white"/>
        </w:rPr>
        <w:t>7 ways to use scaffolding in the classroom.</w:t>
      </w:r>
      <w:r>
        <w:rPr>
          <w:rFonts w:ascii="Times New Roman" w:eastAsia="Times New Roman" w:hAnsi="Times New Roman" w:cs="Times New Roman"/>
          <w:sz w:val="20"/>
          <w:szCs w:val="20"/>
          <w:highlight w:val="white"/>
        </w:rPr>
        <w:t xml:space="preserve"> Sphero. https://sphero.com/blogs/news/seven-ways-to-use-scaffolding-in-the-classroom</w:t>
      </w:r>
    </w:p>
    <w:p w14:paraId="308DCD9D" w14:textId="77777777" w:rsidR="001A3984" w:rsidRDefault="001A3984">
      <w:pPr>
        <w:shd w:val="clear" w:color="auto" w:fill="FFFFFF"/>
        <w:spacing w:before="0"/>
        <w:jc w:val="both"/>
        <w:rPr>
          <w:rFonts w:ascii="Times New Roman" w:eastAsia="Times New Roman" w:hAnsi="Times New Roman" w:cs="Times New Roman"/>
          <w:sz w:val="20"/>
          <w:szCs w:val="20"/>
          <w:highlight w:val="white"/>
        </w:rPr>
      </w:pPr>
    </w:p>
    <w:p w14:paraId="4B15BC5A" w14:textId="77777777" w:rsidR="001A3984" w:rsidRDefault="00115E6A">
      <w:pPr>
        <w:shd w:val="clear" w:color="auto" w:fill="FFFFFF"/>
        <w:spacing w:befor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[13] Yawiloeng, R. (2022). Using instructional scaffolding and multimodal texts to enhance reading comprehension: Perceptions and attitudes of EFL students. </w:t>
      </w:r>
      <w:r>
        <w:rPr>
          <w:rFonts w:ascii="Times New Roman" w:eastAsia="Times New Roman" w:hAnsi="Times New Roman" w:cs="Times New Roman"/>
          <w:i/>
          <w:iCs/>
          <w:sz w:val="20"/>
          <w:szCs w:val="20"/>
          <w:highlight w:val="white"/>
        </w:rPr>
        <w:t>Journal of Language and Linguistic Studies, 18(2),</w:t>
      </w:r>
      <w:r>
        <w:rPr>
          <w:rFonts w:ascii="Times New Roman" w:eastAsia="Times New Roman" w:hAnsi="Times New Roman" w:cs="Times New Roman"/>
          <w:sz w:val="20"/>
          <w:szCs w:val="20"/>
          <w:highlight w:val="white"/>
        </w:rPr>
        <w:t xml:space="preserve"> 877-894. https://doi.org/10.29333/jlls.2022.18.2.56</w:t>
      </w:r>
    </w:p>
    <w:p w14:paraId="1BE7AB01" w14:textId="77777777" w:rsidR="001A3984" w:rsidRDefault="001A3984">
      <w:pPr>
        <w:shd w:val="clear" w:color="auto" w:fill="FFFFFF"/>
        <w:spacing w:before="0"/>
        <w:jc w:val="both"/>
        <w:rPr>
          <w:rFonts w:ascii="Times New Roman" w:eastAsia="Times New Roman" w:hAnsi="Times New Roman" w:cs="Times New Roman"/>
          <w:sz w:val="18"/>
          <w:szCs w:val="18"/>
          <w:highlight w:val="white"/>
        </w:rPr>
      </w:pPr>
    </w:p>
    <w:p w14:paraId="219804D4" w14:textId="77777777" w:rsidR="001A3984" w:rsidRDefault="00115E6A">
      <w:pPr>
        <w:shd w:val="clear" w:color="auto" w:fill="FFFFFF"/>
        <w:spacing w:before="0"/>
        <w:jc w:val="both"/>
        <w:rPr>
          <w:rFonts w:ascii="Times New Roman" w:eastAsia="Times New Roman" w:hAnsi="Times New Roman" w:cs="Times New Roman"/>
          <w:sz w:val="20"/>
          <w:szCs w:val="20"/>
        </w:rPr>
      </w:pPr>
      <w:r>
        <w:rPr>
          <w:rFonts w:ascii="Times New Roman" w:eastAsia="Times New Roman" w:hAnsi="Times New Roman" w:cs="Times New Roman"/>
          <w:b/>
          <w:bCs/>
          <w:sz w:val="24"/>
          <w:szCs w:val="24"/>
        </w:rPr>
        <w:t>ACKNOWLEDGEMENT</w:t>
      </w:r>
    </w:p>
    <w:p w14:paraId="5FFE0D15"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researchers would like to express their immense gratitude and recognition for the assistance, encouragement, and guidance extended by the following individuals who made this study possible:</w:t>
      </w:r>
    </w:p>
    <w:p w14:paraId="3048D731"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Dr. Tirso A. Ronquillo, University President, for the opportunity to pursue this thesis writing;</w:t>
      </w:r>
    </w:p>
    <w:p w14:paraId="7574303D"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Dean of the College of Teacher Education, Dr. Anania B. Aquino, for providing aid, counsel, and moral support during the entire study;</w:t>
      </w:r>
    </w:p>
    <w:p w14:paraId="056B9245"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Program Chairperson and Thesis Adviser, Assoc. Prof. Leolanda A. Balilla for guiding, supporting, and helping throughout the accomplishment of the study;</w:t>
      </w:r>
    </w:p>
    <w:p w14:paraId="0AD70928"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panel committee, for their careful evaluation, thoughtful questions, and professional expertise, contributed significantly to improving this research.</w:t>
      </w:r>
    </w:p>
    <w:p w14:paraId="7686FDD3"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Junior High School of Saint Claire Academy, Lian Batangas Inc., for approving the conduct of the experiment needed in the study;</w:t>
      </w:r>
    </w:p>
    <w:p w14:paraId="33C46DA1"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principal of Saint Claire Academy, Mr. Ferdinand M. Descallar, MAEd, and the cooperating English Teacher, Ms. Shayne Atienza, for assisting and helping to conduct the study;</w:t>
      </w:r>
    </w:p>
    <w:p w14:paraId="11AE9B93"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respondents, who offered generously of their time in responding to instruments that were part of the study, and</w:t>
      </w:r>
    </w:p>
    <w:p w14:paraId="729300F5" w14:textId="77777777" w:rsidR="001A3984" w:rsidRDefault="00115E6A">
      <w:pPr>
        <w:spacing w:before="240" w:after="12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Almighty God, for the strength, patience, and determination to make this study a reality.</w:t>
      </w:r>
    </w:p>
    <w:p w14:paraId="0C98BDCE" w14:textId="77777777" w:rsidR="001A3984" w:rsidRDefault="001A3984">
      <w:pPr>
        <w:spacing w:before="0"/>
        <w:rPr>
          <w:rFonts w:ascii="Times New Roman" w:eastAsia="Times New Roman" w:hAnsi="Times New Roman" w:cs="Times New Roman"/>
          <w:sz w:val="20"/>
          <w:szCs w:val="20"/>
        </w:rPr>
      </w:pPr>
    </w:p>
    <w:p w14:paraId="5AB6329E" w14:textId="77777777" w:rsidR="001A3984" w:rsidRDefault="001A3984">
      <w:pPr>
        <w:spacing w:before="0"/>
        <w:rPr>
          <w:rFonts w:ascii="Times New Roman" w:eastAsia="Times New Roman" w:hAnsi="Times New Roman" w:cs="Times New Roman"/>
          <w:sz w:val="20"/>
          <w:szCs w:val="20"/>
        </w:rPr>
      </w:pPr>
    </w:p>
    <w:p w14:paraId="1AC0CCBD" w14:textId="77777777" w:rsidR="001A3984" w:rsidRDefault="00115E6A">
      <w:pPr>
        <w:spacing w:befor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D.S.A</w:t>
      </w:r>
    </w:p>
    <w:p w14:paraId="717B335E" w14:textId="77777777" w:rsidR="001A3984" w:rsidRDefault="00115E6A">
      <w:pPr>
        <w:spacing w:befor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P.C.E.H</w:t>
      </w:r>
    </w:p>
    <w:p w14:paraId="1E6E8CA5" w14:textId="77777777" w:rsidR="001A3984" w:rsidRDefault="00115E6A">
      <w:pPr>
        <w:spacing w:befor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C.M.M</w:t>
      </w:r>
    </w:p>
    <w:p w14:paraId="12165436" w14:textId="77777777" w:rsidR="001A3984" w:rsidRDefault="001A3984">
      <w:pPr>
        <w:spacing w:before="0"/>
        <w:jc w:val="right"/>
        <w:rPr>
          <w:rFonts w:ascii="Times New Roman" w:eastAsia="Times New Roman" w:hAnsi="Times New Roman" w:cs="Times New Roman"/>
          <w:sz w:val="20"/>
          <w:szCs w:val="20"/>
        </w:rPr>
      </w:pPr>
    </w:p>
    <w:p w14:paraId="7DA94CEB" w14:textId="77777777" w:rsidR="001A3984" w:rsidRDefault="001A3984">
      <w:pPr>
        <w:spacing w:before="0"/>
        <w:jc w:val="right"/>
        <w:rPr>
          <w:rFonts w:ascii="Times New Roman" w:eastAsia="Times New Roman" w:hAnsi="Times New Roman" w:cs="Times New Roman"/>
          <w:sz w:val="20"/>
          <w:szCs w:val="20"/>
        </w:rPr>
      </w:pPr>
    </w:p>
    <w:p w14:paraId="62F8C124" w14:textId="77777777" w:rsidR="001A3984" w:rsidRDefault="001A3984">
      <w:pPr>
        <w:spacing w:before="0"/>
        <w:jc w:val="right"/>
        <w:rPr>
          <w:rFonts w:ascii="Times New Roman" w:eastAsia="Times New Roman" w:hAnsi="Times New Roman" w:cs="Times New Roman"/>
          <w:sz w:val="20"/>
          <w:szCs w:val="20"/>
        </w:rPr>
      </w:pPr>
    </w:p>
    <w:p w14:paraId="7C165FF6" w14:textId="77777777" w:rsidR="001A3984" w:rsidRDefault="001A3984">
      <w:pPr>
        <w:spacing w:before="0"/>
        <w:jc w:val="right"/>
        <w:rPr>
          <w:rFonts w:ascii="Times New Roman" w:eastAsia="Times New Roman" w:hAnsi="Times New Roman" w:cs="Times New Roman"/>
          <w:sz w:val="20"/>
          <w:szCs w:val="20"/>
        </w:rPr>
      </w:pPr>
    </w:p>
    <w:p w14:paraId="016C5110" w14:textId="77777777" w:rsidR="001A3984" w:rsidRDefault="001A3984">
      <w:pPr>
        <w:spacing w:before="0"/>
        <w:jc w:val="right"/>
        <w:rPr>
          <w:rFonts w:ascii="Times New Roman" w:eastAsia="Times New Roman" w:hAnsi="Times New Roman" w:cs="Times New Roman"/>
          <w:sz w:val="20"/>
          <w:szCs w:val="20"/>
        </w:rPr>
      </w:pPr>
    </w:p>
    <w:p w14:paraId="336E8D7C" w14:textId="77777777" w:rsidR="001A3984" w:rsidRDefault="001A3984">
      <w:pPr>
        <w:spacing w:before="0"/>
        <w:jc w:val="right"/>
        <w:rPr>
          <w:rFonts w:ascii="Times New Roman" w:eastAsia="Times New Roman" w:hAnsi="Times New Roman" w:cs="Times New Roman"/>
          <w:sz w:val="20"/>
          <w:szCs w:val="20"/>
        </w:rPr>
      </w:pPr>
    </w:p>
    <w:p w14:paraId="33368A24" w14:textId="77777777" w:rsidR="001A3984" w:rsidRDefault="001A3984">
      <w:pPr>
        <w:spacing w:before="0"/>
        <w:jc w:val="right"/>
        <w:rPr>
          <w:rFonts w:ascii="Times New Roman" w:eastAsia="Times New Roman" w:hAnsi="Times New Roman" w:cs="Times New Roman"/>
          <w:sz w:val="20"/>
          <w:szCs w:val="20"/>
        </w:rPr>
      </w:pPr>
    </w:p>
    <w:p w14:paraId="4E5E5FFB" w14:textId="77777777" w:rsidR="001A3984" w:rsidRDefault="001A3984">
      <w:pPr>
        <w:spacing w:before="0"/>
        <w:jc w:val="right"/>
        <w:rPr>
          <w:rFonts w:ascii="Times New Roman" w:eastAsia="Times New Roman" w:hAnsi="Times New Roman" w:cs="Times New Roman"/>
          <w:sz w:val="20"/>
          <w:szCs w:val="20"/>
        </w:rPr>
      </w:pPr>
    </w:p>
    <w:p w14:paraId="1594FAAA" w14:textId="77777777" w:rsidR="001A3984" w:rsidRDefault="001A3984">
      <w:pPr>
        <w:spacing w:before="0"/>
        <w:jc w:val="right"/>
        <w:rPr>
          <w:rFonts w:ascii="Times New Roman" w:eastAsia="Times New Roman" w:hAnsi="Times New Roman" w:cs="Times New Roman"/>
          <w:sz w:val="20"/>
          <w:szCs w:val="20"/>
        </w:rPr>
      </w:pPr>
    </w:p>
    <w:p w14:paraId="0F60F8B8" w14:textId="77777777" w:rsidR="001A3984" w:rsidRDefault="001A3984">
      <w:pPr>
        <w:spacing w:before="0"/>
        <w:jc w:val="right"/>
        <w:rPr>
          <w:rFonts w:ascii="Times New Roman" w:eastAsia="Times New Roman" w:hAnsi="Times New Roman" w:cs="Times New Roman"/>
          <w:sz w:val="20"/>
          <w:szCs w:val="20"/>
        </w:rPr>
      </w:pPr>
    </w:p>
    <w:p w14:paraId="16325DB9" w14:textId="77777777" w:rsidR="001A3984" w:rsidRDefault="001A3984">
      <w:pPr>
        <w:spacing w:before="0"/>
        <w:jc w:val="right"/>
        <w:rPr>
          <w:rFonts w:ascii="Times New Roman" w:eastAsia="Times New Roman" w:hAnsi="Times New Roman" w:cs="Times New Roman"/>
          <w:sz w:val="20"/>
          <w:szCs w:val="20"/>
        </w:rPr>
      </w:pPr>
    </w:p>
    <w:p w14:paraId="2542427F" w14:textId="77777777" w:rsidR="001A3984" w:rsidRDefault="001A3984">
      <w:pPr>
        <w:spacing w:before="0"/>
        <w:rPr>
          <w:rFonts w:ascii="Times New Roman" w:eastAsia="Times New Roman" w:hAnsi="Times New Roman" w:cs="Times New Roman"/>
          <w:sz w:val="20"/>
          <w:szCs w:val="20"/>
        </w:rPr>
      </w:pPr>
    </w:p>
    <w:p w14:paraId="79FDD621" w14:textId="77777777" w:rsidR="001A3984" w:rsidRDefault="001A3984">
      <w:pPr>
        <w:spacing w:before="0"/>
        <w:jc w:val="right"/>
        <w:rPr>
          <w:rFonts w:ascii="Times New Roman" w:eastAsia="Times New Roman" w:hAnsi="Times New Roman" w:cs="Times New Roman"/>
          <w:sz w:val="20"/>
          <w:szCs w:val="20"/>
        </w:rPr>
      </w:pPr>
    </w:p>
    <w:p w14:paraId="1A0CA195" w14:textId="77777777" w:rsidR="001A3984" w:rsidRDefault="001A3984">
      <w:pPr>
        <w:spacing w:before="0"/>
        <w:jc w:val="right"/>
        <w:rPr>
          <w:rFonts w:ascii="Times New Roman" w:eastAsia="Times New Roman" w:hAnsi="Times New Roman" w:cs="Times New Roman"/>
          <w:sz w:val="20"/>
          <w:szCs w:val="20"/>
        </w:rPr>
      </w:pPr>
    </w:p>
    <w:p w14:paraId="719F92B0" w14:textId="77777777" w:rsidR="001A3984" w:rsidRDefault="001A3984">
      <w:pPr>
        <w:spacing w:before="0"/>
        <w:jc w:val="right"/>
        <w:rPr>
          <w:rFonts w:ascii="Times New Roman" w:eastAsia="Times New Roman" w:hAnsi="Times New Roman" w:cs="Times New Roman"/>
          <w:sz w:val="20"/>
          <w:szCs w:val="20"/>
        </w:rPr>
      </w:pPr>
    </w:p>
    <w:p w14:paraId="11CB67AC" w14:textId="77777777" w:rsidR="001A3984" w:rsidRDefault="001A3984">
      <w:pPr>
        <w:spacing w:before="0"/>
        <w:jc w:val="right"/>
        <w:rPr>
          <w:rFonts w:ascii="Times New Roman" w:eastAsia="Times New Roman" w:hAnsi="Times New Roman" w:cs="Times New Roman"/>
          <w:sz w:val="20"/>
          <w:szCs w:val="20"/>
        </w:rPr>
      </w:pPr>
    </w:p>
    <w:p w14:paraId="4354DD2B" w14:textId="77777777" w:rsidR="001A3984" w:rsidRDefault="001A3984">
      <w:pPr>
        <w:spacing w:before="0"/>
        <w:jc w:val="right"/>
        <w:rPr>
          <w:rFonts w:ascii="Times New Roman" w:eastAsia="Times New Roman" w:hAnsi="Times New Roman" w:cs="Times New Roman"/>
          <w:sz w:val="20"/>
          <w:szCs w:val="20"/>
        </w:rPr>
      </w:pPr>
    </w:p>
    <w:p w14:paraId="29B5907E" w14:textId="77777777" w:rsidR="001A3984" w:rsidRDefault="001A3984">
      <w:pPr>
        <w:spacing w:before="0"/>
        <w:jc w:val="right"/>
        <w:rPr>
          <w:rFonts w:ascii="Times New Roman" w:eastAsia="Times New Roman" w:hAnsi="Times New Roman" w:cs="Times New Roman"/>
          <w:sz w:val="20"/>
          <w:szCs w:val="20"/>
        </w:rPr>
      </w:pPr>
    </w:p>
    <w:p w14:paraId="3574EB65" w14:textId="77777777" w:rsidR="001A3984" w:rsidRDefault="001A3984">
      <w:pPr>
        <w:spacing w:before="0"/>
        <w:jc w:val="right"/>
        <w:rPr>
          <w:rFonts w:ascii="Times New Roman" w:eastAsia="Times New Roman" w:hAnsi="Times New Roman" w:cs="Times New Roman"/>
          <w:sz w:val="20"/>
          <w:szCs w:val="20"/>
        </w:rPr>
      </w:pPr>
    </w:p>
    <w:p w14:paraId="61774F51" w14:textId="77777777" w:rsidR="001A3984" w:rsidRDefault="001A3984">
      <w:pPr>
        <w:spacing w:before="0"/>
        <w:jc w:val="right"/>
        <w:rPr>
          <w:rFonts w:ascii="Times New Roman" w:eastAsia="Times New Roman" w:hAnsi="Times New Roman" w:cs="Times New Roman"/>
          <w:sz w:val="20"/>
          <w:szCs w:val="20"/>
        </w:rPr>
      </w:pPr>
    </w:p>
    <w:p w14:paraId="392AB729" w14:textId="77777777" w:rsidR="001A3984" w:rsidRDefault="001A3984">
      <w:pPr>
        <w:spacing w:before="0"/>
        <w:jc w:val="right"/>
        <w:rPr>
          <w:rFonts w:ascii="Times New Roman" w:eastAsia="Times New Roman" w:hAnsi="Times New Roman" w:cs="Times New Roman"/>
          <w:sz w:val="20"/>
          <w:szCs w:val="20"/>
        </w:rPr>
      </w:pPr>
    </w:p>
    <w:p w14:paraId="36C1667A" w14:textId="77777777" w:rsidR="001A3984" w:rsidRDefault="001A3984">
      <w:pPr>
        <w:spacing w:before="0"/>
        <w:jc w:val="right"/>
        <w:rPr>
          <w:rFonts w:ascii="Times New Roman" w:eastAsia="Times New Roman" w:hAnsi="Times New Roman" w:cs="Times New Roman"/>
          <w:sz w:val="20"/>
          <w:szCs w:val="20"/>
        </w:rPr>
      </w:pPr>
    </w:p>
    <w:p w14:paraId="34853435" w14:textId="77777777" w:rsidR="001A3984" w:rsidRDefault="001A3984">
      <w:pPr>
        <w:spacing w:before="0"/>
        <w:jc w:val="right"/>
        <w:rPr>
          <w:rFonts w:ascii="Times New Roman" w:eastAsia="Times New Roman" w:hAnsi="Times New Roman" w:cs="Times New Roman"/>
          <w:sz w:val="20"/>
          <w:szCs w:val="20"/>
        </w:rPr>
      </w:pPr>
    </w:p>
    <w:p w14:paraId="75309F94" w14:textId="77777777" w:rsidR="001A3984" w:rsidRDefault="001A3984">
      <w:pPr>
        <w:spacing w:before="0"/>
        <w:jc w:val="right"/>
        <w:rPr>
          <w:rFonts w:ascii="Times New Roman" w:eastAsia="Times New Roman" w:hAnsi="Times New Roman" w:cs="Times New Roman"/>
          <w:sz w:val="20"/>
          <w:szCs w:val="20"/>
        </w:rPr>
      </w:pPr>
    </w:p>
    <w:p w14:paraId="6566F829" w14:textId="77777777" w:rsidR="001A3984" w:rsidRDefault="001A3984">
      <w:pPr>
        <w:spacing w:before="0"/>
        <w:jc w:val="right"/>
        <w:rPr>
          <w:rFonts w:ascii="Times New Roman" w:eastAsia="Times New Roman" w:hAnsi="Times New Roman" w:cs="Times New Roman"/>
          <w:sz w:val="20"/>
          <w:szCs w:val="20"/>
        </w:rPr>
      </w:pPr>
    </w:p>
    <w:p w14:paraId="3A4B1F6D" w14:textId="77777777" w:rsidR="001A3984" w:rsidRDefault="001A3984">
      <w:pPr>
        <w:spacing w:before="0"/>
        <w:jc w:val="right"/>
        <w:rPr>
          <w:rFonts w:ascii="Times New Roman" w:eastAsia="Times New Roman" w:hAnsi="Times New Roman" w:cs="Times New Roman"/>
          <w:sz w:val="20"/>
          <w:szCs w:val="20"/>
        </w:rPr>
      </w:pPr>
    </w:p>
    <w:p w14:paraId="6F016CF7" w14:textId="77777777" w:rsidR="001A3984" w:rsidRDefault="001A3984">
      <w:pPr>
        <w:spacing w:before="0"/>
        <w:jc w:val="right"/>
        <w:rPr>
          <w:rFonts w:ascii="Times New Roman" w:eastAsia="Times New Roman" w:hAnsi="Times New Roman" w:cs="Times New Roman"/>
          <w:sz w:val="20"/>
          <w:szCs w:val="20"/>
        </w:rPr>
      </w:pPr>
    </w:p>
    <w:p w14:paraId="24BE2DCD" w14:textId="77777777" w:rsidR="001A3984" w:rsidRDefault="001A3984">
      <w:pPr>
        <w:spacing w:before="0"/>
        <w:jc w:val="right"/>
        <w:rPr>
          <w:rFonts w:ascii="Times New Roman" w:eastAsia="Times New Roman" w:hAnsi="Times New Roman" w:cs="Times New Roman"/>
          <w:sz w:val="20"/>
          <w:szCs w:val="20"/>
        </w:rPr>
      </w:pPr>
    </w:p>
    <w:p w14:paraId="2EEFE4DF" w14:textId="77777777" w:rsidR="001A3984" w:rsidRDefault="001A3984">
      <w:pPr>
        <w:spacing w:before="0"/>
        <w:jc w:val="right"/>
        <w:rPr>
          <w:rFonts w:ascii="Times New Roman" w:eastAsia="Times New Roman" w:hAnsi="Times New Roman" w:cs="Times New Roman"/>
          <w:sz w:val="20"/>
          <w:szCs w:val="20"/>
        </w:rPr>
      </w:pPr>
    </w:p>
    <w:p w14:paraId="442BF8DB" w14:textId="77777777" w:rsidR="001A3984" w:rsidRDefault="001A3984">
      <w:pPr>
        <w:spacing w:before="0"/>
        <w:jc w:val="right"/>
        <w:rPr>
          <w:rFonts w:ascii="Times New Roman" w:eastAsia="Times New Roman" w:hAnsi="Times New Roman" w:cs="Times New Roman"/>
          <w:sz w:val="20"/>
          <w:szCs w:val="20"/>
        </w:rPr>
      </w:pPr>
    </w:p>
    <w:p w14:paraId="65F6CC16" w14:textId="77777777" w:rsidR="001A3984" w:rsidRDefault="001A3984">
      <w:pPr>
        <w:spacing w:before="0"/>
        <w:jc w:val="right"/>
        <w:rPr>
          <w:rFonts w:ascii="Times New Roman" w:eastAsia="Times New Roman" w:hAnsi="Times New Roman" w:cs="Times New Roman"/>
          <w:sz w:val="20"/>
          <w:szCs w:val="20"/>
        </w:rPr>
      </w:pPr>
    </w:p>
    <w:p w14:paraId="480062B9" w14:textId="77777777" w:rsidR="001A3984" w:rsidRDefault="001A3984">
      <w:pPr>
        <w:spacing w:before="0"/>
        <w:jc w:val="right"/>
        <w:rPr>
          <w:rFonts w:ascii="Times New Roman" w:eastAsia="Times New Roman" w:hAnsi="Times New Roman" w:cs="Times New Roman"/>
          <w:sz w:val="20"/>
          <w:szCs w:val="20"/>
        </w:rPr>
      </w:pPr>
    </w:p>
    <w:p w14:paraId="51D84147" w14:textId="77777777" w:rsidR="001A3984" w:rsidRDefault="001A3984">
      <w:pPr>
        <w:spacing w:before="0"/>
        <w:jc w:val="right"/>
        <w:rPr>
          <w:rFonts w:ascii="Times New Roman" w:eastAsia="Times New Roman" w:hAnsi="Times New Roman" w:cs="Times New Roman"/>
          <w:sz w:val="20"/>
          <w:szCs w:val="20"/>
        </w:rPr>
      </w:pPr>
    </w:p>
    <w:p w14:paraId="704D141C" w14:textId="77777777" w:rsidR="001A3984" w:rsidRDefault="001A3984">
      <w:pPr>
        <w:spacing w:before="0"/>
        <w:jc w:val="right"/>
        <w:rPr>
          <w:rFonts w:ascii="Times New Roman" w:eastAsia="Times New Roman" w:hAnsi="Times New Roman" w:cs="Times New Roman"/>
          <w:sz w:val="20"/>
          <w:szCs w:val="20"/>
        </w:rPr>
      </w:pPr>
    </w:p>
    <w:p w14:paraId="580975C6" w14:textId="77777777" w:rsidR="001A3984" w:rsidRDefault="001A3984">
      <w:pPr>
        <w:spacing w:before="0"/>
        <w:jc w:val="right"/>
        <w:rPr>
          <w:rFonts w:ascii="Times New Roman" w:eastAsia="Times New Roman" w:hAnsi="Times New Roman" w:cs="Times New Roman"/>
          <w:sz w:val="20"/>
          <w:szCs w:val="20"/>
        </w:rPr>
      </w:pPr>
    </w:p>
    <w:p w14:paraId="7DF813A7" w14:textId="77777777" w:rsidR="001A3984" w:rsidRDefault="001A3984">
      <w:pPr>
        <w:spacing w:before="0"/>
        <w:jc w:val="right"/>
        <w:rPr>
          <w:rFonts w:ascii="Times New Roman" w:eastAsia="Times New Roman" w:hAnsi="Times New Roman" w:cs="Times New Roman"/>
          <w:sz w:val="20"/>
          <w:szCs w:val="20"/>
        </w:rPr>
        <w:sectPr w:rsidR="001A3984">
          <w:type w:val="continuous"/>
          <w:pgSz w:w="11907" w:h="16839"/>
          <w:pgMar w:top="1440" w:right="1152" w:bottom="1440" w:left="1800" w:header="720" w:footer="720" w:gutter="0"/>
          <w:cols w:num="2" w:space="720" w:equalWidth="0">
            <w:col w:w="4116" w:space="720"/>
            <w:col w:w="4116" w:space="0"/>
          </w:cols>
        </w:sectPr>
      </w:pPr>
    </w:p>
    <w:p w14:paraId="3116EEFF" w14:textId="77777777" w:rsidR="001A3984" w:rsidRDefault="001A3984">
      <w:pPr>
        <w:spacing w:before="0"/>
        <w:jc w:val="both"/>
        <w:rPr>
          <w:rFonts w:ascii="Times New Roman" w:eastAsia="Times New Roman" w:hAnsi="Times New Roman" w:cs="Times New Roman"/>
          <w:sz w:val="20"/>
          <w:szCs w:val="20"/>
        </w:rPr>
        <w:sectPr w:rsidR="001A3984">
          <w:type w:val="continuous"/>
          <w:pgSz w:w="11907" w:h="16839"/>
          <w:pgMar w:top="1800" w:right="1440" w:bottom="1440" w:left="1440" w:header="720" w:footer="720" w:gutter="0"/>
          <w:cols w:space="720"/>
        </w:sectPr>
      </w:pPr>
    </w:p>
    <w:p w14:paraId="57DB73E4" w14:textId="77777777" w:rsidR="001A3984" w:rsidRDefault="001A3984">
      <w:pPr>
        <w:spacing w:before="0"/>
        <w:rPr>
          <w:rFonts w:ascii="Times New Roman" w:eastAsia="Times New Roman" w:hAnsi="Times New Roman" w:cs="Times New Roman"/>
          <w:sz w:val="24"/>
          <w:szCs w:val="24"/>
        </w:rPr>
        <w:sectPr w:rsidR="001A3984">
          <w:pgSz w:w="11907" w:h="16839"/>
          <w:pgMar w:top="1440" w:right="1152" w:bottom="1440" w:left="1800" w:header="720" w:footer="720" w:gutter="0"/>
          <w:cols w:num="2" w:space="720" w:equalWidth="0">
            <w:col w:w="4117" w:space="720"/>
            <w:col w:w="4117" w:space="0"/>
          </w:cols>
        </w:sectPr>
      </w:pPr>
    </w:p>
    <w:p w14:paraId="18F9E811" w14:textId="77777777" w:rsidR="001A3984" w:rsidRDefault="001A3984">
      <w:pPr>
        <w:spacing w:before="0"/>
        <w:rPr>
          <w:highlight w:val="yellow"/>
        </w:rPr>
        <w:sectPr w:rsidR="001A3984">
          <w:pgSz w:w="11907" w:h="16839"/>
          <w:pgMar w:top="1440" w:right="1152" w:bottom="1440" w:left="1800" w:header="720" w:footer="720" w:gutter="0"/>
          <w:cols w:num="2" w:space="720" w:equalWidth="0">
            <w:col w:w="4117" w:space="720"/>
            <w:col w:w="4117" w:space="0"/>
          </w:cols>
        </w:sectPr>
      </w:pPr>
    </w:p>
    <w:p w14:paraId="46489FC7" w14:textId="77777777" w:rsidR="001A3984" w:rsidRDefault="001A3984">
      <w:pPr>
        <w:spacing w:before="0"/>
      </w:pPr>
    </w:p>
    <w:sectPr w:rsidR="001A3984">
      <w:type w:val="continuous"/>
      <w:pgSz w:w="11907" w:h="16839"/>
      <w:pgMar w:top="180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10C21" w14:textId="77777777" w:rsidR="00C16BFE" w:rsidRDefault="00C16BFE">
      <w:pPr>
        <w:spacing w:before="0"/>
      </w:pPr>
      <w:r>
        <w:separator/>
      </w:r>
    </w:p>
  </w:endnote>
  <w:endnote w:type="continuationSeparator" w:id="0">
    <w:p w14:paraId="6D9CF8A2" w14:textId="77777777" w:rsidR="00C16BFE" w:rsidRDefault="00C16BF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ABFC9F2-8518-4873-BCDC-DDFC60B65470}"/>
  </w:font>
  <w:font w:name="Calibri">
    <w:panose1 w:val="020F0502020204030204"/>
    <w:charset w:val="00"/>
    <w:family w:val="swiss"/>
    <w:pitch w:val="variable"/>
    <w:sig w:usb0="E4002EFF" w:usb1="C200247B" w:usb2="00000009" w:usb3="00000000" w:csb0="000001FF" w:csb1="00000000"/>
    <w:embedRegular r:id="rId2" w:fontKey="{048D2687-8CB1-401A-8F3E-188848799AC9}"/>
  </w:font>
  <w:font w:name="Cambria">
    <w:panose1 w:val="02040503050406030204"/>
    <w:charset w:val="00"/>
    <w:family w:val="roman"/>
    <w:pitch w:val="variable"/>
    <w:sig w:usb0="E00006FF" w:usb1="420024FF" w:usb2="02000000" w:usb3="00000000" w:csb0="0000019F" w:csb1="00000000"/>
    <w:embedRegular r:id="rId3" w:fontKey="{C27A88EA-C05E-4B88-ABBA-886C46C577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B30E5" w14:textId="77777777" w:rsidR="001A3984" w:rsidRDefault="001A39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F0921" w14:textId="77777777" w:rsidR="00C16BFE" w:rsidRDefault="00C16BFE">
      <w:pPr>
        <w:spacing w:before="0"/>
      </w:pPr>
      <w:r>
        <w:separator/>
      </w:r>
    </w:p>
  </w:footnote>
  <w:footnote w:type="continuationSeparator" w:id="0">
    <w:p w14:paraId="000AD496" w14:textId="77777777" w:rsidR="00C16BFE" w:rsidRDefault="00C16BF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1CCA7" w14:textId="77777777" w:rsidR="001A3984" w:rsidRDefault="001A39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C513DD"/>
    <w:multiLevelType w:val="multilevel"/>
    <w:tmpl w:val="8480C6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5E92CAB"/>
    <w:multiLevelType w:val="multilevel"/>
    <w:tmpl w:val="AF52561C"/>
    <w:lvl w:ilvl="0">
      <w:start w:val="1"/>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96727D7"/>
    <w:multiLevelType w:val="multilevel"/>
    <w:tmpl w:val="31BC5F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984"/>
    <w:rsid w:val="00115E6A"/>
    <w:rsid w:val="001A3984"/>
    <w:rsid w:val="007E5CC4"/>
    <w:rsid w:val="00AA3563"/>
    <w:rsid w:val="00B8738F"/>
    <w:rsid w:val="00C16BF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E125F"/>
  <w15:docId w15:val="{1222E74B-8EC1-47DF-8E02-21C6FE10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AU" w:eastAsia="en-PH"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240" w:after="120"/>
      <w:outlineLvl w:val="1"/>
    </w:pPr>
    <w:rPr>
      <w:b/>
      <w:bCs/>
      <w:color w:val="262626"/>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22-77522@g.batstate-u.edu.ph" TargetMode="External"/><Relationship Id="rId13" Type="http://schemas.openxmlformats.org/officeDocument/2006/relationships/hyperlink" Target="mailto:leolanda.balilla@g.batstate-u.edu.p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olanda.balilla@g.batstate-u.edu.p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olanda.balilla@g.batstate-u.edu.ph"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22-74146@g.batstate-u.edu.ph" TargetMode="External"/><Relationship Id="rId4" Type="http://schemas.openxmlformats.org/officeDocument/2006/relationships/settings" Target="settings.xml"/><Relationship Id="rId9" Type="http://schemas.openxmlformats.org/officeDocument/2006/relationships/hyperlink" Target="mailto:22-74061@g.batstate-u.edu.ph" TargetMode="External"/><Relationship Id="rId14" Type="http://schemas.openxmlformats.org/officeDocument/2006/relationships/hyperlink" Target="mailto:leolanda.balilla@g.batstate-u.edu.p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5mxgiU4es1NkUrl/l5nnotIqw==">CgMxLjA4AHIhMUdOaVg1TnNZaDFKeHZnMjRnOTFlZHFsNVNsRk9XOTNz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5714</Words>
  <Characters>32575</Characters>
  <Application>Microsoft Office Word</Application>
  <DocSecurity>0</DocSecurity>
  <Lines>271</Lines>
  <Paragraphs>76</Paragraphs>
  <ScaleCrop>false</ScaleCrop>
  <Company/>
  <LinksUpToDate>false</LinksUpToDate>
  <CharactersWithSpaces>38213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639399239613</cp:lastModifiedBy>
  <cp:revision>3</cp:revision>
  <dcterms:created xsi:type="dcterms:W3CDTF">2026-06-05T02:16:00Z</dcterms:created>
  <dcterms:modified xsi:type="dcterms:W3CDTF">2026-06-05T02:34:00Z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0e1e65c4-9911-427b-a451-e24b404dcc00</vt:lpwstr>
  </property>
</Properties>
</file>