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DF" w:rsidRDefault="005846DF" w:rsidP="00546F09">
      <w:pPr>
        <w:jc w:val="center"/>
        <w:rPr>
          <w:rFonts w:ascii="Times New Roman" w:hAnsi="Times New Roman" w:cs="Times New Roman"/>
          <w:b/>
          <w:sz w:val="24"/>
          <w:szCs w:val="24"/>
        </w:rPr>
      </w:pPr>
    </w:p>
    <w:p w:rsidR="005846DF" w:rsidRPr="005846DF" w:rsidRDefault="00FC4578" w:rsidP="003023F8">
      <w:pPr>
        <w:jc w:val="center"/>
        <w:rPr>
          <w:rFonts w:ascii="Times New Roman" w:hAnsi="Times New Roman" w:cs="Times New Roman"/>
          <w:b/>
          <w:sz w:val="24"/>
          <w:szCs w:val="24"/>
        </w:rPr>
      </w:pPr>
      <w:r w:rsidRPr="00FC4578">
        <w:rPr>
          <w:rFonts w:ascii="Times New Roman" w:hAnsi="Times New Roman" w:cs="Times New Roman"/>
          <w:b/>
          <w:sz w:val="24"/>
          <w:szCs w:val="24"/>
        </w:rPr>
        <w:t>THE IMPACT OF FOREIGN AID ON MOZAMBIQUE’S ECONOMIC GROWTH: EVIDENCE FROM 1992 TO 2022</w:t>
      </w:r>
    </w:p>
    <w:p w:rsidR="005846DF" w:rsidRPr="005846DF" w:rsidRDefault="005846DF" w:rsidP="003023F8">
      <w:pPr>
        <w:rPr>
          <w:rFonts w:ascii="Times New Roman" w:hAnsi="Times New Roman" w:cs="Times New Roman"/>
          <w:sz w:val="24"/>
          <w:szCs w:val="24"/>
        </w:rPr>
      </w:pPr>
    </w:p>
    <w:p w:rsidR="005846DF" w:rsidRPr="003023F8" w:rsidRDefault="003023F8" w:rsidP="003023F8">
      <w:pPr>
        <w:pBdr>
          <w:bottom w:val="single" w:sz="12" w:space="1" w:color="auto"/>
        </w:pBdr>
        <w:rPr>
          <w:rFonts w:ascii="Times New Roman" w:hAnsi="Times New Roman" w:cs="Times New Roman"/>
          <w:sz w:val="24"/>
          <w:szCs w:val="24"/>
          <w:lang w:val="pt-PT"/>
        </w:rPr>
      </w:pPr>
      <w:proofErr w:type="spellStart"/>
      <w:r w:rsidRPr="003023F8">
        <w:rPr>
          <w:rFonts w:ascii="Times New Roman" w:hAnsi="Times New Roman" w:cs="Times New Roman"/>
          <w:b/>
          <w:sz w:val="24"/>
          <w:szCs w:val="24"/>
          <w:lang w:val="pt-PT"/>
        </w:rPr>
        <w:t/>
      </w:r>
      <w:proofErr w:type="spellEnd"/>
      <w:r w:rsidR="005846DF" w:rsidRPr="003023F8">
        <w:rPr>
          <w:rFonts w:ascii="Times New Roman" w:hAnsi="Times New Roman" w:cs="Times New Roman"/>
          <w:b/>
          <w:sz w:val="24"/>
          <w:szCs w:val="24"/>
          <w:lang w:val="pt-PT"/>
        </w:rPr>
        <w:t/>
      </w:r>
      <w:r w:rsidRPr="003023F8">
        <w:rPr>
          <w:rFonts w:ascii="Times New Roman" w:hAnsi="Times New Roman" w:cs="Times New Roman"/>
          <w:sz w:val="24"/>
          <w:szCs w:val="24"/>
          <w:lang w:val="pt-PT"/>
        </w:rPr>
        <w:t xml:space="preserve"/>
      </w:r>
      <w:proofErr w:type="spellStart"/>
      <w:r w:rsidRPr="003023F8">
        <w:rPr>
          <w:rFonts w:ascii="Times New Roman" w:hAnsi="Times New Roman" w:cs="Times New Roman"/>
          <w:sz w:val="24"/>
          <w:szCs w:val="24"/>
          <w:lang w:val="pt-PT"/>
        </w:rPr>
        <w:t/>
      </w:r>
      <w:proofErr w:type="spellEnd"/>
      <w:r w:rsidRPr="003023F8">
        <w:rPr>
          <w:rFonts w:ascii="Times New Roman" w:hAnsi="Times New Roman" w:cs="Times New Roman"/>
          <w:sz w:val="24"/>
          <w:szCs w:val="24"/>
          <w:lang w:val="pt-PT"/>
        </w:rPr>
        <w:t xml:space="preserve"/>
      </w:r>
      <w:proofErr w:type="spellStart"/>
      <w:r w:rsidRPr="003023F8">
        <w:rPr>
          <w:rFonts w:ascii="Times New Roman" w:hAnsi="Times New Roman" w:cs="Times New Roman"/>
          <w:sz w:val="24"/>
          <w:szCs w:val="24"/>
          <w:lang w:val="pt-PT"/>
        </w:rPr>
        <w:t/>
      </w:r>
      <w:r>
        <w:rPr>
          <w:rFonts w:ascii="Times New Roman" w:hAnsi="Times New Roman" w:cs="Times New Roman"/>
          <w:sz w:val="24"/>
          <w:szCs w:val="24"/>
          <w:lang w:val="pt-PT"/>
        </w:rPr>
        <w:t/>
      </w:r>
      <w:proofErr w:type="spellEnd"/>
      <w:r>
        <w:rPr>
          <w:rFonts w:ascii="Times New Roman" w:hAnsi="Times New Roman" w:cs="Times New Roman"/>
          <w:sz w:val="24"/>
          <w:szCs w:val="24"/>
          <w:lang w:val="pt-PT"/>
        </w:rPr>
        <w:t xml:space="preserve"/>
      </w:r>
    </w:p>
    <w:p w:rsidR="003023F8" w:rsidRPr="003023F8" w:rsidRDefault="003023F8" w:rsidP="00546F09">
      <w:pPr>
        <w:jc w:val="center"/>
        <w:rPr>
          <w:rFonts w:ascii="Times New Roman" w:hAnsi="Times New Roman" w:cs="Times New Roman"/>
          <w:b/>
          <w:sz w:val="24"/>
          <w:szCs w:val="24"/>
          <w:lang w:val="pt-PT"/>
        </w:rPr>
      </w:pPr>
    </w:p>
    <w:p w:rsidR="005846DF" w:rsidRPr="003023F8" w:rsidRDefault="005846DF" w:rsidP="003023F8">
      <w:pPr>
        <w:rPr>
          <w:rFonts w:ascii="Times New Roman" w:hAnsi="Times New Roman" w:cs="Times New Roman"/>
          <w:b/>
          <w:sz w:val="24"/>
          <w:szCs w:val="24"/>
          <w:lang w:val="pt-PT"/>
        </w:rPr>
      </w:pPr>
    </w:p>
    <w:p w:rsidR="00FC4578" w:rsidRPr="00C604E8" w:rsidRDefault="00FC4578" w:rsidP="00546F09">
      <w:pPr>
        <w:tabs>
          <w:tab w:val="left" w:pos="2257"/>
        </w:tabs>
        <w:spacing w:before="240"/>
        <w:rPr>
          <w:rFonts w:ascii="Times New Roman" w:hAnsi="Times New Roman" w:cs="Times New Roman"/>
          <w:b/>
          <w:sz w:val="24"/>
          <w:szCs w:val="24"/>
        </w:rPr>
      </w:pPr>
      <w:r w:rsidRPr="00C604E8">
        <w:rPr>
          <w:rFonts w:ascii="Times New Roman" w:hAnsi="Times New Roman" w:cs="Times New Roman"/>
          <w:b/>
          <w:sz w:val="24"/>
          <w:szCs w:val="24"/>
        </w:rPr>
        <w:t>Abstract</w:t>
      </w:r>
      <w:r w:rsidR="00546F09">
        <w:rPr>
          <w:rFonts w:ascii="Times New Roman" w:hAnsi="Times New Roman" w:cs="Times New Roman"/>
          <w:b/>
          <w:sz w:val="24"/>
          <w:szCs w:val="24"/>
        </w:rPr>
        <w:tab/>
      </w:r>
    </w:p>
    <w:p w:rsidR="00FC4578" w:rsidRDefault="00C604E8" w:rsidP="00420E53">
      <w:pPr>
        <w:pStyle w:val="SemEspaamento"/>
        <w:spacing w:before="240" w:line="360" w:lineRule="auto"/>
        <w:jc w:val="both"/>
        <w:rPr>
          <w:rFonts w:ascii="Times New Roman" w:hAnsi="Times New Roman" w:cs="Times New Roman"/>
          <w:sz w:val="24"/>
          <w:szCs w:val="24"/>
        </w:rPr>
      </w:pPr>
      <w:r w:rsidRPr="00C604E8">
        <w:rPr>
          <w:rFonts w:ascii="Times New Roman" w:hAnsi="Times New Roman" w:cs="Times New Roman"/>
          <w:sz w:val="24"/>
          <w:szCs w:val="24"/>
        </w:rPr>
        <w:t>This study investigates the impact of foreign aid on Mozambique’s economic growth during the period 1992–2022, under the assumption that aid serves as a driver of growth by financing the domestic savings gap. Using GDP per capita as the dependent variable and foreign aid (LODA), external debt (LDBT), domestic investment (LINV), and foreign direct investment (LFDI) as explanatory variables, the analysis draws on data from the World Development Indicators (WDI) and the World Economic Outlook (WEO). The Autoregressive Distributed Lag (ARDL) approach was employed to capture both short- and long-run dynamics, given the mixed order of integration of the variables. The findings reveal that, in the long run, foreign aid and external debt exert a negative effect on economic growth, while foreign direct investment contributes positively. In the short run, only domestic investment shows a statistically significant but negative effect. These results suggest that, although aid has played a compensatory role in Mozambique’s development financing, its long-term contribution to sustainable growth remains limited, underscoring the need for policies that enhance domestic resource mobilization and improve aid effectiveness.</w:t>
      </w:r>
    </w:p>
    <w:p w:rsidR="00C604E8" w:rsidRDefault="00C604E8" w:rsidP="00C604E8">
      <w:pPr>
        <w:pStyle w:val="SemEspaamento"/>
        <w:spacing w:line="276" w:lineRule="auto"/>
        <w:jc w:val="both"/>
        <w:rPr>
          <w:rFonts w:ascii="Times New Roman" w:hAnsi="Times New Roman" w:cs="Times New Roman"/>
          <w:sz w:val="24"/>
          <w:szCs w:val="24"/>
        </w:rPr>
      </w:pPr>
    </w:p>
    <w:p w:rsidR="00C604E8" w:rsidRPr="00C604E8" w:rsidRDefault="00C604E8" w:rsidP="00C604E8">
      <w:pPr>
        <w:pStyle w:val="SemEspaamento"/>
        <w:spacing w:line="276" w:lineRule="auto"/>
        <w:jc w:val="both"/>
        <w:rPr>
          <w:rFonts w:ascii="Times New Roman" w:hAnsi="Times New Roman" w:cs="Times New Roman"/>
          <w:sz w:val="24"/>
          <w:szCs w:val="24"/>
        </w:rPr>
      </w:pPr>
    </w:p>
    <w:p w:rsidR="0059555B" w:rsidRDefault="0059555B">
      <w:pPr>
        <w:rPr>
          <w:rFonts w:ascii="Times New Roman" w:eastAsiaTheme="majorEastAsia" w:hAnsi="Times New Roman" w:cstheme="majorBidi"/>
          <w:b/>
          <w:spacing w:val="-10"/>
          <w:kern w:val="28"/>
          <w:sz w:val="24"/>
          <w:szCs w:val="56"/>
        </w:rPr>
      </w:pPr>
      <w:r>
        <w:br w:type="page"/>
      </w:r>
    </w:p>
    <w:p w:rsidR="00822385" w:rsidRPr="005257AC" w:rsidRDefault="00822385" w:rsidP="005257AC">
      <w:pPr>
        <w:pStyle w:val="Ttulo"/>
      </w:pPr>
      <w:r w:rsidRPr="005257AC">
        <w:lastRenderedPageBreak/>
        <w:t>1. Introduction</w:t>
      </w:r>
    </w:p>
    <w:p w:rsidR="00822385" w:rsidRPr="00822385" w:rsidRDefault="00822385" w:rsidP="00822385">
      <w:pPr>
        <w:spacing w:line="360" w:lineRule="auto"/>
        <w:jc w:val="both"/>
        <w:rPr>
          <w:rFonts w:ascii="Times New Roman" w:hAnsi="Times New Roman" w:cs="Times New Roman"/>
          <w:sz w:val="24"/>
          <w:szCs w:val="24"/>
        </w:rPr>
      </w:pPr>
      <w:r w:rsidRPr="00822385">
        <w:rPr>
          <w:rFonts w:ascii="Times New Roman" w:hAnsi="Times New Roman" w:cs="Times New Roman"/>
          <w:sz w:val="24"/>
          <w:szCs w:val="24"/>
        </w:rPr>
        <w:t>The Development Assistance Committee (DAC) of the Organization for Economic Cooperation and Development (OECD) has played a key role in supporting economic development in low-income countries through concessional loans and grants. These resources aim to stimulate economic performance, address structural imbalances, and promote inclusive and sustainable growth.</w:t>
      </w:r>
      <w:r>
        <w:rPr>
          <w:rFonts w:ascii="Times New Roman" w:hAnsi="Times New Roman" w:cs="Times New Roman"/>
          <w:sz w:val="24"/>
          <w:szCs w:val="24"/>
        </w:rPr>
        <w:t xml:space="preserve"> </w:t>
      </w:r>
      <w:r w:rsidRPr="00822385">
        <w:rPr>
          <w:rFonts w:ascii="Times New Roman" w:hAnsi="Times New Roman" w:cs="Times New Roman"/>
          <w:sz w:val="24"/>
          <w:szCs w:val="24"/>
        </w:rPr>
        <w:t>Developing countries often face a limited capacity to generate domestic savings, largely due to persistently low per capita income. To maintain investment and productive capacity, these economies rely heavily on imports of capital goods and essential services. However, export earnings frequently fall short of covering these imports, worsening trade deficits and limiting growth (Moreira, 2005).</w:t>
      </w:r>
    </w:p>
    <w:p w:rsidR="00822385" w:rsidRPr="00822385" w:rsidRDefault="00822385" w:rsidP="00822385">
      <w:pPr>
        <w:spacing w:line="360" w:lineRule="auto"/>
        <w:jc w:val="both"/>
        <w:rPr>
          <w:rFonts w:ascii="Times New Roman" w:hAnsi="Times New Roman" w:cs="Times New Roman"/>
          <w:sz w:val="24"/>
          <w:szCs w:val="24"/>
        </w:rPr>
      </w:pPr>
      <w:r>
        <w:rPr>
          <w:rFonts w:ascii="Times New Roman" w:hAnsi="Times New Roman" w:cs="Times New Roman"/>
          <w:sz w:val="24"/>
          <w:szCs w:val="24"/>
        </w:rPr>
        <w:t>Moreira (2002</w:t>
      </w:r>
      <w:r w:rsidRPr="00822385">
        <w:rPr>
          <w:rFonts w:ascii="Times New Roman" w:hAnsi="Times New Roman" w:cs="Times New Roman"/>
          <w:sz w:val="24"/>
          <w:szCs w:val="24"/>
        </w:rPr>
        <w:t>) identifies two main structural constraints to investment in such contexts: the domestic savings gap and the trade gap. Foreign aid, in this sense, acts as a compensatory tool, helping to fill these macroeconomic gaps and support capital accumulation and economic transformation.</w:t>
      </w:r>
    </w:p>
    <w:p w:rsidR="00822385" w:rsidRPr="00822385" w:rsidRDefault="00822385" w:rsidP="00822385">
      <w:pPr>
        <w:spacing w:line="360" w:lineRule="auto"/>
        <w:jc w:val="both"/>
        <w:rPr>
          <w:rFonts w:ascii="Times New Roman" w:hAnsi="Times New Roman" w:cs="Times New Roman"/>
          <w:sz w:val="24"/>
          <w:szCs w:val="24"/>
        </w:rPr>
      </w:pPr>
      <w:r w:rsidRPr="00822385">
        <w:rPr>
          <w:rFonts w:ascii="Times New Roman" w:hAnsi="Times New Roman" w:cs="Times New Roman"/>
          <w:sz w:val="24"/>
          <w:szCs w:val="24"/>
        </w:rPr>
        <w:t>Foreign aid can also be seen as a strategic instrument for economic empowerment. By transferring financial resources from developed to developing countries, it helps strengthen public infrastructure, complement domestic financial efforts, and expand the national capital base, collectively supporting investment-driven growth (Siddique et al., 2017).</w:t>
      </w:r>
    </w:p>
    <w:p w:rsidR="00822385" w:rsidRPr="00822385" w:rsidRDefault="00822385" w:rsidP="00822385">
      <w:pPr>
        <w:spacing w:line="360" w:lineRule="auto"/>
        <w:jc w:val="both"/>
        <w:rPr>
          <w:rFonts w:ascii="Times New Roman" w:hAnsi="Times New Roman" w:cs="Times New Roman"/>
          <w:sz w:val="24"/>
          <w:szCs w:val="24"/>
        </w:rPr>
      </w:pPr>
      <w:r w:rsidRPr="00822385">
        <w:rPr>
          <w:rFonts w:ascii="Times New Roman" w:hAnsi="Times New Roman" w:cs="Times New Roman"/>
          <w:sz w:val="24"/>
          <w:szCs w:val="24"/>
        </w:rPr>
        <w:t>Mozambique provides a clear example of a country heavily dependent on external assistance. Between 1992 and 1996, the country recorded an average domestic savings gap of -7.34%, hitting a low of -11.07% in 1994. From 1997 to 2021, savings improved moderately, averaging 9.64% per year, but these gains were not enough to generate robust and sustained economic growth.</w:t>
      </w:r>
    </w:p>
    <w:p w:rsidR="005257AC" w:rsidRPr="005257AC" w:rsidRDefault="005257AC" w:rsidP="00C604E8">
      <w:pPr>
        <w:spacing w:line="360" w:lineRule="auto"/>
        <w:jc w:val="both"/>
        <w:rPr>
          <w:rFonts w:ascii="Times New Roman" w:hAnsi="Times New Roman" w:cs="Times New Roman"/>
          <w:sz w:val="24"/>
          <w:szCs w:val="24"/>
        </w:rPr>
      </w:pPr>
      <w:r w:rsidRPr="005257AC">
        <w:rPr>
          <w:rFonts w:ascii="Times New Roman" w:hAnsi="Times New Roman" w:cs="Times New Roman"/>
          <w:sz w:val="24"/>
          <w:szCs w:val="24"/>
        </w:rPr>
        <w:t>Over the same period, Mozambique received approximately USD 47.8 billion in official development assistance (ODA), averaging USD 1.59 billion per year. Between 2005 and 2021, ODA flows represented about 26.5% of total imports of goods, services, and primary income. Of this, roughly USD 1.58 billion was allocated to productive sectors, while USD 3.0 billion supported economic and social infrastructure. According to the Ministry of Plannin</w:t>
      </w:r>
      <w:r>
        <w:rPr>
          <w:rFonts w:ascii="Times New Roman" w:hAnsi="Times New Roman" w:cs="Times New Roman"/>
          <w:sz w:val="24"/>
          <w:szCs w:val="24"/>
        </w:rPr>
        <w:t>g and Development (MPD, 2013)</w:t>
      </w:r>
      <w:r w:rsidRPr="005257AC">
        <w:rPr>
          <w:rFonts w:ascii="Times New Roman" w:hAnsi="Times New Roman" w:cs="Times New Roman"/>
          <w:sz w:val="24"/>
          <w:szCs w:val="24"/>
        </w:rPr>
        <w:t>, Mozambique ranked as the 10th largest global recipient and the 4th largest African recipient of foreign aid during 2009–2011.</w:t>
      </w:r>
    </w:p>
    <w:p w:rsidR="005257AC" w:rsidRPr="005257AC" w:rsidRDefault="005257AC" w:rsidP="00C604E8">
      <w:pPr>
        <w:spacing w:line="360" w:lineRule="auto"/>
        <w:jc w:val="both"/>
        <w:rPr>
          <w:rFonts w:ascii="Times New Roman" w:hAnsi="Times New Roman" w:cs="Times New Roman"/>
          <w:sz w:val="24"/>
          <w:szCs w:val="24"/>
        </w:rPr>
      </w:pPr>
      <w:r w:rsidRPr="005257AC">
        <w:rPr>
          <w:rFonts w:ascii="Times New Roman" w:hAnsi="Times New Roman" w:cs="Times New Roman"/>
          <w:sz w:val="24"/>
          <w:szCs w:val="24"/>
        </w:rPr>
        <w:lastRenderedPageBreak/>
        <w:t>Despite these substantial inflows, Mozambique continues to face persistent poverty, underemployment, and an economy heavily reliant on subsis</w:t>
      </w:r>
      <w:r>
        <w:rPr>
          <w:rFonts w:ascii="Times New Roman" w:hAnsi="Times New Roman" w:cs="Times New Roman"/>
          <w:sz w:val="24"/>
          <w:szCs w:val="24"/>
        </w:rPr>
        <w:t xml:space="preserve">tence agriculture. This paradox, </w:t>
      </w:r>
      <w:r w:rsidRPr="005257AC">
        <w:rPr>
          <w:rFonts w:ascii="Times New Roman" w:hAnsi="Times New Roman" w:cs="Times New Roman"/>
          <w:sz w:val="24"/>
          <w:szCs w:val="24"/>
        </w:rPr>
        <w:t>high aid dependency coupled wi</w:t>
      </w:r>
      <w:r>
        <w:rPr>
          <w:rFonts w:ascii="Times New Roman" w:hAnsi="Times New Roman" w:cs="Times New Roman"/>
          <w:sz w:val="24"/>
          <w:szCs w:val="24"/>
        </w:rPr>
        <w:t xml:space="preserve">th limited development outcomes </w:t>
      </w:r>
      <w:r w:rsidRPr="005257AC">
        <w:rPr>
          <w:rFonts w:ascii="Times New Roman" w:hAnsi="Times New Roman" w:cs="Times New Roman"/>
          <w:sz w:val="24"/>
          <w:szCs w:val="24"/>
        </w:rPr>
        <w:t xml:space="preserve">raises a central question: </w:t>
      </w:r>
      <w:r w:rsidRPr="005257AC">
        <w:rPr>
          <w:rFonts w:ascii="Times New Roman" w:hAnsi="Times New Roman" w:cs="Times New Roman"/>
          <w:b/>
          <w:bCs/>
          <w:sz w:val="24"/>
          <w:szCs w:val="24"/>
        </w:rPr>
        <w:t>to what extent has foreign aid effectively contributed to Mozambique’s economic growth?</w:t>
      </w:r>
    </w:p>
    <w:p w:rsidR="005257AC" w:rsidRPr="005257AC" w:rsidRDefault="005257AC" w:rsidP="00C604E8">
      <w:pPr>
        <w:spacing w:line="360" w:lineRule="auto"/>
        <w:jc w:val="both"/>
        <w:rPr>
          <w:rFonts w:ascii="Times New Roman" w:hAnsi="Times New Roman" w:cs="Times New Roman"/>
          <w:sz w:val="24"/>
          <w:szCs w:val="24"/>
        </w:rPr>
      </w:pPr>
      <w:r w:rsidRPr="005257AC">
        <w:rPr>
          <w:rFonts w:ascii="Times New Roman" w:hAnsi="Times New Roman" w:cs="Times New Roman"/>
          <w:sz w:val="24"/>
          <w:szCs w:val="24"/>
        </w:rPr>
        <w:t>This study seeks to empirically examine the relationship between foreign aid and economic growth in Mozambique over the period 1992–2022. It is guided by the following specific objectives:</w:t>
      </w:r>
    </w:p>
    <w:p w:rsidR="005257AC" w:rsidRPr="00C604E8" w:rsidRDefault="005257AC" w:rsidP="00C604E8">
      <w:pPr>
        <w:pStyle w:val="PargrafodaLista"/>
        <w:numPr>
          <w:ilvl w:val="0"/>
          <w:numId w:val="11"/>
        </w:numPr>
        <w:jc w:val="both"/>
        <w:rPr>
          <w:rFonts w:ascii="Times New Roman" w:hAnsi="Times New Roman" w:cs="Times New Roman"/>
          <w:sz w:val="24"/>
          <w:szCs w:val="24"/>
        </w:rPr>
      </w:pPr>
      <w:r w:rsidRPr="00C604E8">
        <w:rPr>
          <w:rFonts w:ascii="Times New Roman" w:hAnsi="Times New Roman" w:cs="Times New Roman"/>
          <w:sz w:val="24"/>
          <w:szCs w:val="24"/>
        </w:rPr>
        <w:t>Analyze the evolution of ODA flows and their contribution to the national economy between 1992 and 1992;</w:t>
      </w:r>
    </w:p>
    <w:p w:rsidR="005257AC" w:rsidRPr="00C604E8" w:rsidRDefault="005257AC" w:rsidP="00C604E8">
      <w:pPr>
        <w:pStyle w:val="PargrafodaLista"/>
        <w:numPr>
          <w:ilvl w:val="0"/>
          <w:numId w:val="11"/>
        </w:numPr>
        <w:jc w:val="both"/>
        <w:rPr>
          <w:rFonts w:ascii="Times New Roman" w:hAnsi="Times New Roman" w:cs="Times New Roman"/>
          <w:sz w:val="24"/>
          <w:szCs w:val="24"/>
        </w:rPr>
      </w:pPr>
      <w:r w:rsidRPr="00C604E8">
        <w:rPr>
          <w:rFonts w:ascii="Times New Roman" w:hAnsi="Times New Roman" w:cs="Times New Roman"/>
          <w:sz w:val="24"/>
          <w:szCs w:val="24"/>
        </w:rPr>
        <w:t>Evaluate the relationship between foreign aid and economic growth in the short and long term;</w:t>
      </w:r>
    </w:p>
    <w:p w:rsidR="005257AC" w:rsidRPr="00C604E8" w:rsidRDefault="005257AC" w:rsidP="00C604E8">
      <w:pPr>
        <w:pStyle w:val="PargrafodaLista"/>
        <w:numPr>
          <w:ilvl w:val="0"/>
          <w:numId w:val="11"/>
        </w:numPr>
        <w:jc w:val="both"/>
        <w:rPr>
          <w:rFonts w:ascii="Times New Roman" w:hAnsi="Times New Roman" w:cs="Times New Roman"/>
          <w:sz w:val="24"/>
          <w:szCs w:val="24"/>
        </w:rPr>
      </w:pPr>
      <w:r w:rsidRPr="00C604E8">
        <w:rPr>
          <w:rFonts w:ascii="Times New Roman" w:hAnsi="Times New Roman" w:cs="Times New Roman"/>
          <w:sz w:val="24"/>
          <w:szCs w:val="24"/>
        </w:rPr>
        <w:t>Assess the overall effectiveness of different sources of economic financing on Mozambique’s growth;</w:t>
      </w:r>
    </w:p>
    <w:p w:rsidR="005257AC" w:rsidRPr="00C604E8" w:rsidRDefault="005257AC" w:rsidP="00C604E8">
      <w:pPr>
        <w:pStyle w:val="PargrafodaLista"/>
        <w:numPr>
          <w:ilvl w:val="0"/>
          <w:numId w:val="11"/>
        </w:numPr>
        <w:jc w:val="both"/>
        <w:rPr>
          <w:rFonts w:ascii="Times New Roman" w:hAnsi="Times New Roman" w:cs="Times New Roman"/>
          <w:sz w:val="24"/>
          <w:szCs w:val="24"/>
        </w:rPr>
      </w:pPr>
      <w:r w:rsidRPr="00C604E8">
        <w:rPr>
          <w:rFonts w:ascii="Times New Roman" w:hAnsi="Times New Roman" w:cs="Times New Roman"/>
          <w:sz w:val="24"/>
          <w:szCs w:val="24"/>
        </w:rPr>
        <w:t>Propose policy recommendations to enhance the contribution of both external and domestic financing to sustainable development.</w:t>
      </w:r>
    </w:p>
    <w:p w:rsidR="00822385" w:rsidRPr="00822385" w:rsidRDefault="005257AC" w:rsidP="00C604E8">
      <w:pPr>
        <w:spacing w:line="360" w:lineRule="auto"/>
        <w:jc w:val="both"/>
        <w:rPr>
          <w:rFonts w:ascii="Times New Roman" w:hAnsi="Times New Roman" w:cs="Times New Roman"/>
          <w:sz w:val="24"/>
          <w:szCs w:val="24"/>
        </w:rPr>
      </w:pPr>
      <w:r w:rsidRPr="005257AC">
        <w:rPr>
          <w:rFonts w:ascii="Times New Roman" w:hAnsi="Times New Roman" w:cs="Times New Roman"/>
          <w:sz w:val="24"/>
          <w:szCs w:val="24"/>
        </w:rPr>
        <w:t>To ensure clarity and coherence, this dissertation is structured into five chapters. Chapter 2 reviews the theoretical and empirical literature on foreign aid and economic growth. Chapter 3 presents the methodological framework, data sources, and econometric strategy used in the study. Chapter 4 discusses the empirical findings and their policy implications. Finally, Chapter 5 concludes by summarizing the main results and offering practical recommendations to strengthen the role of financing in Mozambique’s sustainable development.</w:t>
      </w:r>
    </w:p>
    <w:p w:rsidR="00A80B75" w:rsidRPr="00A63412" w:rsidRDefault="00A80B75" w:rsidP="00844387">
      <w:pPr>
        <w:pStyle w:val="Ttulo"/>
      </w:pPr>
      <w:r w:rsidRPr="00A63412">
        <w:t>2. Theoretical Framework</w:t>
      </w:r>
    </w:p>
    <w:p w:rsidR="00A80B75" w:rsidRPr="00A63412" w:rsidRDefault="00A80B75" w:rsidP="00844387">
      <w:pPr>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Empirical studies addressing the macroeconomic relationship between foreign aid and economic growth particularly those conducted prior to the mid-1990s generally </w:t>
      </w:r>
      <w:r w:rsidR="001B2590" w:rsidRPr="00A63412">
        <w:rPr>
          <w:rFonts w:ascii="Times New Roman" w:hAnsi="Times New Roman" w:cs="Times New Roman"/>
          <w:sz w:val="24"/>
          <w:szCs w:val="24"/>
        </w:rPr>
        <w:t>conceptualize</w:t>
      </w:r>
      <w:r w:rsidRPr="00A63412">
        <w:rPr>
          <w:rFonts w:ascii="Times New Roman" w:hAnsi="Times New Roman" w:cs="Times New Roman"/>
          <w:sz w:val="24"/>
          <w:szCs w:val="24"/>
        </w:rPr>
        <w:t xml:space="preserve"> economic growth as a process contingent upon overcoming limitations to physical capital accumulation. Within this perspective, investment in physical capital is identified as the central vector of growth. In developing countries, a persistent domestic savings gap constrains investment, while a structural trade deficit arises from the necessity of importing capital goods and essential services not produced locally, imports which often surpass export earnings (Moreira, 2002).</w:t>
      </w:r>
    </w:p>
    <w:p w:rsidR="00A80B75" w:rsidRPr="00A63412" w:rsidRDefault="00A80B75" w:rsidP="00A80B7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Accordingly, foreign capital inflows, including official development assistance, are seen as pivotal in stimulating capital accumulation and fostering economic dynamism. Foreign aid serves to close both the savings-investment gap and the external trade imbalance, and can promote growth through </w:t>
      </w:r>
      <w:r w:rsidRPr="00A63412">
        <w:rPr>
          <w:rFonts w:ascii="Times New Roman" w:hAnsi="Times New Roman" w:cs="Times New Roman"/>
          <w:sz w:val="24"/>
          <w:szCs w:val="24"/>
        </w:rPr>
        <w:lastRenderedPageBreak/>
        <w:t>investments in infrastructure, agricultural and industrial productivity, technological advancement, and the strengthening of critical sectors such as education, health, environmental protection, and governance. Aid may also contribute to short-term stability by supporting subsistence consumption and mitigating post-shock vulnerabilities (</w:t>
      </w:r>
      <w:proofErr w:type="spellStart"/>
      <w:r w:rsidRPr="00A63412">
        <w:rPr>
          <w:rFonts w:ascii="Times New Roman" w:hAnsi="Times New Roman" w:cs="Times New Roman"/>
          <w:sz w:val="24"/>
          <w:szCs w:val="24"/>
        </w:rPr>
        <w:t>Fátima</w:t>
      </w:r>
      <w:proofErr w:type="spellEnd"/>
      <w:r w:rsidRPr="00A63412">
        <w:rPr>
          <w:rFonts w:ascii="Times New Roman" w:hAnsi="Times New Roman" w:cs="Times New Roman"/>
          <w:sz w:val="24"/>
          <w:szCs w:val="24"/>
        </w:rPr>
        <w:t>, 2014).</w:t>
      </w:r>
    </w:p>
    <w:p w:rsidR="00A80B75" w:rsidRPr="00A63412" w:rsidRDefault="00A80B75" w:rsidP="00A80B75">
      <w:pPr>
        <w:spacing w:line="360" w:lineRule="auto"/>
        <w:jc w:val="both"/>
        <w:rPr>
          <w:rFonts w:ascii="Times New Roman" w:hAnsi="Times New Roman" w:cs="Times New Roman"/>
          <w:sz w:val="24"/>
          <w:szCs w:val="24"/>
        </w:rPr>
      </w:pPr>
      <w:proofErr w:type="spellStart"/>
      <w:r w:rsidRPr="00A63412">
        <w:rPr>
          <w:rFonts w:ascii="Times New Roman" w:hAnsi="Times New Roman" w:cs="Times New Roman"/>
          <w:sz w:val="24"/>
          <w:szCs w:val="24"/>
        </w:rPr>
        <w:t>Gomanee</w:t>
      </w:r>
      <w:proofErr w:type="spellEnd"/>
      <w:r w:rsidRPr="00A63412">
        <w:rPr>
          <w:rFonts w:ascii="Times New Roman" w:hAnsi="Times New Roman" w:cs="Times New Roman"/>
          <w:sz w:val="24"/>
          <w:szCs w:val="24"/>
        </w:rPr>
        <w:t xml:space="preserve"> et al. (2002) identify four principal transmission mechanisms through which aid can influence economic growth:</w:t>
      </w:r>
    </w:p>
    <w:p w:rsidR="00A80B75" w:rsidRPr="00A63412" w:rsidRDefault="00A80B75" w:rsidP="005846DF">
      <w:pPr>
        <w:spacing w:line="360" w:lineRule="auto"/>
        <w:ind w:left="720"/>
        <w:jc w:val="both"/>
        <w:rPr>
          <w:rFonts w:ascii="Times New Roman" w:hAnsi="Times New Roman" w:cs="Times New Roman"/>
          <w:sz w:val="24"/>
          <w:szCs w:val="24"/>
        </w:rPr>
      </w:pPr>
      <w:r w:rsidRPr="00A63412">
        <w:rPr>
          <w:rFonts w:ascii="Times New Roman" w:hAnsi="Times New Roman" w:cs="Times New Roman"/>
          <w:b/>
          <w:bCs/>
          <w:sz w:val="24"/>
          <w:szCs w:val="24"/>
        </w:rPr>
        <w:t>The investment channel</w:t>
      </w:r>
      <w:r w:rsidR="00A65B05" w:rsidRPr="00A63412">
        <w:rPr>
          <w:rFonts w:ascii="Times New Roman" w:hAnsi="Times New Roman" w:cs="Times New Roman"/>
          <w:sz w:val="24"/>
          <w:szCs w:val="24"/>
        </w:rPr>
        <w:t>:</w:t>
      </w:r>
      <w:r w:rsidRPr="00A63412">
        <w:rPr>
          <w:rFonts w:ascii="Times New Roman" w:hAnsi="Times New Roman" w:cs="Times New Roman"/>
          <w:sz w:val="24"/>
          <w:szCs w:val="24"/>
        </w:rPr>
        <w:t xml:space="preserve"> Aid contributes to capital formation by financing public and private investment projects. The </w:t>
      </w:r>
      <w:proofErr w:type="spellStart"/>
      <w:r w:rsidRPr="00A63412">
        <w:rPr>
          <w:rFonts w:ascii="Times New Roman" w:hAnsi="Times New Roman" w:cs="Times New Roman"/>
          <w:sz w:val="24"/>
          <w:szCs w:val="24"/>
        </w:rPr>
        <w:t>Harrod-Domar</w:t>
      </w:r>
      <w:proofErr w:type="spellEnd"/>
      <w:r w:rsidRPr="00A63412">
        <w:rPr>
          <w:rFonts w:ascii="Times New Roman" w:hAnsi="Times New Roman" w:cs="Times New Roman"/>
          <w:sz w:val="24"/>
          <w:szCs w:val="24"/>
        </w:rPr>
        <w:t xml:space="preserve"> growth model </w:t>
      </w:r>
      <w:proofErr w:type="spellStart"/>
      <w:r w:rsidRPr="00A63412">
        <w:rPr>
          <w:rFonts w:ascii="Times New Roman" w:hAnsi="Times New Roman" w:cs="Times New Roman"/>
          <w:sz w:val="24"/>
          <w:szCs w:val="24"/>
        </w:rPr>
        <w:t>emphasises</w:t>
      </w:r>
      <w:proofErr w:type="spellEnd"/>
      <w:r w:rsidRPr="00A63412">
        <w:rPr>
          <w:rFonts w:ascii="Times New Roman" w:hAnsi="Times New Roman" w:cs="Times New Roman"/>
          <w:sz w:val="24"/>
          <w:szCs w:val="24"/>
        </w:rPr>
        <w:t xml:space="preserve"> that, in economies with abundant </w:t>
      </w:r>
      <w:proofErr w:type="spellStart"/>
      <w:r w:rsidRPr="00A63412">
        <w:rPr>
          <w:rFonts w:ascii="Times New Roman" w:hAnsi="Times New Roman" w:cs="Times New Roman"/>
          <w:sz w:val="24"/>
          <w:szCs w:val="24"/>
        </w:rPr>
        <w:t>labour</w:t>
      </w:r>
      <w:proofErr w:type="spellEnd"/>
      <w:r w:rsidRPr="00A63412">
        <w:rPr>
          <w:rFonts w:ascii="Times New Roman" w:hAnsi="Times New Roman" w:cs="Times New Roman"/>
          <w:sz w:val="24"/>
          <w:szCs w:val="24"/>
        </w:rPr>
        <w:t>, growth is primarily constrained by the availability of capital and its productivity. In such contexts, foreign aid plays a vital role in supplementing low domestic savings, thereby enabling increased investment and fostering sustained economic expansion (Silva, 2013).</w:t>
      </w:r>
    </w:p>
    <w:p w:rsidR="00A80B75" w:rsidRPr="00A63412" w:rsidRDefault="00A80B75" w:rsidP="005846DF">
      <w:pPr>
        <w:spacing w:line="360" w:lineRule="auto"/>
        <w:ind w:left="720"/>
        <w:jc w:val="both"/>
        <w:rPr>
          <w:rFonts w:ascii="Times New Roman" w:hAnsi="Times New Roman" w:cs="Times New Roman"/>
          <w:sz w:val="24"/>
          <w:szCs w:val="24"/>
        </w:rPr>
      </w:pPr>
      <w:r w:rsidRPr="00A63412">
        <w:rPr>
          <w:rFonts w:ascii="Times New Roman" w:hAnsi="Times New Roman" w:cs="Times New Roman"/>
          <w:b/>
          <w:bCs/>
          <w:sz w:val="24"/>
          <w:szCs w:val="24"/>
        </w:rPr>
        <w:t>The import channel</w:t>
      </w:r>
      <w:r w:rsidR="00A65B05" w:rsidRPr="00A63412">
        <w:rPr>
          <w:rFonts w:ascii="Times New Roman" w:hAnsi="Times New Roman" w:cs="Times New Roman"/>
          <w:sz w:val="24"/>
          <w:szCs w:val="24"/>
        </w:rPr>
        <w:t xml:space="preserve">: </w:t>
      </w:r>
      <w:r w:rsidRPr="00A63412">
        <w:rPr>
          <w:rFonts w:ascii="Times New Roman" w:hAnsi="Times New Roman" w:cs="Times New Roman"/>
          <w:sz w:val="24"/>
          <w:szCs w:val="24"/>
        </w:rPr>
        <w:t xml:space="preserve">Aid provides </w:t>
      </w:r>
      <w:proofErr w:type="spellStart"/>
      <w:r w:rsidR="001F767E">
        <w:rPr>
          <w:rFonts w:ascii="Times New Roman" w:hAnsi="Times New Roman" w:cs="Times New Roman"/>
          <w:sz w:val="24"/>
          <w:szCs w:val="24"/>
        </w:rPr>
        <w:t>gom</w:t>
      </w:r>
      <w:r w:rsidRPr="00A63412">
        <w:rPr>
          <w:rFonts w:ascii="Times New Roman" w:hAnsi="Times New Roman" w:cs="Times New Roman"/>
          <w:sz w:val="24"/>
          <w:szCs w:val="24"/>
        </w:rPr>
        <w:t>foreign</w:t>
      </w:r>
      <w:proofErr w:type="spellEnd"/>
      <w:r w:rsidRPr="00A63412">
        <w:rPr>
          <w:rFonts w:ascii="Times New Roman" w:hAnsi="Times New Roman" w:cs="Times New Roman"/>
          <w:sz w:val="24"/>
          <w:szCs w:val="24"/>
        </w:rPr>
        <w:t xml:space="preserve"> exchange that allows countries to import capital goods and advanced technology. According to </w:t>
      </w:r>
      <w:proofErr w:type="spellStart"/>
      <w:r w:rsidRPr="00A63412">
        <w:rPr>
          <w:rFonts w:ascii="Times New Roman" w:hAnsi="Times New Roman" w:cs="Times New Roman"/>
          <w:sz w:val="24"/>
          <w:szCs w:val="24"/>
        </w:rPr>
        <w:t>Chenery</w:t>
      </w:r>
      <w:proofErr w:type="spellEnd"/>
      <w:r w:rsidRPr="00A63412">
        <w:rPr>
          <w:rFonts w:ascii="Times New Roman" w:hAnsi="Times New Roman" w:cs="Times New Roman"/>
          <w:sz w:val="24"/>
          <w:szCs w:val="24"/>
        </w:rPr>
        <w:t xml:space="preserve"> &amp; </w:t>
      </w:r>
      <w:proofErr w:type="spellStart"/>
      <w:r w:rsidRPr="00A63412">
        <w:rPr>
          <w:rFonts w:ascii="Times New Roman" w:hAnsi="Times New Roman" w:cs="Times New Roman"/>
          <w:sz w:val="24"/>
          <w:szCs w:val="24"/>
        </w:rPr>
        <w:t>Strout</w:t>
      </w:r>
      <w:proofErr w:type="spellEnd"/>
      <w:r w:rsidRPr="00A63412">
        <w:rPr>
          <w:rFonts w:ascii="Times New Roman" w:hAnsi="Times New Roman" w:cs="Times New Roman"/>
          <w:sz w:val="24"/>
          <w:szCs w:val="24"/>
        </w:rPr>
        <w:t xml:space="preserve"> (1966), many developing countries face foreign exchange shortages that limit their ability to import essential investment goods. Foreign aid, by alleviating this constraint, facilitates the importation of machinery and technological inputs, thereby supporting public investment and long-term capital accumulation (Silva, 2013).</w:t>
      </w:r>
    </w:p>
    <w:p w:rsidR="00A80B75" w:rsidRPr="00A63412" w:rsidRDefault="00A80B75" w:rsidP="005846DF">
      <w:pPr>
        <w:spacing w:line="360" w:lineRule="auto"/>
        <w:ind w:left="720"/>
        <w:jc w:val="both"/>
        <w:rPr>
          <w:rFonts w:ascii="Times New Roman" w:hAnsi="Times New Roman" w:cs="Times New Roman"/>
          <w:sz w:val="24"/>
          <w:szCs w:val="24"/>
        </w:rPr>
      </w:pPr>
      <w:r w:rsidRPr="00A63412">
        <w:rPr>
          <w:rFonts w:ascii="Times New Roman" w:hAnsi="Times New Roman" w:cs="Times New Roman"/>
          <w:b/>
          <w:bCs/>
          <w:sz w:val="24"/>
          <w:szCs w:val="24"/>
        </w:rPr>
        <w:t>The government expenditure channel</w:t>
      </w:r>
      <w:r w:rsidR="00A65B05" w:rsidRPr="00A63412">
        <w:rPr>
          <w:rFonts w:ascii="Times New Roman" w:hAnsi="Times New Roman" w:cs="Times New Roman"/>
          <w:sz w:val="24"/>
          <w:szCs w:val="24"/>
        </w:rPr>
        <w:t xml:space="preserve">: </w:t>
      </w:r>
      <w:r w:rsidRPr="00A63412">
        <w:rPr>
          <w:rFonts w:ascii="Times New Roman" w:hAnsi="Times New Roman" w:cs="Times New Roman"/>
          <w:sz w:val="24"/>
          <w:szCs w:val="24"/>
        </w:rPr>
        <w:t xml:space="preserve">Aid increases fiscal space and supports public consumption and investment. In settings where domestic revenues are insufficient to finance priority public spending, </w:t>
      </w:r>
      <w:r w:rsidR="00213AE9" w:rsidRPr="00A63412">
        <w:rPr>
          <w:rFonts w:ascii="Times New Roman" w:hAnsi="Times New Roman" w:cs="Times New Roman"/>
          <w:sz w:val="24"/>
          <w:szCs w:val="24"/>
        </w:rPr>
        <w:t xml:space="preserve">official development assistance </w:t>
      </w:r>
      <w:r w:rsidRPr="00A63412">
        <w:rPr>
          <w:rFonts w:ascii="Times New Roman" w:hAnsi="Times New Roman" w:cs="Times New Roman"/>
          <w:sz w:val="24"/>
          <w:szCs w:val="24"/>
        </w:rPr>
        <w:t>especially in th</w:t>
      </w:r>
      <w:r w:rsidR="00213AE9" w:rsidRPr="00A63412">
        <w:rPr>
          <w:rFonts w:ascii="Times New Roman" w:hAnsi="Times New Roman" w:cs="Times New Roman"/>
          <w:sz w:val="24"/>
          <w:szCs w:val="24"/>
        </w:rPr>
        <w:t xml:space="preserve">e form of direct budget </w:t>
      </w:r>
      <w:proofErr w:type="spellStart"/>
      <w:r w:rsidR="00213AE9" w:rsidRPr="00A63412">
        <w:rPr>
          <w:rFonts w:ascii="Times New Roman" w:hAnsi="Times New Roman" w:cs="Times New Roman"/>
          <w:sz w:val="24"/>
          <w:szCs w:val="24"/>
        </w:rPr>
        <w:t>suppor</w:t>
      </w:r>
      <w:proofErr w:type="spellEnd"/>
      <w:r w:rsidR="00213AE9" w:rsidRPr="00A63412">
        <w:rPr>
          <w:rFonts w:ascii="Times New Roman" w:hAnsi="Times New Roman" w:cs="Times New Roman"/>
          <w:sz w:val="24"/>
          <w:szCs w:val="24"/>
        </w:rPr>
        <w:t xml:space="preserve"> </w:t>
      </w:r>
      <w:r w:rsidRPr="00A63412">
        <w:rPr>
          <w:rFonts w:ascii="Times New Roman" w:hAnsi="Times New Roman" w:cs="Times New Roman"/>
          <w:sz w:val="24"/>
          <w:szCs w:val="24"/>
        </w:rPr>
        <w:t xml:space="preserve">can close fiscal gaps. This allows for expanded public expenditure in social and economic sectors, enhancing service delivery and potentially stimulating aggregate demand </w:t>
      </w:r>
      <w:r w:rsidR="00D21B8E">
        <w:rPr>
          <w:rFonts w:ascii="Times New Roman" w:hAnsi="Times New Roman" w:cs="Times New Roman"/>
          <w:sz w:val="24"/>
          <w:szCs w:val="24"/>
        </w:rPr>
        <w:t>and productivity (</w:t>
      </w:r>
      <w:proofErr w:type="spellStart"/>
      <w:r w:rsidR="00D21B8E">
        <w:rPr>
          <w:rFonts w:ascii="Times New Roman" w:hAnsi="Times New Roman" w:cs="Times New Roman"/>
          <w:sz w:val="24"/>
          <w:szCs w:val="24"/>
        </w:rPr>
        <w:t>Bacha</w:t>
      </w:r>
      <w:proofErr w:type="spellEnd"/>
      <w:r w:rsidRPr="00A63412">
        <w:rPr>
          <w:rFonts w:ascii="Times New Roman" w:hAnsi="Times New Roman" w:cs="Times New Roman"/>
          <w:sz w:val="24"/>
          <w:szCs w:val="24"/>
        </w:rPr>
        <w:t xml:space="preserve">, 1990; </w:t>
      </w:r>
      <w:proofErr w:type="spellStart"/>
      <w:r w:rsidRPr="00A63412">
        <w:rPr>
          <w:rFonts w:ascii="Times New Roman" w:hAnsi="Times New Roman" w:cs="Times New Roman"/>
          <w:sz w:val="24"/>
          <w:szCs w:val="24"/>
        </w:rPr>
        <w:t>Mamo</w:t>
      </w:r>
      <w:proofErr w:type="spellEnd"/>
      <w:r w:rsidRPr="00A63412">
        <w:rPr>
          <w:rFonts w:ascii="Times New Roman" w:hAnsi="Times New Roman" w:cs="Times New Roman"/>
          <w:sz w:val="24"/>
          <w:szCs w:val="24"/>
        </w:rPr>
        <w:t xml:space="preserve"> &amp; </w:t>
      </w:r>
      <w:proofErr w:type="spellStart"/>
      <w:r w:rsidRPr="00A63412">
        <w:rPr>
          <w:rFonts w:ascii="Times New Roman" w:hAnsi="Times New Roman" w:cs="Times New Roman"/>
          <w:sz w:val="24"/>
          <w:szCs w:val="24"/>
        </w:rPr>
        <w:t>Odhiambo</w:t>
      </w:r>
      <w:proofErr w:type="spellEnd"/>
      <w:r w:rsidRPr="00A63412">
        <w:rPr>
          <w:rFonts w:ascii="Times New Roman" w:hAnsi="Times New Roman" w:cs="Times New Roman"/>
          <w:sz w:val="24"/>
          <w:szCs w:val="24"/>
        </w:rPr>
        <w:t>, 2023).</w:t>
      </w:r>
    </w:p>
    <w:p w:rsidR="00A80B75" w:rsidRPr="00A63412" w:rsidRDefault="00A80B75" w:rsidP="005846DF">
      <w:pPr>
        <w:spacing w:line="360" w:lineRule="auto"/>
        <w:ind w:left="720"/>
        <w:jc w:val="both"/>
        <w:rPr>
          <w:rFonts w:ascii="Times New Roman" w:hAnsi="Times New Roman" w:cs="Times New Roman"/>
          <w:sz w:val="24"/>
          <w:szCs w:val="24"/>
        </w:rPr>
      </w:pPr>
      <w:r w:rsidRPr="00A63412">
        <w:rPr>
          <w:rFonts w:ascii="Times New Roman" w:hAnsi="Times New Roman" w:cs="Times New Roman"/>
          <w:b/>
          <w:bCs/>
          <w:sz w:val="24"/>
          <w:szCs w:val="24"/>
        </w:rPr>
        <w:t>The policy environment channel</w:t>
      </w:r>
      <w:r w:rsidR="00A65B05" w:rsidRPr="00A63412">
        <w:rPr>
          <w:rFonts w:ascii="Times New Roman" w:hAnsi="Times New Roman" w:cs="Times New Roman"/>
          <w:sz w:val="24"/>
          <w:szCs w:val="24"/>
        </w:rPr>
        <w:t>:</w:t>
      </w:r>
      <w:r w:rsidRPr="00A63412">
        <w:rPr>
          <w:rFonts w:ascii="Times New Roman" w:hAnsi="Times New Roman" w:cs="Times New Roman"/>
          <w:sz w:val="24"/>
          <w:szCs w:val="24"/>
        </w:rPr>
        <w:t xml:space="preserve"> Aid can contribute to strengthening institutional and policy frameworks. Beyond direct financial transfers, aid may play a catalytic role in supporting policy reforms, improving governance, and fostering institutional capacity. However, as Moreira (2002) cautions, the effecti</w:t>
      </w:r>
      <w:r w:rsidR="00A65B05" w:rsidRPr="00A63412">
        <w:rPr>
          <w:rFonts w:ascii="Times New Roman" w:hAnsi="Times New Roman" w:cs="Times New Roman"/>
          <w:sz w:val="24"/>
          <w:szCs w:val="24"/>
        </w:rPr>
        <w:t xml:space="preserve">veness of aid is highly context </w:t>
      </w:r>
      <w:r w:rsidRPr="00A63412">
        <w:rPr>
          <w:rFonts w:ascii="Times New Roman" w:hAnsi="Times New Roman" w:cs="Times New Roman"/>
          <w:sz w:val="24"/>
          <w:szCs w:val="24"/>
        </w:rPr>
        <w:t xml:space="preserve">dependent, </w:t>
      </w:r>
      <w:r w:rsidRPr="00A63412">
        <w:rPr>
          <w:rFonts w:ascii="Times New Roman" w:hAnsi="Times New Roman" w:cs="Times New Roman"/>
          <w:sz w:val="24"/>
          <w:szCs w:val="24"/>
        </w:rPr>
        <w:lastRenderedPageBreak/>
        <w:t>varying with a country’s stage of development, marginal propensities to save and import, and its broader institutional arrangements.</w:t>
      </w:r>
    </w:p>
    <w:p w:rsidR="00A80B75" w:rsidRPr="00A63412" w:rsidRDefault="00A80B75" w:rsidP="00A80B7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These transmission channels underscore the multifaceted pathways through which foreign aid can affect economic growth, contingent upon the quality of aid management, the absorptive capacity of recipient economies, and the alignment of aid with national development priorities.</w:t>
      </w:r>
    </w:p>
    <w:p w:rsidR="00F96C16" w:rsidRPr="00A63412" w:rsidRDefault="00F96C16" w:rsidP="00F96C16">
      <w:pPr>
        <w:spacing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2.1. Empirical Literature Review</w:t>
      </w:r>
    </w:p>
    <w:p w:rsidR="00F96C16" w:rsidRPr="00A63412" w:rsidRDefault="00F96C16" w:rsidP="00F96C16">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Empirical analyses into the relationship between foreign aid and economic growth have produced a wide array of findings, frequently </w:t>
      </w:r>
      <w:proofErr w:type="spellStart"/>
      <w:r w:rsidRPr="00A63412">
        <w:rPr>
          <w:rFonts w:ascii="Times New Roman" w:hAnsi="Times New Roman" w:cs="Times New Roman"/>
          <w:sz w:val="24"/>
          <w:szCs w:val="24"/>
        </w:rPr>
        <w:t>characterised</w:t>
      </w:r>
      <w:proofErr w:type="spellEnd"/>
      <w:r w:rsidRPr="00A63412">
        <w:rPr>
          <w:rFonts w:ascii="Times New Roman" w:hAnsi="Times New Roman" w:cs="Times New Roman"/>
          <w:sz w:val="24"/>
          <w:szCs w:val="24"/>
        </w:rPr>
        <w:t xml:space="preserve"> by divergence in direction, magnitude, and statistical significance. This lack of consensus reflects the inherently complex and context-dependent nature of aid effectiveness. While early theoretical frameworks in development economics assumed a direct and positive linkage grounded in the notion that foreign aid supplements domestic savings and fosters capital accumulation more recent empirical evidence suggests a more intricate dynamic. The effectiveness of aid appears to be strongly influenced by factors such as institutional quality, governance capacity, the strategic alignment of aid with national development priorities, and the efficiency of resource absorption and allocation mechanisms within recipient countries.</w:t>
      </w:r>
    </w:p>
    <w:p w:rsidR="00F96C16" w:rsidRPr="00A63412" w:rsidRDefault="00F96C16" w:rsidP="00830511">
      <w:pPr>
        <w:pStyle w:val="Subttulo"/>
      </w:pPr>
      <w:r w:rsidRPr="00A63412">
        <w:t>2.1.1. Evidence on Short-Term Effects</w:t>
      </w:r>
    </w:p>
    <w:p w:rsidR="00F96C16" w:rsidRPr="00A63412" w:rsidRDefault="00F96C16" w:rsidP="00F96C16">
      <w:pPr>
        <w:spacing w:line="360" w:lineRule="auto"/>
        <w:jc w:val="both"/>
        <w:rPr>
          <w:rFonts w:ascii="Times New Roman" w:hAnsi="Times New Roman" w:cs="Times New Roman"/>
          <w:sz w:val="24"/>
          <w:szCs w:val="24"/>
        </w:rPr>
      </w:pPr>
      <w:proofErr w:type="spellStart"/>
      <w:r w:rsidRPr="00A63412">
        <w:rPr>
          <w:rFonts w:ascii="Times New Roman" w:hAnsi="Times New Roman" w:cs="Times New Roman"/>
          <w:sz w:val="24"/>
          <w:szCs w:val="24"/>
        </w:rPr>
        <w:t>Offiong</w:t>
      </w:r>
      <w:proofErr w:type="spellEnd"/>
      <w:r w:rsidRPr="00A63412">
        <w:rPr>
          <w:rFonts w:ascii="Times New Roman" w:hAnsi="Times New Roman" w:cs="Times New Roman"/>
          <w:sz w:val="24"/>
          <w:szCs w:val="24"/>
        </w:rPr>
        <w:t xml:space="preserve"> et al. (2020) examined the case of Nigeria between 1990 and 2019 using the ARDL approach, focusing on the moderating role of endemic corruption. In the short run, foreign aid had a statistically significant and positive impact on economic growth when corruption was considered as a moderating factor. However, when foreign aid was disaggregated into its various forms programmes, projects, and humanitarian assistance each component was associated with a negative impact on growth. These results were attributed to inefficiencies in fund allocation and systemic governance weaknesses. The study underscores the importance of targeting aid towards productive sectors such as agriculture, education, and health in order to harness its short-term growth potential.</w:t>
      </w:r>
    </w:p>
    <w:p w:rsidR="00F96C16" w:rsidRPr="00A63412" w:rsidRDefault="00F96C16" w:rsidP="00F96C16">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Simila</w:t>
      </w:r>
      <w:r w:rsidR="00D21B8E">
        <w:rPr>
          <w:rFonts w:ascii="Times New Roman" w:hAnsi="Times New Roman" w:cs="Times New Roman"/>
          <w:sz w:val="24"/>
          <w:szCs w:val="24"/>
        </w:rPr>
        <w:t xml:space="preserve">rly, </w:t>
      </w:r>
      <w:proofErr w:type="spellStart"/>
      <w:r w:rsidR="00D21B8E">
        <w:rPr>
          <w:rFonts w:ascii="Times New Roman" w:hAnsi="Times New Roman" w:cs="Times New Roman"/>
          <w:sz w:val="24"/>
          <w:szCs w:val="24"/>
        </w:rPr>
        <w:t>Gebrsilassie</w:t>
      </w:r>
      <w:proofErr w:type="spellEnd"/>
      <w:r w:rsidR="00D21B8E">
        <w:rPr>
          <w:rFonts w:ascii="Times New Roman" w:hAnsi="Times New Roman" w:cs="Times New Roman"/>
          <w:sz w:val="24"/>
          <w:szCs w:val="24"/>
        </w:rPr>
        <w:t xml:space="preserve"> et al. </w:t>
      </w:r>
      <w:r w:rsidRPr="00A63412">
        <w:rPr>
          <w:rFonts w:ascii="Times New Roman" w:hAnsi="Times New Roman" w:cs="Times New Roman"/>
          <w:sz w:val="24"/>
          <w:szCs w:val="24"/>
        </w:rPr>
        <w:t xml:space="preserve">(2023) investigated Ethiopia’s experience from 1974 to 2017 using the ARDL methodology. Their results indicate that a 1% increase in foreign aid led to a 10% decrease in short-term economic growth, a counterintuitive outcome linked to the predominant use </w:t>
      </w:r>
      <w:r w:rsidRPr="00A63412">
        <w:rPr>
          <w:rFonts w:ascii="Times New Roman" w:hAnsi="Times New Roman" w:cs="Times New Roman"/>
          <w:sz w:val="24"/>
          <w:szCs w:val="24"/>
        </w:rPr>
        <w:lastRenderedPageBreak/>
        <w:t>of aid for consumption and poverty relief rather than investment. The authors argue that misalignment between aid inflows and capital formation priorities undermines short-term growth dynamics.</w:t>
      </w:r>
    </w:p>
    <w:p w:rsidR="00F96C16" w:rsidRPr="00A63412" w:rsidRDefault="00F96C16" w:rsidP="00830511">
      <w:pPr>
        <w:pStyle w:val="Subttulo"/>
      </w:pPr>
      <w:r w:rsidRPr="00A63412">
        <w:t>2.1.2. Evidence on Long-Term Effects</w:t>
      </w:r>
    </w:p>
    <w:p w:rsidR="00F96C16" w:rsidRPr="00A63412" w:rsidRDefault="00F96C16" w:rsidP="00F96C16">
      <w:pPr>
        <w:spacing w:line="360" w:lineRule="auto"/>
        <w:jc w:val="both"/>
        <w:rPr>
          <w:rFonts w:ascii="Times New Roman" w:hAnsi="Times New Roman" w:cs="Times New Roman"/>
          <w:sz w:val="24"/>
          <w:szCs w:val="24"/>
        </w:rPr>
      </w:pPr>
      <w:proofErr w:type="spellStart"/>
      <w:r w:rsidRPr="00A63412">
        <w:rPr>
          <w:rFonts w:ascii="Times New Roman" w:hAnsi="Times New Roman" w:cs="Times New Roman"/>
          <w:sz w:val="24"/>
          <w:szCs w:val="24"/>
        </w:rPr>
        <w:t>Karras</w:t>
      </w:r>
      <w:proofErr w:type="spellEnd"/>
      <w:r w:rsidRPr="00A63412">
        <w:rPr>
          <w:rFonts w:ascii="Times New Roman" w:hAnsi="Times New Roman" w:cs="Times New Roman"/>
          <w:sz w:val="24"/>
          <w:szCs w:val="24"/>
        </w:rPr>
        <w:t xml:space="preserve"> (2006), using panel data from 71 developing countries between 1960 and 1997, assessed the long-term impact of aid measured per capita and as a share of GDP. The study found a statistically significant positive relationship: an increase of USD 20 in aid per capita was associated with a 0.16 percentage point increase in long-term economic growth. Similarly, a 1% increase in the aid-to-GDP ratio resulted in a per capita GDP rise ranging from 0.14% to 0.26%. These findings highlight the potential scalability of aid’s positive effects over extended periods.</w:t>
      </w:r>
    </w:p>
    <w:p w:rsidR="00F96C16" w:rsidRPr="00A63412" w:rsidRDefault="00B67824" w:rsidP="00F96C16">
      <w:pPr>
        <w:spacing w:line="360" w:lineRule="auto"/>
        <w:jc w:val="both"/>
        <w:rPr>
          <w:rFonts w:ascii="Times New Roman" w:hAnsi="Times New Roman" w:cs="Times New Roman"/>
          <w:sz w:val="24"/>
          <w:szCs w:val="24"/>
        </w:rPr>
      </w:pPr>
      <w:r>
        <w:rPr>
          <w:rFonts w:ascii="Times New Roman" w:hAnsi="Times New Roman" w:cs="Times New Roman"/>
          <w:sz w:val="24"/>
          <w:szCs w:val="24"/>
        </w:rPr>
        <w:t>Mustafa et al.</w:t>
      </w:r>
      <w:r w:rsidR="00F96C16" w:rsidRPr="00A63412">
        <w:rPr>
          <w:rFonts w:ascii="Times New Roman" w:hAnsi="Times New Roman" w:cs="Times New Roman"/>
          <w:sz w:val="24"/>
          <w:szCs w:val="24"/>
        </w:rPr>
        <w:t xml:space="preserve"> (2019) applied the ARDL framework to Sudanese data from 1980 to 2015. They reported a positive and significant long-term effect of official development assistance on GDP, estimating that a 1% increase in aid led to a 0.38% increase in economic growth. However, the study also found that when aid interacted with public sector corruption, the outcome was significantly negative. These results suggest that the institutional environment plays a critical role in shaping the long-run effectiveness of aid.</w:t>
      </w:r>
    </w:p>
    <w:p w:rsidR="00F96C16" w:rsidRPr="00A63412" w:rsidRDefault="00F96C16" w:rsidP="00F96C16">
      <w:pPr>
        <w:spacing w:line="360" w:lineRule="auto"/>
        <w:jc w:val="both"/>
        <w:rPr>
          <w:rFonts w:ascii="Times New Roman" w:hAnsi="Times New Roman" w:cs="Times New Roman"/>
          <w:sz w:val="24"/>
          <w:szCs w:val="24"/>
        </w:rPr>
      </w:pPr>
      <w:proofErr w:type="spellStart"/>
      <w:r w:rsidRPr="00A63412">
        <w:rPr>
          <w:rFonts w:ascii="Times New Roman" w:hAnsi="Times New Roman" w:cs="Times New Roman"/>
          <w:sz w:val="24"/>
          <w:szCs w:val="24"/>
        </w:rPr>
        <w:t>Farahmand</w:t>
      </w:r>
      <w:proofErr w:type="spellEnd"/>
      <w:r w:rsidRPr="00A63412">
        <w:rPr>
          <w:rFonts w:ascii="Times New Roman" w:hAnsi="Times New Roman" w:cs="Times New Roman"/>
          <w:sz w:val="24"/>
          <w:szCs w:val="24"/>
        </w:rPr>
        <w:t xml:space="preserve"> (2021) analyzed Afghanistan’s experience from 1986 to 2018 using a Vector Error Correction (VEC) model. The long-term estimates indicated a positive association between aid and per capita GDP growth. According to the author, aid flows contributed to post-conflict recovery and infrastructure development, although the analysis did not explicitly test for sector-specific allocations or efficiency.</w:t>
      </w:r>
    </w:p>
    <w:p w:rsidR="00F96C16" w:rsidRPr="00A63412" w:rsidRDefault="00F96C16" w:rsidP="00F96C16">
      <w:pPr>
        <w:spacing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2.3</w:t>
      </w:r>
      <w:r w:rsidRPr="00844387">
        <w:rPr>
          <w:rStyle w:val="SubttuloCarter"/>
        </w:rPr>
        <w:t>. Synthesis and Analytical Insights</w:t>
      </w:r>
    </w:p>
    <w:p w:rsidR="00F96C16" w:rsidRPr="00A63412" w:rsidRDefault="00F96C16" w:rsidP="00F96C16">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reviewed empirical studies converge on the idea that foreign aid can contribute to economic growth, but its effectiveness is neither automatic nor guaranteed. In the short term, the impact of aid is highly sensitive to governance quality and the nature of spending. Misallocation of aid particularly toward consumption and non-investment uses may offset potential gains. In the long run, positive effects are more likely when aid supports capital accumulation and is delivered within sound institutional frameworks.</w:t>
      </w:r>
    </w:p>
    <w:p w:rsidR="00F96C16" w:rsidRPr="00A63412" w:rsidRDefault="00F96C16" w:rsidP="00F96C16">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lastRenderedPageBreak/>
        <w:t xml:space="preserve">Overall, these findings support the hypothesis that aid effectiveness is conditional on the policy and institutional environment of recipient countries. While the evidence does not provide a universal verdict, it consistently points to the importance of aligning aid with investment-oriented priorities and strengthening public sector governance to enhance aid productivity. Further empirical inquiry should </w:t>
      </w:r>
      <w:proofErr w:type="spellStart"/>
      <w:r w:rsidRPr="00A63412">
        <w:rPr>
          <w:rFonts w:ascii="Times New Roman" w:hAnsi="Times New Roman" w:cs="Times New Roman"/>
          <w:sz w:val="24"/>
          <w:szCs w:val="24"/>
        </w:rPr>
        <w:t>prioritise</w:t>
      </w:r>
      <w:proofErr w:type="spellEnd"/>
      <w:r w:rsidRPr="00A63412">
        <w:rPr>
          <w:rFonts w:ascii="Times New Roman" w:hAnsi="Times New Roman" w:cs="Times New Roman"/>
          <w:sz w:val="24"/>
          <w:szCs w:val="24"/>
        </w:rPr>
        <w:t xml:space="preserve"> identifying threshold effects and non-</w:t>
      </w:r>
      <w:proofErr w:type="spellStart"/>
      <w:r w:rsidRPr="00A63412">
        <w:rPr>
          <w:rFonts w:ascii="Times New Roman" w:hAnsi="Times New Roman" w:cs="Times New Roman"/>
          <w:sz w:val="24"/>
          <w:szCs w:val="24"/>
        </w:rPr>
        <w:t>linearities</w:t>
      </w:r>
      <w:proofErr w:type="spellEnd"/>
      <w:r w:rsidRPr="00A63412">
        <w:rPr>
          <w:rFonts w:ascii="Times New Roman" w:hAnsi="Times New Roman" w:cs="Times New Roman"/>
          <w:sz w:val="24"/>
          <w:szCs w:val="24"/>
        </w:rPr>
        <w:t xml:space="preserve"> that may explain the divergent outcomes observed across countries and time periods.</w:t>
      </w:r>
    </w:p>
    <w:p w:rsidR="00F96C16" w:rsidRPr="00A63412" w:rsidRDefault="00F96C16" w:rsidP="00844387">
      <w:pPr>
        <w:pStyle w:val="Ttulo"/>
      </w:pPr>
      <w:r w:rsidRPr="00A63412">
        <w:t>3. Methodology and Model Specification</w:t>
      </w:r>
    </w:p>
    <w:p w:rsidR="00F96C16" w:rsidRPr="00A63412" w:rsidRDefault="00830511" w:rsidP="00830511">
      <w:pPr>
        <w:pStyle w:val="Subttulo"/>
      </w:pPr>
      <w:r>
        <w:t xml:space="preserve">3.1. </w:t>
      </w:r>
      <w:r w:rsidR="00F96C16" w:rsidRPr="00A63412">
        <w:t>Theoretical Model</w:t>
      </w:r>
    </w:p>
    <w:p w:rsidR="00F96C16" w:rsidRPr="00A63412" w:rsidRDefault="00F96C16" w:rsidP="00F96C16">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This study builds upon the analytical foundations proposed by Lee (2016) and </w:t>
      </w:r>
      <w:proofErr w:type="spellStart"/>
      <w:r w:rsidRPr="00A63412">
        <w:rPr>
          <w:rFonts w:ascii="Times New Roman" w:hAnsi="Times New Roman" w:cs="Times New Roman"/>
          <w:sz w:val="24"/>
          <w:szCs w:val="24"/>
        </w:rPr>
        <w:t>Alghamdi</w:t>
      </w:r>
      <w:proofErr w:type="spellEnd"/>
      <w:r w:rsidRPr="00A63412">
        <w:rPr>
          <w:rFonts w:ascii="Times New Roman" w:hAnsi="Times New Roman" w:cs="Times New Roman"/>
          <w:sz w:val="24"/>
          <w:szCs w:val="24"/>
        </w:rPr>
        <w:t xml:space="preserve"> (2016), incorporating macroeconomic variables that have been recurrently identified in the literature as determinants of economic growth. The baseline model is specified as follows:</w:t>
      </w:r>
    </w:p>
    <w:p w:rsidR="00E17E9D" w:rsidRPr="00A63412" w:rsidRDefault="00E17E9D" w:rsidP="00F96C16">
      <w:pPr>
        <w:spacing w:line="360" w:lineRule="auto"/>
        <w:jc w:val="both"/>
        <w:rPr>
          <w:rFonts w:ascii="Times New Roman" w:eastAsiaTheme="minorEastAsia" w:hAnsi="Times New Roman" w:cs="Times New Roman"/>
          <w:bCs/>
        </w:rPr>
      </w:pPr>
      <m:oMath>
        <m:r>
          <w:rPr>
            <w:rFonts w:ascii="Cambria Math" w:eastAsiaTheme="minorEastAsia" w:hAnsi="Cambria Math" w:cs="Times New Roman"/>
          </w:rPr>
          <m:t>l</m:t>
        </m:r>
        <m:r>
          <w:rPr>
            <w:rFonts w:ascii="Cambria Math" w:eastAsia="Times New Roman" w:hAnsi="Cambria Math" w:cs="Times New Roman"/>
            <w:szCs w:val="24"/>
          </w:rPr>
          <m:t>n</m:t>
        </m:r>
        <m:sSub>
          <m:sSubPr>
            <m:ctrlPr>
              <w:rPr>
                <w:rFonts w:ascii="Cambria Math" w:eastAsia="Times New Roman" w:hAnsi="Cambria Math" w:cs="Times New Roman"/>
                <w:bCs/>
                <w:i/>
                <w:szCs w:val="24"/>
              </w:rPr>
            </m:ctrlPr>
          </m:sSubPr>
          <m:e>
            <m:r>
              <w:rPr>
                <w:rFonts w:ascii="Cambria Math" w:eastAsia="Times New Roman" w:hAnsi="Cambria Math" w:cs="Times New Roman"/>
                <w:szCs w:val="24"/>
              </w:rPr>
              <m:t>GDPpc</m:t>
            </m:r>
          </m:e>
          <m:sub>
            <m:r>
              <w:rPr>
                <w:rFonts w:ascii="Cambria Math" w:eastAsia="Times New Roman" w:hAnsi="Cambria Math" w:cs="Times New Roman"/>
                <w:szCs w:val="24"/>
              </w:rPr>
              <m:t>t</m:t>
            </m:r>
          </m:sub>
        </m:sSub>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β</m:t>
            </m:r>
          </m:e>
          <m:sub>
            <m:r>
              <w:rPr>
                <w:rFonts w:ascii="Cambria Math" w:eastAsiaTheme="minorEastAsia" w:hAnsi="Cambria Math" w:cs="Times New Roman"/>
              </w:rPr>
              <m:t>1</m:t>
            </m:r>
          </m:sub>
        </m:sSub>
        <m:sSub>
          <m:sSubPr>
            <m:ctrlPr>
              <w:rPr>
                <w:rFonts w:ascii="Cambria Math" w:eastAsiaTheme="minorEastAsia" w:hAnsi="Cambria Math" w:cs="Times New Roman"/>
                <w:bCs/>
                <w:i/>
              </w:rPr>
            </m:ctrlPr>
          </m:sSubPr>
          <m:e>
            <m:r>
              <w:rPr>
                <w:rFonts w:ascii="Cambria Math" w:eastAsiaTheme="minorEastAsia" w:hAnsi="Cambria Math" w:cs="Times New Roman"/>
              </w:rPr>
              <m:t>lnODA</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β</m:t>
            </m:r>
          </m:e>
          <m:sub>
            <m:r>
              <w:rPr>
                <w:rFonts w:ascii="Cambria Math" w:eastAsiaTheme="minorEastAsia" w:hAnsi="Cambria Math" w:cs="Times New Roman"/>
              </w:rPr>
              <m:t>2</m:t>
            </m:r>
          </m:sub>
        </m:sSub>
        <m:r>
          <w:rPr>
            <w:rFonts w:ascii="Cambria Math" w:eastAsiaTheme="minorEastAsia" w:hAnsi="Cambria Math" w:cs="Times New Roman"/>
          </w:rPr>
          <m:t>ln</m:t>
        </m:r>
        <m:sSub>
          <m:sSubPr>
            <m:ctrlPr>
              <w:rPr>
                <w:rFonts w:ascii="Cambria Math" w:eastAsiaTheme="minorEastAsia" w:hAnsi="Cambria Math" w:cs="Times New Roman"/>
                <w:bCs/>
                <w:i/>
              </w:rPr>
            </m:ctrlPr>
          </m:sSubPr>
          <m:e>
            <m:r>
              <w:rPr>
                <w:rFonts w:ascii="Cambria Math" w:eastAsiaTheme="minorEastAsia" w:hAnsi="Cambria Math" w:cs="Times New Roman"/>
              </w:rPr>
              <m:t>INV</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β</m:t>
            </m:r>
          </m:e>
          <m:sub>
            <m:r>
              <w:rPr>
                <w:rFonts w:ascii="Cambria Math" w:eastAsiaTheme="minorEastAsia" w:hAnsi="Cambria Math" w:cs="Times New Roman"/>
              </w:rPr>
              <m:t>3</m:t>
            </m:r>
          </m:sub>
        </m:sSub>
        <m:r>
          <w:rPr>
            <w:rFonts w:ascii="Cambria Math" w:eastAsiaTheme="minorEastAsia" w:hAnsi="Cambria Math" w:cs="Times New Roman"/>
          </w:rPr>
          <m:t>ln</m:t>
        </m:r>
        <m:sSub>
          <m:sSubPr>
            <m:ctrlPr>
              <w:rPr>
                <w:rFonts w:ascii="Cambria Math" w:eastAsiaTheme="minorEastAsia" w:hAnsi="Cambria Math" w:cs="Times New Roman"/>
                <w:bCs/>
                <w:i/>
              </w:rPr>
            </m:ctrlPr>
          </m:sSubPr>
          <m:e>
            <m:r>
              <w:rPr>
                <w:rFonts w:ascii="Cambria Math" w:eastAsiaTheme="minorEastAsia" w:hAnsi="Cambria Math" w:cs="Times New Roman"/>
              </w:rPr>
              <m:t>FDI</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β</m:t>
            </m:r>
          </m:e>
          <m:sub>
            <m:r>
              <w:rPr>
                <w:rFonts w:ascii="Cambria Math" w:eastAsiaTheme="minorEastAsia" w:hAnsi="Cambria Math" w:cs="Times New Roman"/>
              </w:rPr>
              <m:t>4</m:t>
            </m:r>
          </m:sub>
        </m:sSub>
        <m:r>
          <w:rPr>
            <w:rFonts w:ascii="Cambria Math" w:eastAsiaTheme="minorEastAsia" w:hAnsi="Cambria Math" w:cs="Times New Roman"/>
          </w:rPr>
          <m:t>ln</m:t>
        </m:r>
        <m:sSub>
          <m:sSubPr>
            <m:ctrlPr>
              <w:rPr>
                <w:rFonts w:ascii="Cambria Math" w:eastAsiaTheme="minorEastAsia" w:hAnsi="Cambria Math" w:cs="Times New Roman"/>
                <w:bCs/>
                <w:i/>
              </w:rPr>
            </m:ctrlPr>
          </m:sSubPr>
          <m:e>
            <m:r>
              <w:rPr>
                <w:rFonts w:ascii="Cambria Math" w:eastAsiaTheme="minorEastAsia" w:hAnsi="Cambria Math" w:cs="Times New Roman"/>
              </w:rPr>
              <m:t>IDBT</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μ</m:t>
            </m:r>
          </m:e>
          <m:sub>
            <m:r>
              <w:rPr>
                <w:rFonts w:ascii="Cambria Math" w:eastAsiaTheme="minorEastAsia" w:hAnsi="Cambria Math" w:cs="Times New Roman"/>
              </w:rPr>
              <m:t>t</m:t>
            </m:r>
          </m:sub>
        </m:sSub>
      </m:oMath>
      <w:r w:rsidR="005A2941" w:rsidRPr="00A63412">
        <w:rPr>
          <w:rFonts w:ascii="Times New Roman" w:eastAsiaTheme="minorEastAsia" w:hAnsi="Times New Roman" w:cs="Times New Roman"/>
          <w:bCs/>
        </w:rPr>
        <w:t xml:space="preserve">                                     (1)                                                                                                                       </w:t>
      </w:r>
    </w:p>
    <w:p w:rsidR="00E17E9D" w:rsidRPr="00A63412" w:rsidRDefault="00E17E9D" w:rsidP="00F96C16">
      <w:pPr>
        <w:spacing w:line="360" w:lineRule="auto"/>
        <w:jc w:val="both"/>
        <w:rPr>
          <w:rFonts w:ascii="Times New Roman" w:eastAsiaTheme="minorEastAsia" w:hAnsi="Times New Roman" w:cs="Times New Roman"/>
          <w:bCs/>
        </w:rPr>
      </w:pPr>
      <w:r w:rsidRPr="00A63412">
        <w:rPr>
          <w:rFonts w:ascii="Times New Roman" w:eastAsiaTheme="minorEastAsia" w:hAnsi="Times New Roman" w:cs="Times New Roman"/>
          <w:bCs/>
        </w:rPr>
        <w:t xml:space="preserve">Where: </w:t>
      </w:r>
    </w:p>
    <w:p w:rsidR="00E17E9D" w:rsidRPr="00A63412" w:rsidRDefault="00E17E9D" w:rsidP="00E17E9D">
      <w:pPr>
        <w:pStyle w:val="PargrafodaLista"/>
        <w:numPr>
          <w:ilvl w:val="0"/>
          <w:numId w:val="3"/>
        </w:numPr>
        <w:spacing w:line="360" w:lineRule="auto"/>
        <w:jc w:val="both"/>
        <w:rPr>
          <w:rFonts w:ascii="Times New Roman" w:hAnsi="Times New Roman" w:cs="Times New Roman"/>
          <w:sz w:val="24"/>
          <w:szCs w:val="24"/>
        </w:rPr>
      </w:pPr>
      <m:oMath>
        <m:r>
          <w:rPr>
            <w:rFonts w:ascii="Cambria Math" w:eastAsia="Times New Roman" w:hAnsi="Cambria Math" w:cs="Times New Roman"/>
            <w:szCs w:val="24"/>
          </w:rPr>
          <m:t xml:space="preserve">GDPpc: </m:t>
        </m:r>
      </m:oMath>
      <w:r w:rsidRPr="00A63412">
        <w:rPr>
          <w:rFonts w:ascii="Times New Roman" w:hAnsi="Times New Roman" w:cs="Times New Roman"/>
          <w:sz w:val="24"/>
          <w:szCs w:val="24"/>
        </w:rPr>
        <w:t>GDP p</w:t>
      </w:r>
      <w:r w:rsidR="00FD65E3" w:rsidRPr="00A63412">
        <w:rPr>
          <w:rFonts w:ascii="Times New Roman" w:hAnsi="Times New Roman" w:cs="Times New Roman"/>
          <w:sz w:val="24"/>
          <w:szCs w:val="24"/>
        </w:rPr>
        <w:t>er capita (USD, current prices);</w:t>
      </w:r>
    </w:p>
    <w:p w:rsidR="00E17E9D" w:rsidRPr="00A63412" w:rsidRDefault="00E17E9D" w:rsidP="00E17E9D">
      <w:pPr>
        <w:pStyle w:val="PargrafodaLista"/>
        <w:numPr>
          <w:ilvl w:val="0"/>
          <w:numId w:val="3"/>
        </w:numPr>
        <w:spacing w:line="360" w:lineRule="auto"/>
        <w:jc w:val="both"/>
        <w:rPr>
          <w:rFonts w:ascii="Times New Roman" w:hAnsi="Times New Roman" w:cs="Times New Roman"/>
          <w:sz w:val="24"/>
          <w:szCs w:val="24"/>
        </w:rPr>
      </w:pPr>
      <m:oMath>
        <m:r>
          <w:rPr>
            <w:rFonts w:ascii="Cambria Math" w:eastAsiaTheme="minorEastAsia" w:hAnsi="Cambria Math" w:cs="Times New Roman"/>
          </w:rPr>
          <m:t>ODA</m:t>
        </m:r>
      </m:oMath>
      <w:r w:rsidRPr="00A63412">
        <w:rPr>
          <w:rFonts w:ascii="Times New Roman" w:hAnsi="Times New Roman" w:cs="Times New Roman"/>
          <w:sz w:val="24"/>
          <w:szCs w:val="24"/>
        </w:rPr>
        <w:t xml:space="preserve">: Net </w:t>
      </w:r>
      <w:r w:rsidR="00812E54" w:rsidRPr="00A63412">
        <w:rPr>
          <w:rFonts w:ascii="Times New Roman" w:hAnsi="Times New Roman" w:cs="Times New Roman"/>
          <w:sz w:val="24"/>
          <w:szCs w:val="24"/>
        </w:rPr>
        <w:t>official development assistance as % GDP</w:t>
      </w:r>
    </w:p>
    <w:p w:rsidR="00E17E9D" w:rsidRPr="00A63412" w:rsidRDefault="00812E54" w:rsidP="00E17E9D">
      <w:pPr>
        <w:pStyle w:val="PargrafodaLista"/>
        <w:numPr>
          <w:ilvl w:val="0"/>
          <w:numId w:val="3"/>
        </w:num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INV: Total National Investment as % of GDP</w:t>
      </w:r>
      <w:r w:rsidR="00FD65E3" w:rsidRPr="00A63412">
        <w:rPr>
          <w:rFonts w:ascii="Times New Roman" w:hAnsi="Times New Roman" w:cs="Times New Roman"/>
          <w:sz w:val="24"/>
          <w:szCs w:val="24"/>
        </w:rPr>
        <w:t>;</w:t>
      </w:r>
    </w:p>
    <w:p w:rsidR="00E17E9D" w:rsidRPr="00A63412" w:rsidRDefault="00E17E9D" w:rsidP="00E17E9D">
      <w:pPr>
        <w:pStyle w:val="PargrafodaLista"/>
        <w:numPr>
          <w:ilvl w:val="0"/>
          <w:numId w:val="3"/>
        </w:numPr>
        <w:spacing w:line="360" w:lineRule="auto"/>
        <w:jc w:val="both"/>
        <w:rPr>
          <w:rFonts w:ascii="Times New Roman" w:hAnsi="Times New Roman" w:cs="Times New Roman"/>
          <w:sz w:val="24"/>
          <w:szCs w:val="24"/>
        </w:rPr>
      </w:pPr>
      <m:oMath>
        <m:r>
          <w:rPr>
            <w:rFonts w:ascii="Cambria Math" w:eastAsiaTheme="minorEastAsia" w:hAnsi="Cambria Math" w:cs="Times New Roman"/>
          </w:rPr>
          <m:t>FDI</m:t>
        </m:r>
      </m:oMath>
      <w:r w:rsidRPr="00A63412">
        <w:rPr>
          <w:rFonts w:ascii="Times New Roman" w:hAnsi="Times New Roman" w:cs="Times New Roman"/>
          <w:sz w:val="24"/>
          <w:szCs w:val="24"/>
        </w:rPr>
        <w:t>: Net foreig</w:t>
      </w:r>
      <w:r w:rsidR="00FD65E3" w:rsidRPr="00A63412">
        <w:rPr>
          <w:rFonts w:ascii="Times New Roman" w:hAnsi="Times New Roman" w:cs="Times New Roman"/>
          <w:sz w:val="24"/>
          <w:szCs w:val="24"/>
        </w:rPr>
        <w:t>n direct investment as % of GDP;</w:t>
      </w:r>
    </w:p>
    <w:p w:rsidR="00E17E9D" w:rsidRPr="00A63412" w:rsidRDefault="00E17E9D" w:rsidP="00E17E9D">
      <w:pPr>
        <w:pStyle w:val="PargrafodaLista"/>
        <w:numPr>
          <w:ilvl w:val="0"/>
          <w:numId w:val="3"/>
        </w:numPr>
        <w:spacing w:line="360" w:lineRule="auto"/>
        <w:jc w:val="both"/>
        <w:rPr>
          <w:rFonts w:ascii="Times New Roman" w:hAnsi="Times New Roman" w:cs="Times New Roman"/>
          <w:sz w:val="24"/>
          <w:szCs w:val="24"/>
        </w:rPr>
      </w:pPr>
      <m:oMath>
        <m:r>
          <m:rPr>
            <m:sty m:val="p"/>
          </m:rPr>
          <w:rPr>
            <w:rFonts w:ascii="Cambria Math" w:eastAsiaTheme="minorEastAsia" w:hAnsi="Cambria Math" w:cs="Times New Roman"/>
          </w:rPr>
          <m:t>I</m:t>
        </m:r>
        <m:r>
          <w:rPr>
            <w:rFonts w:ascii="Cambria Math" w:eastAsiaTheme="minorEastAsia" w:hAnsi="Cambria Math" w:cs="Times New Roman"/>
          </w:rPr>
          <m:t>NFL</m:t>
        </m:r>
      </m:oMath>
      <w:r w:rsidRPr="00A63412">
        <w:rPr>
          <w:rFonts w:ascii="Times New Roman" w:hAnsi="Times New Roman" w:cs="Times New Roman"/>
          <w:sz w:val="24"/>
          <w:szCs w:val="24"/>
        </w:rPr>
        <w:t>:</w:t>
      </w:r>
      <w:r w:rsidR="00FD65E3" w:rsidRPr="00A63412">
        <w:rPr>
          <w:rFonts w:ascii="Times New Roman" w:hAnsi="Times New Roman" w:cs="Times New Roman"/>
          <w:sz w:val="24"/>
          <w:szCs w:val="24"/>
        </w:rPr>
        <w:t xml:space="preserve"> Inflation rate (CPI, annual %);</w:t>
      </w:r>
    </w:p>
    <w:p w:rsidR="00E17E9D" w:rsidRPr="00A63412" w:rsidRDefault="003023F8" w:rsidP="00E17E9D">
      <w:pPr>
        <w:pStyle w:val="PargrafodaLista"/>
        <w:numPr>
          <w:ilvl w:val="0"/>
          <w:numId w:val="3"/>
        </w:numPr>
        <w:spacing w:line="360" w:lineRule="auto"/>
        <w:jc w:val="both"/>
        <w:rPr>
          <w:rFonts w:ascii="Times New Roman" w:hAnsi="Times New Roman" w:cs="Times New Roman"/>
          <w:sz w:val="24"/>
          <w:szCs w:val="24"/>
        </w:rPr>
      </w:pPr>
      <m:oMath>
        <m:sSub>
          <m:sSubPr>
            <m:ctrlPr>
              <w:rPr>
                <w:rFonts w:ascii="Cambria Math" w:eastAsiaTheme="minorEastAsia" w:hAnsi="Cambria Math" w:cs="Times New Roman"/>
                <w:bCs/>
                <w:i/>
              </w:rPr>
            </m:ctrlPr>
          </m:sSubPr>
          <m:e>
            <m:r>
              <w:rPr>
                <w:rFonts w:ascii="Cambria Math" w:eastAsiaTheme="minorEastAsia" w:hAnsi="Cambria Math" w:cs="Times New Roman"/>
              </w:rPr>
              <m:t>μ</m:t>
            </m:r>
          </m:e>
          <m:sub>
            <m:r>
              <w:rPr>
                <w:rFonts w:ascii="Cambria Math" w:eastAsiaTheme="minorEastAsia" w:hAnsi="Cambria Math" w:cs="Times New Roman"/>
              </w:rPr>
              <m:t>t</m:t>
            </m:r>
          </m:sub>
        </m:sSub>
      </m:oMath>
      <w:r w:rsidR="00E17E9D" w:rsidRPr="00A63412">
        <w:rPr>
          <w:rFonts w:ascii="Times New Roman" w:hAnsi="Times New Roman" w:cs="Times New Roman"/>
          <w:sz w:val="24"/>
          <w:szCs w:val="24"/>
        </w:rPr>
        <w:t>: Error term.</w:t>
      </w:r>
    </w:p>
    <w:p w:rsidR="005356B5" w:rsidRPr="00A63412" w:rsidRDefault="00D90D84" w:rsidP="00D90D84">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data consist of annual time series spann</w:t>
      </w:r>
      <w:r w:rsidR="00812E54" w:rsidRPr="00A63412">
        <w:rPr>
          <w:rFonts w:ascii="Times New Roman" w:hAnsi="Times New Roman" w:cs="Times New Roman"/>
          <w:sz w:val="24"/>
          <w:szCs w:val="24"/>
        </w:rPr>
        <w:t>ing the period from 1992 to 2022, comprising 31</w:t>
      </w:r>
      <w:r w:rsidRPr="00A63412">
        <w:rPr>
          <w:rFonts w:ascii="Times New Roman" w:hAnsi="Times New Roman" w:cs="Times New Roman"/>
          <w:sz w:val="24"/>
          <w:szCs w:val="24"/>
        </w:rPr>
        <w:t xml:space="preserve"> observations. Variables were sourced from the </w:t>
      </w:r>
      <w:r w:rsidR="00C83CAB" w:rsidRPr="00A63412">
        <w:rPr>
          <w:rFonts w:ascii="Times New Roman" w:hAnsi="Times New Roman" w:cs="Times New Roman"/>
          <w:sz w:val="24"/>
          <w:szCs w:val="24"/>
        </w:rPr>
        <w:t>World Bank</w:t>
      </w:r>
      <w:r w:rsidR="00812E54" w:rsidRPr="00A63412">
        <w:rPr>
          <w:rFonts w:ascii="Times New Roman" w:hAnsi="Times New Roman" w:cs="Times New Roman"/>
          <w:sz w:val="24"/>
          <w:szCs w:val="24"/>
        </w:rPr>
        <w:t>, and World Economics Outlooks (WEO)</w:t>
      </w:r>
      <w:r w:rsidRPr="00A63412">
        <w:rPr>
          <w:rFonts w:ascii="Times New Roman" w:hAnsi="Times New Roman" w:cs="Times New Roman"/>
          <w:sz w:val="24"/>
          <w:szCs w:val="24"/>
        </w:rPr>
        <w:t xml:space="preserve">. </w:t>
      </w:r>
    </w:p>
    <w:p w:rsidR="00D90D84" w:rsidRPr="00A63412" w:rsidRDefault="00F26106" w:rsidP="00830511">
      <w:pPr>
        <w:pStyle w:val="Subttulo"/>
      </w:pPr>
      <w:r w:rsidRPr="00A63412">
        <w:t>3.2</w:t>
      </w:r>
      <w:r w:rsidR="00830511">
        <w:t>.</w:t>
      </w:r>
      <w:r w:rsidRPr="00A63412">
        <w:t xml:space="preserve"> Empirical </w:t>
      </w:r>
      <w:r w:rsidR="00D90D84" w:rsidRPr="00A63412">
        <w:t>Modelling Approach</w:t>
      </w:r>
    </w:p>
    <w:p w:rsidR="00D90D84" w:rsidRPr="00A63412" w:rsidRDefault="00D90D84" w:rsidP="00D90D84">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To evaluate the dynamic relationship between foreign aid and economic growth, this study applies the Autoregressive Distributed Lag (ARDL) bounds testing procedure, complemented by an Error Correction Model (ECM) to capture both short-run adjustments and long-run equilibria. This approach is particularly advantageous in empirical contexts </w:t>
      </w:r>
      <w:proofErr w:type="spellStart"/>
      <w:r w:rsidRPr="00A63412">
        <w:rPr>
          <w:rFonts w:ascii="Times New Roman" w:hAnsi="Times New Roman" w:cs="Times New Roman"/>
          <w:sz w:val="24"/>
          <w:szCs w:val="24"/>
        </w:rPr>
        <w:t>characterised</w:t>
      </w:r>
      <w:proofErr w:type="spellEnd"/>
      <w:r w:rsidRPr="00A63412">
        <w:rPr>
          <w:rFonts w:ascii="Times New Roman" w:hAnsi="Times New Roman" w:cs="Times New Roman"/>
          <w:sz w:val="24"/>
          <w:szCs w:val="24"/>
        </w:rPr>
        <w:t xml:space="preserve"> by small sample sizes and variables integrated at mixed orders, i.e., </w:t>
      </w:r>
      <w:proofErr w:type="gramStart"/>
      <w:r w:rsidRPr="00A63412">
        <w:rPr>
          <w:rFonts w:ascii="Times New Roman" w:hAnsi="Times New Roman" w:cs="Times New Roman"/>
          <w:sz w:val="24"/>
          <w:szCs w:val="24"/>
        </w:rPr>
        <w:t>I(</w:t>
      </w:r>
      <w:proofErr w:type="gramEnd"/>
      <w:r w:rsidRPr="00A63412">
        <w:rPr>
          <w:rFonts w:ascii="Times New Roman" w:hAnsi="Times New Roman" w:cs="Times New Roman"/>
          <w:sz w:val="24"/>
          <w:szCs w:val="24"/>
        </w:rPr>
        <w:t xml:space="preserve">0) and I(1), provided none is I(2). Moreover, it </w:t>
      </w:r>
      <w:r w:rsidRPr="00A63412">
        <w:rPr>
          <w:rFonts w:ascii="Times New Roman" w:hAnsi="Times New Roman" w:cs="Times New Roman"/>
          <w:sz w:val="24"/>
          <w:szCs w:val="24"/>
        </w:rPr>
        <w:lastRenderedPageBreak/>
        <w:t>enables simultaneous estimation of both short- and long-run coefficients within a consistent econometric framework (</w:t>
      </w:r>
      <w:proofErr w:type="spellStart"/>
      <w:r w:rsidRPr="00A63412">
        <w:rPr>
          <w:rFonts w:ascii="Times New Roman" w:hAnsi="Times New Roman" w:cs="Times New Roman"/>
          <w:sz w:val="24"/>
          <w:szCs w:val="24"/>
        </w:rPr>
        <w:t>Olkeba</w:t>
      </w:r>
      <w:proofErr w:type="spellEnd"/>
      <w:r w:rsidRPr="00A63412">
        <w:rPr>
          <w:rFonts w:ascii="Times New Roman" w:hAnsi="Times New Roman" w:cs="Times New Roman"/>
          <w:sz w:val="24"/>
          <w:szCs w:val="24"/>
        </w:rPr>
        <w:t>, 2013).</w:t>
      </w:r>
    </w:p>
    <w:p w:rsidR="00D90D84" w:rsidRPr="00A63412" w:rsidRDefault="00D90D84" w:rsidP="00D90D84">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The ARDL bounds testing approach follows three principal steps, as discussed by </w:t>
      </w:r>
      <w:proofErr w:type="spellStart"/>
      <w:r w:rsidRPr="00A63412">
        <w:rPr>
          <w:rFonts w:ascii="Times New Roman" w:hAnsi="Times New Roman" w:cs="Times New Roman"/>
          <w:sz w:val="24"/>
          <w:szCs w:val="24"/>
        </w:rPr>
        <w:t>Olkeba</w:t>
      </w:r>
      <w:proofErr w:type="spellEnd"/>
      <w:r w:rsidRPr="00A63412">
        <w:rPr>
          <w:rFonts w:ascii="Times New Roman" w:hAnsi="Times New Roman" w:cs="Times New Roman"/>
          <w:sz w:val="24"/>
          <w:szCs w:val="24"/>
        </w:rPr>
        <w:t xml:space="preserve"> (2013) and </w:t>
      </w:r>
      <w:proofErr w:type="spellStart"/>
      <w:r w:rsidRPr="00A63412">
        <w:rPr>
          <w:rFonts w:ascii="Times New Roman" w:hAnsi="Times New Roman" w:cs="Times New Roman"/>
          <w:sz w:val="24"/>
          <w:szCs w:val="24"/>
        </w:rPr>
        <w:t>Kemiso</w:t>
      </w:r>
      <w:proofErr w:type="spellEnd"/>
      <w:r w:rsidRPr="00A63412">
        <w:rPr>
          <w:rFonts w:ascii="Times New Roman" w:hAnsi="Times New Roman" w:cs="Times New Roman"/>
          <w:sz w:val="24"/>
          <w:szCs w:val="24"/>
        </w:rPr>
        <w:t xml:space="preserve"> (2017): (</w:t>
      </w:r>
      <w:proofErr w:type="spellStart"/>
      <w:r w:rsidRPr="00A63412">
        <w:rPr>
          <w:rFonts w:ascii="Times New Roman" w:hAnsi="Times New Roman" w:cs="Times New Roman"/>
          <w:sz w:val="24"/>
          <w:szCs w:val="24"/>
        </w:rPr>
        <w:t>i</w:t>
      </w:r>
      <w:proofErr w:type="spellEnd"/>
      <w:r w:rsidRPr="00A63412">
        <w:rPr>
          <w:rFonts w:ascii="Times New Roman" w:hAnsi="Times New Roman" w:cs="Times New Roman"/>
          <w:sz w:val="24"/>
          <w:szCs w:val="24"/>
        </w:rPr>
        <w:t>) testing for the existence of a long-run relationship through the F-statistic; (ii) estimating the long-run equation and associated parameters; and (iii) estimating the short-run dynamics via the ECM representation.</w:t>
      </w:r>
    </w:p>
    <w:p w:rsidR="00D90D84" w:rsidRPr="00A63412" w:rsidRDefault="00D90D84" w:rsidP="00D90D84">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unrestricted error correction representation of the ARDL model is expressed as:</w:t>
      </w:r>
    </w:p>
    <w:p w:rsidR="00D90D84" w:rsidRPr="00A63412" w:rsidRDefault="00D90D84" w:rsidP="005A2941">
      <w:pPr>
        <w:spacing w:line="360" w:lineRule="auto"/>
        <w:jc w:val="both"/>
        <w:rPr>
          <w:rFonts w:ascii="Times New Roman" w:hAnsi="Times New Roman" w:cs="Times New Roman"/>
          <w:bCs/>
          <w:iCs/>
          <w:sz w:val="24"/>
          <w:szCs w:val="24"/>
        </w:rPr>
      </w:pPr>
      <m:oMath>
        <m:r>
          <m:rPr>
            <m:sty m:val="p"/>
          </m:rP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lnPIBpc</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nary>
          <m:naryPr>
            <m:chr m:val="∑"/>
            <m:limLoc m:val="undOvr"/>
            <m:ctrlPr>
              <w:rPr>
                <w:rFonts w:ascii="Cambria Math" w:hAnsi="Cambria Math" w:cs="Times New Roman"/>
                <w:bCs/>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p</m:t>
            </m:r>
          </m:sup>
          <m:e>
            <m:sSub>
              <m:sSubPr>
                <m:ctrlPr>
                  <w:rPr>
                    <w:rFonts w:ascii="Cambria Math" w:hAnsi="Cambria Math" w:cs="Times New Roman"/>
                    <w:bCs/>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1,i</m:t>
                </m:r>
              </m:sub>
            </m:sSub>
            <m:r>
              <m:rPr>
                <m:sty m:val="p"/>
              </m:rPr>
              <w:rPr>
                <w:rFonts w:ascii="Cambria Math" w:hAnsi="Cambria Math" w:cs="Times New Roman"/>
                <w:sz w:val="24"/>
                <w:szCs w:val="24"/>
              </w:rPr>
              <m:t>ln</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ODA</m:t>
                </m:r>
              </m:e>
              <m:sub>
                <m:r>
                  <m:rPr>
                    <m:sty m:val="p"/>
                  </m:rPr>
                  <w:rPr>
                    <w:rFonts w:ascii="Cambria Math" w:hAnsi="Cambria Math" w:cs="Times New Roman"/>
                    <w:sz w:val="24"/>
                    <w:szCs w:val="24"/>
                  </w:rPr>
                  <m:t>t-1</m:t>
                </m:r>
              </m:sub>
            </m:sSub>
          </m:e>
        </m:nary>
        <m:r>
          <m:rPr>
            <m:sty m:val="p"/>
          </m:rPr>
          <w:rPr>
            <w:rFonts w:ascii="Cambria Math" w:hAnsi="Cambria Math" w:cs="Times New Roman"/>
            <w:sz w:val="24"/>
            <w:szCs w:val="24"/>
          </w:rPr>
          <m:t>+</m:t>
        </m:r>
        <m:nary>
          <m:naryPr>
            <m:chr m:val="∑"/>
            <m:limLoc m:val="undOvr"/>
            <m:ctrlPr>
              <w:rPr>
                <w:rFonts w:ascii="Cambria Math" w:hAnsi="Cambria Math" w:cs="Times New Roman"/>
                <w:bCs/>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p</m:t>
            </m:r>
          </m:sup>
          <m:e>
            <m:sSub>
              <m:sSubPr>
                <m:ctrlPr>
                  <w:rPr>
                    <w:rFonts w:ascii="Cambria Math" w:hAnsi="Cambria Math" w:cs="Times New Roman"/>
                    <w:bCs/>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2,i</m:t>
                </m:r>
              </m:sub>
            </m:sSub>
            <m:sSub>
              <m:sSubPr>
                <m:ctrlPr>
                  <w:rPr>
                    <w:rFonts w:ascii="Cambria Math" w:hAnsi="Cambria Math" w:cs="Times New Roman"/>
                    <w:bCs/>
                    <w:iCs/>
                    <w:sz w:val="24"/>
                    <w:szCs w:val="24"/>
                  </w:rPr>
                </m:ctrlPr>
              </m:sSubPr>
              <m:e>
                <m:r>
                  <m:rPr>
                    <m:sty m:val="p"/>
                  </m:rPr>
                  <w:rPr>
                    <w:rFonts w:ascii="Cambria Math" w:hAnsi="Cambria Math" w:cs="Times New Roman"/>
                    <w:sz w:val="24"/>
                    <w:szCs w:val="24"/>
                  </w:rPr>
                  <m:t>lnFDI</m:t>
                </m:r>
              </m:e>
              <m:sub>
                <m:r>
                  <m:rPr>
                    <m:sty m:val="p"/>
                  </m:rPr>
                  <w:rPr>
                    <w:rFonts w:ascii="Cambria Math" w:hAnsi="Cambria Math" w:cs="Times New Roman"/>
                    <w:sz w:val="24"/>
                    <w:szCs w:val="24"/>
                  </w:rPr>
                  <m:t>t-i</m:t>
                </m:r>
              </m:sub>
            </m:sSub>
          </m:e>
        </m:nary>
        <m:r>
          <m:rPr>
            <m:sty m:val="p"/>
          </m:rPr>
          <w:rPr>
            <w:rFonts w:ascii="Cambria Math" w:hAnsi="Cambria Math" w:cs="Times New Roman"/>
            <w:sz w:val="24"/>
            <w:szCs w:val="24"/>
          </w:rPr>
          <m:t>+</m:t>
        </m:r>
        <m:nary>
          <m:naryPr>
            <m:chr m:val="∑"/>
            <m:limLoc m:val="undOvr"/>
            <m:ctrlPr>
              <w:rPr>
                <w:rFonts w:ascii="Cambria Math" w:hAnsi="Cambria Math" w:cs="Times New Roman"/>
                <w:bCs/>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p</m:t>
            </m:r>
          </m:sup>
          <m:e>
            <m:sSub>
              <m:sSubPr>
                <m:ctrlPr>
                  <w:rPr>
                    <w:rFonts w:ascii="Cambria Math" w:hAnsi="Cambria Math" w:cs="Times New Roman"/>
                    <w:bCs/>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3,i</m:t>
                </m:r>
              </m:sub>
            </m:sSub>
            <m:sSub>
              <m:sSubPr>
                <m:ctrlPr>
                  <w:rPr>
                    <w:rFonts w:ascii="Cambria Math" w:hAnsi="Cambria Math" w:cs="Times New Roman"/>
                    <w:bCs/>
                    <w:iCs/>
                    <w:sz w:val="24"/>
                    <w:szCs w:val="24"/>
                  </w:rPr>
                </m:ctrlPr>
              </m:sSubPr>
              <m:e>
                <m:r>
                  <m:rPr>
                    <m:sty m:val="p"/>
                  </m:rPr>
                  <w:rPr>
                    <w:rFonts w:ascii="Cambria Math" w:hAnsi="Cambria Math" w:cs="Times New Roman"/>
                    <w:sz w:val="24"/>
                    <w:szCs w:val="24"/>
                  </w:rPr>
                  <m:t>lnINV</m:t>
                </m:r>
              </m:e>
              <m:sub>
                <m:r>
                  <m:rPr>
                    <m:sty m:val="p"/>
                  </m:rPr>
                  <w:rPr>
                    <w:rFonts w:ascii="Cambria Math" w:hAnsi="Cambria Math" w:cs="Times New Roman"/>
                    <w:sz w:val="24"/>
                    <w:szCs w:val="24"/>
                  </w:rPr>
                  <m:t>t-i</m:t>
                </m:r>
              </m:sub>
            </m:sSub>
          </m:e>
        </m:nary>
        <m:r>
          <m:rPr>
            <m:sty m:val="p"/>
          </m:rPr>
          <w:rPr>
            <w:rFonts w:ascii="Cambria Math" w:hAnsi="Cambria Math" w:cs="Times New Roman"/>
            <w:sz w:val="24"/>
            <w:szCs w:val="24"/>
          </w:rPr>
          <m:t>+</m:t>
        </m:r>
        <m:nary>
          <m:naryPr>
            <m:chr m:val="∑"/>
            <m:limLoc m:val="undOvr"/>
            <m:ctrlPr>
              <w:rPr>
                <w:rFonts w:ascii="Cambria Math" w:hAnsi="Cambria Math" w:cs="Times New Roman"/>
                <w:bCs/>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p</m:t>
            </m:r>
          </m:sup>
          <m:e>
            <m:sSub>
              <m:sSubPr>
                <m:ctrlPr>
                  <w:rPr>
                    <w:rFonts w:ascii="Cambria Math" w:hAnsi="Cambria Math" w:cs="Times New Roman"/>
                    <w:bCs/>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4,i</m:t>
                </m:r>
              </m:sub>
            </m:sSub>
            <m:sSub>
              <m:sSubPr>
                <m:ctrlPr>
                  <w:rPr>
                    <w:rFonts w:ascii="Cambria Math" w:hAnsi="Cambria Math" w:cs="Times New Roman"/>
                    <w:bCs/>
                    <w:iCs/>
                    <w:sz w:val="24"/>
                    <w:szCs w:val="24"/>
                  </w:rPr>
                </m:ctrlPr>
              </m:sSubPr>
              <m:e>
                <m:r>
                  <m:rPr>
                    <m:sty m:val="p"/>
                  </m:rPr>
                  <w:rPr>
                    <w:rFonts w:ascii="Cambria Math" w:hAnsi="Cambria Math" w:cs="Times New Roman"/>
                    <w:sz w:val="24"/>
                    <w:szCs w:val="24"/>
                  </w:rPr>
                  <m:t>lnDBT</m:t>
                </m:r>
              </m:e>
              <m:sub>
                <m:r>
                  <m:rPr>
                    <m:sty m:val="p"/>
                  </m:rPr>
                  <w:rPr>
                    <w:rFonts w:ascii="Cambria Math" w:hAnsi="Cambria Math" w:cs="Times New Roman"/>
                    <w:sz w:val="24"/>
                    <w:szCs w:val="24"/>
                  </w:rPr>
                  <m:t>t-i</m:t>
                </m:r>
              </m:sub>
            </m:sSub>
          </m:e>
        </m:nary>
        <m: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1</m:t>
            </m:r>
          </m:sub>
        </m:sSub>
        <m:sSub>
          <m:sSubPr>
            <m:ctrlPr>
              <w:rPr>
                <w:rFonts w:ascii="Cambria Math" w:hAnsi="Cambria Math" w:cs="Times New Roman"/>
                <w:bCs/>
                <w:iCs/>
                <w:sz w:val="24"/>
                <w:szCs w:val="24"/>
              </w:rPr>
            </m:ctrlPr>
          </m:sSubPr>
          <m:e>
            <m:r>
              <m:rPr>
                <m:sty m:val="p"/>
              </m:rPr>
              <w:rPr>
                <w:rFonts w:ascii="Cambria Math" w:hAnsi="Cambria Math" w:cs="Times New Roman"/>
                <w:sz w:val="24"/>
                <w:szCs w:val="24"/>
              </w:rPr>
              <m:t>lnODA</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ln</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FDI</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3</m:t>
            </m:r>
          </m:sub>
        </m:sSub>
        <m:sSub>
          <m:sSubPr>
            <m:ctrlPr>
              <w:rPr>
                <w:rFonts w:ascii="Cambria Math" w:hAnsi="Cambria Math" w:cs="Times New Roman"/>
                <w:bCs/>
                <w:iCs/>
                <w:sz w:val="24"/>
                <w:szCs w:val="24"/>
              </w:rPr>
            </m:ctrlPr>
          </m:sSubPr>
          <m:e>
            <m:r>
              <m:rPr>
                <m:sty m:val="p"/>
              </m:rPr>
              <w:rPr>
                <w:rFonts w:ascii="Cambria Math" w:hAnsi="Cambria Math" w:cs="Times New Roman"/>
                <w:sz w:val="24"/>
                <w:szCs w:val="24"/>
              </w:rPr>
              <m:t>lnINV</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4</m:t>
            </m:r>
          </m:sub>
        </m:sSub>
        <m:sSub>
          <m:sSubPr>
            <m:ctrlPr>
              <w:rPr>
                <w:rFonts w:ascii="Cambria Math" w:hAnsi="Cambria Math" w:cs="Times New Roman"/>
                <w:bCs/>
                <w:iCs/>
                <w:sz w:val="24"/>
                <w:szCs w:val="24"/>
              </w:rPr>
            </m:ctrlPr>
          </m:sSubPr>
          <m:e>
            <m:r>
              <m:rPr>
                <m:sty m:val="p"/>
              </m:rPr>
              <w:rPr>
                <w:rFonts w:ascii="Cambria Math" w:hAnsi="Cambria Math" w:cs="Times New Roman"/>
                <w:sz w:val="24"/>
                <w:szCs w:val="24"/>
              </w:rPr>
              <m:t>lnDBT</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ECM</m:t>
            </m:r>
          </m:e>
          <m:sub>
            <m:r>
              <m:rPr>
                <m:sty m:val="p"/>
              </m:rPr>
              <w:rPr>
                <w:rFonts w:ascii="Cambria Math" w:hAnsi="Cambria Math" w:cs="Times New Roman"/>
                <w:sz w:val="24"/>
                <w:szCs w:val="24"/>
              </w:rPr>
              <m:t>t</m:t>
            </m:r>
          </m:sub>
        </m:sSub>
      </m:oMath>
      <w:r w:rsidR="005A2941" w:rsidRPr="00A63412">
        <w:rPr>
          <w:rFonts w:ascii="Times New Roman" w:eastAsiaTheme="minorEastAsia" w:hAnsi="Times New Roman" w:cs="Times New Roman"/>
          <w:bCs/>
          <w:iCs/>
          <w:sz w:val="24"/>
          <w:szCs w:val="24"/>
        </w:rPr>
        <w:t xml:space="preserve">              (2)                                                                  </w:t>
      </w:r>
    </w:p>
    <w:p w:rsidR="00C37409" w:rsidRPr="00A63412" w:rsidRDefault="00C37409" w:rsidP="00C37409">
      <w:pPr>
        <w:spacing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Where:</w:t>
      </w:r>
    </w:p>
    <w:p w:rsidR="00F26106" w:rsidRDefault="00C37409" w:rsidP="00D90D84">
      <w:pPr>
        <w:spacing w:line="360" w:lineRule="auto"/>
        <w:jc w:val="both"/>
        <w:rPr>
          <w:rFonts w:ascii="Times New Roman" w:hAnsi="Times New Roman" w:cs="Times New Roman"/>
          <w:sz w:val="24"/>
          <w:szCs w:val="24"/>
        </w:rPr>
      </w:pPr>
      <w:r w:rsidRPr="00A63412">
        <w:rPr>
          <w:rFonts w:ascii="Times New Roman" w:hAnsi="Times New Roman" w:cs="Times New Roman"/>
          <w:b/>
          <w:bCs/>
          <w:sz w:val="24"/>
          <w:szCs w:val="24"/>
        </w:rPr>
        <w:t xml:space="preserve"> </w:t>
      </w:r>
      <w:proofErr w:type="gramStart"/>
      <w:r w:rsidRPr="00A63412">
        <w:rPr>
          <w:rFonts w:ascii="Times New Roman" w:hAnsi="Times New Roman" w:cs="Times New Roman"/>
          <w:sz w:val="24"/>
          <w:szCs w:val="24"/>
        </w:rPr>
        <w:t>p</w:t>
      </w:r>
      <w:proofErr w:type="gramEnd"/>
      <w:r w:rsidRPr="00A63412">
        <w:rPr>
          <w:rFonts w:ascii="Times New Roman" w:hAnsi="Times New Roman" w:cs="Times New Roman"/>
          <w:sz w:val="24"/>
          <w:szCs w:val="24"/>
        </w:rPr>
        <w:t xml:space="preserve"> indicates the lag length, Δ represents the difference operator, </w:t>
      </w:r>
      <w:r w:rsidRPr="00A63412">
        <w:rPr>
          <w:rFonts w:ascii="Cambria Math" w:hAnsi="Cambria Math" w:cs="Cambria Math"/>
          <w:sz w:val="24"/>
          <w:szCs w:val="24"/>
        </w:rPr>
        <w:t>𝜷𝟎</w:t>
      </w:r>
      <w:r w:rsidRPr="00A63412">
        <w:rPr>
          <w:rFonts w:ascii="Times New Roman" w:hAnsi="Times New Roman" w:cs="Times New Roman"/>
          <w:sz w:val="24"/>
          <w:szCs w:val="24"/>
        </w:rPr>
        <w:t xml:space="preserve"> is the deviation, </w:t>
      </w:r>
      <w:r w:rsidRPr="00A63412">
        <w:rPr>
          <w:rFonts w:ascii="Cambria Math" w:hAnsi="Cambria Math" w:cs="Cambria Math"/>
          <w:sz w:val="24"/>
          <w:szCs w:val="24"/>
        </w:rPr>
        <w:t>𝝁𝒕</w:t>
      </w:r>
      <w:r w:rsidRPr="00A63412">
        <w:rPr>
          <w:rFonts w:ascii="Times New Roman" w:hAnsi="Times New Roman" w:cs="Times New Roman"/>
          <w:sz w:val="24"/>
          <w:szCs w:val="24"/>
        </w:rPr>
        <w:t xml:space="preserve"> is the disturbance term, the parameters </w:t>
      </w:r>
      <w:r w:rsidRPr="00A63412">
        <w:rPr>
          <w:rFonts w:ascii="Cambria Math" w:hAnsi="Cambria Math" w:cs="Cambria Math"/>
          <w:sz w:val="24"/>
          <w:szCs w:val="24"/>
        </w:rPr>
        <w:t>𝜷𝟏</w:t>
      </w:r>
      <w:r w:rsidRPr="00A63412">
        <w:rPr>
          <w:rFonts w:ascii="Times New Roman" w:hAnsi="Times New Roman" w:cs="Times New Roman"/>
          <w:sz w:val="24"/>
          <w:szCs w:val="24"/>
        </w:rPr>
        <w:t xml:space="preserve">- </w:t>
      </w:r>
      <w:r w:rsidR="00A65B05" w:rsidRPr="00A63412">
        <w:rPr>
          <w:rFonts w:ascii="Cambria Math" w:hAnsi="Cambria Math" w:cs="Cambria Math"/>
          <w:sz w:val="24"/>
          <w:szCs w:val="24"/>
        </w:rPr>
        <w:t>𝜷</w:t>
      </w:r>
      <w:r w:rsidR="00830511">
        <w:rPr>
          <w:rFonts w:ascii="Times New Roman" w:hAnsi="Times New Roman" w:cs="Times New Roman"/>
          <w:sz w:val="24"/>
          <w:szCs w:val="24"/>
        </w:rPr>
        <w:t>4</w:t>
      </w:r>
      <w:r w:rsidRPr="00A63412">
        <w:rPr>
          <w:rFonts w:ascii="Times New Roman" w:hAnsi="Times New Roman" w:cs="Times New Roman"/>
          <w:sz w:val="24"/>
          <w:szCs w:val="24"/>
        </w:rPr>
        <w:t xml:space="preserve"> represent the coefficients of the short-term dynamics and </w:t>
      </w:r>
      <w:r w:rsidRPr="00A63412">
        <w:rPr>
          <w:rFonts w:ascii="Cambria Math" w:hAnsi="Cambria Math" w:cs="Cambria Math"/>
          <w:sz w:val="24"/>
          <w:szCs w:val="24"/>
        </w:rPr>
        <w:t>𝜸𝟏</w:t>
      </w:r>
      <w:r w:rsidRPr="00A63412">
        <w:rPr>
          <w:rFonts w:ascii="Times New Roman" w:hAnsi="Times New Roman" w:cs="Times New Roman"/>
          <w:sz w:val="24"/>
          <w:szCs w:val="24"/>
        </w:rPr>
        <w:t xml:space="preserve"> a </w:t>
      </w:r>
      <w:r w:rsidR="00A65B05" w:rsidRPr="00A63412">
        <w:rPr>
          <w:rFonts w:ascii="Cambria Math" w:hAnsi="Cambria Math" w:cs="Cambria Math"/>
          <w:sz w:val="24"/>
          <w:szCs w:val="24"/>
        </w:rPr>
        <w:t>𝜸</w:t>
      </w:r>
      <w:r w:rsidR="00830511">
        <w:rPr>
          <w:rFonts w:ascii="Times New Roman" w:hAnsi="Times New Roman" w:cs="Times New Roman"/>
          <w:sz w:val="24"/>
          <w:szCs w:val="24"/>
        </w:rPr>
        <w:t>4</w:t>
      </w:r>
      <w:r w:rsidRPr="00A63412">
        <w:rPr>
          <w:rFonts w:ascii="Times New Roman" w:hAnsi="Times New Roman" w:cs="Times New Roman"/>
          <w:sz w:val="24"/>
          <w:szCs w:val="24"/>
        </w:rPr>
        <w:t xml:space="preserve"> represent the coefficients of the long-term relationship, ECM represents the degree of adjustment of the model to shocks.</w:t>
      </w:r>
    </w:p>
    <w:p w:rsidR="00EE5A77" w:rsidRDefault="00E71954" w:rsidP="00D90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5A77">
        <w:rPr>
          <w:rFonts w:ascii="Times New Roman" w:hAnsi="Times New Roman" w:cs="Times New Roman"/>
          <w:sz w:val="24"/>
          <w:szCs w:val="24"/>
        </w:rPr>
        <w:t>Var</w:t>
      </w:r>
      <w:r>
        <w:rPr>
          <w:rFonts w:ascii="Times New Roman" w:hAnsi="Times New Roman" w:cs="Times New Roman"/>
          <w:sz w:val="24"/>
          <w:szCs w:val="24"/>
        </w:rPr>
        <w:t>iables definition, Expected Sign and Hypothesis</w:t>
      </w:r>
    </w:p>
    <w:tbl>
      <w:tblPr>
        <w:tblStyle w:val="Tabelacomgrelha"/>
        <w:tblW w:w="0" w:type="auto"/>
        <w:jc w:val="center"/>
        <w:tblLook w:val="04A0" w:firstRow="1" w:lastRow="0" w:firstColumn="1" w:lastColumn="0" w:noHBand="0" w:noVBand="1"/>
      </w:tblPr>
      <w:tblGrid>
        <w:gridCol w:w="1043"/>
        <w:gridCol w:w="2037"/>
        <w:gridCol w:w="883"/>
        <w:gridCol w:w="3270"/>
        <w:gridCol w:w="2117"/>
      </w:tblGrid>
      <w:tr w:rsidR="005356B5" w:rsidRPr="005356B5" w:rsidTr="005356B5">
        <w:trPr>
          <w:jc w:val="center"/>
        </w:trPr>
        <w:tc>
          <w:tcPr>
            <w:tcW w:w="0" w:type="auto"/>
            <w:hideMark/>
          </w:tcPr>
          <w:p w:rsidR="005356B5" w:rsidRPr="00E71954" w:rsidRDefault="005356B5" w:rsidP="005356B5">
            <w:pPr>
              <w:jc w:val="center"/>
              <w:rPr>
                <w:rFonts w:ascii="Times New Roman" w:eastAsia="Times New Roman" w:hAnsi="Times New Roman" w:cs="Times New Roman"/>
                <w:bCs/>
                <w:sz w:val="24"/>
                <w:szCs w:val="24"/>
              </w:rPr>
            </w:pPr>
            <w:r w:rsidRPr="00E71954">
              <w:rPr>
                <w:rFonts w:ascii="Times New Roman" w:eastAsia="Times New Roman" w:hAnsi="Times New Roman" w:cs="Times New Roman"/>
                <w:bCs/>
                <w:sz w:val="24"/>
                <w:szCs w:val="24"/>
              </w:rPr>
              <w:t>Variable</w:t>
            </w:r>
          </w:p>
        </w:tc>
        <w:tc>
          <w:tcPr>
            <w:tcW w:w="0" w:type="auto"/>
            <w:hideMark/>
          </w:tcPr>
          <w:p w:rsidR="005356B5" w:rsidRPr="00E71954" w:rsidRDefault="005356B5" w:rsidP="005356B5">
            <w:pPr>
              <w:jc w:val="center"/>
              <w:rPr>
                <w:rFonts w:ascii="Times New Roman" w:eastAsia="Times New Roman" w:hAnsi="Times New Roman" w:cs="Times New Roman"/>
                <w:bCs/>
                <w:sz w:val="24"/>
                <w:szCs w:val="24"/>
              </w:rPr>
            </w:pPr>
            <w:r w:rsidRPr="00E71954">
              <w:rPr>
                <w:rFonts w:ascii="Times New Roman" w:eastAsia="Times New Roman" w:hAnsi="Times New Roman" w:cs="Times New Roman"/>
                <w:bCs/>
                <w:sz w:val="24"/>
                <w:szCs w:val="24"/>
              </w:rPr>
              <w:t>Definition</w:t>
            </w:r>
          </w:p>
        </w:tc>
        <w:tc>
          <w:tcPr>
            <w:tcW w:w="0" w:type="auto"/>
            <w:hideMark/>
          </w:tcPr>
          <w:p w:rsidR="005356B5" w:rsidRPr="00E71954" w:rsidRDefault="005356B5" w:rsidP="005356B5">
            <w:pPr>
              <w:jc w:val="center"/>
              <w:rPr>
                <w:rFonts w:ascii="Times New Roman" w:eastAsia="Times New Roman" w:hAnsi="Times New Roman" w:cs="Times New Roman"/>
                <w:bCs/>
                <w:sz w:val="24"/>
                <w:szCs w:val="24"/>
              </w:rPr>
            </w:pPr>
            <w:r w:rsidRPr="00E71954">
              <w:rPr>
                <w:rFonts w:ascii="Times New Roman" w:eastAsia="Times New Roman" w:hAnsi="Times New Roman" w:cs="Times New Roman"/>
                <w:bCs/>
                <w:sz w:val="24"/>
                <w:szCs w:val="24"/>
              </w:rPr>
              <w:t>Source</w:t>
            </w:r>
          </w:p>
        </w:tc>
        <w:tc>
          <w:tcPr>
            <w:tcW w:w="0" w:type="auto"/>
            <w:hideMark/>
          </w:tcPr>
          <w:p w:rsidR="005356B5" w:rsidRPr="00E71954" w:rsidRDefault="005356B5" w:rsidP="005356B5">
            <w:pPr>
              <w:jc w:val="center"/>
              <w:rPr>
                <w:rFonts w:ascii="Times New Roman" w:eastAsia="Times New Roman" w:hAnsi="Times New Roman" w:cs="Times New Roman"/>
                <w:bCs/>
                <w:sz w:val="24"/>
                <w:szCs w:val="24"/>
              </w:rPr>
            </w:pPr>
            <w:r w:rsidRPr="00E71954">
              <w:rPr>
                <w:rFonts w:ascii="Times New Roman" w:eastAsia="Times New Roman" w:hAnsi="Times New Roman" w:cs="Times New Roman"/>
                <w:bCs/>
                <w:sz w:val="24"/>
                <w:szCs w:val="24"/>
              </w:rPr>
              <w:t xml:space="preserve">Expected Sign </w:t>
            </w:r>
          </w:p>
        </w:tc>
        <w:tc>
          <w:tcPr>
            <w:tcW w:w="0" w:type="auto"/>
            <w:hideMark/>
          </w:tcPr>
          <w:p w:rsidR="005356B5" w:rsidRPr="00E71954" w:rsidRDefault="005356B5" w:rsidP="005356B5">
            <w:pPr>
              <w:jc w:val="center"/>
              <w:rPr>
                <w:rFonts w:ascii="Times New Roman" w:eastAsia="Times New Roman" w:hAnsi="Times New Roman" w:cs="Times New Roman"/>
                <w:bCs/>
                <w:sz w:val="24"/>
                <w:szCs w:val="24"/>
              </w:rPr>
            </w:pPr>
            <w:r w:rsidRPr="00E71954">
              <w:rPr>
                <w:rFonts w:ascii="Times New Roman" w:eastAsia="Times New Roman" w:hAnsi="Times New Roman" w:cs="Times New Roman"/>
                <w:bCs/>
                <w:sz w:val="24"/>
                <w:szCs w:val="24"/>
              </w:rPr>
              <w:t>Hypothesis</w:t>
            </w:r>
          </w:p>
        </w:tc>
      </w:tr>
      <w:tr w:rsidR="00844387" w:rsidRPr="005356B5" w:rsidTr="005356B5">
        <w:trPr>
          <w:jc w:val="center"/>
        </w:trPr>
        <w:tc>
          <w:tcPr>
            <w:tcW w:w="0" w:type="auto"/>
            <w:hideMark/>
          </w:tcPr>
          <w:p w:rsidR="00844387" w:rsidRPr="00E71954" w:rsidRDefault="00844387" w:rsidP="005846DF">
            <w:pPr>
              <w:rPr>
                <w:rFonts w:ascii="Times New Roman" w:eastAsia="Times New Roman" w:hAnsi="Times New Roman" w:cs="Times New Roman"/>
                <w:sz w:val="24"/>
                <w:szCs w:val="24"/>
              </w:rPr>
            </w:pPr>
            <w:r w:rsidRPr="00E71954">
              <w:rPr>
                <w:rFonts w:ascii="Times New Roman" w:eastAsia="Times New Roman" w:hAnsi="Times New Roman" w:cs="Times New Roman"/>
                <w:bCs/>
                <w:sz w:val="24"/>
                <w:szCs w:val="24"/>
              </w:rPr>
              <w:t>LODA</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O</w:t>
            </w:r>
            <w:r w:rsidR="00E71954">
              <w:rPr>
                <w:rFonts w:ascii="Times New Roman" w:eastAsia="Times New Roman" w:hAnsi="Times New Roman" w:cs="Times New Roman"/>
                <w:sz w:val="24"/>
                <w:szCs w:val="24"/>
              </w:rPr>
              <w:t xml:space="preserve">fficial Development Assistance </w:t>
            </w:r>
            <w:r w:rsidRPr="005356B5">
              <w:rPr>
                <w:rFonts w:ascii="Times New Roman" w:eastAsia="Times New Roman" w:hAnsi="Times New Roman" w:cs="Times New Roman"/>
                <w:sz w:val="24"/>
                <w:szCs w:val="24"/>
              </w:rPr>
              <w:t>as % of GDP.</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EE5A77">
              <w:rPr>
                <w:rFonts w:ascii="Times New Roman" w:eastAsia="Times New Roman" w:hAnsi="Times New Roman" w:cs="Times New Roman"/>
                <w:sz w:val="24"/>
                <w:szCs w:val="24"/>
              </w:rPr>
              <w:t>WDI</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 xml:space="preserve"> ODA can finance investment and support growth; may also be null/negative if misallocated (Boone, 1996; Easterly, 2003).</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bCs/>
                <w:sz w:val="24"/>
                <w:szCs w:val="24"/>
              </w:rPr>
              <w:t>H1:</w:t>
            </w:r>
            <w:r w:rsidRPr="005356B5">
              <w:rPr>
                <w:rFonts w:ascii="Times New Roman" w:eastAsia="Times New Roman" w:hAnsi="Times New Roman" w:cs="Times New Roman"/>
                <w:sz w:val="24"/>
                <w:szCs w:val="24"/>
              </w:rPr>
              <w:t xml:space="preserve"> ODA positively influences GDP growth.</w:t>
            </w:r>
          </w:p>
        </w:tc>
      </w:tr>
      <w:tr w:rsidR="00844387" w:rsidRPr="005356B5" w:rsidTr="005356B5">
        <w:trPr>
          <w:jc w:val="center"/>
        </w:trPr>
        <w:tc>
          <w:tcPr>
            <w:tcW w:w="0" w:type="auto"/>
            <w:hideMark/>
          </w:tcPr>
          <w:p w:rsidR="00844387" w:rsidRPr="00E71954" w:rsidRDefault="00844387" w:rsidP="005846DF">
            <w:pPr>
              <w:rPr>
                <w:rFonts w:ascii="Times New Roman" w:eastAsia="Times New Roman" w:hAnsi="Times New Roman" w:cs="Times New Roman"/>
                <w:sz w:val="24"/>
                <w:szCs w:val="24"/>
              </w:rPr>
            </w:pPr>
            <w:r w:rsidRPr="00E71954">
              <w:rPr>
                <w:rFonts w:ascii="Times New Roman" w:eastAsia="Times New Roman" w:hAnsi="Times New Roman" w:cs="Times New Roman"/>
                <w:bCs/>
                <w:sz w:val="24"/>
                <w:szCs w:val="24"/>
              </w:rPr>
              <w:t>LFDI</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Foreign Direct Investment inflows as % of GDP.</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EE5A77">
              <w:rPr>
                <w:rFonts w:ascii="Times New Roman" w:eastAsia="Times New Roman" w:hAnsi="Times New Roman" w:cs="Times New Roman"/>
                <w:sz w:val="24"/>
                <w:szCs w:val="24"/>
              </w:rPr>
              <w:t>WDI</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FDI brings capital, technology, and managerial know-how that enhance productivity (</w:t>
            </w:r>
            <w:proofErr w:type="spellStart"/>
            <w:r w:rsidRPr="005356B5">
              <w:rPr>
                <w:rFonts w:ascii="Times New Roman" w:eastAsia="Times New Roman" w:hAnsi="Times New Roman" w:cs="Times New Roman"/>
                <w:sz w:val="24"/>
                <w:szCs w:val="24"/>
              </w:rPr>
              <w:t>Borensztein</w:t>
            </w:r>
            <w:proofErr w:type="spellEnd"/>
            <w:r w:rsidRPr="005356B5">
              <w:rPr>
                <w:rFonts w:ascii="Times New Roman" w:eastAsia="Times New Roman" w:hAnsi="Times New Roman" w:cs="Times New Roman"/>
                <w:sz w:val="24"/>
                <w:szCs w:val="24"/>
              </w:rPr>
              <w:t xml:space="preserve"> et al., 1998).</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bCs/>
                <w:sz w:val="24"/>
                <w:szCs w:val="24"/>
              </w:rPr>
              <w:t>H2:</w:t>
            </w:r>
            <w:r w:rsidRPr="005356B5">
              <w:rPr>
                <w:rFonts w:ascii="Times New Roman" w:eastAsia="Times New Roman" w:hAnsi="Times New Roman" w:cs="Times New Roman"/>
                <w:sz w:val="24"/>
                <w:szCs w:val="24"/>
              </w:rPr>
              <w:t xml:space="preserve"> FDI has a positive and significant impact on GDP growth.</w:t>
            </w:r>
          </w:p>
        </w:tc>
      </w:tr>
      <w:tr w:rsidR="00844387" w:rsidRPr="005356B5" w:rsidTr="005356B5">
        <w:trPr>
          <w:jc w:val="center"/>
        </w:trPr>
        <w:tc>
          <w:tcPr>
            <w:tcW w:w="0" w:type="auto"/>
            <w:hideMark/>
          </w:tcPr>
          <w:p w:rsidR="00844387" w:rsidRPr="00E71954" w:rsidRDefault="00844387" w:rsidP="005846DF">
            <w:pPr>
              <w:rPr>
                <w:rFonts w:ascii="Times New Roman" w:eastAsia="Times New Roman" w:hAnsi="Times New Roman" w:cs="Times New Roman"/>
                <w:sz w:val="24"/>
                <w:szCs w:val="24"/>
              </w:rPr>
            </w:pPr>
            <w:r w:rsidRPr="00E71954">
              <w:rPr>
                <w:rFonts w:ascii="Times New Roman" w:eastAsia="Times New Roman" w:hAnsi="Times New Roman" w:cs="Times New Roman"/>
                <w:bCs/>
                <w:sz w:val="24"/>
                <w:szCs w:val="24"/>
              </w:rPr>
              <w:t>LINV</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EE5A77">
              <w:rPr>
                <w:rFonts w:ascii="Times New Roman" w:eastAsia="Times New Roman" w:hAnsi="Times New Roman" w:cs="Times New Roman"/>
                <w:sz w:val="24"/>
                <w:szCs w:val="24"/>
              </w:rPr>
              <w:t>National Domestic Investment</w:t>
            </w:r>
            <w:r w:rsidRPr="005356B5">
              <w:rPr>
                <w:rFonts w:ascii="Times New Roman" w:eastAsia="Times New Roman" w:hAnsi="Times New Roman" w:cs="Times New Roman"/>
                <w:sz w:val="24"/>
                <w:szCs w:val="24"/>
              </w:rPr>
              <w:t xml:space="preserve"> as % of GDP.</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EE5A77">
              <w:rPr>
                <w:rFonts w:ascii="Times New Roman" w:eastAsia="Times New Roman" w:hAnsi="Times New Roman" w:cs="Times New Roman"/>
                <w:sz w:val="24"/>
                <w:szCs w:val="24"/>
              </w:rPr>
              <w:t>WEO</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Capital accumulation supports growth (Solow, 1956); however, in weak institutional settings it may be negative (Adedokun, 2023).</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bCs/>
                <w:sz w:val="24"/>
                <w:szCs w:val="24"/>
              </w:rPr>
              <w:t>H3:</w:t>
            </w:r>
            <w:r w:rsidRPr="005356B5">
              <w:rPr>
                <w:rFonts w:ascii="Times New Roman" w:eastAsia="Times New Roman" w:hAnsi="Times New Roman" w:cs="Times New Roman"/>
                <w:sz w:val="24"/>
                <w:szCs w:val="24"/>
              </w:rPr>
              <w:t xml:space="preserve"> Domestic investment promotes GDP growth in the long run.</w:t>
            </w:r>
          </w:p>
        </w:tc>
      </w:tr>
      <w:tr w:rsidR="00844387" w:rsidRPr="005356B5" w:rsidTr="005356B5">
        <w:trPr>
          <w:jc w:val="center"/>
        </w:trPr>
        <w:tc>
          <w:tcPr>
            <w:tcW w:w="0" w:type="auto"/>
            <w:hideMark/>
          </w:tcPr>
          <w:p w:rsidR="00844387" w:rsidRPr="00E71954" w:rsidRDefault="00844387" w:rsidP="005846DF">
            <w:pPr>
              <w:rPr>
                <w:rFonts w:ascii="Times New Roman" w:eastAsia="Times New Roman" w:hAnsi="Times New Roman" w:cs="Times New Roman"/>
                <w:sz w:val="24"/>
                <w:szCs w:val="24"/>
              </w:rPr>
            </w:pPr>
            <w:r w:rsidRPr="00E71954">
              <w:rPr>
                <w:rFonts w:ascii="Times New Roman" w:eastAsia="Times New Roman" w:hAnsi="Times New Roman" w:cs="Times New Roman"/>
                <w:bCs/>
                <w:sz w:val="24"/>
                <w:szCs w:val="24"/>
              </w:rPr>
              <w:t>LDBT</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External debt stock as % of GDP.</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EE5A77">
              <w:rPr>
                <w:rFonts w:ascii="Times New Roman" w:eastAsia="Times New Roman" w:hAnsi="Times New Roman" w:cs="Times New Roman"/>
                <w:sz w:val="24"/>
                <w:szCs w:val="24"/>
              </w:rPr>
              <w:t>WDI</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sz w:val="24"/>
                <w:szCs w:val="24"/>
              </w:rPr>
              <w:t>Excessive debt leads to debt overhang and crowding-out effects, con</w:t>
            </w:r>
            <w:r w:rsidRPr="00EE5A77">
              <w:rPr>
                <w:rFonts w:ascii="Times New Roman" w:eastAsia="Times New Roman" w:hAnsi="Times New Roman" w:cs="Times New Roman"/>
                <w:sz w:val="24"/>
                <w:szCs w:val="24"/>
              </w:rPr>
              <w:t>straining growth (Krugman, 1988</w:t>
            </w:r>
            <w:r w:rsidRPr="005356B5">
              <w:rPr>
                <w:rFonts w:ascii="Times New Roman" w:eastAsia="Times New Roman" w:hAnsi="Times New Roman" w:cs="Times New Roman"/>
                <w:sz w:val="24"/>
                <w:szCs w:val="24"/>
              </w:rPr>
              <w:t>).</w:t>
            </w:r>
          </w:p>
        </w:tc>
        <w:tc>
          <w:tcPr>
            <w:tcW w:w="0" w:type="auto"/>
            <w:hideMark/>
          </w:tcPr>
          <w:p w:rsidR="00844387" w:rsidRPr="005356B5" w:rsidRDefault="00844387" w:rsidP="005846DF">
            <w:pPr>
              <w:rPr>
                <w:rFonts w:ascii="Times New Roman" w:eastAsia="Times New Roman" w:hAnsi="Times New Roman" w:cs="Times New Roman"/>
                <w:sz w:val="24"/>
                <w:szCs w:val="24"/>
              </w:rPr>
            </w:pPr>
            <w:r w:rsidRPr="005356B5">
              <w:rPr>
                <w:rFonts w:ascii="Times New Roman" w:eastAsia="Times New Roman" w:hAnsi="Times New Roman" w:cs="Times New Roman"/>
                <w:bCs/>
                <w:sz w:val="24"/>
                <w:szCs w:val="24"/>
              </w:rPr>
              <w:t>H4:</w:t>
            </w:r>
            <w:r w:rsidRPr="005356B5">
              <w:rPr>
                <w:rFonts w:ascii="Times New Roman" w:eastAsia="Times New Roman" w:hAnsi="Times New Roman" w:cs="Times New Roman"/>
                <w:sz w:val="24"/>
                <w:szCs w:val="24"/>
              </w:rPr>
              <w:t xml:space="preserve"> External debt negatively affects GDP growth when excessive.</w:t>
            </w:r>
          </w:p>
        </w:tc>
      </w:tr>
    </w:tbl>
    <w:p w:rsidR="00830511" w:rsidRDefault="005356B5" w:rsidP="00D90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19D5">
        <w:rPr>
          <w:rFonts w:ascii="Times New Roman" w:hAnsi="Times New Roman" w:cs="Times New Roman"/>
          <w:sz w:val="24"/>
          <w:szCs w:val="24"/>
        </w:rPr>
        <w:t xml:space="preserve"> </w:t>
      </w:r>
      <w:r>
        <w:rPr>
          <w:rFonts w:ascii="Times New Roman" w:hAnsi="Times New Roman" w:cs="Times New Roman"/>
          <w:sz w:val="24"/>
          <w:szCs w:val="24"/>
        </w:rPr>
        <w:t>Source: Authors, 2025</w:t>
      </w:r>
    </w:p>
    <w:p w:rsidR="001D7801" w:rsidRPr="00830511" w:rsidRDefault="00830511" w:rsidP="00830511">
      <w:pPr>
        <w:pStyle w:val="Subttulo"/>
      </w:pPr>
      <w:r>
        <w:lastRenderedPageBreak/>
        <w:t xml:space="preserve">3.3. </w:t>
      </w:r>
      <w:r w:rsidRPr="00830511">
        <w:t>Diagnostics</w:t>
      </w:r>
      <w:r w:rsidR="001D7801" w:rsidRPr="00830511">
        <w:rPr>
          <w:rStyle w:val="SubttuloCarter"/>
          <w:b/>
          <w:i/>
        </w:rPr>
        <w:t xml:space="preserve"> Tests</w:t>
      </w:r>
    </w:p>
    <w:p w:rsidR="001D7801" w:rsidRDefault="001D7801" w:rsidP="00830511">
      <w:pPr>
        <w:pStyle w:val="SemEspaamento"/>
        <w:spacing w:line="360" w:lineRule="auto"/>
        <w:jc w:val="both"/>
        <w:rPr>
          <w:rFonts w:ascii="Times New Roman" w:hAnsi="Times New Roman" w:cs="Times New Roman"/>
          <w:sz w:val="24"/>
          <w:szCs w:val="24"/>
        </w:rPr>
      </w:pPr>
      <w:r w:rsidRPr="00830511">
        <w:rPr>
          <w:rFonts w:ascii="Times New Roman" w:hAnsi="Times New Roman" w:cs="Times New Roman"/>
          <w:sz w:val="24"/>
          <w:szCs w:val="24"/>
        </w:rPr>
        <w:t xml:space="preserve">To ensure the robustness and proper specification of the ARDL-ECM models, the study first conducts </w:t>
      </w:r>
      <w:r w:rsidRPr="00830511">
        <w:rPr>
          <w:rStyle w:val="Forte"/>
          <w:rFonts w:ascii="Times New Roman" w:hAnsi="Times New Roman" w:cs="Times New Roman"/>
          <w:b w:val="0"/>
          <w:sz w:val="24"/>
          <w:szCs w:val="24"/>
        </w:rPr>
        <w:t>pre-estimation tests</w:t>
      </w:r>
      <w:r w:rsidRPr="00830511">
        <w:rPr>
          <w:rFonts w:ascii="Times New Roman" w:hAnsi="Times New Roman" w:cs="Times New Roman"/>
          <w:sz w:val="24"/>
          <w:szCs w:val="24"/>
        </w:rPr>
        <w:t xml:space="preserve">, including </w:t>
      </w:r>
      <w:r w:rsidRPr="00830511">
        <w:rPr>
          <w:rStyle w:val="Forte"/>
          <w:rFonts w:ascii="Times New Roman" w:hAnsi="Times New Roman" w:cs="Times New Roman"/>
          <w:b w:val="0"/>
          <w:sz w:val="24"/>
          <w:szCs w:val="24"/>
        </w:rPr>
        <w:t>stationarity checks</w:t>
      </w:r>
      <w:r w:rsidRPr="00830511">
        <w:rPr>
          <w:rFonts w:ascii="Times New Roman" w:hAnsi="Times New Roman" w:cs="Times New Roman"/>
          <w:sz w:val="24"/>
          <w:szCs w:val="24"/>
        </w:rPr>
        <w:t xml:space="preserve">, </w:t>
      </w:r>
      <w:r w:rsidRPr="00830511">
        <w:rPr>
          <w:rStyle w:val="Forte"/>
          <w:rFonts w:ascii="Times New Roman" w:hAnsi="Times New Roman" w:cs="Times New Roman"/>
          <w:sz w:val="24"/>
          <w:szCs w:val="24"/>
        </w:rPr>
        <w:t>l</w:t>
      </w:r>
      <w:r w:rsidRPr="00830511">
        <w:rPr>
          <w:rStyle w:val="Forte"/>
          <w:rFonts w:ascii="Times New Roman" w:hAnsi="Times New Roman" w:cs="Times New Roman"/>
          <w:b w:val="0"/>
          <w:sz w:val="24"/>
          <w:szCs w:val="24"/>
        </w:rPr>
        <w:t>ag order selection</w:t>
      </w:r>
      <w:r w:rsidRPr="00830511">
        <w:rPr>
          <w:rFonts w:ascii="Times New Roman" w:hAnsi="Times New Roman" w:cs="Times New Roman"/>
          <w:b/>
          <w:sz w:val="24"/>
          <w:szCs w:val="24"/>
        </w:rPr>
        <w:t xml:space="preserve">, </w:t>
      </w:r>
      <w:r w:rsidRPr="00830511">
        <w:rPr>
          <w:rFonts w:ascii="Times New Roman" w:hAnsi="Times New Roman" w:cs="Times New Roman"/>
          <w:sz w:val="24"/>
          <w:szCs w:val="24"/>
        </w:rPr>
        <w:t>and</w:t>
      </w:r>
      <w:r w:rsidRPr="00830511">
        <w:rPr>
          <w:rFonts w:ascii="Times New Roman" w:hAnsi="Times New Roman" w:cs="Times New Roman"/>
          <w:b/>
          <w:sz w:val="24"/>
          <w:szCs w:val="24"/>
        </w:rPr>
        <w:t xml:space="preserve"> </w:t>
      </w:r>
      <w:r w:rsidRPr="00830511">
        <w:rPr>
          <w:rStyle w:val="Forte"/>
          <w:rFonts w:ascii="Times New Roman" w:hAnsi="Times New Roman" w:cs="Times New Roman"/>
          <w:b w:val="0"/>
          <w:sz w:val="24"/>
          <w:szCs w:val="24"/>
        </w:rPr>
        <w:t>bounds testing for cointegration</w:t>
      </w:r>
      <w:r w:rsidRPr="00830511">
        <w:rPr>
          <w:rFonts w:ascii="Times New Roman" w:hAnsi="Times New Roman" w:cs="Times New Roman"/>
          <w:b/>
          <w:sz w:val="24"/>
          <w:szCs w:val="24"/>
        </w:rPr>
        <w:t>.</w:t>
      </w:r>
      <w:r w:rsidRPr="00830511">
        <w:rPr>
          <w:rFonts w:ascii="Times New Roman" w:hAnsi="Times New Roman" w:cs="Times New Roman"/>
          <w:sz w:val="24"/>
          <w:szCs w:val="24"/>
        </w:rPr>
        <w:t xml:space="preserve"> Following estimation, </w:t>
      </w:r>
      <w:r w:rsidRPr="00830511">
        <w:rPr>
          <w:rStyle w:val="Forte"/>
          <w:rFonts w:ascii="Times New Roman" w:hAnsi="Times New Roman" w:cs="Times New Roman"/>
          <w:b w:val="0"/>
          <w:sz w:val="24"/>
          <w:szCs w:val="24"/>
        </w:rPr>
        <w:t>post-estimation diagnostics</w:t>
      </w:r>
      <w:r w:rsidRPr="00830511">
        <w:rPr>
          <w:rFonts w:ascii="Times New Roman" w:hAnsi="Times New Roman" w:cs="Times New Roman"/>
          <w:sz w:val="24"/>
          <w:szCs w:val="24"/>
        </w:rPr>
        <w:t xml:space="preserve"> are performed, comprising the Breusch–Godfrey test for serial correlation, </w:t>
      </w:r>
      <w:r w:rsidRPr="00830511">
        <w:rPr>
          <w:rStyle w:val="Forte"/>
          <w:rFonts w:ascii="Times New Roman" w:hAnsi="Times New Roman" w:cs="Times New Roman"/>
          <w:b w:val="0"/>
          <w:sz w:val="24"/>
          <w:szCs w:val="24"/>
        </w:rPr>
        <w:t>normality tests</w:t>
      </w:r>
      <w:r w:rsidRPr="00830511">
        <w:rPr>
          <w:rFonts w:ascii="Times New Roman" w:hAnsi="Times New Roman" w:cs="Times New Roman"/>
          <w:b/>
          <w:sz w:val="24"/>
          <w:szCs w:val="24"/>
        </w:rPr>
        <w:t xml:space="preserve">, </w:t>
      </w:r>
      <w:r w:rsidRPr="00830511">
        <w:rPr>
          <w:rStyle w:val="Forte"/>
          <w:rFonts w:ascii="Times New Roman" w:hAnsi="Times New Roman" w:cs="Times New Roman"/>
          <w:b w:val="0"/>
          <w:sz w:val="24"/>
          <w:szCs w:val="24"/>
        </w:rPr>
        <w:t>correlation analysis</w:t>
      </w:r>
      <w:r w:rsidRPr="00830511">
        <w:rPr>
          <w:rFonts w:ascii="Times New Roman" w:hAnsi="Times New Roman" w:cs="Times New Roman"/>
          <w:b/>
          <w:sz w:val="24"/>
          <w:szCs w:val="24"/>
        </w:rPr>
        <w:t xml:space="preserve">, </w:t>
      </w:r>
      <w:proofErr w:type="spellStart"/>
      <w:r w:rsidRPr="00830511">
        <w:rPr>
          <w:rStyle w:val="Forte"/>
          <w:rFonts w:ascii="Times New Roman" w:hAnsi="Times New Roman" w:cs="Times New Roman"/>
          <w:b w:val="0"/>
          <w:sz w:val="24"/>
          <w:szCs w:val="24"/>
        </w:rPr>
        <w:t>heteroskedasticity</w:t>
      </w:r>
      <w:proofErr w:type="spellEnd"/>
      <w:r w:rsidRPr="00830511">
        <w:rPr>
          <w:rStyle w:val="Forte"/>
          <w:rFonts w:ascii="Times New Roman" w:hAnsi="Times New Roman" w:cs="Times New Roman"/>
          <w:b w:val="0"/>
          <w:sz w:val="24"/>
          <w:szCs w:val="24"/>
        </w:rPr>
        <w:t xml:space="preserve"> tests</w:t>
      </w:r>
      <w:r w:rsidRPr="00830511">
        <w:rPr>
          <w:rFonts w:ascii="Times New Roman" w:hAnsi="Times New Roman" w:cs="Times New Roman"/>
          <w:b/>
          <w:sz w:val="24"/>
          <w:szCs w:val="24"/>
        </w:rPr>
        <w:t xml:space="preserve">, </w:t>
      </w:r>
      <w:r w:rsidRPr="00830511">
        <w:rPr>
          <w:rFonts w:ascii="Times New Roman" w:hAnsi="Times New Roman" w:cs="Times New Roman"/>
          <w:sz w:val="24"/>
          <w:szCs w:val="24"/>
        </w:rPr>
        <w:t>and</w:t>
      </w:r>
      <w:r w:rsidRPr="00830511">
        <w:rPr>
          <w:rFonts w:ascii="Times New Roman" w:hAnsi="Times New Roman" w:cs="Times New Roman"/>
          <w:b/>
          <w:sz w:val="24"/>
          <w:szCs w:val="24"/>
        </w:rPr>
        <w:t xml:space="preserve"> </w:t>
      </w:r>
      <w:r w:rsidRPr="00830511">
        <w:rPr>
          <w:rStyle w:val="Forte"/>
          <w:rFonts w:ascii="Times New Roman" w:hAnsi="Times New Roman" w:cs="Times New Roman"/>
          <w:b w:val="0"/>
          <w:sz w:val="24"/>
          <w:szCs w:val="24"/>
        </w:rPr>
        <w:t>stability checks</w:t>
      </w:r>
      <w:r w:rsidRPr="00830511">
        <w:rPr>
          <w:rFonts w:ascii="Times New Roman" w:hAnsi="Times New Roman" w:cs="Times New Roman"/>
          <w:b/>
          <w:sz w:val="24"/>
          <w:szCs w:val="24"/>
        </w:rPr>
        <w:t xml:space="preserve"> </w:t>
      </w:r>
      <w:r w:rsidRPr="00830511">
        <w:rPr>
          <w:rFonts w:ascii="Times New Roman" w:hAnsi="Times New Roman" w:cs="Times New Roman"/>
          <w:sz w:val="24"/>
          <w:szCs w:val="24"/>
        </w:rPr>
        <w:t>using the Ramsey RESET, CUSUM, and CUSUM of squares tests</w:t>
      </w:r>
      <w:r w:rsidR="00830511">
        <w:rPr>
          <w:rFonts w:ascii="Times New Roman" w:hAnsi="Times New Roman" w:cs="Times New Roman"/>
          <w:sz w:val="24"/>
          <w:szCs w:val="24"/>
        </w:rPr>
        <w:t>.</w:t>
      </w:r>
    </w:p>
    <w:p w:rsidR="004A0C3F" w:rsidRPr="00830511" w:rsidRDefault="004A0C3F" w:rsidP="00830511">
      <w:pPr>
        <w:pStyle w:val="SemEspaamento"/>
        <w:spacing w:line="360" w:lineRule="auto"/>
        <w:jc w:val="both"/>
        <w:rPr>
          <w:rFonts w:ascii="Times New Roman" w:hAnsi="Times New Roman" w:cs="Times New Roman"/>
          <w:sz w:val="24"/>
          <w:szCs w:val="24"/>
        </w:rPr>
      </w:pPr>
    </w:p>
    <w:p w:rsidR="00FD65E3" w:rsidRPr="00A63412" w:rsidRDefault="00E62E5B" w:rsidP="00E62E5B">
      <w:pPr>
        <w:pStyle w:val="PargrafodaLista"/>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rPr>
      </w:pPr>
      <w:r w:rsidRPr="00A63412">
        <w:rPr>
          <w:rFonts w:ascii="Times New Roman" w:eastAsia="Times New Roman" w:hAnsi="Times New Roman" w:cs="Times New Roman"/>
          <w:b/>
          <w:bCs/>
          <w:sz w:val="27"/>
          <w:szCs w:val="27"/>
        </w:rPr>
        <w:t>Presentation and Discussion of Results</w:t>
      </w:r>
    </w:p>
    <w:p w:rsidR="00E601A5" w:rsidRDefault="00E601A5" w:rsidP="00471925">
      <w:pPr>
        <w:spacing w:line="360" w:lineRule="auto"/>
        <w:jc w:val="both"/>
        <w:rPr>
          <w:rFonts w:ascii="Times New Roman" w:hAnsi="Times New Roman" w:cs="Times New Roman"/>
          <w:sz w:val="24"/>
          <w:szCs w:val="24"/>
        </w:rPr>
      </w:pPr>
      <w:r w:rsidRPr="00830511">
        <w:rPr>
          <w:rFonts w:ascii="Times New Roman" w:hAnsi="Times New Roman" w:cs="Times New Roman"/>
          <w:b/>
          <w:i/>
          <w:sz w:val="24"/>
          <w:szCs w:val="24"/>
        </w:rPr>
        <w:t>4.1.</w:t>
      </w:r>
      <w:r>
        <w:rPr>
          <w:rFonts w:ascii="Times New Roman" w:hAnsi="Times New Roman" w:cs="Times New Roman"/>
          <w:sz w:val="24"/>
          <w:szCs w:val="24"/>
        </w:rPr>
        <w:t xml:space="preserve"> </w:t>
      </w:r>
      <w:r w:rsidRPr="00E601A5">
        <w:rPr>
          <w:rStyle w:val="SubttuloCarter"/>
        </w:rPr>
        <w:t>Empirical Results</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An empirical examination of the trajectory of Official Development Assistance (ODA) and real Gross Domestic Product (GDP) growth in Mozambique between 1992 and 2022 reveals a complex, context-sensitive relationship. The association between external aid flows and economic performance is neither linear nor consistent, as it is shaped by political dynamics, exogenous shocks, and institutional capacity.</w:t>
      </w:r>
    </w:p>
    <w:p w:rsidR="00844387" w:rsidRPr="00A63412" w:rsidRDefault="00F8376A"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graph below illustrates the relationship between ODA and economic growth in Mozambique ove</w:t>
      </w:r>
      <w:r w:rsidR="00830511">
        <w:rPr>
          <w:rFonts w:ascii="Times New Roman" w:hAnsi="Times New Roman" w:cs="Times New Roman"/>
          <w:sz w:val="24"/>
          <w:szCs w:val="24"/>
        </w:rPr>
        <w:t>r the period from 1992 to 2022.</w:t>
      </w:r>
    </w:p>
    <w:p w:rsidR="00E576B2" w:rsidRPr="00E576B2" w:rsidRDefault="00E576B2" w:rsidP="00E576B2">
      <w:pPr>
        <w:spacing w:line="360" w:lineRule="auto"/>
        <w:jc w:val="both"/>
        <w:rPr>
          <w:rFonts w:ascii="Times New Roman" w:hAnsi="Times New Roman" w:cs="Times New Roman"/>
          <w:i/>
          <w:iCs/>
          <w:sz w:val="23"/>
          <w:szCs w:val="23"/>
        </w:rPr>
      </w:pPr>
      <w:r>
        <w:rPr>
          <w:rFonts w:ascii="Times New Roman" w:hAnsi="Times New Roman" w:cs="Times New Roman"/>
          <w:b/>
        </w:rPr>
        <w:t xml:space="preserve">   </w:t>
      </w:r>
      <w:r w:rsidRPr="00E576B2">
        <w:rPr>
          <w:rFonts w:ascii="Times New Roman" w:hAnsi="Times New Roman" w:cs="Times New Roman"/>
          <w:b/>
        </w:rPr>
        <w:t xml:space="preserve">Graph </w:t>
      </w:r>
      <w:r w:rsidRPr="00E576B2">
        <w:rPr>
          <w:rFonts w:ascii="Times New Roman" w:hAnsi="Times New Roman" w:cs="Times New Roman"/>
          <w:b/>
        </w:rPr>
        <w:fldChar w:fldCharType="begin"/>
      </w:r>
      <w:r w:rsidRPr="00E576B2">
        <w:rPr>
          <w:rFonts w:ascii="Times New Roman" w:hAnsi="Times New Roman" w:cs="Times New Roman"/>
          <w:b/>
        </w:rPr>
        <w:instrText xml:space="preserve"> SEQ Graph \* ARABIC </w:instrText>
      </w:r>
      <w:r w:rsidRPr="00E576B2">
        <w:rPr>
          <w:rFonts w:ascii="Times New Roman" w:hAnsi="Times New Roman" w:cs="Times New Roman"/>
          <w:b/>
        </w:rPr>
        <w:fldChar w:fldCharType="separate"/>
      </w:r>
      <w:r w:rsidRPr="00E576B2">
        <w:rPr>
          <w:rFonts w:ascii="Times New Roman" w:hAnsi="Times New Roman" w:cs="Times New Roman"/>
          <w:b/>
          <w:noProof/>
        </w:rPr>
        <w:t>1</w:t>
      </w:r>
      <w:r w:rsidRPr="00E576B2">
        <w:rPr>
          <w:rFonts w:ascii="Times New Roman" w:hAnsi="Times New Roman" w:cs="Times New Roman"/>
          <w:b/>
        </w:rPr>
        <w:fldChar w:fldCharType="end"/>
      </w:r>
      <w:r>
        <w:t>:</w:t>
      </w:r>
      <w:r w:rsidRPr="00E576B2">
        <w:rPr>
          <w:rFonts w:ascii="Times New Roman" w:hAnsi="Times New Roman" w:cs="Times New Roman"/>
          <w:i/>
          <w:iCs/>
          <w:sz w:val="23"/>
          <w:szCs w:val="23"/>
        </w:rPr>
        <w:t xml:space="preserve"> </w:t>
      </w:r>
      <w:r w:rsidRPr="00A63412">
        <w:rPr>
          <w:rFonts w:ascii="Times New Roman" w:hAnsi="Times New Roman" w:cs="Times New Roman"/>
          <w:i/>
          <w:iCs/>
          <w:sz w:val="23"/>
          <w:szCs w:val="23"/>
        </w:rPr>
        <w:t>Net ODA received from 1992 to 2022 in Mozambique (Millions of USD)</w:t>
      </w:r>
    </w:p>
    <w:p w:rsidR="00F8376A" w:rsidRPr="00A63412" w:rsidRDefault="00F8376A" w:rsidP="00F8376A">
      <w:pPr>
        <w:spacing w:line="240" w:lineRule="auto"/>
        <w:jc w:val="both"/>
        <w:rPr>
          <w:rFonts w:ascii="Times New Roman" w:hAnsi="Times New Roman" w:cs="Times New Roman"/>
          <w:sz w:val="24"/>
          <w:szCs w:val="24"/>
        </w:rPr>
      </w:pPr>
      <w:r w:rsidRPr="00A63412">
        <w:rPr>
          <w:rFonts w:ascii="Times New Roman" w:hAnsi="Times New Roman" w:cs="Times New Roman"/>
          <w:noProof/>
        </w:rPr>
        <w:drawing>
          <wp:inline distT="0" distB="0" distL="0" distR="0" wp14:anchorId="29938B3D" wp14:editId="1C515ECE">
            <wp:extent cx="5217795" cy="2594113"/>
            <wp:effectExtent l="0" t="0" r="1905"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71925" w:rsidRPr="00A63412" w:rsidRDefault="00F8376A" w:rsidP="00F8376A">
      <w:pPr>
        <w:spacing w:line="240" w:lineRule="auto"/>
        <w:jc w:val="both"/>
        <w:rPr>
          <w:rFonts w:ascii="Times New Roman" w:hAnsi="Times New Roman" w:cs="Times New Roman"/>
          <w:sz w:val="20"/>
          <w:szCs w:val="20"/>
        </w:rPr>
      </w:pPr>
      <w:r w:rsidRPr="00A63412">
        <w:rPr>
          <w:rFonts w:ascii="Times New Roman" w:hAnsi="Times New Roman" w:cs="Times New Roman"/>
          <w:sz w:val="24"/>
          <w:szCs w:val="24"/>
        </w:rPr>
        <w:lastRenderedPageBreak/>
        <w:t xml:space="preserve">  </w:t>
      </w:r>
      <w:r w:rsidRPr="00A63412">
        <w:rPr>
          <w:rFonts w:ascii="Times New Roman" w:hAnsi="Times New Roman" w:cs="Times New Roman"/>
          <w:b/>
          <w:sz w:val="20"/>
          <w:szCs w:val="20"/>
        </w:rPr>
        <w:t>Source</w:t>
      </w:r>
      <w:r w:rsidRPr="00A63412">
        <w:rPr>
          <w:rFonts w:ascii="Times New Roman" w:hAnsi="Times New Roman" w:cs="Times New Roman"/>
          <w:sz w:val="20"/>
          <w:szCs w:val="20"/>
        </w:rPr>
        <w:t>: World Bank database &amp; INE (2025).</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In the immediate post-conflict period (1992–1996), Mozambique faced significant economic and institutional fragil</w:t>
      </w:r>
      <w:r w:rsidR="008F775B" w:rsidRPr="00A63412">
        <w:rPr>
          <w:rFonts w:ascii="Times New Roman" w:hAnsi="Times New Roman" w:cs="Times New Roman"/>
          <w:sz w:val="24"/>
          <w:szCs w:val="24"/>
        </w:rPr>
        <w:t xml:space="preserve">ities. ODA levels remained high exceeding USD 2 billion in 1992 </w:t>
      </w:r>
      <w:r w:rsidRPr="00A63412">
        <w:rPr>
          <w:rFonts w:ascii="Times New Roman" w:hAnsi="Times New Roman" w:cs="Times New Roman"/>
          <w:sz w:val="24"/>
          <w:szCs w:val="24"/>
        </w:rPr>
        <w:t xml:space="preserve">while the economy experienced a severe contraction of -7.6%. Nonetheless, GDP growth rebounded quickly, reaching 10.7% by 1996, even as aid levels declined. This suggests that early recovery was driven primarily by domestic reforms, including market </w:t>
      </w:r>
      <w:r w:rsidR="004A0C3F" w:rsidRPr="00A63412">
        <w:rPr>
          <w:rFonts w:ascii="Times New Roman" w:hAnsi="Times New Roman" w:cs="Times New Roman"/>
          <w:sz w:val="24"/>
          <w:szCs w:val="24"/>
        </w:rPr>
        <w:t>liberalization</w:t>
      </w:r>
      <w:r w:rsidRPr="00A63412">
        <w:rPr>
          <w:rFonts w:ascii="Times New Roman" w:hAnsi="Times New Roman" w:cs="Times New Roman"/>
          <w:sz w:val="24"/>
          <w:szCs w:val="24"/>
        </w:rPr>
        <w:t>, institutional reconstruction, and the reactivation of productive sectors, while the impact of aid may have been delayed or secondary.</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Between 1997 and 1999, ODA </w:t>
      </w:r>
      <w:r w:rsidR="004A0C3F" w:rsidRPr="00A63412">
        <w:rPr>
          <w:rFonts w:ascii="Times New Roman" w:hAnsi="Times New Roman" w:cs="Times New Roman"/>
          <w:sz w:val="24"/>
          <w:szCs w:val="24"/>
        </w:rPr>
        <w:t>stabilized</w:t>
      </w:r>
      <w:r w:rsidRPr="00A63412">
        <w:rPr>
          <w:rFonts w:ascii="Times New Roman" w:hAnsi="Times New Roman" w:cs="Times New Roman"/>
          <w:sz w:val="24"/>
          <w:szCs w:val="24"/>
        </w:rPr>
        <w:t xml:space="preserve"> at around USD 1.5 billion, and growth remained robust, exceeding 10% annually. However, this trend was disrupted in 2000, when GDP growth plummeted to 0.8%, despite stable aid flows. The downturn coincided with devastating floods that severely affected infrastructure, agriculture, and trade. This episode exposed the limitations of ODA as an automatic </w:t>
      </w:r>
      <w:r w:rsidR="004A0C3F" w:rsidRPr="00A63412">
        <w:rPr>
          <w:rFonts w:ascii="Times New Roman" w:hAnsi="Times New Roman" w:cs="Times New Roman"/>
          <w:sz w:val="24"/>
          <w:szCs w:val="24"/>
        </w:rPr>
        <w:t>stabilizer</w:t>
      </w:r>
      <w:r w:rsidRPr="00A63412">
        <w:rPr>
          <w:rFonts w:ascii="Times New Roman" w:hAnsi="Times New Roman" w:cs="Times New Roman"/>
          <w:sz w:val="24"/>
          <w:szCs w:val="24"/>
        </w:rPr>
        <w:t xml:space="preserve"> and underscored the structural vulnerabilities of the economy.</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From 2001 onward, the economy entered a renewed phase of expansion. GDP growth once again exceeded 10%, while ODA rose to USD 1.6 billion in 2001 and peaked at USD 3.55 billion in 2002. This surge in aid coincided with strong economic performance (9.7% growth), suggesting a potentially reinforcing effect. In the years that followed, ODA </w:t>
      </w:r>
      <w:r w:rsidR="004A0C3F" w:rsidRPr="00A63412">
        <w:rPr>
          <w:rFonts w:ascii="Times New Roman" w:hAnsi="Times New Roman" w:cs="Times New Roman"/>
          <w:sz w:val="24"/>
          <w:szCs w:val="24"/>
        </w:rPr>
        <w:t>stabilized</w:t>
      </w:r>
      <w:r w:rsidRPr="00A63412">
        <w:rPr>
          <w:rFonts w:ascii="Times New Roman" w:hAnsi="Times New Roman" w:cs="Times New Roman"/>
          <w:sz w:val="24"/>
          <w:szCs w:val="24"/>
        </w:rPr>
        <w:t xml:space="preserve"> between USD 1.4 and 2.4 billion, while GDP growth remained consistently high until 2008, ranging from 6% to 9%. This period reflects a partial alignment between aid and economic performance, with ODA supporting public investment and institutional strengthening, although other factors such as FDI, export growth, and macroeconomic stability also contributed significantly.</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Between 2009 and 2014, growth averaged over 7% annually, despite stable aid levels. This suggests that the effectiveness of ODA depends more on the quality of governance and coherent development strategies than on volume alone. During this period, policy continuity, donor confidence, and fiscal discipline contributed to effective aid absorption and alignment with national priorities.</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From 2015 onwards, the relationship between aid and growth became increasingly strained. Growth decelerated steadily, and ODA declined from USD 2.15 billion in 2014 to USD 1.73 billion in 2016. This contraction followed the hidden debt scandal, which severely damaged Mozambique’s credibility with donors and led to the suspension of budget support. As fiscal space </w:t>
      </w:r>
      <w:r w:rsidRPr="00A63412">
        <w:rPr>
          <w:rFonts w:ascii="Times New Roman" w:hAnsi="Times New Roman" w:cs="Times New Roman"/>
          <w:sz w:val="24"/>
          <w:szCs w:val="24"/>
        </w:rPr>
        <w:lastRenderedPageBreak/>
        <w:t>narrowed and investment declined, the economy’s reliance on aid became more evident. In this context, the correlation between falling aid and slowing growth is particularly noteworthy.</w:t>
      </w:r>
    </w:p>
    <w:p w:rsidR="00471925" w:rsidRPr="00A63412" w:rsidRDefault="00471925" w:rsidP="0047192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situation worsened in 2020 when the country experienced its first recession in nearly three decades, with GDP contracting by -1.2%. Paradoxically, ODA rose si</w:t>
      </w:r>
      <w:r w:rsidR="008F775B" w:rsidRPr="00A63412">
        <w:rPr>
          <w:rFonts w:ascii="Times New Roman" w:hAnsi="Times New Roman" w:cs="Times New Roman"/>
          <w:sz w:val="24"/>
          <w:szCs w:val="24"/>
        </w:rPr>
        <w:t xml:space="preserve">gnificantly to USD 2.72 billion </w:t>
      </w:r>
      <w:r w:rsidRPr="00A63412">
        <w:rPr>
          <w:rFonts w:ascii="Times New Roman" w:hAnsi="Times New Roman" w:cs="Times New Roman"/>
          <w:sz w:val="24"/>
          <w:szCs w:val="24"/>
        </w:rPr>
        <w:t>the highest level since 2002. This increase reflected international emergency responses to the COVID-19 pandemic, primarily targeting health and humanitarian needs. However, the inability of aid to prevent contraction underlines its limited effectiveness as a countercyclical instrument in the face of systemic global shocks. In 2021 and 2022, growth resumed modestly (2.3% and 4.4%, respectivel</w:t>
      </w:r>
      <w:r w:rsidR="008F775B" w:rsidRPr="00A63412">
        <w:rPr>
          <w:rFonts w:ascii="Times New Roman" w:hAnsi="Times New Roman" w:cs="Times New Roman"/>
          <w:sz w:val="24"/>
          <w:szCs w:val="24"/>
        </w:rPr>
        <w:t xml:space="preserve">y), while ODA remained elevated </w:t>
      </w:r>
      <w:r w:rsidRPr="00A63412">
        <w:rPr>
          <w:rFonts w:ascii="Times New Roman" w:hAnsi="Times New Roman" w:cs="Times New Roman"/>
          <w:sz w:val="24"/>
          <w:szCs w:val="24"/>
        </w:rPr>
        <w:t xml:space="preserve">serving more as a </w:t>
      </w:r>
      <w:r w:rsidR="004A0C3F" w:rsidRPr="00A63412">
        <w:rPr>
          <w:rFonts w:ascii="Times New Roman" w:hAnsi="Times New Roman" w:cs="Times New Roman"/>
          <w:sz w:val="24"/>
          <w:szCs w:val="24"/>
        </w:rPr>
        <w:t>stabilizing</w:t>
      </w:r>
      <w:r w:rsidRPr="00A63412">
        <w:rPr>
          <w:rFonts w:ascii="Times New Roman" w:hAnsi="Times New Roman" w:cs="Times New Roman"/>
          <w:sz w:val="24"/>
          <w:szCs w:val="24"/>
        </w:rPr>
        <w:t xml:space="preserve"> than a catalytic force.</w:t>
      </w:r>
    </w:p>
    <w:p w:rsidR="00C604E8" w:rsidRPr="00A63412" w:rsidRDefault="00471925" w:rsidP="00E601A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Taken together, the evidence suggests that the relationship between ODA and economic growth in Mozambique is highly asymmetrical and contingent on domestic conditions. Aid proved most effective during periods of macroeconomic stability and institutional coherence (particularly 2001–2014), but its influence waned amid governance crises and external disruptions. The inflection points observed in 2000, 2016, and 2020 highlight the limits of ODA in buffering climate shocks, sustaining growth amid institutional breakdowns, or countering global dislocations. Therefore, ODA should not be regarded as an autonomous driver of growth, but rather as </w:t>
      </w:r>
      <w:r w:rsidR="008F775B" w:rsidRPr="00A63412">
        <w:rPr>
          <w:rFonts w:ascii="Times New Roman" w:hAnsi="Times New Roman" w:cs="Times New Roman"/>
          <w:sz w:val="24"/>
          <w:szCs w:val="24"/>
        </w:rPr>
        <w:t xml:space="preserve">a conditional support mechanism </w:t>
      </w:r>
      <w:r w:rsidRPr="00A63412">
        <w:rPr>
          <w:rFonts w:ascii="Times New Roman" w:hAnsi="Times New Roman" w:cs="Times New Roman"/>
          <w:sz w:val="24"/>
          <w:szCs w:val="24"/>
        </w:rPr>
        <w:t>its impact dependent on policy credibility, fiscal governance, and the country’s capacity to translate external inflows into productive and sustainable development outcomes.</w:t>
      </w:r>
    </w:p>
    <w:p w:rsidR="00D722CD" w:rsidRDefault="00E62E5B" w:rsidP="00830511">
      <w:pPr>
        <w:pStyle w:val="Subttulo"/>
        <w:numPr>
          <w:ilvl w:val="1"/>
          <w:numId w:val="4"/>
        </w:numPr>
      </w:pPr>
      <w:r w:rsidRPr="005356B5">
        <w:t>Econometrics Results</w:t>
      </w:r>
    </w:p>
    <w:p w:rsidR="00072624" w:rsidRPr="00072624" w:rsidRDefault="00072624" w:rsidP="00072624">
      <w:pPr>
        <w:rPr>
          <w:rFonts w:ascii="Times New Roman" w:hAnsi="Times New Roman" w:cs="Times New Roman"/>
          <w:sz w:val="24"/>
          <w:szCs w:val="24"/>
        </w:rPr>
      </w:pPr>
      <w:r w:rsidRPr="00072624">
        <w:rPr>
          <w:rFonts w:ascii="Times New Roman" w:hAnsi="Times New Roman" w:cs="Times New Roman"/>
          <w:sz w:val="24"/>
          <w:szCs w:val="24"/>
        </w:rPr>
        <w:t>The table below illust</w:t>
      </w:r>
      <w:r>
        <w:rPr>
          <w:rFonts w:ascii="Times New Roman" w:hAnsi="Times New Roman" w:cs="Times New Roman"/>
          <w:sz w:val="24"/>
          <w:szCs w:val="24"/>
        </w:rPr>
        <w:t xml:space="preserve">rates the </w:t>
      </w:r>
      <w:r w:rsidR="00E576B2">
        <w:rPr>
          <w:rFonts w:ascii="Times New Roman" w:hAnsi="Times New Roman" w:cs="Times New Roman"/>
          <w:sz w:val="24"/>
          <w:szCs w:val="24"/>
        </w:rPr>
        <w:t>descriptive</w:t>
      </w:r>
      <w:r>
        <w:rPr>
          <w:rFonts w:ascii="Times New Roman" w:hAnsi="Times New Roman" w:cs="Times New Roman"/>
          <w:sz w:val="24"/>
          <w:szCs w:val="24"/>
        </w:rPr>
        <w:t xml:space="preserve"> Statistics</w:t>
      </w:r>
      <w:r w:rsidRPr="00072624">
        <w:rPr>
          <w:rFonts w:ascii="Times New Roman" w:hAnsi="Times New Roman" w:cs="Times New Roman"/>
          <w:sz w:val="24"/>
          <w:szCs w:val="24"/>
        </w:rPr>
        <w:t xml:space="preserve">  </w:t>
      </w:r>
    </w:p>
    <w:p w:rsidR="00E62E5B" w:rsidRPr="00A63412" w:rsidRDefault="00E62E5B" w:rsidP="00E62E5B">
      <w:pPr>
        <w:pStyle w:val="Legenda"/>
        <w:keepNext/>
        <w:rPr>
          <w:rFonts w:ascii="Times New Roman" w:hAnsi="Times New Roman" w:cs="Times New Roman"/>
          <w:sz w:val="24"/>
          <w:szCs w:val="24"/>
        </w:rPr>
      </w:pPr>
      <w:r w:rsidRPr="00A63412">
        <w:rPr>
          <w:rFonts w:ascii="Times New Roman" w:hAnsi="Times New Roman" w:cs="Times New Roman"/>
          <w:sz w:val="24"/>
          <w:szCs w:val="24"/>
        </w:rPr>
        <w:t xml:space="preserve">Table </w:t>
      </w:r>
      <w:r w:rsidRPr="00A63412">
        <w:rPr>
          <w:rFonts w:ascii="Times New Roman" w:hAnsi="Times New Roman" w:cs="Times New Roman"/>
          <w:sz w:val="24"/>
          <w:szCs w:val="24"/>
        </w:rPr>
        <w:fldChar w:fldCharType="begin"/>
      </w:r>
      <w:r w:rsidRPr="00A63412">
        <w:rPr>
          <w:rFonts w:ascii="Times New Roman" w:hAnsi="Times New Roman" w:cs="Times New Roman"/>
          <w:sz w:val="24"/>
          <w:szCs w:val="24"/>
        </w:rPr>
        <w:instrText xml:space="preserve"> SEQ Table \* ARABIC </w:instrText>
      </w:r>
      <w:r w:rsidRPr="00A63412">
        <w:rPr>
          <w:rFonts w:ascii="Times New Roman" w:hAnsi="Times New Roman" w:cs="Times New Roman"/>
          <w:sz w:val="24"/>
          <w:szCs w:val="24"/>
        </w:rPr>
        <w:fldChar w:fldCharType="separate"/>
      </w:r>
      <w:r w:rsidR="00DD353C">
        <w:rPr>
          <w:rFonts w:ascii="Times New Roman" w:hAnsi="Times New Roman" w:cs="Times New Roman"/>
          <w:noProof/>
          <w:sz w:val="24"/>
          <w:szCs w:val="24"/>
        </w:rPr>
        <w:t>1</w:t>
      </w:r>
      <w:r w:rsidRPr="00A63412">
        <w:rPr>
          <w:rFonts w:ascii="Times New Roman" w:hAnsi="Times New Roman" w:cs="Times New Roman"/>
          <w:sz w:val="24"/>
          <w:szCs w:val="24"/>
        </w:rPr>
        <w:fldChar w:fldCharType="end"/>
      </w:r>
      <w:r w:rsidRPr="00A63412">
        <w:rPr>
          <w:rFonts w:ascii="Times New Roman" w:hAnsi="Times New Roman" w:cs="Times New Roman"/>
          <w:sz w:val="24"/>
          <w:szCs w:val="24"/>
        </w:rPr>
        <w:t>: Descriptive Statistics</w:t>
      </w:r>
    </w:p>
    <w:tbl>
      <w:tblPr>
        <w:tblStyle w:val="TabelaSimples2"/>
        <w:tblW w:w="5000" w:type="pct"/>
        <w:tblLook w:val="06A0" w:firstRow="1" w:lastRow="0" w:firstColumn="1" w:lastColumn="0" w:noHBand="1" w:noVBand="1"/>
      </w:tblPr>
      <w:tblGrid>
        <w:gridCol w:w="2015"/>
        <w:gridCol w:w="1144"/>
        <w:gridCol w:w="1456"/>
        <w:gridCol w:w="2074"/>
        <w:gridCol w:w="1299"/>
        <w:gridCol w:w="1372"/>
      </w:tblGrid>
      <w:tr w:rsidR="00E62E5B" w:rsidRPr="00A63412" w:rsidTr="00822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pct"/>
            <w:hideMark/>
          </w:tcPr>
          <w:p w:rsidR="00E62E5B" w:rsidRPr="00A63412" w:rsidRDefault="00E62E5B" w:rsidP="00822385">
            <w:pPr>
              <w:jc w:val="center"/>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Variable</w:t>
            </w:r>
          </w:p>
        </w:tc>
        <w:tc>
          <w:tcPr>
            <w:tcW w:w="611" w:type="pct"/>
            <w:hideMark/>
          </w:tcPr>
          <w:p w:rsidR="00E62E5B" w:rsidRPr="00A63412" w:rsidRDefault="00E62E5B" w:rsidP="0082238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A63412">
              <w:rPr>
                <w:rFonts w:ascii="Times New Roman" w:eastAsia="Times New Roman" w:hAnsi="Times New Roman" w:cs="Times New Roman"/>
                <w:sz w:val="24"/>
                <w:szCs w:val="24"/>
              </w:rPr>
              <w:t>Obs</w:t>
            </w:r>
            <w:proofErr w:type="spellEnd"/>
          </w:p>
        </w:tc>
        <w:tc>
          <w:tcPr>
            <w:tcW w:w="778" w:type="pct"/>
            <w:hideMark/>
          </w:tcPr>
          <w:p w:rsidR="00E62E5B" w:rsidRPr="00A63412" w:rsidRDefault="00E62E5B" w:rsidP="0082238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Mean</w:t>
            </w:r>
          </w:p>
        </w:tc>
        <w:tc>
          <w:tcPr>
            <w:tcW w:w="1108" w:type="pct"/>
            <w:hideMark/>
          </w:tcPr>
          <w:p w:rsidR="00E62E5B" w:rsidRPr="00A63412" w:rsidRDefault="00E62E5B" w:rsidP="0082238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Std. Dev.</w:t>
            </w:r>
          </w:p>
        </w:tc>
        <w:tc>
          <w:tcPr>
            <w:tcW w:w="694" w:type="pct"/>
            <w:hideMark/>
          </w:tcPr>
          <w:p w:rsidR="00E62E5B" w:rsidRPr="00A63412" w:rsidRDefault="00E62E5B" w:rsidP="0082238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Min</w:t>
            </w:r>
          </w:p>
        </w:tc>
        <w:tc>
          <w:tcPr>
            <w:tcW w:w="733" w:type="pct"/>
            <w:hideMark/>
          </w:tcPr>
          <w:p w:rsidR="00E62E5B" w:rsidRPr="00A63412" w:rsidRDefault="00E62E5B" w:rsidP="0082238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Max</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076" w:type="pct"/>
            <w:hideMark/>
          </w:tcPr>
          <w:p w:rsidR="00E62E5B" w:rsidRPr="00A63412" w:rsidRDefault="00E62E5B" w:rsidP="00822385">
            <w:pPr>
              <w:jc w:val="center"/>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LODA</w:t>
            </w:r>
          </w:p>
        </w:tc>
        <w:tc>
          <w:tcPr>
            <w:tcW w:w="611"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31</w:t>
            </w:r>
          </w:p>
        </w:tc>
        <w:tc>
          <w:tcPr>
            <w:tcW w:w="77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2.85</w:t>
            </w:r>
          </w:p>
        </w:tc>
        <w:tc>
          <w:tcPr>
            <w:tcW w:w="110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0.42</w:t>
            </w:r>
          </w:p>
        </w:tc>
        <w:tc>
          <w:tcPr>
            <w:tcW w:w="694"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2.42</w:t>
            </w:r>
          </w:p>
        </w:tc>
        <w:tc>
          <w:tcPr>
            <w:tcW w:w="733"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3.95</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076" w:type="pct"/>
            <w:hideMark/>
          </w:tcPr>
          <w:p w:rsidR="00E62E5B" w:rsidRPr="00A63412" w:rsidRDefault="00E62E5B" w:rsidP="00822385">
            <w:pPr>
              <w:jc w:val="center"/>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LGDP</w:t>
            </w:r>
          </w:p>
        </w:tc>
        <w:tc>
          <w:tcPr>
            <w:tcW w:w="611"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31</w:t>
            </w:r>
          </w:p>
        </w:tc>
        <w:tc>
          <w:tcPr>
            <w:tcW w:w="77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6.00</w:t>
            </w:r>
          </w:p>
        </w:tc>
        <w:tc>
          <w:tcPr>
            <w:tcW w:w="110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0.39</w:t>
            </w:r>
          </w:p>
        </w:tc>
        <w:tc>
          <w:tcPr>
            <w:tcW w:w="694"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5.33</w:t>
            </w:r>
          </w:p>
        </w:tc>
        <w:tc>
          <w:tcPr>
            <w:tcW w:w="733"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6.43</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076" w:type="pct"/>
            <w:hideMark/>
          </w:tcPr>
          <w:p w:rsidR="00E62E5B" w:rsidRPr="00A63412" w:rsidRDefault="00E62E5B" w:rsidP="00822385">
            <w:pPr>
              <w:jc w:val="center"/>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LFDI</w:t>
            </w:r>
          </w:p>
        </w:tc>
        <w:tc>
          <w:tcPr>
            <w:tcW w:w="611"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31</w:t>
            </w:r>
          </w:p>
        </w:tc>
        <w:tc>
          <w:tcPr>
            <w:tcW w:w="77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1.90</w:t>
            </w:r>
          </w:p>
        </w:tc>
        <w:tc>
          <w:tcPr>
            <w:tcW w:w="110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1.19</w:t>
            </w:r>
          </w:p>
        </w:tc>
        <w:tc>
          <w:tcPr>
            <w:tcW w:w="694"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-0.11</w:t>
            </w:r>
          </w:p>
        </w:tc>
        <w:tc>
          <w:tcPr>
            <w:tcW w:w="733"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3.66</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076" w:type="pct"/>
            <w:hideMark/>
          </w:tcPr>
          <w:p w:rsidR="00E62E5B" w:rsidRPr="00A63412" w:rsidRDefault="00E62E5B" w:rsidP="00822385">
            <w:pPr>
              <w:jc w:val="center"/>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LINV</w:t>
            </w:r>
          </w:p>
        </w:tc>
        <w:tc>
          <w:tcPr>
            <w:tcW w:w="611"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31</w:t>
            </w:r>
          </w:p>
        </w:tc>
        <w:tc>
          <w:tcPr>
            <w:tcW w:w="77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3.53</w:t>
            </w:r>
          </w:p>
        </w:tc>
        <w:tc>
          <w:tcPr>
            <w:tcW w:w="110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0.29</w:t>
            </w:r>
          </w:p>
        </w:tc>
        <w:tc>
          <w:tcPr>
            <w:tcW w:w="694"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2.98</w:t>
            </w:r>
          </w:p>
        </w:tc>
        <w:tc>
          <w:tcPr>
            <w:tcW w:w="733"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4.03</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076" w:type="pct"/>
            <w:hideMark/>
          </w:tcPr>
          <w:p w:rsidR="00E62E5B" w:rsidRPr="00A63412" w:rsidRDefault="00E62E5B" w:rsidP="00822385">
            <w:pPr>
              <w:jc w:val="center"/>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LDBT</w:t>
            </w:r>
          </w:p>
        </w:tc>
        <w:tc>
          <w:tcPr>
            <w:tcW w:w="611"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31</w:t>
            </w:r>
          </w:p>
        </w:tc>
        <w:tc>
          <w:tcPr>
            <w:tcW w:w="77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14.66</w:t>
            </w:r>
          </w:p>
        </w:tc>
        <w:tc>
          <w:tcPr>
            <w:tcW w:w="1108"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16.17</w:t>
            </w:r>
          </w:p>
        </w:tc>
        <w:tc>
          <w:tcPr>
            <w:tcW w:w="694"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-0.96</w:t>
            </w:r>
          </w:p>
        </w:tc>
        <w:tc>
          <w:tcPr>
            <w:tcW w:w="733" w:type="pct"/>
            <w:hideMark/>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63412">
              <w:rPr>
                <w:rFonts w:ascii="Times New Roman" w:eastAsia="Times New Roman" w:hAnsi="Times New Roman" w:cs="Times New Roman"/>
                <w:sz w:val="24"/>
                <w:szCs w:val="24"/>
              </w:rPr>
              <w:t>56.56</w:t>
            </w:r>
          </w:p>
        </w:tc>
      </w:tr>
    </w:tbl>
    <w:p w:rsidR="00E62E5B" w:rsidRPr="00A63412" w:rsidRDefault="00E62E5B" w:rsidP="00E62E5B">
      <w:pPr>
        <w:rPr>
          <w:rFonts w:ascii="Times New Roman" w:hAnsi="Times New Roman" w:cs="Times New Roman"/>
          <w:sz w:val="20"/>
          <w:szCs w:val="20"/>
        </w:rPr>
      </w:pPr>
      <w:r w:rsidRPr="00A63412">
        <w:rPr>
          <w:rFonts w:ascii="Times New Roman" w:hAnsi="Times New Roman" w:cs="Times New Roman"/>
          <w:sz w:val="20"/>
          <w:szCs w:val="20"/>
        </w:rPr>
        <w:t xml:space="preserve">       Source: Author’s computation based on results, 2025</w:t>
      </w:r>
    </w:p>
    <w:p w:rsidR="00E62E5B" w:rsidRPr="001D7801"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lastRenderedPageBreak/>
        <w:t>On average, economic growth (LGDP) is 6.00, official development assistance (LODA) is 2.85, foreign direct investment (LFDI) is 1.90, domestic investment (LINV) is 3.53, and external debt (LDBT) is 14.66. Looking at dispersion, the relatively small standard deviations of foreign direct investment (1.19) and domestic investment (0.29) suggest that these values remain fairly close to their averages. In contrast, official development assistance (0.42), economic growth (0.39), and especially external debt (16.17) show much higher variability, indicating greater fluctuations over time. In general, these descriptive statistics confirm that the chosen variables are well-suited for inclusion in the model and provide a solid basis for the e</w:t>
      </w:r>
      <w:r w:rsidR="001D7801">
        <w:rPr>
          <w:rFonts w:ascii="Times New Roman" w:hAnsi="Times New Roman" w:cs="Times New Roman"/>
          <w:sz w:val="24"/>
          <w:szCs w:val="24"/>
        </w:rPr>
        <w:t>mpirical analysis that follows.</w:t>
      </w:r>
    </w:p>
    <w:p w:rsidR="00E62E5B" w:rsidRPr="00A63412" w:rsidRDefault="00E62E5B" w:rsidP="00830511">
      <w:pPr>
        <w:pStyle w:val="Subttulo"/>
        <w:numPr>
          <w:ilvl w:val="1"/>
          <w:numId w:val="4"/>
        </w:numPr>
      </w:pPr>
      <w:r w:rsidRPr="00A63412">
        <w:t xml:space="preserve"> Stationarity Test Results</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In time series econometrics, testing for stationarity constitutes a fundamental methodological step, as it establishes whether the variables contain unit roots. The presence of a unit root undermines the reliability of econometric estimations and may lead to spurious regressions, in which apparently significant relationships merely reflect common stochastic trends rather than true causal linkages. The table below reports the results of the Augmented Dickey-Fuller (ADF) and Phillips-</w:t>
      </w:r>
      <w:proofErr w:type="spellStart"/>
      <w:r w:rsidRPr="00A63412">
        <w:rPr>
          <w:rFonts w:ascii="Times New Roman" w:hAnsi="Times New Roman" w:cs="Times New Roman"/>
          <w:sz w:val="24"/>
          <w:szCs w:val="24"/>
        </w:rPr>
        <w:t>Perron</w:t>
      </w:r>
      <w:proofErr w:type="spellEnd"/>
      <w:r w:rsidRPr="00A63412">
        <w:rPr>
          <w:rFonts w:ascii="Times New Roman" w:hAnsi="Times New Roman" w:cs="Times New Roman"/>
          <w:sz w:val="24"/>
          <w:szCs w:val="24"/>
        </w:rPr>
        <w:t xml:space="preserve"> (PP) unit root tests.</w:t>
      </w:r>
    </w:p>
    <w:p w:rsidR="00E62E5B" w:rsidRPr="00A63412" w:rsidRDefault="00E62E5B" w:rsidP="00E62E5B">
      <w:pPr>
        <w:pStyle w:val="Legenda"/>
        <w:keepNext/>
        <w:rPr>
          <w:rFonts w:ascii="Times New Roman" w:hAnsi="Times New Roman" w:cs="Times New Roman"/>
          <w:sz w:val="24"/>
          <w:szCs w:val="24"/>
        </w:rPr>
      </w:pPr>
      <w:r w:rsidRPr="00A63412">
        <w:rPr>
          <w:rFonts w:ascii="Times New Roman" w:hAnsi="Times New Roman" w:cs="Times New Roman"/>
          <w:b/>
          <w:sz w:val="24"/>
          <w:szCs w:val="24"/>
        </w:rPr>
        <w:t xml:space="preserve"> </w:t>
      </w:r>
      <w:r w:rsidRPr="001D7801">
        <w:rPr>
          <w:rFonts w:ascii="Times New Roman" w:hAnsi="Times New Roman" w:cs="Times New Roman"/>
          <w:b/>
          <w:color w:val="auto"/>
          <w:sz w:val="24"/>
          <w:szCs w:val="24"/>
        </w:rPr>
        <w:t xml:space="preserve">Table </w:t>
      </w:r>
      <w:r w:rsidRPr="001D7801">
        <w:rPr>
          <w:rFonts w:ascii="Times New Roman" w:hAnsi="Times New Roman" w:cs="Times New Roman"/>
          <w:b/>
          <w:color w:val="auto"/>
          <w:sz w:val="24"/>
          <w:szCs w:val="24"/>
        </w:rPr>
        <w:fldChar w:fldCharType="begin"/>
      </w:r>
      <w:r w:rsidRPr="001D7801">
        <w:rPr>
          <w:rFonts w:ascii="Times New Roman" w:hAnsi="Times New Roman" w:cs="Times New Roman"/>
          <w:b/>
          <w:color w:val="auto"/>
          <w:sz w:val="24"/>
          <w:szCs w:val="24"/>
        </w:rPr>
        <w:instrText xml:space="preserve"> SEQ Table \* ARABIC </w:instrText>
      </w:r>
      <w:r w:rsidRPr="001D7801">
        <w:rPr>
          <w:rFonts w:ascii="Times New Roman" w:hAnsi="Times New Roman" w:cs="Times New Roman"/>
          <w:b/>
          <w:color w:val="auto"/>
          <w:sz w:val="24"/>
          <w:szCs w:val="24"/>
        </w:rPr>
        <w:fldChar w:fldCharType="separate"/>
      </w:r>
      <w:r w:rsidR="00DD353C" w:rsidRPr="001D7801">
        <w:rPr>
          <w:rFonts w:ascii="Times New Roman" w:hAnsi="Times New Roman" w:cs="Times New Roman"/>
          <w:b/>
          <w:noProof/>
          <w:color w:val="auto"/>
          <w:sz w:val="24"/>
          <w:szCs w:val="24"/>
        </w:rPr>
        <w:t>2</w:t>
      </w:r>
      <w:r w:rsidRPr="001D7801">
        <w:rPr>
          <w:rFonts w:ascii="Times New Roman" w:hAnsi="Times New Roman" w:cs="Times New Roman"/>
          <w:b/>
          <w:color w:val="auto"/>
          <w:sz w:val="24"/>
          <w:szCs w:val="24"/>
        </w:rPr>
        <w:fldChar w:fldCharType="end"/>
      </w:r>
      <w:r w:rsidRPr="001D7801">
        <w:rPr>
          <w:rFonts w:ascii="Times New Roman" w:hAnsi="Times New Roman" w:cs="Times New Roman"/>
          <w:color w:val="auto"/>
          <w:sz w:val="24"/>
          <w:szCs w:val="24"/>
        </w:rPr>
        <w:t>: ADF ad PP Stationarity test</w:t>
      </w:r>
    </w:p>
    <w:tbl>
      <w:tblPr>
        <w:tblStyle w:val="TabelaSimples2"/>
        <w:tblW w:w="8362" w:type="dxa"/>
        <w:jc w:val="center"/>
        <w:tblLook w:val="06A0" w:firstRow="1" w:lastRow="0" w:firstColumn="1" w:lastColumn="0" w:noHBand="1" w:noVBand="1"/>
      </w:tblPr>
      <w:tblGrid>
        <w:gridCol w:w="1110"/>
        <w:gridCol w:w="1920"/>
        <w:gridCol w:w="876"/>
        <w:gridCol w:w="1920"/>
        <w:gridCol w:w="876"/>
        <w:gridCol w:w="1660"/>
      </w:tblGrid>
      <w:tr w:rsidR="00E62E5B" w:rsidRPr="00A63412" w:rsidTr="0082238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10" w:type="dxa"/>
            <w:vMerge w:val="restart"/>
            <w:hideMark/>
          </w:tcPr>
          <w:p w:rsidR="00E62E5B" w:rsidRPr="00A63412" w:rsidRDefault="00E62E5B" w:rsidP="00822385">
            <w:pPr>
              <w:pStyle w:val="SemEspaamento"/>
              <w:jc w:val="both"/>
              <w:rPr>
                <w:rFonts w:ascii="Times New Roman" w:hAnsi="Times New Roman" w:cs="Times New Roman"/>
                <w:sz w:val="24"/>
                <w:szCs w:val="24"/>
              </w:rPr>
            </w:pPr>
            <w:r w:rsidRPr="00A63412">
              <w:rPr>
                <w:rFonts w:ascii="Times New Roman" w:hAnsi="Times New Roman" w:cs="Times New Roman"/>
                <w:sz w:val="24"/>
                <w:szCs w:val="24"/>
              </w:rPr>
              <w:t>Variable</w:t>
            </w:r>
          </w:p>
        </w:tc>
        <w:tc>
          <w:tcPr>
            <w:tcW w:w="2796" w:type="dxa"/>
            <w:gridSpan w:val="2"/>
            <w:noWrap/>
            <w:hideMark/>
          </w:tcPr>
          <w:p w:rsidR="00E62E5B" w:rsidRPr="00A63412" w:rsidRDefault="00E62E5B" w:rsidP="00822385">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Level I(0)</w:t>
            </w:r>
          </w:p>
        </w:tc>
        <w:tc>
          <w:tcPr>
            <w:tcW w:w="2796" w:type="dxa"/>
            <w:gridSpan w:val="2"/>
            <w:noWrap/>
            <w:hideMark/>
          </w:tcPr>
          <w:p w:rsidR="00E62E5B" w:rsidRPr="00A63412" w:rsidRDefault="00E62E5B" w:rsidP="00822385">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First Differences I(1)</w:t>
            </w:r>
          </w:p>
        </w:tc>
        <w:tc>
          <w:tcPr>
            <w:tcW w:w="1660" w:type="dxa"/>
            <w:noWrap/>
            <w:hideMark/>
          </w:tcPr>
          <w:p w:rsidR="00E62E5B" w:rsidRPr="00A63412" w:rsidRDefault="00E62E5B" w:rsidP="00822385">
            <w:pPr>
              <w:pStyle w:val="SemEspaamen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2E5B" w:rsidRPr="00A63412" w:rsidTr="00822385">
        <w:trPr>
          <w:trHeight w:val="315"/>
          <w:jc w:val="center"/>
        </w:trPr>
        <w:tc>
          <w:tcPr>
            <w:cnfStyle w:val="001000000000" w:firstRow="0" w:lastRow="0" w:firstColumn="1" w:lastColumn="0" w:oddVBand="0" w:evenVBand="0" w:oddHBand="0" w:evenHBand="0" w:firstRowFirstColumn="0" w:firstRowLastColumn="0" w:lastRowFirstColumn="0" w:lastRowLastColumn="0"/>
            <w:tcW w:w="1110" w:type="dxa"/>
            <w:vMerge/>
            <w:hideMark/>
          </w:tcPr>
          <w:p w:rsidR="00E62E5B" w:rsidRPr="00A63412" w:rsidRDefault="00E62E5B" w:rsidP="00822385">
            <w:pPr>
              <w:pStyle w:val="SemEspaamento"/>
              <w:jc w:val="both"/>
              <w:rPr>
                <w:rFonts w:ascii="Times New Roman" w:hAnsi="Times New Roman" w:cs="Times New Roman"/>
                <w:sz w:val="24"/>
                <w:szCs w:val="24"/>
              </w:rPr>
            </w:pP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ADF</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PP</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ADF</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PP</w:t>
            </w: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Decision</w:t>
            </w:r>
          </w:p>
        </w:tc>
      </w:tr>
      <w:tr w:rsidR="00E62E5B" w:rsidRPr="00A63412" w:rsidTr="00822385">
        <w:trPr>
          <w:trHeight w:val="330"/>
          <w:jc w:val="center"/>
        </w:trPr>
        <w:tc>
          <w:tcPr>
            <w:cnfStyle w:val="001000000000" w:firstRow="0" w:lastRow="0" w:firstColumn="1" w:lastColumn="0" w:oddVBand="0" w:evenVBand="0" w:oddHBand="0" w:evenHBand="0" w:firstRowFirstColumn="0" w:firstRowLastColumn="0" w:lastRowFirstColumn="0" w:lastRowLastColumn="0"/>
            <w:tcW w:w="1110" w:type="dxa"/>
            <w:vMerge/>
            <w:hideMark/>
          </w:tcPr>
          <w:p w:rsidR="00E62E5B" w:rsidRPr="00A63412" w:rsidRDefault="00E62E5B" w:rsidP="00822385">
            <w:pPr>
              <w:pStyle w:val="SemEspaamento"/>
              <w:jc w:val="both"/>
              <w:rPr>
                <w:rFonts w:ascii="Times New Roman" w:hAnsi="Times New Roman" w:cs="Times New Roman"/>
                <w:sz w:val="24"/>
                <w:szCs w:val="24"/>
              </w:rPr>
            </w:pPr>
          </w:p>
        </w:tc>
        <w:tc>
          <w:tcPr>
            <w:tcW w:w="5592" w:type="dxa"/>
            <w:gridSpan w:val="4"/>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P-value</w:t>
            </w: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2E5B" w:rsidRPr="00A63412" w:rsidTr="00822385">
        <w:trPr>
          <w:trHeight w:val="315"/>
          <w:jc w:val="center"/>
        </w:trPr>
        <w:tc>
          <w:tcPr>
            <w:cnfStyle w:val="001000000000" w:firstRow="0" w:lastRow="0" w:firstColumn="1" w:lastColumn="0" w:oddVBand="0" w:evenVBand="0" w:oddHBand="0" w:evenHBand="0" w:firstRowFirstColumn="0" w:firstRowLastColumn="0" w:lastRowFirstColumn="0" w:lastRowLastColumn="0"/>
            <w:tcW w:w="1110" w:type="dxa"/>
            <w:noWrap/>
            <w:hideMark/>
          </w:tcPr>
          <w:p w:rsidR="00E62E5B" w:rsidRPr="00A63412" w:rsidRDefault="00E62E5B" w:rsidP="00822385">
            <w:pPr>
              <w:pStyle w:val="SemEspaamento"/>
              <w:jc w:val="both"/>
              <w:rPr>
                <w:rFonts w:ascii="Times New Roman" w:hAnsi="Times New Roman" w:cs="Times New Roman"/>
                <w:sz w:val="24"/>
                <w:szCs w:val="24"/>
              </w:rPr>
            </w:pPr>
            <w:r w:rsidRPr="00A63412">
              <w:rPr>
                <w:rFonts w:ascii="Times New Roman" w:hAnsi="Times New Roman" w:cs="Times New Roman"/>
                <w:sz w:val="24"/>
                <w:szCs w:val="24"/>
              </w:rPr>
              <w:t>LODA</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0.0262</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0.0149</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I(0)</w:t>
            </w:r>
          </w:p>
        </w:tc>
      </w:tr>
      <w:tr w:rsidR="00E62E5B" w:rsidRPr="00A63412" w:rsidTr="00822385">
        <w:trPr>
          <w:trHeight w:val="315"/>
          <w:jc w:val="center"/>
        </w:trPr>
        <w:tc>
          <w:tcPr>
            <w:cnfStyle w:val="001000000000" w:firstRow="0" w:lastRow="0" w:firstColumn="1" w:lastColumn="0" w:oddVBand="0" w:evenVBand="0" w:oddHBand="0" w:evenHBand="0" w:firstRowFirstColumn="0" w:firstRowLastColumn="0" w:lastRowFirstColumn="0" w:lastRowLastColumn="0"/>
            <w:tcW w:w="1110" w:type="dxa"/>
            <w:noWrap/>
            <w:hideMark/>
          </w:tcPr>
          <w:p w:rsidR="00E62E5B" w:rsidRPr="00A63412" w:rsidRDefault="00E62E5B" w:rsidP="00822385">
            <w:pPr>
              <w:pStyle w:val="SemEspaamento"/>
              <w:jc w:val="both"/>
              <w:rPr>
                <w:rFonts w:ascii="Times New Roman" w:hAnsi="Times New Roman" w:cs="Times New Roman"/>
                <w:sz w:val="24"/>
                <w:szCs w:val="24"/>
              </w:rPr>
            </w:pPr>
            <w:r w:rsidRPr="00A63412">
              <w:rPr>
                <w:rFonts w:ascii="Times New Roman" w:hAnsi="Times New Roman" w:cs="Times New Roman"/>
                <w:sz w:val="24"/>
                <w:szCs w:val="24"/>
              </w:rPr>
              <w:t>LGDP</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0.1516</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0.2565</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0.0041</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0.0027</w:t>
            </w: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I(1)</w:t>
            </w:r>
          </w:p>
        </w:tc>
      </w:tr>
      <w:tr w:rsidR="00E62E5B" w:rsidRPr="00A63412" w:rsidTr="00822385">
        <w:trPr>
          <w:trHeight w:val="315"/>
          <w:jc w:val="center"/>
        </w:trPr>
        <w:tc>
          <w:tcPr>
            <w:cnfStyle w:val="001000000000" w:firstRow="0" w:lastRow="0" w:firstColumn="1" w:lastColumn="0" w:oddVBand="0" w:evenVBand="0" w:oddHBand="0" w:evenHBand="0" w:firstRowFirstColumn="0" w:firstRowLastColumn="0" w:lastRowFirstColumn="0" w:lastRowLastColumn="0"/>
            <w:tcW w:w="1110" w:type="dxa"/>
            <w:noWrap/>
            <w:hideMark/>
          </w:tcPr>
          <w:p w:rsidR="00E62E5B" w:rsidRPr="00A63412" w:rsidRDefault="00E62E5B" w:rsidP="00822385">
            <w:pPr>
              <w:pStyle w:val="SemEspaamento"/>
              <w:jc w:val="both"/>
              <w:rPr>
                <w:rFonts w:ascii="Times New Roman" w:hAnsi="Times New Roman" w:cs="Times New Roman"/>
                <w:sz w:val="24"/>
                <w:szCs w:val="24"/>
              </w:rPr>
            </w:pPr>
            <w:r w:rsidRPr="00A63412">
              <w:rPr>
                <w:rFonts w:ascii="Times New Roman" w:hAnsi="Times New Roman" w:cs="Times New Roman"/>
                <w:sz w:val="24"/>
                <w:szCs w:val="24"/>
              </w:rPr>
              <w:t>LFDI</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0.4105</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0.4379</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0.0000</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0.0000</w:t>
            </w: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I(1)</w:t>
            </w:r>
          </w:p>
        </w:tc>
      </w:tr>
      <w:tr w:rsidR="00E62E5B" w:rsidRPr="00A63412" w:rsidTr="00822385">
        <w:trPr>
          <w:trHeight w:val="315"/>
          <w:jc w:val="center"/>
        </w:trPr>
        <w:tc>
          <w:tcPr>
            <w:cnfStyle w:val="001000000000" w:firstRow="0" w:lastRow="0" w:firstColumn="1" w:lastColumn="0" w:oddVBand="0" w:evenVBand="0" w:oddHBand="0" w:evenHBand="0" w:firstRowFirstColumn="0" w:firstRowLastColumn="0" w:lastRowFirstColumn="0" w:lastRowLastColumn="0"/>
            <w:tcW w:w="1110" w:type="dxa"/>
            <w:noWrap/>
            <w:hideMark/>
          </w:tcPr>
          <w:p w:rsidR="00E62E5B" w:rsidRPr="00A63412" w:rsidRDefault="00E62E5B" w:rsidP="00822385">
            <w:pPr>
              <w:pStyle w:val="SemEspaamento"/>
              <w:jc w:val="both"/>
              <w:rPr>
                <w:rFonts w:ascii="Times New Roman" w:hAnsi="Times New Roman" w:cs="Times New Roman"/>
                <w:sz w:val="24"/>
                <w:szCs w:val="24"/>
              </w:rPr>
            </w:pPr>
            <w:r w:rsidRPr="00A63412">
              <w:rPr>
                <w:rFonts w:ascii="Times New Roman" w:hAnsi="Times New Roman" w:cs="Times New Roman"/>
                <w:sz w:val="24"/>
                <w:szCs w:val="24"/>
              </w:rPr>
              <w:t>LDBT</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0.593</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0.9672</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0.0080</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0.0060</w:t>
            </w: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I(1)</w:t>
            </w:r>
          </w:p>
        </w:tc>
      </w:tr>
      <w:tr w:rsidR="00E62E5B" w:rsidRPr="00A63412" w:rsidTr="00822385">
        <w:trPr>
          <w:trHeight w:val="471"/>
          <w:jc w:val="center"/>
        </w:trPr>
        <w:tc>
          <w:tcPr>
            <w:cnfStyle w:val="001000000000" w:firstRow="0" w:lastRow="0" w:firstColumn="1" w:lastColumn="0" w:oddVBand="0" w:evenVBand="0" w:oddHBand="0" w:evenHBand="0" w:firstRowFirstColumn="0" w:firstRowLastColumn="0" w:lastRowFirstColumn="0" w:lastRowLastColumn="0"/>
            <w:tcW w:w="1110" w:type="dxa"/>
            <w:noWrap/>
            <w:hideMark/>
          </w:tcPr>
          <w:p w:rsidR="00E62E5B" w:rsidRPr="00A63412" w:rsidRDefault="00E62E5B" w:rsidP="00822385">
            <w:pPr>
              <w:pStyle w:val="SemEspaamento"/>
              <w:jc w:val="both"/>
              <w:rPr>
                <w:rFonts w:ascii="Times New Roman" w:hAnsi="Times New Roman" w:cs="Times New Roman"/>
                <w:sz w:val="24"/>
                <w:szCs w:val="24"/>
              </w:rPr>
            </w:pPr>
            <w:r w:rsidRPr="00A63412">
              <w:rPr>
                <w:rFonts w:ascii="Times New Roman" w:hAnsi="Times New Roman" w:cs="Times New Roman"/>
                <w:sz w:val="24"/>
                <w:szCs w:val="24"/>
              </w:rPr>
              <w:t>LINV</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0.2513</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0.2073</w:t>
            </w:r>
          </w:p>
        </w:tc>
        <w:tc>
          <w:tcPr>
            <w:tcW w:w="192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0.0000</w:t>
            </w:r>
          </w:p>
        </w:tc>
        <w:tc>
          <w:tcPr>
            <w:tcW w:w="876"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0.0000</w:t>
            </w:r>
          </w:p>
        </w:tc>
        <w:tc>
          <w:tcPr>
            <w:tcW w:w="1660" w:type="dxa"/>
            <w:noWrap/>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63412">
              <w:rPr>
                <w:rFonts w:ascii="Times New Roman" w:hAnsi="Times New Roman" w:cs="Times New Roman"/>
                <w:bCs/>
                <w:sz w:val="24"/>
                <w:szCs w:val="24"/>
              </w:rPr>
              <w:t>I(1)</w:t>
            </w:r>
          </w:p>
        </w:tc>
      </w:tr>
    </w:tbl>
    <w:p w:rsidR="00E62E5B" w:rsidRPr="00A63412" w:rsidRDefault="00E62E5B" w:rsidP="00E62E5B">
      <w:pPr>
        <w:pStyle w:val="SemEspaamento"/>
        <w:jc w:val="both"/>
        <w:rPr>
          <w:rFonts w:ascii="Times New Roman" w:hAnsi="Times New Roman" w:cs="Times New Roman"/>
          <w:sz w:val="24"/>
          <w:szCs w:val="24"/>
        </w:rPr>
      </w:pPr>
      <w:r w:rsidRPr="00A63412">
        <w:rPr>
          <w:rFonts w:ascii="Times New Roman" w:hAnsi="Times New Roman" w:cs="Times New Roman"/>
        </w:rPr>
        <w:t xml:space="preserve">               Source: Author’s computation outputs, 2025</w:t>
      </w:r>
    </w:p>
    <w:p w:rsidR="00E62E5B" w:rsidRPr="00A63412" w:rsidRDefault="00E62E5B" w:rsidP="00E62E5B">
      <w:pPr>
        <w:pStyle w:val="SemEspaamento"/>
        <w:spacing w:line="360" w:lineRule="auto"/>
        <w:jc w:val="both"/>
        <w:rPr>
          <w:rFonts w:ascii="Times New Roman" w:hAnsi="Times New Roman" w:cs="Times New Roman"/>
          <w:sz w:val="24"/>
          <w:szCs w:val="24"/>
        </w:rPr>
      </w:pP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The results indicate that the LODA variable is stationary at levels, as evidenced by a p-value of 0.0262, which is below the 5% significance threshold. By contrast, LGDP, LFDI, LDBT, and LINV do not exhibit stationarity in levels but achieve stationarity after first differencing. Hence, all variables are integrated of order zero, </w:t>
      </w:r>
      <w:proofErr w:type="gramStart"/>
      <w:r w:rsidRPr="00A63412">
        <w:rPr>
          <w:rFonts w:ascii="Times New Roman" w:hAnsi="Times New Roman" w:cs="Times New Roman"/>
          <w:sz w:val="24"/>
          <w:szCs w:val="24"/>
        </w:rPr>
        <w:t>I(</w:t>
      </w:r>
      <w:proofErr w:type="gramEnd"/>
      <w:r w:rsidRPr="00A63412">
        <w:rPr>
          <w:rFonts w:ascii="Times New Roman" w:hAnsi="Times New Roman" w:cs="Times New Roman"/>
          <w:sz w:val="24"/>
          <w:szCs w:val="24"/>
        </w:rPr>
        <w:t>0), or order one, I(1), thereby satisfying the preconditions for applying the ARDL bounds testing approach.</w:t>
      </w:r>
    </w:p>
    <w:p w:rsidR="00E62E5B" w:rsidRPr="00A63412" w:rsidRDefault="00E62E5B" w:rsidP="00E601A5">
      <w:pPr>
        <w:pStyle w:val="SemEspaamento"/>
        <w:numPr>
          <w:ilvl w:val="1"/>
          <w:numId w:val="4"/>
        </w:numPr>
        <w:spacing w:before="240"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 xml:space="preserve"> </w:t>
      </w:r>
      <w:r w:rsidRPr="00E601A5">
        <w:rPr>
          <w:rStyle w:val="SubttuloCarter"/>
        </w:rPr>
        <w:t>Selection of the Optimal Lag Length</w:t>
      </w:r>
    </w:p>
    <w:p w:rsidR="00E62E5B" w:rsidRPr="00147A82" w:rsidRDefault="00147A82" w:rsidP="00147A82">
      <w:pPr>
        <w:pStyle w:val="Legenda"/>
        <w:keepNext/>
        <w:spacing w:line="360" w:lineRule="auto"/>
        <w:jc w:val="both"/>
        <w:rPr>
          <w:rFonts w:ascii="Times New Roman" w:hAnsi="Times New Roman" w:cs="Times New Roman"/>
          <w:b/>
          <w:i w:val="0"/>
          <w:sz w:val="24"/>
          <w:szCs w:val="24"/>
        </w:rPr>
      </w:pPr>
      <w:r w:rsidRPr="00147A82">
        <w:rPr>
          <w:rFonts w:ascii="Times New Roman" w:hAnsi="Times New Roman" w:cs="Times New Roman"/>
          <w:i w:val="0"/>
          <w:sz w:val="24"/>
          <w:szCs w:val="24"/>
        </w:rPr>
        <w:lastRenderedPageBreak/>
        <w:t>The table below presents the optimal number of lags selected according to</w:t>
      </w:r>
      <w:r w:rsidRPr="00147A82">
        <w:rPr>
          <w:rFonts w:ascii="Times New Roman" w:hAnsi="Times New Roman" w:cs="Times New Roman"/>
          <w:b/>
          <w:i w:val="0"/>
          <w:sz w:val="24"/>
          <w:szCs w:val="24"/>
        </w:rPr>
        <w:t xml:space="preserve"> </w:t>
      </w:r>
      <w:r w:rsidRPr="00147A82">
        <w:rPr>
          <w:rStyle w:val="Forte"/>
          <w:rFonts w:ascii="Times New Roman" w:hAnsi="Times New Roman" w:cs="Times New Roman"/>
          <w:b w:val="0"/>
          <w:i w:val="0"/>
          <w:sz w:val="24"/>
          <w:szCs w:val="24"/>
        </w:rPr>
        <w:t>LL (Log-Likelihood), LR (Likelihood Ratio), FPE (Final Prediction Error), AIC (</w:t>
      </w:r>
      <w:proofErr w:type="spellStart"/>
      <w:r w:rsidRPr="00147A82">
        <w:rPr>
          <w:rStyle w:val="Forte"/>
          <w:rFonts w:ascii="Times New Roman" w:hAnsi="Times New Roman" w:cs="Times New Roman"/>
          <w:b w:val="0"/>
          <w:i w:val="0"/>
          <w:sz w:val="24"/>
          <w:szCs w:val="24"/>
        </w:rPr>
        <w:t>Akaike</w:t>
      </w:r>
      <w:proofErr w:type="spellEnd"/>
      <w:r w:rsidRPr="00147A82">
        <w:rPr>
          <w:rStyle w:val="Forte"/>
          <w:rFonts w:ascii="Times New Roman" w:hAnsi="Times New Roman" w:cs="Times New Roman"/>
          <w:b w:val="0"/>
          <w:i w:val="0"/>
          <w:sz w:val="24"/>
          <w:szCs w:val="24"/>
        </w:rPr>
        <w:t xml:space="preserve"> Information Criterion), HQIC (</w:t>
      </w:r>
      <w:proofErr w:type="spellStart"/>
      <w:r w:rsidRPr="00147A82">
        <w:rPr>
          <w:rStyle w:val="Forte"/>
          <w:rFonts w:ascii="Times New Roman" w:hAnsi="Times New Roman" w:cs="Times New Roman"/>
          <w:b w:val="0"/>
          <w:i w:val="0"/>
          <w:sz w:val="24"/>
          <w:szCs w:val="24"/>
        </w:rPr>
        <w:t>Hannan</w:t>
      </w:r>
      <w:proofErr w:type="spellEnd"/>
      <w:r w:rsidRPr="00147A82">
        <w:rPr>
          <w:rStyle w:val="Forte"/>
          <w:rFonts w:ascii="Times New Roman" w:hAnsi="Times New Roman" w:cs="Times New Roman"/>
          <w:b w:val="0"/>
          <w:i w:val="0"/>
          <w:sz w:val="24"/>
          <w:szCs w:val="24"/>
        </w:rPr>
        <w:t>-Quinn Information Criterion), and SBIC (Schwarz Bayesian Information Criterion)</w:t>
      </w:r>
      <w:r w:rsidRPr="00147A82">
        <w:rPr>
          <w:rFonts w:ascii="Times New Roman" w:hAnsi="Times New Roman" w:cs="Times New Roman"/>
          <w:b/>
          <w:i w:val="0"/>
          <w:sz w:val="24"/>
          <w:szCs w:val="24"/>
        </w:rPr>
        <w:t>.</w:t>
      </w:r>
    </w:p>
    <w:p w:rsidR="00E62E5B" w:rsidRPr="00A63412" w:rsidRDefault="00E62E5B" w:rsidP="00E62E5B">
      <w:pPr>
        <w:pStyle w:val="Legenda"/>
        <w:keepNext/>
        <w:jc w:val="both"/>
        <w:rPr>
          <w:rFonts w:ascii="Times New Roman" w:hAnsi="Times New Roman" w:cs="Times New Roman"/>
          <w:sz w:val="24"/>
          <w:szCs w:val="24"/>
        </w:rPr>
      </w:pPr>
      <w:r w:rsidRPr="00A63412">
        <w:rPr>
          <w:rFonts w:ascii="Times New Roman" w:hAnsi="Times New Roman" w:cs="Times New Roman"/>
          <w:b/>
          <w:sz w:val="24"/>
          <w:szCs w:val="24"/>
        </w:rPr>
        <w:t xml:space="preserve">Table </w:t>
      </w:r>
      <w:r w:rsidRPr="00A63412">
        <w:rPr>
          <w:rFonts w:ascii="Times New Roman" w:hAnsi="Times New Roman" w:cs="Times New Roman"/>
          <w:b/>
          <w:sz w:val="24"/>
          <w:szCs w:val="24"/>
        </w:rPr>
        <w:fldChar w:fldCharType="begin"/>
      </w:r>
      <w:r w:rsidRPr="00A63412">
        <w:rPr>
          <w:rFonts w:ascii="Times New Roman" w:hAnsi="Times New Roman" w:cs="Times New Roman"/>
          <w:b/>
          <w:sz w:val="24"/>
          <w:szCs w:val="24"/>
        </w:rPr>
        <w:instrText xml:space="preserve"> SEQ Table \* ARABIC </w:instrText>
      </w:r>
      <w:r w:rsidRPr="00A63412">
        <w:rPr>
          <w:rFonts w:ascii="Times New Roman" w:hAnsi="Times New Roman" w:cs="Times New Roman"/>
          <w:b/>
          <w:sz w:val="24"/>
          <w:szCs w:val="24"/>
        </w:rPr>
        <w:fldChar w:fldCharType="separate"/>
      </w:r>
      <w:r w:rsidR="00DD353C">
        <w:rPr>
          <w:rFonts w:ascii="Times New Roman" w:hAnsi="Times New Roman" w:cs="Times New Roman"/>
          <w:b/>
          <w:noProof/>
          <w:sz w:val="24"/>
          <w:szCs w:val="24"/>
        </w:rPr>
        <w:t>3</w:t>
      </w:r>
      <w:r w:rsidRPr="00A63412">
        <w:rPr>
          <w:rFonts w:ascii="Times New Roman" w:hAnsi="Times New Roman" w:cs="Times New Roman"/>
          <w:b/>
          <w:sz w:val="24"/>
          <w:szCs w:val="24"/>
        </w:rPr>
        <w:fldChar w:fldCharType="end"/>
      </w:r>
      <w:r w:rsidRPr="00A63412">
        <w:rPr>
          <w:rFonts w:ascii="Times New Roman" w:hAnsi="Times New Roman" w:cs="Times New Roman"/>
          <w:sz w:val="24"/>
          <w:szCs w:val="24"/>
        </w:rPr>
        <w:t>: Optimal Lag Length Selection</w:t>
      </w:r>
    </w:p>
    <w:tbl>
      <w:tblPr>
        <w:tblStyle w:val="Tabelacomgrelha"/>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012"/>
        <w:gridCol w:w="876"/>
        <w:gridCol w:w="470"/>
        <w:gridCol w:w="936"/>
        <w:gridCol w:w="1052"/>
        <w:gridCol w:w="1127"/>
        <w:gridCol w:w="1127"/>
        <w:gridCol w:w="1127"/>
        <w:gridCol w:w="590"/>
      </w:tblGrid>
      <w:tr w:rsidR="00E62E5B" w:rsidRPr="00A63412" w:rsidTr="00822385">
        <w:trPr>
          <w:trHeight w:val="300"/>
          <w:jc w:val="center"/>
        </w:trPr>
        <w:tc>
          <w:tcPr>
            <w:tcW w:w="557"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Variable</w:t>
            </w:r>
          </w:p>
        </w:tc>
        <w:tc>
          <w:tcPr>
            <w:tcW w:w="541"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LL</w:t>
            </w:r>
          </w:p>
        </w:tc>
        <w:tc>
          <w:tcPr>
            <w:tcW w:w="468"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LR</w:t>
            </w:r>
          </w:p>
        </w:tc>
        <w:tc>
          <w:tcPr>
            <w:tcW w:w="251"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proofErr w:type="spellStart"/>
            <w:r w:rsidRPr="00A63412">
              <w:rPr>
                <w:rFonts w:ascii="Times New Roman" w:hAnsi="Times New Roman" w:cs="Times New Roman"/>
                <w:sz w:val="24"/>
                <w:szCs w:val="24"/>
              </w:rPr>
              <w:t>Df</w:t>
            </w:r>
            <w:proofErr w:type="spellEnd"/>
          </w:p>
        </w:tc>
        <w:tc>
          <w:tcPr>
            <w:tcW w:w="500"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p-value</w:t>
            </w:r>
          </w:p>
        </w:tc>
        <w:tc>
          <w:tcPr>
            <w:tcW w:w="562"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FPE</w:t>
            </w:r>
          </w:p>
        </w:tc>
        <w:tc>
          <w:tcPr>
            <w:tcW w:w="602"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AIC</w:t>
            </w:r>
          </w:p>
        </w:tc>
        <w:tc>
          <w:tcPr>
            <w:tcW w:w="602"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HQIC</w:t>
            </w:r>
          </w:p>
        </w:tc>
        <w:tc>
          <w:tcPr>
            <w:tcW w:w="602" w:type="pct"/>
            <w:tcBorders>
              <w:top w:val="single" w:sz="4" w:space="0" w:color="auto"/>
              <w:bottom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SBIC</w:t>
            </w:r>
          </w:p>
        </w:tc>
        <w:tc>
          <w:tcPr>
            <w:tcW w:w="315" w:type="pct"/>
            <w:tcBorders>
              <w:top w:val="single" w:sz="4" w:space="0" w:color="auto"/>
              <w:bottom w:val="single" w:sz="4" w:space="0" w:color="auto"/>
            </w:tcBorders>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Lag</w:t>
            </w:r>
          </w:p>
        </w:tc>
      </w:tr>
      <w:tr w:rsidR="00E62E5B" w:rsidRPr="00A63412" w:rsidTr="00822385">
        <w:trPr>
          <w:trHeight w:val="300"/>
          <w:jc w:val="center"/>
        </w:trPr>
        <w:tc>
          <w:tcPr>
            <w:tcW w:w="557"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LGDP</w:t>
            </w:r>
          </w:p>
        </w:tc>
        <w:tc>
          <w:tcPr>
            <w:tcW w:w="541"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62.4078</w:t>
            </w:r>
          </w:p>
        </w:tc>
        <w:tc>
          <w:tcPr>
            <w:tcW w:w="468"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139.22</w:t>
            </w:r>
          </w:p>
        </w:tc>
        <w:tc>
          <w:tcPr>
            <w:tcW w:w="251"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c>
          <w:tcPr>
            <w:tcW w:w="500"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0.000</w:t>
            </w:r>
          </w:p>
        </w:tc>
        <w:tc>
          <w:tcPr>
            <w:tcW w:w="562"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0.001</w:t>
            </w:r>
          </w:p>
        </w:tc>
        <w:tc>
          <w:tcPr>
            <w:tcW w:w="602"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-4.475</w:t>
            </w:r>
          </w:p>
        </w:tc>
        <w:tc>
          <w:tcPr>
            <w:tcW w:w="602"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-4.446</w:t>
            </w:r>
          </w:p>
        </w:tc>
        <w:tc>
          <w:tcPr>
            <w:tcW w:w="602" w:type="pct"/>
            <w:tcBorders>
              <w:top w:val="single" w:sz="4" w:space="0" w:color="auto"/>
            </w:tcBorders>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-4.379</w:t>
            </w:r>
          </w:p>
        </w:tc>
        <w:tc>
          <w:tcPr>
            <w:tcW w:w="315" w:type="pct"/>
            <w:tcBorders>
              <w:top w:val="single" w:sz="4" w:space="0" w:color="auto"/>
            </w:tcBorders>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r>
      <w:tr w:rsidR="00E62E5B" w:rsidRPr="00A63412" w:rsidTr="00822385">
        <w:trPr>
          <w:trHeight w:val="300"/>
          <w:jc w:val="center"/>
        </w:trPr>
        <w:tc>
          <w:tcPr>
            <w:tcW w:w="557"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LODA</w:t>
            </w:r>
          </w:p>
        </w:tc>
        <w:tc>
          <w:tcPr>
            <w:tcW w:w="54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2.962</w:t>
            </w:r>
          </w:p>
        </w:tc>
        <w:tc>
          <w:tcPr>
            <w:tcW w:w="468"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5.667</w:t>
            </w:r>
          </w:p>
        </w:tc>
        <w:tc>
          <w:tcPr>
            <w:tcW w:w="25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c>
          <w:tcPr>
            <w:tcW w:w="500"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0.017</w:t>
            </w:r>
          </w:p>
        </w:tc>
        <w:tc>
          <w:tcPr>
            <w:tcW w:w="56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-0.712</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-0.071</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-0.043</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0.247</w:t>
            </w:r>
          </w:p>
        </w:tc>
        <w:tc>
          <w:tcPr>
            <w:tcW w:w="315" w:type="pct"/>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r>
      <w:tr w:rsidR="00E62E5B" w:rsidRPr="00A63412" w:rsidTr="00822385">
        <w:trPr>
          <w:trHeight w:val="300"/>
          <w:jc w:val="center"/>
        </w:trPr>
        <w:tc>
          <w:tcPr>
            <w:tcW w:w="557"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LFDI</w:t>
            </w:r>
          </w:p>
        </w:tc>
        <w:tc>
          <w:tcPr>
            <w:tcW w:w="54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-20.809</w:t>
            </w:r>
          </w:p>
        </w:tc>
        <w:tc>
          <w:tcPr>
            <w:tcW w:w="468"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36.424</w:t>
            </w:r>
          </w:p>
        </w:tc>
        <w:tc>
          <w:tcPr>
            <w:tcW w:w="25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c>
          <w:tcPr>
            <w:tcW w:w="500"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0.000</w:t>
            </w:r>
          </w:p>
        </w:tc>
        <w:tc>
          <w:tcPr>
            <w:tcW w:w="56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0.317</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1.689</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1.718</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1.786</w:t>
            </w:r>
          </w:p>
        </w:tc>
        <w:tc>
          <w:tcPr>
            <w:tcW w:w="315" w:type="pct"/>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r>
      <w:tr w:rsidR="00E62E5B" w:rsidRPr="00A63412" w:rsidTr="00822385">
        <w:trPr>
          <w:trHeight w:val="300"/>
          <w:jc w:val="center"/>
        </w:trPr>
        <w:tc>
          <w:tcPr>
            <w:tcW w:w="557"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LINV</w:t>
            </w:r>
          </w:p>
        </w:tc>
        <w:tc>
          <w:tcPr>
            <w:tcW w:w="54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4.071</w:t>
            </w:r>
          </w:p>
        </w:tc>
        <w:tc>
          <w:tcPr>
            <w:tcW w:w="468"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20.217</w:t>
            </w:r>
          </w:p>
        </w:tc>
        <w:tc>
          <w:tcPr>
            <w:tcW w:w="25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c>
          <w:tcPr>
            <w:tcW w:w="500"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0.000</w:t>
            </w:r>
          </w:p>
        </w:tc>
        <w:tc>
          <w:tcPr>
            <w:tcW w:w="56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0.0502</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-0.1534</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-0.125</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-0.057</w:t>
            </w:r>
          </w:p>
        </w:tc>
        <w:tc>
          <w:tcPr>
            <w:tcW w:w="315" w:type="pct"/>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r>
      <w:tr w:rsidR="00E62E5B" w:rsidRPr="00A63412" w:rsidTr="00822385">
        <w:trPr>
          <w:trHeight w:val="300"/>
          <w:jc w:val="center"/>
        </w:trPr>
        <w:tc>
          <w:tcPr>
            <w:tcW w:w="557"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LDBT</w:t>
            </w:r>
          </w:p>
        </w:tc>
        <w:tc>
          <w:tcPr>
            <w:tcW w:w="54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14.003</w:t>
            </w:r>
          </w:p>
        </w:tc>
        <w:tc>
          <w:tcPr>
            <w:tcW w:w="468"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5.6894</w:t>
            </w:r>
          </w:p>
        </w:tc>
        <w:tc>
          <w:tcPr>
            <w:tcW w:w="251"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1</w:t>
            </w:r>
          </w:p>
        </w:tc>
        <w:tc>
          <w:tcPr>
            <w:tcW w:w="500"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0.017</w:t>
            </w:r>
          </w:p>
        </w:tc>
        <w:tc>
          <w:tcPr>
            <w:tcW w:w="56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0.0259</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-0.815</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-0.7722</w:t>
            </w:r>
          </w:p>
        </w:tc>
        <w:tc>
          <w:tcPr>
            <w:tcW w:w="602" w:type="pct"/>
            <w:noWrap/>
            <w:hideMark/>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-0.671</w:t>
            </w:r>
          </w:p>
        </w:tc>
        <w:tc>
          <w:tcPr>
            <w:tcW w:w="315" w:type="pct"/>
          </w:tcPr>
          <w:p w:rsidR="00E62E5B" w:rsidRPr="00A63412" w:rsidRDefault="00E62E5B" w:rsidP="00822385">
            <w:pPr>
              <w:pStyle w:val="SemEspaamento"/>
              <w:jc w:val="center"/>
              <w:rPr>
                <w:rFonts w:ascii="Times New Roman" w:hAnsi="Times New Roman" w:cs="Times New Roman"/>
                <w:sz w:val="24"/>
                <w:szCs w:val="24"/>
              </w:rPr>
            </w:pPr>
            <w:r w:rsidRPr="00A63412">
              <w:rPr>
                <w:rFonts w:ascii="Times New Roman" w:hAnsi="Times New Roman" w:cs="Times New Roman"/>
                <w:sz w:val="24"/>
                <w:szCs w:val="24"/>
              </w:rPr>
              <w:t>2</w:t>
            </w:r>
          </w:p>
        </w:tc>
      </w:tr>
    </w:tbl>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i/>
          <w:iCs/>
          <w:sz w:val="24"/>
          <w:szCs w:val="24"/>
        </w:rPr>
        <w:t xml:space="preserve">     Source: Author’s computation outputs, 2025</w:t>
      </w:r>
    </w:p>
    <w:p w:rsidR="00E62E5B" w:rsidRPr="00147A82" w:rsidRDefault="00147A82" w:rsidP="00147A82">
      <w:pPr>
        <w:pStyle w:val="SemEspaamento"/>
        <w:spacing w:before="240" w:line="360" w:lineRule="auto"/>
        <w:jc w:val="both"/>
        <w:rPr>
          <w:rFonts w:ascii="Times New Roman" w:hAnsi="Times New Roman" w:cs="Times New Roman"/>
          <w:sz w:val="24"/>
          <w:szCs w:val="24"/>
        </w:rPr>
      </w:pPr>
      <w:r w:rsidRPr="00147A82">
        <w:rPr>
          <w:rFonts w:ascii="Times New Roman" w:hAnsi="Times New Roman" w:cs="Times New Roman"/>
          <w:sz w:val="24"/>
          <w:szCs w:val="24"/>
        </w:rPr>
        <w:t>The results indicate that the variables</w:t>
      </w:r>
      <w:r w:rsidRPr="00147A82">
        <w:rPr>
          <w:rFonts w:ascii="Times New Roman" w:hAnsi="Times New Roman" w:cs="Times New Roman"/>
          <w:b/>
          <w:sz w:val="24"/>
          <w:szCs w:val="24"/>
        </w:rPr>
        <w:t xml:space="preserve"> </w:t>
      </w:r>
      <w:r w:rsidRPr="00147A82">
        <w:rPr>
          <w:rStyle w:val="Forte"/>
          <w:rFonts w:ascii="Times New Roman" w:hAnsi="Times New Roman" w:cs="Times New Roman"/>
          <w:b w:val="0"/>
          <w:sz w:val="24"/>
          <w:szCs w:val="24"/>
        </w:rPr>
        <w:t>LGDP, LODA, LFDI, and LINV</w:t>
      </w:r>
      <w:r w:rsidRPr="00147A82">
        <w:rPr>
          <w:rFonts w:ascii="Times New Roman" w:hAnsi="Times New Roman" w:cs="Times New Roman"/>
          <w:sz w:val="24"/>
          <w:szCs w:val="24"/>
        </w:rPr>
        <w:t xml:space="preserve"> generally exhibit a preferred lag order of 1, whereas </w:t>
      </w:r>
      <w:r w:rsidRPr="00147A82">
        <w:rPr>
          <w:rStyle w:val="Forte"/>
          <w:rFonts w:ascii="Times New Roman" w:hAnsi="Times New Roman" w:cs="Times New Roman"/>
          <w:b w:val="0"/>
          <w:sz w:val="24"/>
          <w:szCs w:val="24"/>
        </w:rPr>
        <w:t>LDBT</w:t>
      </w:r>
      <w:r w:rsidRPr="00147A82">
        <w:rPr>
          <w:rFonts w:ascii="Times New Roman" w:hAnsi="Times New Roman" w:cs="Times New Roman"/>
          <w:sz w:val="24"/>
          <w:szCs w:val="24"/>
        </w:rPr>
        <w:t xml:space="preserve"> suggests up to 2 periods. Nonetheless, a </w:t>
      </w:r>
      <w:r w:rsidRPr="00147A82">
        <w:rPr>
          <w:rStyle w:val="Forte"/>
          <w:rFonts w:ascii="Times New Roman" w:hAnsi="Times New Roman" w:cs="Times New Roman"/>
          <w:b w:val="0"/>
          <w:sz w:val="24"/>
          <w:szCs w:val="24"/>
        </w:rPr>
        <w:t>maximum lag length of two</w:t>
      </w:r>
      <w:r w:rsidRPr="00147A82">
        <w:rPr>
          <w:rFonts w:ascii="Times New Roman" w:hAnsi="Times New Roman" w:cs="Times New Roman"/>
          <w:b/>
          <w:sz w:val="24"/>
          <w:szCs w:val="24"/>
        </w:rPr>
        <w:t xml:space="preserve"> </w:t>
      </w:r>
      <w:r w:rsidRPr="00147A82">
        <w:rPr>
          <w:rFonts w:ascii="Times New Roman" w:hAnsi="Times New Roman" w:cs="Times New Roman"/>
          <w:sz w:val="24"/>
          <w:szCs w:val="24"/>
        </w:rPr>
        <w:t xml:space="preserve">was imposed, allowing the </w:t>
      </w:r>
      <w:r w:rsidRPr="00147A82">
        <w:rPr>
          <w:rStyle w:val="Forte"/>
          <w:rFonts w:ascii="Times New Roman" w:hAnsi="Times New Roman" w:cs="Times New Roman"/>
          <w:b w:val="0"/>
          <w:sz w:val="24"/>
          <w:szCs w:val="24"/>
        </w:rPr>
        <w:t>AIC</w:t>
      </w:r>
      <w:r w:rsidRPr="00147A82">
        <w:rPr>
          <w:rFonts w:ascii="Times New Roman" w:hAnsi="Times New Roman" w:cs="Times New Roman"/>
          <w:sz w:val="24"/>
          <w:szCs w:val="24"/>
        </w:rPr>
        <w:t xml:space="preserve"> to determine the final lag structure in the ARDL model. This decision reflects the AIC's capacity to optimally balance model fit and complexity, capturing potential short- and medium-term dynamic effects while preserving parsimony and degrees of freedom in relatively small samples. Such an approach </w:t>
      </w:r>
      <w:r w:rsidRPr="00147A82">
        <w:rPr>
          <w:rStyle w:val="Forte"/>
          <w:rFonts w:ascii="Times New Roman" w:hAnsi="Times New Roman" w:cs="Times New Roman"/>
          <w:b w:val="0"/>
          <w:sz w:val="24"/>
          <w:szCs w:val="24"/>
        </w:rPr>
        <w:t>corroborates the established economic literature and ARDL methodology</w:t>
      </w:r>
      <w:r w:rsidRPr="00147A82">
        <w:rPr>
          <w:rFonts w:ascii="Times New Roman" w:hAnsi="Times New Roman" w:cs="Times New Roman"/>
          <w:sz w:val="24"/>
          <w:szCs w:val="24"/>
        </w:rPr>
        <w:t xml:space="preserve"> (</w:t>
      </w:r>
      <w:proofErr w:type="spellStart"/>
      <w:r w:rsidRPr="00147A82">
        <w:rPr>
          <w:rFonts w:ascii="Times New Roman" w:hAnsi="Times New Roman" w:cs="Times New Roman"/>
          <w:sz w:val="24"/>
          <w:szCs w:val="24"/>
        </w:rPr>
        <w:t>Pesaran</w:t>
      </w:r>
      <w:proofErr w:type="spellEnd"/>
      <w:r w:rsidRPr="00147A82">
        <w:rPr>
          <w:rFonts w:ascii="Times New Roman" w:hAnsi="Times New Roman" w:cs="Times New Roman"/>
          <w:sz w:val="24"/>
          <w:szCs w:val="24"/>
        </w:rPr>
        <w:t xml:space="preserve">, Shin &amp; Smith, 2001; </w:t>
      </w:r>
      <w:proofErr w:type="spellStart"/>
      <w:r w:rsidRPr="00147A82">
        <w:rPr>
          <w:rFonts w:ascii="Times New Roman" w:hAnsi="Times New Roman" w:cs="Times New Roman"/>
          <w:sz w:val="24"/>
          <w:szCs w:val="24"/>
        </w:rPr>
        <w:t>Lütkepohl</w:t>
      </w:r>
      <w:proofErr w:type="spellEnd"/>
      <w:r w:rsidRPr="00147A82">
        <w:rPr>
          <w:rFonts w:ascii="Times New Roman" w:hAnsi="Times New Roman" w:cs="Times New Roman"/>
          <w:sz w:val="24"/>
          <w:szCs w:val="24"/>
        </w:rPr>
        <w:t xml:space="preserve">, 2005), ensuring that the final model specification is determined endogenously by the data, thereby mitigating the risks of </w:t>
      </w:r>
      <w:proofErr w:type="spellStart"/>
      <w:r w:rsidRPr="00147A82">
        <w:rPr>
          <w:rFonts w:ascii="Times New Roman" w:hAnsi="Times New Roman" w:cs="Times New Roman"/>
          <w:sz w:val="24"/>
          <w:szCs w:val="24"/>
        </w:rPr>
        <w:t>overfitting</w:t>
      </w:r>
      <w:proofErr w:type="spellEnd"/>
      <w:r w:rsidRPr="00147A82">
        <w:rPr>
          <w:rFonts w:ascii="Times New Roman" w:hAnsi="Times New Roman" w:cs="Times New Roman"/>
          <w:sz w:val="24"/>
          <w:szCs w:val="24"/>
        </w:rPr>
        <w:t xml:space="preserve"> and the omission of relevant effects in both short- and long-run interactions </w:t>
      </w:r>
      <w:r w:rsidRPr="00147A82">
        <w:rPr>
          <w:rStyle w:val="Forte"/>
          <w:rFonts w:ascii="Times New Roman" w:hAnsi="Times New Roman" w:cs="Times New Roman"/>
          <w:b w:val="0"/>
          <w:sz w:val="24"/>
          <w:szCs w:val="24"/>
        </w:rPr>
        <w:t>among the variables</w:t>
      </w:r>
      <w:r w:rsidRPr="00147A82">
        <w:rPr>
          <w:rFonts w:ascii="Times New Roman" w:hAnsi="Times New Roman" w:cs="Times New Roman"/>
          <w:b/>
          <w:sz w:val="24"/>
          <w:szCs w:val="24"/>
        </w:rPr>
        <w:t>.</w:t>
      </w:r>
    </w:p>
    <w:p w:rsidR="00E62E5B" w:rsidRPr="00A63412" w:rsidRDefault="00E62E5B" w:rsidP="00DD353C">
      <w:pPr>
        <w:pStyle w:val="SemEspaamento"/>
        <w:numPr>
          <w:ilvl w:val="1"/>
          <w:numId w:val="4"/>
        </w:numPr>
        <w:spacing w:before="240"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 xml:space="preserve"> </w:t>
      </w:r>
      <w:r w:rsidRPr="00DD353C">
        <w:rPr>
          <w:rStyle w:val="SubttuloCarter"/>
        </w:rPr>
        <w:t>Bounds Cointegration Test</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Once the integration properties of the variables were established, the bounds testing approach developed by </w:t>
      </w:r>
      <w:proofErr w:type="spellStart"/>
      <w:r w:rsidRPr="00A63412">
        <w:rPr>
          <w:rFonts w:ascii="Times New Roman" w:hAnsi="Times New Roman" w:cs="Times New Roman"/>
          <w:sz w:val="24"/>
          <w:szCs w:val="24"/>
        </w:rPr>
        <w:t>Pesaran</w:t>
      </w:r>
      <w:proofErr w:type="spellEnd"/>
      <w:r w:rsidRPr="00A63412">
        <w:rPr>
          <w:rFonts w:ascii="Times New Roman" w:hAnsi="Times New Roman" w:cs="Times New Roman"/>
          <w:sz w:val="24"/>
          <w:szCs w:val="24"/>
        </w:rPr>
        <w:t xml:space="preserve"> and Shin (2001) was applied within the ARDL framework. This methodology is particularly appropriate when the variables are integrated of mixed order, levels </w:t>
      </w:r>
      <w:proofErr w:type="gramStart"/>
      <w:r w:rsidRPr="00A63412">
        <w:rPr>
          <w:rFonts w:ascii="Times New Roman" w:hAnsi="Times New Roman" w:cs="Times New Roman"/>
          <w:sz w:val="24"/>
          <w:szCs w:val="24"/>
        </w:rPr>
        <w:t>I(</w:t>
      </w:r>
      <w:proofErr w:type="gramEnd"/>
      <w:r w:rsidRPr="00A63412">
        <w:rPr>
          <w:rFonts w:ascii="Times New Roman" w:hAnsi="Times New Roman" w:cs="Times New Roman"/>
          <w:sz w:val="24"/>
          <w:szCs w:val="24"/>
        </w:rPr>
        <w:t>0) and first differences I(1), but none is integrated of order two or higher. The test is designed to assess whether a stable long-run equilibrium relationship exists among the variables despite the presence of short-run dynamics.</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The procedure relies on comparing the calculated F-statistic against critical bounds values. If the statistic exceeds the upper bound, the null hypothesis of no cointegration is rejected, confirming </w:t>
      </w:r>
      <w:r w:rsidRPr="00A63412">
        <w:rPr>
          <w:rFonts w:ascii="Times New Roman" w:hAnsi="Times New Roman" w:cs="Times New Roman"/>
          <w:sz w:val="24"/>
          <w:szCs w:val="24"/>
        </w:rPr>
        <w:lastRenderedPageBreak/>
        <w:t>the presence of long-run relationships. If it falls below the lower bound, the null cannot be rejected. Values lying between the two bounds are inconclusive.</w:t>
      </w:r>
    </w:p>
    <w:p w:rsidR="00E62E5B" w:rsidRPr="00A63412" w:rsidRDefault="00E62E5B" w:rsidP="00E62E5B">
      <w:pPr>
        <w:pStyle w:val="SemEspaamento"/>
        <w:spacing w:line="360" w:lineRule="auto"/>
        <w:jc w:val="both"/>
        <w:rPr>
          <w:rFonts w:ascii="Times New Roman" w:hAnsi="Times New Roman" w:cs="Times New Roman"/>
          <w:sz w:val="24"/>
          <w:szCs w:val="24"/>
        </w:rPr>
      </w:pPr>
    </w:p>
    <w:p w:rsidR="00E62E5B" w:rsidRPr="00A63412" w:rsidRDefault="00E62E5B" w:rsidP="00E62E5B">
      <w:pPr>
        <w:pStyle w:val="Legenda"/>
        <w:keepNext/>
        <w:rPr>
          <w:rFonts w:ascii="Times New Roman" w:hAnsi="Times New Roman" w:cs="Times New Roman"/>
          <w:sz w:val="24"/>
          <w:szCs w:val="24"/>
        </w:rPr>
      </w:pPr>
      <w:r w:rsidRPr="00DD353C">
        <w:rPr>
          <w:rFonts w:ascii="Times New Roman" w:hAnsi="Times New Roman" w:cs="Times New Roman"/>
          <w:b/>
          <w:sz w:val="24"/>
          <w:szCs w:val="24"/>
        </w:rPr>
        <w:t xml:space="preserve">Table </w:t>
      </w:r>
      <w:r w:rsidRPr="00DD353C">
        <w:rPr>
          <w:rFonts w:ascii="Times New Roman" w:hAnsi="Times New Roman" w:cs="Times New Roman"/>
          <w:b/>
          <w:sz w:val="24"/>
          <w:szCs w:val="24"/>
        </w:rPr>
        <w:fldChar w:fldCharType="begin"/>
      </w:r>
      <w:r w:rsidRPr="00DD353C">
        <w:rPr>
          <w:rFonts w:ascii="Times New Roman" w:hAnsi="Times New Roman" w:cs="Times New Roman"/>
          <w:b/>
          <w:sz w:val="24"/>
          <w:szCs w:val="24"/>
        </w:rPr>
        <w:instrText xml:space="preserve"> SEQ Table \* ARABIC </w:instrText>
      </w:r>
      <w:r w:rsidRPr="00DD353C">
        <w:rPr>
          <w:rFonts w:ascii="Times New Roman" w:hAnsi="Times New Roman" w:cs="Times New Roman"/>
          <w:b/>
          <w:sz w:val="24"/>
          <w:szCs w:val="24"/>
        </w:rPr>
        <w:fldChar w:fldCharType="separate"/>
      </w:r>
      <w:r w:rsidR="00DD353C">
        <w:rPr>
          <w:rFonts w:ascii="Times New Roman" w:hAnsi="Times New Roman" w:cs="Times New Roman"/>
          <w:b/>
          <w:noProof/>
          <w:sz w:val="24"/>
          <w:szCs w:val="24"/>
        </w:rPr>
        <w:t>4</w:t>
      </w:r>
      <w:r w:rsidRPr="00DD353C">
        <w:rPr>
          <w:rFonts w:ascii="Times New Roman" w:hAnsi="Times New Roman" w:cs="Times New Roman"/>
          <w:b/>
          <w:sz w:val="24"/>
          <w:szCs w:val="24"/>
        </w:rPr>
        <w:fldChar w:fldCharType="end"/>
      </w:r>
      <w:r w:rsidRPr="00A63412">
        <w:rPr>
          <w:rFonts w:ascii="Times New Roman" w:hAnsi="Times New Roman" w:cs="Times New Roman"/>
          <w:sz w:val="24"/>
          <w:szCs w:val="24"/>
        </w:rPr>
        <w:t>: Bounds Cointegration Test Results</w:t>
      </w:r>
    </w:p>
    <w:tbl>
      <w:tblPr>
        <w:tblStyle w:val="TabelaSimples2"/>
        <w:tblW w:w="0" w:type="auto"/>
        <w:tblLook w:val="06A0" w:firstRow="1" w:lastRow="0" w:firstColumn="1" w:lastColumn="0" w:noHBand="1" w:noVBand="1"/>
      </w:tblPr>
      <w:tblGrid>
        <w:gridCol w:w="1980"/>
        <w:gridCol w:w="1134"/>
        <w:gridCol w:w="1559"/>
        <w:gridCol w:w="2126"/>
        <w:gridCol w:w="1276"/>
        <w:gridCol w:w="1275"/>
      </w:tblGrid>
      <w:tr w:rsidR="00E62E5B" w:rsidRPr="00A63412" w:rsidTr="00822385">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980" w:type="dxa"/>
          </w:tcPr>
          <w:p w:rsidR="00E62E5B" w:rsidRPr="00A63412" w:rsidRDefault="00E62E5B" w:rsidP="00822385">
            <w:pPr>
              <w:spacing w:line="360" w:lineRule="auto"/>
              <w:jc w:val="center"/>
              <w:rPr>
                <w:rFonts w:ascii="Times New Roman" w:hAnsi="Times New Roman" w:cs="Times New Roman"/>
                <w:sz w:val="24"/>
                <w:szCs w:val="24"/>
              </w:rPr>
            </w:pPr>
            <w:r w:rsidRPr="00A63412">
              <w:rPr>
                <w:rFonts w:ascii="Times New Roman" w:hAnsi="Times New Roman" w:cs="Times New Roman"/>
                <w:sz w:val="24"/>
                <w:szCs w:val="24"/>
              </w:rPr>
              <w:t>Statistical test</w:t>
            </w:r>
          </w:p>
        </w:tc>
        <w:tc>
          <w:tcPr>
            <w:tcW w:w="1134" w:type="dxa"/>
          </w:tcPr>
          <w:p w:rsidR="00E62E5B" w:rsidRPr="00A63412" w:rsidRDefault="00E62E5B" w:rsidP="008223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Value</w:t>
            </w:r>
          </w:p>
        </w:tc>
        <w:tc>
          <w:tcPr>
            <w:tcW w:w="1559" w:type="dxa"/>
          </w:tcPr>
          <w:p w:rsidR="00E62E5B" w:rsidRPr="00A63412" w:rsidRDefault="00E62E5B" w:rsidP="008223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Maximal lag</w:t>
            </w:r>
          </w:p>
        </w:tc>
        <w:tc>
          <w:tcPr>
            <w:tcW w:w="2126" w:type="dxa"/>
          </w:tcPr>
          <w:p w:rsidR="00E62E5B" w:rsidRPr="00A63412" w:rsidRDefault="00E62E5B" w:rsidP="008223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Significance level</w:t>
            </w:r>
          </w:p>
        </w:tc>
        <w:tc>
          <w:tcPr>
            <w:tcW w:w="1276" w:type="dxa"/>
          </w:tcPr>
          <w:p w:rsidR="00E62E5B" w:rsidRPr="00A63412" w:rsidRDefault="00E62E5B" w:rsidP="008223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5" w:type="dxa"/>
          </w:tcPr>
          <w:p w:rsidR="00E62E5B" w:rsidRPr="00A63412" w:rsidRDefault="00E62E5B" w:rsidP="0082238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2E5B" w:rsidRPr="00A63412" w:rsidTr="00822385">
        <w:trPr>
          <w:trHeight w:val="329"/>
        </w:trPr>
        <w:tc>
          <w:tcPr>
            <w:cnfStyle w:val="001000000000" w:firstRow="0" w:lastRow="0" w:firstColumn="1" w:lastColumn="0" w:oddVBand="0" w:evenVBand="0" w:oddHBand="0" w:evenHBand="0" w:firstRowFirstColumn="0" w:firstRowLastColumn="0" w:lastRowFirstColumn="0" w:lastRowLastColumn="0"/>
            <w:tcW w:w="1980" w:type="dxa"/>
          </w:tcPr>
          <w:p w:rsidR="00E62E5B" w:rsidRPr="00A63412" w:rsidRDefault="00E62E5B" w:rsidP="00822385">
            <w:pPr>
              <w:spacing w:line="360" w:lineRule="auto"/>
              <w:jc w:val="center"/>
              <w:rPr>
                <w:rFonts w:ascii="Times New Roman" w:hAnsi="Times New Roman" w:cs="Times New Roman"/>
                <w:sz w:val="24"/>
                <w:szCs w:val="24"/>
              </w:rPr>
            </w:pPr>
            <w:proofErr w:type="spellStart"/>
            <w:r w:rsidRPr="00A63412">
              <w:rPr>
                <w:rFonts w:ascii="Times New Roman" w:hAnsi="Times New Roman" w:cs="Times New Roman"/>
                <w:sz w:val="24"/>
                <w:szCs w:val="24"/>
              </w:rPr>
              <w:t>Teste</w:t>
            </w:r>
            <w:proofErr w:type="spellEnd"/>
            <w:r w:rsidRPr="00A63412">
              <w:rPr>
                <w:rFonts w:ascii="Times New Roman" w:hAnsi="Times New Roman" w:cs="Times New Roman"/>
                <w:sz w:val="24"/>
                <w:szCs w:val="24"/>
              </w:rPr>
              <w:t xml:space="preserve"> F</w:t>
            </w:r>
          </w:p>
        </w:tc>
        <w:tc>
          <w:tcPr>
            <w:tcW w:w="1134"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10.248</w:t>
            </w:r>
          </w:p>
        </w:tc>
        <w:tc>
          <w:tcPr>
            <w:tcW w:w="1559"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2</w:t>
            </w:r>
          </w:p>
        </w:tc>
        <w:tc>
          <w:tcPr>
            <w:tcW w:w="212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I (0)</w:t>
            </w:r>
          </w:p>
        </w:tc>
        <w:tc>
          <w:tcPr>
            <w:tcW w:w="1275"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I (1)</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980" w:type="dxa"/>
            <w:vMerge w:val="restart"/>
          </w:tcPr>
          <w:p w:rsidR="00E62E5B" w:rsidRPr="00A63412" w:rsidRDefault="00E62E5B" w:rsidP="00822385">
            <w:pPr>
              <w:spacing w:line="360" w:lineRule="auto"/>
              <w:jc w:val="center"/>
              <w:rPr>
                <w:rFonts w:ascii="Times New Roman" w:hAnsi="Times New Roman" w:cs="Times New Roman"/>
                <w:sz w:val="24"/>
                <w:szCs w:val="24"/>
              </w:rPr>
            </w:pPr>
            <w:r w:rsidRPr="00A63412">
              <w:rPr>
                <w:rFonts w:ascii="Times New Roman" w:hAnsi="Times New Roman" w:cs="Times New Roman"/>
                <w:sz w:val="24"/>
                <w:szCs w:val="24"/>
              </w:rPr>
              <w:t>K=4</w:t>
            </w:r>
          </w:p>
          <w:p w:rsidR="00E62E5B" w:rsidRPr="00A63412" w:rsidRDefault="00E62E5B" w:rsidP="00822385">
            <w:pPr>
              <w:spacing w:line="360" w:lineRule="auto"/>
              <w:jc w:val="center"/>
              <w:rPr>
                <w:rFonts w:ascii="Times New Roman" w:hAnsi="Times New Roman" w:cs="Times New Roman"/>
                <w:sz w:val="24"/>
                <w:szCs w:val="24"/>
              </w:rPr>
            </w:pPr>
          </w:p>
        </w:tc>
        <w:tc>
          <w:tcPr>
            <w:tcW w:w="1134" w:type="dxa"/>
          </w:tcPr>
          <w:p w:rsidR="00E62E5B" w:rsidRPr="00A63412" w:rsidRDefault="00E62E5B" w:rsidP="0082238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63412">
              <w:rPr>
                <w:rFonts w:ascii="Times New Roman" w:hAnsi="Times New Roman" w:cs="Times New Roman"/>
                <w:b/>
                <w:bCs/>
                <w:sz w:val="24"/>
                <w:szCs w:val="24"/>
              </w:rPr>
              <w:t>Case III</w:t>
            </w:r>
          </w:p>
        </w:tc>
        <w:tc>
          <w:tcPr>
            <w:tcW w:w="1559"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5"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980" w:type="dxa"/>
            <w:vMerge/>
          </w:tcPr>
          <w:p w:rsidR="00E62E5B" w:rsidRPr="00A63412" w:rsidRDefault="00E62E5B" w:rsidP="00822385">
            <w:pPr>
              <w:spacing w:line="360" w:lineRule="auto"/>
              <w:jc w:val="center"/>
              <w:rPr>
                <w:rFonts w:ascii="Times New Roman" w:hAnsi="Times New Roman" w:cs="Times New Roman"/>
                <w:sz w:val="24"/>
                <w:szCs w:val="24"/>
              </w:rPr>
            </w:pPr>
          </w:p>
        </w:tc>
        <w:tc>
          <w:tcPr>
            <w:tcW w:w="1134"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1%</w:t>
            </w:r>
          </w:p>
        </w:tc>
        <w:tc>
          <w:tcPr>
            <w:tcW w:w="127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5.064</w:t>
            </w:r>
          </w:p>
        </w:tc>
        <w:tc>
          <w:tcPr>
            <w:tcW w:w="1275"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7.069</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980" w:type="dxa"/>
            <w:vMerge/>
          </w:tcPr>
          <w:p w:rsidR="00E62E5B" w:rsidRPr="00A63412" w:rsidRDefault="00E62E5B" w:rsidP="00822385">
            <w:pPr>
              <w:spacing w:line="360" w:lineRule="auto"/>
              <w:jc w:val="center"/>
              <w:rPr>
                <w:rFonts w:ascii="Times New Roman" w:hAnsi="Times New Roman" w:cs="Times New Roman"/>
                <w:sz w:val="24"/>
                <w:szCs w:val="24"/>
              </w:rPr>
            </w:pPr>
          </w:p>
        </w:tc>
        <w:tc>
          <w:tcPr>
            <w:tcW w:w="1134"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5%</w:t>
            </w:r>
          </w:p>
        </w:tc>
        <w:tc>
          <w:tcPr>
            <w:tcW w:w="127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3.435</w:t>
            </w:r>
          </w:p>
        </w:tc>
        <w:tc>
          <w:tcPr>
            <w:tcW w:w="1275"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4.942</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980" w:type="dxa"/>
            <w:vMerge/>
          </w:tcPr>
          <w:p w:rsidR="00E62E5B" w:rsidRPr="00A63412" w:rsidRDefault="00E62E5B" w:rsidP="00822385">
            <w:pPr>
              <w:spacing w:line="360" w:lineRule="auto"/>
              <w:jc w:val="center"/>
              <w:rPr>
                <w:rFonts w:ascii="Times New Roman" w:hAnsi="Times New Roman" w:cs="Times New Roman"/>
                <w:sz w:val="24"/>
                <w:szCs w:val="24"/>
              </w:rPr>
            </w:pPr>
          </w:p>
        </w:tc>
        <w:tc>
          <w:tcPr>
            <w:tcW w:w="1134"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10%</w:t>
            </w:r>
          </w:p>
        </w:tc>
        <w:tc>
          <w:tcPr>
            <w:tcW w:w="1276"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2.784</w:t>
            </w:r>
          </w:p>
        </w:tc>
        <w:tc>
          <w:tcPr>
            <w:tcW w:w="1275" w:type="dxa"/>
          </w:tcPr>
          <w:p w:rsidR="00E62E5B" w:rsidRPr="00A63412" w:rsidRDefault="00E62E5B" w:rsidP="0082238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4.086</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1980" w:type="dxa"/>
          </w:tcPr>
          <w:p w:rsidR="00E62E5B" w:rsidRPr="00A63412" w:rsidRDefault="00E62E5B" w:rsidP="00822385">
            <w:pPr>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p-value</w:t>
            </w:r>
          </w:p>
          <w:p w:rsidR="00E62E5B" w:rsidRPr="00A63412" w:rsidRDefault="00E62E5B" w:rsidP="00822385">
            <w:pPr>
              <w:spacing w:line="360" w:lineRule="auto"/>
              <w:jc w:val="both"/>
              <w:rPr>
                <w:rFonts w:ascii="Times New Roman" w:hAnsi="Times New Roman" w:cs="Times New Roman"/>
                <w:b w:val="0"/>
                <w:sz w:val="24"/>
                <w:szCs w:val="24"/>
              </w:rPr>
            </w:pPr>
            <w:r w:rsidRPr="00A63412">
              <w:rPr>
                <w:rFonts w:ascii="Times New Roman" w:hAnsi="Times New Roman" w:cs="Times New Roman"/>
                <w:b w:val="0"/>
                <w:sz w:val="24"/>
                <w:szCs w:val="24"/>
              </w:rPr>
              <w:t>I(0) =0.000</w:t>
            </w:r>
          </w:p>
          <w:p w:rsidR="00E62E5B" w:rsidRPr="00A63412" w:rsidRDefault="00E62E5B" w:rsidP="00822385">
            <w:pPr>
              <w:spacing w:line="360" w:lineRule="auto"/>
              <w:jc w:val="both"/>
              <w:rPr>
                <w:rFonts w:ascii="Times New Roman" w:hAnsi="Times New Roman" w:cs="Times New Roman"/>
                <w:sz w:val="24"/>
                <w:szCs w:val="24"/>
              </w:rPr>
            </w:pPr>
            <w:r w:rsidRPr="00A63412">
              <w:rPr>
                <w:rFonts w:ascii="Times New Roman" w:hAnsi="Times New Roman" w:cs="Times New Roman"/>
                <w:b w:val="0"/>
                <w:sz w:val="24"/>
                <w:szCs w:val="24"/>
              </w:rPr>
              <w:t>I(1) =0.001</w:t>
            </w:r>
          </w:p>
        </w:tc>
        <w:tc>
          <w:tcPr>
            <w:tcW w:w="1134" w:type="dxa"/>
          </w:tcPr>
          <w:p w:rsidR="00E62E5B" w:rsidRPr="00A63412" w:rsidRDefault="00E62E5B" w:rsidP="008223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rsidR="00E62E5B" w:rsidRPr="00A63412" w:rsidRDefault="00E62E5B" w:rsidP="008223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rsidR="00E62E5B" w:rsidRPr="00A63412" w:rsidRDefault="00E62E5B" w:rsidP="008223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Pr>
          <w:p w:rsidR="00E62E5B" w:rsidRPr="00A63412" w:rsidRDefault="00E62E5B" w:rsidP="008223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5" w:type="dxa"/>
          </w:tcPr>
          <w:p w:rsidR="00E62E5B" w:rsidRPr="00A63412" w:rsidRDefault="00E62E5B" w:rsidP="008223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62E5B" w:rsidRPr="00A63412" w:rsidRDefault="00E62E5B" w:rsidP="00E62E5B">
      <w:pPr>
        <w:spacing w:line="360" w:lineRule="auto"/>
        <w:jc w:val="both"/>
        <w:rPr>
          <w:rFonts w:ascii="Times New Roman" w:hAnsi="Times New Roman" w:cs="Times New Roman"/>
          <w:sz w:val="24"/>
          <w:szCs w:val="24"/>
        </w:rPr>
      </w:pPr>
      <w:r w:rsidRPr="00A63412">
        <w:rPr>
          <w:rFonts w:ascii="Times New Roman" w:hAnsi="Times New Roman" w:cs="Times New Roman"/>
          <w:i/>
          <w:iCs/>
          <w:sz w:val="24"/>
          <w:szCs w:val="24"/>
        </w:rPr>
        <w:t xml:space="preserve">    Source: Author’s computation outputs, 2025</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computed F-statistic of 10.248 is well above the upper critical bound at all conventional significance levels. This provides strong evidence of cointegration, confirming the existence of a stable long-run relationship among the variables included in the model.</w:t>
      </w:r>
    </w:p>
    <w:p w:rsidR="00E62E5B" w:rsidRPr="00A63412" w:rsidRDefault="00E62E5B" w:rsidP="00E62E5B">
      <w:pPr>
        <w:pStyle w:val="SemEspaamento"/>
        <w:spacing w:line="360" w:lineRule="auto"/>
        <w:jc w:val="both"/>
        <w:rPr>
          <w:rFonts w:ascii="Times New Roman" w:hAnsi="Times New Roman" w:cs="Times New Roman"/>
          <w:sz w:val="24"/>
          <w:szCs w:val="24"/>
        </w:rPr>
      </w:pPr>
    </w:p>
    <w:p w:rsidR="00E62E5B" w:rsidRPr="00A63412" w:rsidRDefault="00E62E5B" w:rsidP="00DD353C">
      <w:pPr>
        <w:pStyle w:val="SemEspaamento"/>
        <w:numPr>
          <w:ilvl w:val="1"/>
          <w:numId w:val="4"/>
        </w:numPr>
        <w:spacing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 xml:space="preserve"> </w:t>
      </w:r>
      <w:r w:rsidRPr="00DD353C">
        <w:rPr>
          <w:rStyle w:val="SubttuloCarter"/>
        </w:rPr>
        <w:t>Long-Run Relationship</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table below presents the variables that influenced Mozambique’s economic growth during the period 1992–2022, with particular emphasis on the effects of foreign aid (LODA), domestic investment (LINV), and foreign direct investment (LFDI), as well as external debt (LDBT). The table below illustrate the long-run model outputs.</w:t>
      </w:r>
    </w:p>
    <w:p w:rsidR="00E62E5B" w:rsidRPr="00A63412" w:rsidRDefault="00E62E5B" w:rsidP="00CD11CD">
      <w:pPr>
        <w:pStyle w:val="Legenda"/>
        <w:keepNext/>
        <w:spacing w:before="240"/>
        <w:rPr>
          <w:rFonts w:ascii="Times New Roman" w:hAnsi="Times New Roman" w:cs="Times New Roman"/>
          <w:sz w:val="24"/>
          <w:szCs w:val="24"/>
        </w:rPr>
      </w:pPr>
      <w:r w:rsidRPr="00A63412">
        <w:rPr>
          <w:rFonts w:ascii="Times New Roman" w:hAnsi="Times New Roman" w:cs="Times New Roman"/>
          <w:b/>
          <w:sz w:val="24"/>
          <w:szCs w:val="24"/>
        </w:rPr>
        <w:t xml:space="preserve">Table </w:t>
      </w:r>
      <w:r w:rsidRPr="00A63412">
        <w:rPr>
          <w:rFonts w:ascii="Times New Roman" w:hAnsi="Times New Roman" w:cs="Times New Roman"/>
          <w:b/>
          <w:sz w:val="24"/>
          <w:szCs w:val="24"/>
        </w:rPr>
        <w:fldChar w:fldCharType="begin"/>
      </w:r>
      <w:r w:rsidRPr="00A63412">
        <w:rPr>
          <w:rFonts w:ascii="Times New Roman" w:hAnsi="Times New Roman" w:cs="Times New Roman"/>
          <w:b/>
          <w:sz w:val="24"/>
          <w:szCs w:val="24"/>
        </w:rPr>
        <w:instrText xml:space="preserve"> SEQ Table \* ARABIC </w:instrText>
      </w:r>
      <w:r w:rsidRPr="00A63412">
        <w:rPr>
          <w:rFonts w:ascii="Times New Roman" w:hAnsi="Times New Roman" w:cs="Times New Roman"/>
          <w:b/>
          <w:sz w:val="24"/>
          <w:szCs w:val="24"/>
        </w:rPr>
        <w:fldChar w:fldCharType="separate"/>
      </w:r>
      <w:r w:rsidR="00DD353C">
        <w:rPr>
          <w:rFonts w:ascii="Times New Roman" w:hAnsi="Times New Roman" w:cs="Times New Roman"/>
          <w:b/>
          <w:noProof/>
          <w:sz w:val="24"/>
          <w:szCs w:val="24"/>
        </w:rPr>
        <w:t>5</w:t>
      </w:r>
      <w:r w:rsidRPr="00A63412">
        <w:rPr>
          <w:rFonts w:ascii="Times New Roman" w:hAnsi="Times New Roman" w:cs="Times New Roman"/>
          <w:b/>
          <w:sz w:val="24"/>
          <w:szCs w:val="24"/>
        </w:rPr>
        <w:fldChar w:fldCharType="end"/>
      </w:r>
      <w:r w:rsidRPr="00A63412">
        <w:rPr>
          <w:rFonts w:ascii="Times New Roman" w:hAnsi="Times New Roman" w:cs="Times New Roman"/>
          <w:b/>
          <w:sz w:val="24"/>
          <w:szCs w:val="24"/>
        </w:rPr>
        <w:t>:</w:t>
      </w:r>
      <w:r w:rsidRPr="00A63412">
        <w:rPr>
          <w:rFonts w:ascii="Times New Roman" w:hAnsi="Times New Roman" w:cs="Times New Roman"/>
          <w:sz w:val="24"/>
          <w:szCs w:val="24"/>
        </w:rPr>
        <w:t xml:space="preserve"> Bounds Cointegration Test Results</w:t>
      </w:r>
    </w:p>
    <w:tbl>
      <w:tblPr>
        <w:tblStyle w:val="TabelaSimples2"/>
        <w:tblW w:w="5000" w:type="pct"/>
        <w:jc w:val="center"/>
        <w:tblLook w:val="07A0" w:firstRow="1" w:lastRow="0" w:firstColumn="1" w:lastColumn="1" w:noHBand="1" w:noVBand="1"/>
      </w:tblPr>
      <w:tblGrid>
        <w:gridCol w:w="3891"/>
        <w:gridCol w:w="3473"/>
        <w:gridCol w:w="1996"/>
      </w:tblGrid>
      <w:tr w:rsidR="00E62E5B" w:rsidRPr="00A63412" w:rsidTr="00822385">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rsidR="00E62E5B" w:rsidRPr="00A63412" w:rsidRDefault="00E62E5B" w:rsidP="00822385">
            <w:pPr>
              <w:jc w:val="both"/>
              <w:rPr>
                <w:rFonts w:ascii="Times New Roman" w:hAnsi="Times New Roman" w:cs="Times New Roman"/>
                <w:b w:val="0"/>
                <w:sz w:val="24"/>
                <w:szCs w:val="24"/>
              </w:rPr>
            </w:pPr>
            <w:r w:rsidRPr="00A63412">
              <w:rPr>
                <w:rFonts w:ascii="Times New Roman" w:hAnsi="Times New Roman" w:cs="Times New Roman"/>
                <w:b w:val="0"/>
                <w:sz w:val="24"/>
                <w:szCs w:val="24"/>
              </w:rPr>
              <w:t xml:space="preserve">variable LGDP </w:t>
            </w:r>
          </w:p>
          <w:p w:rsidR="00E62E5B" w:rsidRPr="00A63412" w:rsidRDefault="00E62E5B" w:rsidP="00822385">
            <w:pPr>
              <w:jc w:val="both"/>
              <w:rPr>
                <w:rFonts w:ascii="Times New Roman" w:hAnsi="Times New Roman" w:cs="Times New Roman"/>
                <w:b w:val="0"/>
                <w:sz w:val="24"/>
                <w:szCs w:val="24"/>
              </w:rPr>
            </w:pPr>
            <w:r w:rsidRPr="00A63412">
              <w:rPr>
                <w:rFonts w:ascii="Times New Roman" w:hAnsi="Times New Roman" w:cs="Times New Roman"/>
                <w:b w:val="0"/>
                <w:sz w:val="24"/>
                <w:szCs w:val="24"/>
              </w:rPr>
              <w:t>ARDL(1,0,0,2,0) regression</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rsidR="00E62E5B" w:rsidRPr="00A63412" w:rsidRDefault="00E62E5B" w:rsidP="00822385">
            <w:pPr>
              <w:jc w:val="both"/>
              <w:rPr>
                <w:rFonts w:ascii="Times New Roman" w:hAnsi="Times New Roman" w:cs="Times New Roman"/>
                <w:b w:val="0"/>
                <w:sz w:val="24"/>
                <w:szCs w:val="24"/>
              </w:rPr>
            </w:pPr>
            <w:r w:rsidRPr="00A63412">
              <w:rPr>
                <w:rFonts w:ascii="Times New Roman" w:hAnsi="Times New Roman" w:cs="Times New Roman"/>
                <w:b w:val="0"/>
                <w:sz w:val="24"/>
                <w:szCs w:val="24"/>
              </w:rPr>
              <w:t>n=27    Data: 1992-2022</w:t>
            </w:r>
          </w:p>
        </w:tc>
      </w:tr>
      <w:tr w:rsidR="00E62E5B" w:rsidRPr="00A63412" w:rsidTr="00822385">
        <w:trPr>
          <w:trHeight w:val="341"/>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Variable</w:t>
            </w:r>
          </w:p>
        </w:tc>
        <w:tc>
          <w:tcPr>
            <w:tcW w:w="1855" w:type="pct"/>
          </w:tcPr>
          <w:p w:rsidR="00E62E5B" w:rsidRPr="00A63412" w:rsidRDefault="00E62E5B" w:rsidP="00822385">
            <w:pPr>
              <w:pStyle w:val="Default"/>
              <w:jc w:val="center"/>
              <w:cnfStyle w:val="000000000000" w:firstRow="0" w:lastRow="0" w:firstColumn="0" w:lastColumn="0" w:oddVBand="0" w:evenVBand="0" w:oddHBand="0" w:evenHBand="0" w:firstRowFirstColumn="0" w:firstRowLastColumn="0" w:lastRowFirstColumn="0" w:lastRowLastColumn="0"/>
            </w:pPr>
            <w:r w:rsidRPr="00A63412">
              <w:t>Coefficient</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p-value</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LODA</w:t>
            </w:r>
          </w:p>
        </w:tc>
        <w:tc>
          <w:tcPr>
            <w:tcW w:w="1855" w:type="pct"/>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-0.615</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0.004</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LFDI</w:t>
            </w:r>
          </w:p>
        </w:tc>
        <w:tc>
          <w:tcPr>
            <w:tcW w:w="1855" w:type="pct"/>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0.358</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0.000</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LINV</w:t>
            </w:r>
          </w:p>
        </w:tc>
        <w:tc>
          <w:tcPr>
            <w:tcW w:w="1855" w:type="pct"/>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-0.005</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0.983</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lastRenderedPageBreak/>
              <w:t>LDBT</w:t>
            </w:r>
          </w:p>
        </w:tc>
        <w:tc>
          <w:tcPr>
            <w:tcW w:w="1855" w:type="pct"/>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0.002</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0.058</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rPr>
                <w:rFonts w:ascii="Times New Roman" w:hAnsi="Times New Roman" w:cs="Times New Roman"/>
                <w:b w:val="0"/>
                <w:sz w:val="24"/>
                <w:szCs w:val="24"/>
              </w:rPr>
            </w:pPr>
          </w:p>
        </w:tc>
        <w:tc>
          <w:tcPr>
            <w:tcW w:w="1855" w:type="pct"/>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p>
        </w:tc>
      </w:tr>
    </w:tbl>
    <w:p w:rsidR="00E62E5B" w:rsidRPr="00A63412" w:rsidRDefault="00E62E5B" w:rsidP="00E62E5B">
      <w:pPr>
        <w:pStyle w:val="SemEspaamento"/>
        <w:spacing w:line="360" w:lineRule="auto"/>
        <w:jc w:val="both"/>
        <w:rPr>
          <w:rFonts w:ascii="Times New Roman" w:hAnsi="Times New Roman" w:cs="Times New Roman"/>
        </w:rPr>
      </w:pPr>
      <w:r w:rsidRPr="00A63412">
        <w:rPr>
          <w:rFonts w:ascii="Times New Roman" w:hAnsi="Times New Roman" w:cs="Times New Roman"/>
          <w:i/>
          <w:iCs/>
          <w:sz w:val="24"/>
          <w:szCs w:val="24"/>
        </w:rPr>
        <w:t xml:space="preserve">    </w:t>
      </w:r>
      <w:r w:rsidRPr="00A63412">
        <w:rPr>
          <w:rFonts w:ascii="Times New Roman" w:hAnsi="Times New Roman" w:cs="Times New Roman"/>
          <w:i/>
          <w:iCs/>
        </w:rPr>
        <w:t>Source: Author’s computation outputs, 2025</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The findings presented in the table above indicate a statistically significant long-run relationship between foreign aid (LODA), foreign direct investment (LFDI), and external debt (LDBT) and Mozambique’s economic growth, with the exception of domestic investment (LINV), which proved insignificant.</w:t>
      </w:r>
    </w:p>
    <w:p w:rsidR="00E62E5B" w:rsidRPr="00A63412" w:rsidRDefault="00E62E5B" w:rsidP="00E62E5B">
      <w:pPr>
        <w:pStyle w:val="SemEspaamento"/>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Regarding foreign aid, the results show a </w:t>
      </w:r>
      <w:r w:rsidRPr="00A63412">
        <w:rPr>
          <w:rFonts w:ascii="Times New Roman" w:hAnsi="Times New Roman" w:cs="Times New Roman"/>
          <w:bCs/>
          <w:sz w:val="24"/>
          <w:szCs w:val="24"/>
        </w:rPr>
        <w:t>negative and statistically significant coefficient</w:t>
      </w:r>
      <w:r w:rsidRPr="00A63412">
        <w:rPr>
          <w:rFonts w:ascii="Times New Roman" w:hAnsi="Times New Roman" w:cs="Times New Roman"/>
          <w:sz w:val="24"/>
          <w:szCs w:val="24"/>
        </w:rPr>
        <w:t xml:space="preserve"> with GDP at the 5% level. Quantitatively, a 1% increase in foreign aid inflows leads to a reduction of approximately 0.62% in economic growth, ceteris paribus. This outcome is consistent with strands of the literature that argue aid flows often generate </w:t>
      </w:r>
      <w:r w:rsidRPr="00A63412">
        <w:rPr>
          <w:rFonts w:ascii="Times New Roman" w:hAnsi="Times New Roman" w:cs="Times New Roman"/>
          <w:bCs/>
          <w:sz w:val="24"/>
          <w:szCs w:val="24"/>
        </w:rPr>
        <w:t>structural dependency and resource misallocation</w:t>
      </w:r>
      <w:r w:rsidRPr="00A63412">
        <w:rPr>
          <w:rFonts w:ascii="Times New Roman" w:hAnsi="Times New Roman" w:cs="Times New Roman"/>
          <w:sz w:val="24"/>
          <w:szCs w:val="24"/>
        </w:rPr>
        <w:t xml:space="preserve">, rather than stimulating productive capacity (Easterly, 2006; </w:t>
      </w:r>
      <w:proofErr w:type="spellStart"/>
      <w:r w:rsidRPr="00A63412">
        <w:rPr>
          <w:rFonts w:ascii="Times New Roman" w:hAnsi="Times New Roman" w:cs="Times New Roman"/>
          <w:sz w:val="24"/>
          <w:szCs w:val="24"/>
        </w:rPr>
        <w:t>Moyo</w:t>
      </w:r>
      <w:proofErr w:type="spellEnd"/>
      <w:r w:rsidRPr="00A63412">
        <w:rPr>
          <w:rFonts w:ascii="Times New Roman" w:hAnsi="Times New Roman" w:cs="Times New Roman"/>
          <w:sz w:val="24"/>
          <w:szCs w:val="24"/>
        </w:rPr>
        <w:t>, 2009). In the Mozambican context, this adverse impact appears to be linked to the allocation of aid largely to recurrent expenditures and budget support, with limited channeling into long-term productive investment, and to social programmes with little direct impact on productivity growth.</w:t>
      </w:r>
    </w:p>
    <w:p w:rsidR="00E62E5B" w:rsidRPr="00A63412" w:rsidRDefault="00E62E5B" w:rsidP="00E62E5B">
      <w:pPr>
        <w:pStyle w:val="SemEspaamento"/>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By contrast, foreign direct investment (LFDI) displayed a </w:t>
      </w:r>
      <w:r w:rsidRPr="00A63412">
        <w:rPr>
          <w:rFonts w:ascii="Times New Roman" w:hAnsi="Times New Roman" w:cs="Times New Roman"/>
          <w:bCs/>
          <w:sz w:val="24"/>
          <w:szCs w:val="24"/>
        </w:rPr>
        <w:t>positive and statistically significant effect</w:t>
      </w:r>
      <w:r w:rsidRPr="00A63412">
        <w:rPr>
          <w:rFonts w:ascii="Times New Roman" w:hAnsi="Times New Roman" w:cs="Times New Roman"/>
          <w:sz w:val="24"/>
          <w:szCs w:val="24"/>
        </w:rPr>
        <w:t xml:space="preserve">, reinforcing its role as a driver of economic growth through capital accumulation, technology transfer, and managerial know-how. It is estimated that a 1% rise in LFDI inflows increases GDP by about 0.36%, ceteris paribus. This finding aligns with the arguments of </w:t>
      </w:r>
      <w:proofErr w:type="spellStart"/>
      <w:r w:rsidRPr="00A63412">
        <w:rPr>
          <w:rFonts w:ascii="Times New Roman" w:hAnsi="Times New Roman" w:cs="Times New Roman"/>
          <w:sz w:val="24"/>
          <w:szCs w:val="24"/>
        </w:rPr>
        <w:t>Borensztein</w:t>
      </w:r>
      <w:proofErr w:type="spellEnd"/>
      <w:r w:rsidRPr="00A63412">
        <w:rPr>
          <w:rFonts w:ascii="Times New Roman" w:hAnsi="Times New Roman" w:cs="Times New Roman"/>
          <w:sz w:val="24"/>
          <w:szCs w:val="24"/>
        </w:rPr>
        <w:t xml:space="preserve"> et al. (1998) and Alfaro et al. (2004), who highlight foreign direct investment as a catalyst for growth, provided there is adequate absorptive capacity in the host economy. </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In the Mozambican case, the contribution of FDI is strongly associated with the entry of large-scale mineral and energy projects such as Mozal, Sasol, Vale, and, more recently, ENI’s gas projects. Yet, it should be noted that while these megaprojects have expanded output, their wider spillover into the domestic economy has been limited.</w:t>
      </w:r>
    </w:p>
    <w:p w:rsidR="00E62E5B" w:rsidRPr="00A63412" w:rsidRDefault="00E62E5B" w:rsidP="00E62E5B">
      <w:pPr>
        <w:pStyle w:val="SemEspaamento"/>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External debt (LDBT) was found to have a </w:t>
      </w:r>
      <w:r w:rsidRPr="00A63412">
        <w:rPr>
          <w:rFonts w:ascii="Times New Roman" w:hAnsi="Times New Roman" w:cs="Times New Roman"/>
          <w:bCs/>
          <w:sz w:val="24"/>
          <w:szCs w:val="24"/>
        </w:rPr>
        <w:t>negative coefficient with marginal significance</w:t>
      </w:r>
      <w:r w:rsidRPr="00A63412">
        <w:rPr>
          <w:rFonts w:ascii="Times New Roman" w:hAnsi="Times New Roman" w:cs="Times New Roman"/>
          <w:sz w:val="24"/>
          <w:szCs w:val="24"/>
        </w:rPr>
        <w:t xml:space="preserve"> at the 10% level (p = 0.058). The results suggest that a 1% increase in external debt reduces economic growth by approximately 0.29%, ceteris paribus. Although external borrowing can, in theory, serve as an alternative source of development finance, its net impact in Mozambique appears to have been </w:t>
      </w:r>
      <w:r w:rsidR="00CD11CD" w:rsidRPr="00A63412">
        <w:rPr>
          <w:rFonts w:ascii="Times New Roman" w:hAnsi="Times New Roman" w:cs="Times New Roman"/>
          <w:sz w:val="24"/>
          <w:szCs w:val="24"/>
        </w:rPr>
        <w:t>unfavorable</w:t>
      </w:r>
      <w:r w:rsidRPr="00A63412">
        <w:rPr>
          <w:rFonts w:ascii="Times New Roman" w:hAnsi="Times New Roman" w:cs="Times New Roman"/>
          <w:sz w:val="24"/>
          <w:szCs w:val="24"/>
        </w:rPr>
        <w:t xml:space="preserve">. This evidence resonates with the </w:t>
      </w:r>
      <w:r w:rsidRPr="00A63412">
        <w:rPr>
          <w:rFonts w:ascii="Times New Roman" w:hAnsi="Times New Roman" w:cs="Times New Roman"/>
          <w:bCs/>
          <w:sz w:val="24"/>
          <w:szCs w:val="24"/>
        </w:rPr>
        <w:t>debt overhang hypothesis</w:t>
      </w:r>
      <w:r w:rsidRPr="00A63412">
        <w:rPr>
          <w:rFonts w:ascii="Times New Roman" w:hAnsi="Times New Roman" w:cs="Times New Roman"/>
          <w:sz w:val="24"/>
          <w:szCs w:val="24"/>
        </w:rPr>
        <w:t xml:space="preserve"> (Krugman, 1988) </w:t>
      </w:r>
      <w:r w:rsidRPr="00A63412">
        <w:rPr>
          <w:rFonts w:ascii="Times New Roman" w:hAnsi="Times New Roman" w:cs="Times New Roman"/>
          <w:sz w:val="24"/>
          <w:szCs w:val="24"/>
        </w:rPr>
        <w:lastRenderedPageBreak/>
        <w:t>and the arguments of Reinhart and Rogoff (2010), which caution that excessive indebtedness in developing economies tends to undermine fiscal sustainability and growth prospects, especially when borrowed resources are directed to low-return projects or recurrent expenditure.</w:t>
      </w:r>
    </w:p>
    <w:p w:rsidR="00E62E5B" w:rsidRPr="00A63412" w:rsidRDefault="00E62E5B" w:rsidP="00E62E5B">
      <w:pPr>
        <w:pStyle w:val="SemEspaamento"/>
        <w:spacing w:line="360" w:lineRule="auto"/>
        <w:jc w:val="both"/>
        <w:rPr>
          <w:rFonts w:ascii="Times New Roman" w:hAnsi="Times New Roman" w:cs="Times New Roman"/>
          <w:sz w:val="24"/>
          <w:szCs w:val="24"/>
        </w:rPr>
      </w:pPr>
    </w:p>
    <w:p w:rsidR="00E62E5B" w:rsidRPr="00DD353C" w:rsidRDefault="00E62E5B" w:rsidP="00DD353C">
      <w:pPr>
        <w:pStyle w:val="SemEspaamento"/>
        <w:numPr>
          <w:ilvl w:val="1"/>
          <w:numId w:val="4"/>
        </w:numPr>
        <w:spacing w:line="360" w:lineRule="auto"/>
        <w:jc w:val="both"/>
        <w:rPr>
          <w:rFonts w:ascii="Times New Roman" w:hAnsi="Times New Roman" w:cs="Times New Roman"/>
          <w:b/>
          <w:bCs/>
          <w:sz w:val="24"/>
          <w:szCs w:val="24"/>
        </w:rPr>
      </w:pPr>
      <w:r w:rsidRPr="00DD353C">
        <w:rPr>
          <w:rFonts w:ascii="Times New Roman" w:hAnsi="Times New Roman" w:cs="Times New Roman"/>
          <w:b/>
          <w:bCs/>
          <w:sz w:val="24"/>
          <w:szCs w:val="24"/>
        </w:rPr>
        <w:t xml:space="preserve"> </w:t>
      </w:r>
      <w:r w:rsidRPr="00DD353C">
        <w:rPr>
          <w:rStyle w:val="SubttuloCarter"/>
        </w:rPr>
        <w:t>Short-Run Dynamics</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In the short term, the only variable showing a statistically significant relationship with growth is domestic investment. Surprisingly, however, the coefficient is negative, which runs counter to classical growth theory. The table below illustrate the short-run dynamics outputs.</w:t>
      </w:r>
    </w:p>
    <w:p w:rsidR="00DD353C" w:rsidRPr="00DD353C" w:rsidRDefault="00DD353C" w:rsidP="00DD353C">
      <w:pPr>
        <w:pStyle w:val="Legenda"/>
        <w:keepNext/>
        <w:rPr>
          <w:rFonts w:ascii="Times New Roman" w:hAnsi="Times New Roman" w:cs="Times New Roman"/>
          <w:sz w:val="24"/>
          <w:szCs w:val="24"/>
        </w:rPr>
      </w:pPr>
      <w:r w:rsidRPr="00DD353C">
        <w:rPr>
          <w:rFonts w:ascii="Times New Roman" w:hAnsi="Times New Roman" w:cs="Times New Roman"/>
          <w:b/>
          <w:sz w:val="24"/>
          <w:szCs w:val="24"/>
        </w:rPr>
        <w:t xml:space="preserve">Table </w:t>
      </w:r>
      <w:r w:rsidRPr="00DD353C">
        <w:rPr>
          <w:rFonts w:ascii="Times New Roman" w:hAnsi="Times New Roman" w:cs="Times New Roman"/>
          <w:b/>
          <w:sz w:val="24"/>
          <w:szCs w:val="24"/>
        </w:rPr>
        <w:fldChar w:fldCharType="begin"/>
      </w:r>
      <w:r w:rsidRPr="00DD353C">
        <w:rPr>
          <w:rFonts w:ascii="Times New Roman" w:hAnsi="Times New Roman" w:cs="Times New Roman"/>
          <w:b/>
          <w:sz w:val="24"/>
          <w:szCs w:val="24"/>
        </w:rPr>
        <w:instrText xml:space="preserve"> SEQ Table \* ARABIC </w:instrText>
      </w:r>
      <w:r w:rsidRPr="00DD353C">
        <w:rPr>
          <w:rFonts w:ascii="Times New Roman" w:hAnsi="Times New Roman" w:cs="Times New Roman"/>
          <w:b/>
          <w:sz w:val="24"/>
          <w:szCs w:val="24"/>
        </w:rPr>
        <w:fldChar w:fldCharType="separate"/>
      </w:r>
      <w:r>
        <w:rPr>
          <w:rFonts w:ascii="Times New Roman" w:hAnsi="Times New Roman" w:cs="Times New Roman"/>
          <w:b/>
          <w:noProof/>
          <w:sz w:val="24"/>
          <w:szCs w:val="24"/>
        </w:rPr>
        <w:t>6</w:t>
      </w:r>
      <w:r w:rsidRPr="00DD353C">
        <w:rPr>
          <w:rFonts w:ascii="Times New Roman" w:hAnsi="Times New Roman" w:cs="Times New Roman"/>
          <w:b/>
          <w:sz w:val="24"/>
          <w:szCs w:val="24"/>
        </w:rPr>
        <w:fldChar w:fldCharType="end"/>
      </w:r>
      <w:r w:rsidRPr="00DD353C">
        <w:rPr>
          <w:rFonts w:ascii="Times New Roman" w:hAnsi="Times New Roman" w:cs="Times New Roman"/>
          <w:sz w:val="24"/>
          <w:szCs w:val="24"/>
        </w:rPr>
        <w:t>: Short-run model outputs</w:t>
      </w:r>
    </w:p>
    <w:tbl>
      <w:tblPr>
        <w:tblStyle w:val="TabelaSimples2"/>
        <w:tblW w:w="5000" w:type="pct"/>
        <w:jc w:val="center"/>
        <w:tblLook w:val="07A0" w:firstRow="1" w:lastRow="0" w:firstColumn="1" w:lastColumn="1" w:noHBand="1" w:noVBand="1"/>
      </w:tblPr>
      <w:tblGrid>
        <w:gridCol w:w="3891"/>
        <w:gridCol w:w="3473"/>
        <w:gridCol w:w="1996"/>
      </w:tblGrid>
      <w:tr w:rsidR="00E62E5B" w:rsidRPr="00A63412" w:rsidTr="00822385">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Variable</w:t>
            </w:r>
          </w:p>
        </w:tc>
        <w:tc>
          <w:tcPr>
            <w:tcW w:w="1855" w:type="pct"/>
          </w:tcPr>
          <w:p w:rsidR="00E62E5B" w:rsidRPr="00A63412" w:rsidRDefault="00E62E5B" w:rsidP="00822385">
            <w:pPr>
              <w:pStyle w:val="Default"/>
              <w:jc w:val="center"/>
              <w:cnfStyle w:val="100000000000" w:firstRow="1" w:lastRow="0" w:firstColumn="0" w:lastColumn="0" w:oddVBand="0" w:evenVBand="0" w:oddHBand="0" w:evenHBand="0" w:firstRowFirstColumn="0" w:firstRowLastColumn="0" w:lastRowFirstColumn="0" w:lastRowLastColumn="0"/>
            </w:pPr>
            <w:r w:rsidRPr="00A63412">
              <w:t>Coefficient</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p-value</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D1LINV</w:t>
            </w:r>
          </w:p>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LDINV</w:t>
            </w:r>
          </w:p>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ECM</w:t>
            </w:r>
          </w:p>
        </w:tc>
        <w:tc>
          <w:tcPr>
            <w:tcW w:w="1855" w:type="pct"/>
          </w:tcPr>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-0.03</w:t>
            </w:r>
          </w:p>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-0.07</w:t>
            </w:r>
          </w:p>
          <w:p w:rsidR="00E62E5B" w:rsidRPr="00A63412"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-0.11</w:t>
            </w:r>
          </w:p>
        </w:tc>
        <w:tc>
          <w:tcPr>
            <w:cnfStyle w:val="000100000000" w:firstRow="0" w:lastRow="0" w:firstColumn="0" w:lastColumn="1" w:oddVBand="0" w:evenVBand="0" w:oddHBand="0" w:evenHBand="0" w:firstRowFirstColumn="0" w:firstRowLastColumn="0" w:lastRowFirstColumn="0" w:lastRowLastColumn="0"/>
            <w:tcW w:w="1066" w:type="pct"/>
          </w:tcPr>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0.198</w:t>
            </w:r>
          </w:p>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0.005</w:t>
            </w:r>
          </w:p>
          <w:p w:rsidR="00E62E5B" w:rsidRPr="00A63412"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0.002</w:t>
            </w:r>
          </w:p>
        </w:tc>
      </w:tr>
      <w:tr w:rsidR="00E62E5B" w:rsidRPr="00A63412" w:rsidTr="00822385">
        <w:trPr>
          <w:jc w:val="center"/>
        </w:trPr>
        <w:tc>
          <w:tcPr>
            <w:cnfStyle w:val="001000000000" w:firstRow="0" w:lastRow="0" w:firstColumn="1" w:lastColumn="0" w:oddVBand="0" w:evenVBand="0" w:oddHBand="0" w:evenHBand="0" w:firstRowFirstColumn="0" w:firstRowLastColumn="0" w:lastRowFirstColumn="0" w:lastRowLastColumn="0"/>
            <w:tcW w:w="2079" w:type="pct"/>
          </w:tcPr>
          <w:p w:rsidR="00E62E5B"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C</w:t>
            </w:r>
          </w:p>
          <w:p w:rsidR="00D65BD5" w:rsidRPr="00D65BD5" w:rsidRDefault="00D65BD5" w:rsidP="00D65BD5">
            <w:pPr>
              <w:jc w:val="center"/>
              <w:rPr>
                <w:rFonts w:ascii="Times New Roman" w:eastAsiaTheme="minorEastAsia" w:hAnsi="Times New Roman" w:cs="Times New Roman"/>
                <w:bCs w:val="0"/>
                <w:sz w:val="24"/>
                <w:szCs w:val="24"/>
              </w:rPr>
            </w:pPr>
            <w:r>
              <w:rPr>
                <w:rFonts w:ascii="Times New Roman" w:eastAsiaTheme="minorEastAsia" w:hAnsi="Times New Roman" w:cs="Times New Roman"/>
                <w:bCs w:val="0"/>
                <w:sz w:val="24"/>
                <w:szCs w:val="24"/>
              </w:rPr>
              <w:t>R- Squared</w:t>
            </w:r>
          </w:p>
          <w:p w:rsidR="00D65BD5" w:rsidRDefault="00D65BD5" w:rsidP="00D65BD5">
            <w:pPr>
              <w:jc w:val="center"/>
              <w:rPr>
                <w:rFonts w:ascii="Times New Roman" w:eastAsiaTheme="minorEastAsia" w:hAnsi="Times New Roman" w:cs="Times New Roman"/>
                <w:bCs w:val="0"/>
                <w:sz w:val="24"/>
                <w:szCs w:val="24"/>
              </w:rPr>
            </w:pPr>
            <w:proofErr w:type="spellStart"/>
            <w:r>
              <w:rPr>
                <w:rFonts w:ascii="Times New Roman" w:eastAsiaTheme="minorEastAsia" w:hAnsi="Times New Roman" w:cs="Times New Roman"/>
                <w:bCs w:val="0"/>
                <w:sz w:val="24"/>
                <w:szCs w:val="24"/>
              </w:rPr>
              <w:t>Adj</w:t>
            </w:r>
            <w:proofErr w:type="spellEnd"/>
            <w:r>
              <w:rPr>
                <w:rFonts w:ascii="Times New Roman" w:eastAsiaTheme="minorEastAsia" w:hAnsi="Times New Roman" w:cs="Times New Roman"/>
                <w:bCs w:val="0"/>
                <w:sz w:val="24"/>
                <w:szCs w:val="24"/>
              </w:rPr>
              <w:t xml:space="preserve"> R-Adjusted</w:t>
            </w:r>
          </w:p>
          <w:p w:rsidR="00D65BD5" w:rsidRPr="00D65BD5" w:rsidRDefault="00D65BD5" w:rsidP="00D65BD5">
            <w:pPr>
              <w:jc w:val="center"/>
              <w:rPr>
                <w:rFonts w:ascii="Times New Roman" w:eastAsiaTheme="minorEastAsia" w:hAnsi="Times New Roman" w:cs="Times New Roman"/>
                <w:bCs w:val="0"/>
                <w:sz w:val="24"/>
                <w:szCs w:val="24"/>
              </w:rPr>
            </w:pPr>
            <w:r>
              <w:rPr>
                <w:rFonts w:ascii="Times New Roman" w:eastAsiaTheme="minorEastAsia" w:hAnsi="Times New Roman" w:cs="Times New Roman"/>
                <w:bCs w:val="0"/>
                <w:sz w:val="24"/>
                <w:szCs w:val="24"/>
              </w:rPr>
              <w:t>Root MSE</w:t>
            </w:r>
          </w:p>
        </w:tc>
        <w:tc>
          <w:tcPr>
            <w:tcW w:w="1855" w:type="pct"/>
          </w:tcPr>
          <w:p w:rsidR="00E62E5B" w:rsidRDefault="00E62E5B"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1.54</w:t>
            </w:r>
          </w:p>
          <w:p w:rsidR="00D65BD5" w:rsidRDefault="00D65BD5"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0.71</w:t>
            </w:r>
          </w:p>
          <w:p w:rsidR="00D65BD5" w:rsidRDefault="00D65BD5"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0.62</w:t>
            </w:r>
          </w:p>
          <w:p w:rsidR="00D65BD5" w:rsidRPr="00A63412" w:rsidRDefault="00D65BD5" w:rsidP="008223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w:t>
            </w:r>
          </w:p>
        </w:tc>
        <w:tc>
          <w:tcPr>
            <w:cnfStyle w:val="000100000000" w:firstRow="0" w:lastRow="0" w:firstColumn="0" w:lastColumn="1" w:oddVBand="0" w:evenVBand="0" w:oddHBand="0" w:evenHBand="0" w:firstRowFirstColumn="0" w:firstRowLastColumn="0" w:lastRowFirstColumn="0" w:lastRowLastColumn="0"/>
            <w:tcW w:w="1066" w:type="pct"/>
          </w:tcPr>
          <w:p w:rsidR="00E62E5B" w:rsidRDefault="00E62E5B" w:rsidP="00822385">
            <w:pPr>
              <w:jc w:val="center"/>
              <w:rPr>
                <w:rFonts w:ascii="Times New Roman" w:hAnsi="Times New Roman" w:cs="Times New Roman"/>
                <w:b w:val="0"/>
                <w:sz w:val="24"/>
                <w:szCs w:val="24"/>
              </w:rPr>
            </w:pPr>
            <w:r w:rsidRPr="00A63412">
              <w:rPr>
                <w:rFonts w:ascii="Times New Roman" w:hAnsi="Times New Roman" w:cs="Times New Roman"/>
                <w:b w:val="0"/>
                <w:sz w:val="24"/>
                <w:szCs w:val="24"/>
              </w:rPr>
              <w:t>0.000</w:t>
            </w:r>
          </w:p>
          <w:p w:rsidR="00D65BD5" w:rsidRDefault="00D65BD5" w:rsidP="00822385">
            <w:pPr>
              <w:jc w:val="center"/>
              <w:rPr>
                <w:rFonts w:ascii="Times New Roman" w:hAnsi="Times New Roman" w:cs="Times New Roman"/>
                <w:b w:val="0"/>
                <w:sz w:val="24"/>
                <w:szCs w:val="24"/>
              </w:rPr>
            </w:pPr>
            <w:r>
              <w:rPr>
                <w:rFonts w:ascii="Times New Roman" w:hAnsi="Times New Roman" w:cs="Times New Roman"/>
                <w:b w:val="0"/>
                <w:sz w:val="24"/>
                <w:szCs w:val="24"/>
              </w:rPr>
              <w:t>-</w:t>
            </w:r>
          </w:p>
          <w:p w:rsidR="00D65BD5" w:rsidRDefault="00D65BD5" w:rsidP="00822385">
            <w:pPr>
              <w:jc w:val="center"/>
              <w:rPr>
                <w:rFonts w:ascii="Times New Roman" w:hAnsi="Times New Roman" w:cs="Times New Roman"/>
                <w:b w:val="0"/>
                <w:sz w:val="24"/>
                <w:szCs w:val="24"/>
              </w:rPr>
            </w:pPr>
            <w:r>
              <w:rPr>
                <w:rFonts w:ascii="Times New Roman" w:hAnsi="Times New Roman" w:cs="Times New Roman"/>
                <w:b w:val="0"/>
                <w:sz w:val="24"/>
                <w:szCs w:val="24"/>
              </w:rPr>
              <w:t>-</w:t>
            </w:r>
          </w:p>
          <w:p w:rsidR="00D65BD5" w:rsidRDefault="00D65BD5" w:rsidP="00822385">
            <w:pPr>
              <w:jc w:val="center"/>
              <w:rPr>
                <w:rFonts w:ascii="Times New Roman" w:hAnsi="Times New Roman" w:cs="Times New Roman"/>
                <w:b w:val="0"/>
                <w:sz w:val="24"/>
                <w:szCs w:val="24"/>
              </w:rPr>
            </w:pPr>
            <w:r>
              <w:rPr>
                <w:rFonts w:ascii="Times New Roman" w:hAnsi="Times New Roman" w:cs="Times New Roman"/>
                <w:b w:val="0"/>
                <w:sz w:val="24"/>
                <w:szCs w:val="24"/>
              </w:rPr>
              <w:t>-</w:t>
            </w:r>
          </w:p>
          <w:p w:rsidR="00D65BD5" w:rsidRPr="00A63412" w:rsidRDefault="00D65BD5" w:rsidP="00822385">
            <w:pPr>
              <w:jc w:val="center"/>
              <w:rPr>
                <w:rFonts w:ascii="Times New Roman" w:hAnsi="Times New Roman" w:cs="Times New Roman"/>
                <w:b w:val="0"/>
                <w:sz w:val="24"/>
                <w:szCs w:val="24"/>
              </w:rPr>
            </w:pPr>
          </w:p>
        </w:tc>
      </w:tr>
    </w:tbl>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 </w:t>
      </w:r>
      <w:r w:rsidR="00D65BD5">
        <w:rPr>
          <w:rFonts w:ascii="Times New Roman" w:hAnsi="Times New Roman" w:cs="Times New Roman"/>
          <w:sz w:val="24"/>
          <w:szCs w:val="24"/>
        </w:rPr>
        <w:t xml:space="preserve">  </w:t>
      </w:r>
      <w:r w:rsidRPr="00A63412">
        <w:rPr>
          <w:rFonts w:ascii="Times New Roman" w:hAnsi="Times New Roman" w:cs="Times New Roman"/>
          <w:sz w:val="24"/>
          <w:szCs w:val="24"/>
        </w:rPr>
        <w:t>Source: Author’s Computation, 2025</w:t>
      </w:r>
    </w:p>
    <w:p w:rsidR="00E62E5B" w:rsidRPr="00A63412" w:rsidRDefault="00E62E5B" w:rsidP="00E62E5B">
      <w:pPr>
        <w:pStyle w:val="SemEspaamento"/>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The estimates show that in the immediate past period (t–1), domestic investment reduced GDP growth by around 0.07 percentage points (p = 0.005). At two lags (t–2), the effect remains negative, though no longer statistically significant. These results may be understood in light of the institutional and governance constraints facing Mozambique, which undermine the efficiency of domestic investment and limit its capacity to translate into productivity gains (Iheonu, 2019).</w:t>
      </w:r>
    </w:p>
    <w:p w:rsidR="00E62E5B" w:rsidRDefault="00E62E5B" w:rsidP="00E62E5B">
      <w:pPr>
        <w:pStyle w:val="SemEspaamento"/>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Another important factor is the sharp rise in domestic public debt in recent years, used to cover fiscal deficits. This creates a </w:t>
      </w:r>
      <w:r w:rsidRPr="00A63412">
        <w:rPr>
          <w:rFonts w:ascii="Times New Roman" w:hAnsi="Times New Roman" w:cs="Times New Roman"/>
          <w:bCs/>
          <w:sz w:val="24"/>
          <w:szCs w:val="24"/>
        </w:rPr>
        <w:t>crowding-out effect</w:t>
      </w:r>
      <w:r w:rsidRPr="00A63412">
        <w:rPr>
          <w:rFonts w:ascii="Times New Roman" w:hAnsi="Times New Roman" w:cs="Times New Roman"/>
          <w:sz w:val="24"/>
          <w:szCs w:val="24"/>
        </w:rPr>
        <w:t>, whereby government borrowing competes with the private sector, raises the cost of capital, and constrains credit to the productive economy. When combined with poor infrastructure and misallocation of resources to low-productivity sectors, the negative short-run effect of domestic investment becomes easier to explain (Calderón &amp; Servén, 2004). As Adedokun (2023) notes, in countries with underdeveloped financial systems and limited absorptive capacity, domestic investment can initially generate negative outcomes, only becoming growth-enhancing once institutional quality and infrastructure improve.</w:t>
      </w:r>
    </w:p>
    <w:p w:rsidR="001D7801" w:rsidRPr="001D7801" w:rsidRDefault="001D7801" w:rsidP="001D7801">
      <w:pPr>
        <w:pStyle w:val="SemEspaamento"/>
        <w:spacing w:before="240" w:line="360" w:lineRule="auto"/>
        <w:jc w:val="both"/>
        <w:rPr>
          <w:rFonts w:ascii="Times New Roman" w:hAnsi="Times New Roman" w:cs="Times New Roman"/>
          <w:sz w:val="24"/>
          <w:szCs w:val="24"/>
        </w:rPr>
      </w:pPr>
      <w:r w:rsidRPr="001D7801">
        <w:rPr>
          <w:rFonts w:ascii="Times New Roman" w:hAnsi="Times New Roman" w:cs="Times New Roman"/>
          <w:sz w:val="24"/>
          <w:szCs w:val="24"/>
        </w:rPr>
        <w:lastRenderedPageBreak/>
        <w:t xml:space="preserve">In the long run, the negative and statistically significant error correction term (ECM = –0.11; p = 0.002), </w:t>
      </w:r>
      <w:r w:rsidRPr="001D7801">
        <w:rPr>
          <w:rStyle w:val="Forte"/>
          <w:rFonts w:ascii="Times New Roman" w:hAnsi="Times New Roman" w:cs="Times New Roman"/>
          <w:b w:val="0"/>
          <w:sz w:val="24"/>
          <w:szCs w:val="24"/>
        </w:rPr>
        <w:t>ceteris paribus</w:t>
      </w:r>
      <w:r w:rsidRPr="001D7801">
        <w:rPr>
          <w:rFonts w:ascii="Times New Roman" w:hAnsi="Times New Roman" w:cs="Times New Roman"/>
          <w:sz w:val="24"/>
          <w:szCs w:val="24"/>
        </w:rPr>
        <w:t>, confirms cointegration among the variables, indicating that approximately 11% of deviations from the long-run equilibrium are corrected each period. This gradual adjustment reflects the economy’s limited responsiveness to shocks, highlighting structural rigidity and low resilience. The positive and significant</w:t>
      </w:r>
      <w:r>
        <w:rPr>
          <w:rFonts w:ascii="Times New Roman" w:hAnsi="Times New Roman" w:cs="Times New Roman"/>
          <w:sz w:val="24"/>
          <w:szCs w:val="24"/>
        </w:rPr>
        <w:t xml:space="preserve"> constant (C = 1.54; p = 0.000)</w:t>
      </w:r>
      <w:r w:rsidRPr="001D7801">
        <w:rPr>
          <w:rFonts w:ascii="Times New Roman" w:hAnsi="Times New Roman" w:cs="Times New Roman"/>
          <w:sz w:val="24"/>
          <w:szCs w:val="24"/>
        </w:rPr>
        <w:t>, signals an underlying autonomous growth trend, which is likely supported by other structural factors.</w:t>
      </w:r>
    </w:p>
    <w:p w:rsidR="001D7801" w:rsidRPr="001D7801" w:rsidRDefault="001D7801" w:rsidP="001D7801">
      <w:pPr>
        <w:pStyle w:val="SemEspaamento"/>
        <w:spacing w:before="240" w:line="360" w:lineRule="auto"/>
        <w:jc w:val="both"/>
        <w:rPr>
          <w:rFonts w:ascii="Times New Roman" w:hAnsi="Times New Roman" w:cs="Times New Roman"/>
          <w:sz w:val="24"/>
          <w:szCs w:val="24"/>
        </w:rPr>
      </w:pPr>
      <w:r w:rsidRPr="001D7801">
        <w:rPr>
          <w:rFonts w:ascii="Times New Roman" w:hAnsi="Times New Roman" w:cs="Times New Roman"/>
          <w:sz w:val="24"/>
          <w:szCs w:val="24"/>
        </w:rPr>
        <w:t xml:space="preserve">The model demonstrates strong explanatory power: R² = 0.71 indicates that 71% of the observed variation in economic growth is explained by the included predictors, while the adjusted R² = 0.62 provides a conservative measure that accounts for the number of </w:t>
      </w:r>
      <w:proofErr w:type="spellStart"/>
      <w:r w:rsidRPr="001D7801">
        <w:rPr>
          <w:rFonts w:ascii="Times New Roman" w:hAnsi="Times New Roman" w:cs="Times New Roman"/>
          <w:sz w:val="24"/>
          <w:szCs w:val="24"/>
        </w:rPr>
        <w:t>regressors</w:t>
      </w:r>
      <w:proofErr w:type="spellEnd"/>
      <w:r w:rsidRPr="001D7801">
        <w:rPr>
          <w:rFonts w:ascii="Times New Roman" w:hAnsi="Times New Roman" w:cs="Times New Roman"/>
          <w:sz w:val="24"/>
          <w:szCs w:val="24"/>
        </w:rPr>
        <w:t xml:space="preserve"> relative to the sample size. The low Root MSE (0.02) further attests to the precision of the model’s predictions.</w:t>
      </w:r>
    </w:p>
    <w:p w:rsidR="001D7801" w:rsidRPr="001D7801" w:rsidRDefault="001D7801" w:rsidP="001D7801">
      <w:pPr>
        <w:pStyle w:val="SemEspaamento"/>
        <w:spacing w:line="360" w:lineRule="auto"/>
        <w:jc w:val="both"/>
        <w:rPr>
          <w:rFonts w:ascii="Times New Roman" w:hAnsi="Times New Roman" w:cs="Times New Roman"/>
          <w:sz w:val="24"/>
          <w:szCs w:val="24"/>
        </w:rPr>
      </w:pPr>
      <w:r w:rsidRPr="001D7801">
        <w:rPr>
          <w:rFonts w:ascii="Times New Roman" w:hAnsi="Times New Roman" w:cs="Times New Roman"/>
          <w:sz w:val="24"/>
          <w:szCs w:val="24"/>
        </w:rPr>
        <w:t xml:space="preserve">Overall, the results suggest that, </w:t>
      </w:r>
      <w:r w:rsidRPr="001D7801">
        <w:rPr>
          <w:rStyle w:val="Forte"/>
          <w:rFonts w:ascii="Times New Roman" w:hAnsi="Times New Roman" w:cs="Times New Roman"/>
          <w:b w:val="0"/>
          <w:sz w:val="24"/>
          <w:szCs w:val="24"/>
        </w:rPr>
        <w:t>ceteris paribus</w:t>
      </w:r>
      <w:r w:rsidRPr="001D7801">
        <w:rPr>
          <w:rFonts w:ascii="Times New Roman" w:hAnsi="Times New Roman" w:cs="Times New Roman"/>
          <w:sz w:val="24"/>
          <w:szCs w:val="24"/>
        </w:rPr>
        <w:t>, domestic investment may impede growth in the short term, whereas long-run convergence occurs slowly. These findings underscore the importance of institutional strengthening and efficient resource allocation to enable physical capital to function as an effective driver of economic growth.</w:t>
      </w:r>
    </w:p>
    <w:p w:rsidR="005356B5" w:rsidRDefault="005356B5" w:rsidP="00E62E5B">
      <w:pPr>
        <w:pStyle w:val="SemEspaamento"/>
        <w:spacing w:line="360" w:lineRule="auto"/>
        <w:jc w:val="both"/>
        <w:rPr>
          <w:rFonts w:ascii="Times New Roman" w:hAnsi="Times New Roman" w:cs="Times New Roman"/>
          <w:sz w:val="24"/>
          <w:szCs w:val="24"/>
        </w:rPr>
      </w:pPr>
    </w:p>
    <w:p w:rsidR="005356B5" w:rsidRDefault="00E62E5B" w:rsidP="00DD353C">
      <w:pPr>
        <w:pStyle w:val="SemEspaamento"/>
        <w:numPr>
          <w:ilvl w:val="1"/>
          <w:numId w:val="4"/>
        </w:numPr>
        <w:spacing w:line="360" w:lineRule="auto"/>
        <w:jc w:val="both"/>
        <w:rPr>
          <w:rFonts w:ascii="Times New Roman" w:hAnsi="Times New Roman" w:cs="Times New Roman"/>
          <w:b/>
          <w:bCs/>
          <w:sz w:val="24"/>
          <w:szCs w:val="24"/>
        </w:rPr>
      </w:pPr>
      <w:r w:rsidRPr="00A63412">
        <w:rPr>
          <w:rFonts w:ascii="Times New Roman" w:hAnsi="Times New Roman" w:cs="Times New Roman"/>
          <w:b/>
          <w:bCs/>
          <w:sz w:val="24"/>
          <w:szCs w:val="24"/>
        </w:rPr>
        <w:t xml:space="preserve"> </w:t>
      </w:r>
      <w:r w:rsidRPr="00DD353C">
        <w:rPr>
          <w:rStyle w:val="SubttuloCarter"/>
        </w:rPr>
        <w:t>Model Diagnostic Tests</w:t>
      </w:r>
    </w:p>
    <w:p w:rsidR="00E62E5B" w:rsidRPr="00A63412" w:rsidRDefault="00E62E5B" w:rsidP="00E62E5B">
      <w:pPr>
        <w:pStyle w:val="SemEspaamento"/>
        <w:spacing w:line="360" w:lineRule="auto"/>
        <w:jc w:val="both"/>
        <w:rPr>
          <w:rFonts w:ascii="Times New Roman" w:hAnsi="Times New Roman" w:cs="Times New Roman"/>
          <w:b/>
          <w:bCs/>
          <w:sz w:val="24"/>
          <w:szCs w:val="24"/>
        </w:rPr>
      </w:pPr>
      <w:r w:rsidRPr="00A63412">
        <w:rPr>
          <w:rFonts w:ascii="Times New Roman" w:hAnsi="Times New Roman" w:cs="Times New Roman"/>
          <w:sz w:val="24"/>
          <w:szCs w:val="24"/>
        </w:rPr>
        <w:t>To ensure the validity of the estimated ARDL model, several post-estimation diagnostic tests were conducted, assessing issues such as residual normality, serial correlation, heteroscedasticity, model specification, and stability. The results are presented in the table below:</w:t>
      </w:r>
    </w:p>
    <w:p w:rsidR="00DD353C" w:rsidRPr="00DD353C" w:rsidRDefault="00DD353C" w:rsidP="00DD353C">
      <w:pPr>
        <w:pStyle w:val="Legenda"/>
        <w:keepNext/>
        <w:spacing w:before="240"/>
        <w:rPr>
          <w:rFonts w:ascii="Times New Roman" w:hAnsi="Times New Roman" w:cs="Times New Roman"/>
          <w:sz w:val="24"/>
          <w:szCs w:val="24"/>
        </w:rPr>
      </w:pPr>
      <w:r w:rsidRPr="00DD353C">
        <w:rPr>
          <w:rFonts w:ascii="Times New Roman" w:hAnsi="Times New Roman" w:cs="Times New Roman"/>
          <w:b/>
          <w:sz w:val="24"/>
          <w:szCs w:val="24"/>
        </w:rPr>
        <w:t xml:space="preserve">Table </w:t>
      </w:r>
      <w:r w:rsidRPr="00DD353C">
        <w:rPr>
          <w:rFonts w:ascii="Times New Roman" w:hAnsi="Times New Roman" w:cs="Times New Roman"/>
          <w:b/>
          <w:sz w:val="24"/>
          <w:szCs w:val="24"/>
        </w:rPr>
        <w:fldChar w:fldCharType="begin"/>
      </w:r>
      <w:r w:rsidRPr="00DD353C">
        <w:rPr>
          <w:rFonts w:ascii="Times New Roman" w:hAnsi="Times New Roman" w:cs="Times New Roman"/>
          <w:b/>
          <w:sz w:val="24"/>
          <w:szCs w:val="24"/>
        </w:rPr>
        <w:instrText xml:space="preserve"> SEQ Table \* ARABIC </w:instrText>
      </w:r>
      <w:r w:rsidRPr="00DD353C">
        <w:rPr>
          <w:rFonts w:ascii="Times New Roman" w:hAnsi="Times New Roman" w:cs="Times New Roman"/>
          <w:b/>
          <w:sz w:val="24"/>
          <w:szCs w:val="24"/>
        </w:rPr>
        <w:fldChar w:fldCharType="separate"/>
      </w:r>
      <w:r w:rsidRPr="00DD353C">
        <w:rPr>
          <w:rFonts w:ascii="Times New Roman" w:hAnsi="Times New Roman" w:cs="Times New Roman"/>
          <w:b/>
          <w:noProof/>
          <w:sz w:val="24"/>
          <w:szCs w:val="24"/>
        </w:rPr>
        <w:t>7</w:t>
      </w:r>
      <w:r w:rsidRPr="00DD353C">
        <w:rPr>
          <w:rFonts w:ascii="Times New Roman" w:hAnsi="Times New Roman" w:cs="Times New Roman"/>
          <w:b/>
          <w:sz w:val="24"/>
          <w:szCs w:val="24"/>
        </w:rPr>
        <w:fldChar w:fldCharType="end"/>
      </w:r>
      <w:r w:rsidRPr="00DD353C">
        <w:rPr>
          <w:rFonts w:ascii="Times New Roman" w:hAnsi="Times New Roman" w:cs="Times New Roman"/>
          <w:sz w:val="24"/>
          <w:szCs w:val="24"/>
        </w:rPr>
        <w:t>: Model Diagnostic Tests</w:t>
      </w:r>
    </w:p>
    <w:tbl>
      <w:tblPr>
        <w:tblStyle w:val="TabelaSimples2"/>
        <w:tblW w:w="0" w:type="auto"/>
        <w:tblLook w:val="06A0" w:firstRow="1" w:lastRow="0" w:firstColumn="1" w:lastColumn="0" w:noHBand="1" w:noVBand="1"/>
      </w:tblPr>
      <w:tblGrid>
        <w:gridCol w:w="3606"/>
        <w:gridCol w:w="1450"/>
        <w:gridCol w:w="945"/>
        <w:gridCol w:w="3359"/>
      </w:tblGrid>
      <w:tr w:rsidR="00E62E5B" w:rsidRPr="00A63412" w:rsidTr="00822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62E5B" w:rsidRPr="00A63412" w:rsidRDefault="00E62E5B" w:rsidP="00822385">
            <w:pPr>
              <w:pStyle w:val="SemEspaamento"/>
              <w:jc w:val="center"/>
              <w:rPr>
                <w:rFonts w:ascii="Times New Roman" w:hAnsi="Times New Roman" w:cs="Times New Roman"/>
                <w:b w:val="0"/>
                <w:sz w:val="24"/>
                <w:szCs w:val="24"/>
              </w:rPr>
            </w:pPr>
            <w:r w:rsidRPr="00A63412">
              <w:rPr>
                <w:rFonts w:ascii="Times New Roman" w:hAnsi="Times New Roman" w:cs="Times New Roman"/>
                <w:b w:val="0"/>
                <w:sz w:val="24"/>
                <w:szCs w:val="24"/>
              </w:rPr>
              <w:t>Test</w:t>
            </w:r>
          </w:p>
        </w:tc>
        <w:tc>
          <w:tcPr>
            <w:tcW w:w="0" w:type="auto"/>
            <w:hideMark/>
          </w:tcPr>
          <w:p w:rsidR="00E62E5B" w:rsidRPr="00A63412" w:rsidRDefault="00E62E5B" w:rsidP="00822385">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63412">
              <w:rPr>
                <w:rFonts w:ascii="Times New Roman" w:hAnsi="Times New Roman" w:cs="Times New Roman"/>
                <w:b w:val="0"/>
                <w:sz w:val="24"/>
                <w:szCs w:val="24"/>
              </w:rPr>
              <w:t>Test-Statistic</w:t>
            </w:r>
          </w:p>
        </w:tc>
        <w:tc>
          <w:tcPr>
            <w:tcW w:w="0" w:type="auto"/>
            <w:hideMark/>
          </w:tcPr>
          <w:p w:rsidR="00E62E5B" w:rsidRPr="00A63412" w:rsidRDefault="00E62E5B" w:rsidP="00822385">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63412">
              <w:rPr>
                <w:rFonts w:ascii="Times New Roman" w:hAnsi="Times New Roman" w:cs="Times New Roman"/>
                <w:b w:val="0"/>
                <w:sz w:val="24"/>
                <w:szCs w:val="24"/>
              </w:rPr>
              <w:t>P-value</w:t>
            </w:r>
          </w:p>
        </w:tc>
        <w:tc>
          <w:tcPr>
            <w:tcW w:w="0" w:type="auto"/>
            <w:hideMark/>
          </w:tcPr>
          <w:p w:rsidR="00E62E5B" w:rsidRPr="00A63412" w:rsidRDefault="00E62E5B" w:rsidP="00822385">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63412">
              <w:rPr>
                <w:rFonts w:ascii="Times New Roman" w:hAnsi="Times New Roman" w:cs="Times New Roman"/>
                <w:b w:val="0"/>
                <w:sz w:val="24"/>
                <w:szCs w:val="24"/>
              </w:rPr>
              <w:t>Decision</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0" w:type="auto"/>
            <w:hideMark/>
          </w:tcPr>
          <w:p w:rsidR="00E62E5B" w:rsidRPr="00A63412" w:rsidRDefault="00E62E5B" w:rsidP="00822385">
            <w:pPr>
              <w:pStyle w:val="SemEspaamento"/>
              <w:rPr>
                <w:rFonts w:ascii="Times New Roman" w:hAnsi="Times New Roman" w:cs="Times New Roman"/>
                <w:b w:val="0"/>
                <w:sz w:val="24"/>
                <w:szCs w:val="24"/>
              </w:rPr>
            </w:pPr>
            <w:r w:rsidRPr="00A63412">
              <w:rPr>
                <w:rFonts w:ascii="Times New Roman" w:hAnsi="Times New Roman" w:cs="Times New Roman"/>
                <w:b w:val="0"/>
                <w:sz w:val="24"/>
                <w:szCs w:val="24"/>
              </w:rPr>
              <w:t>Breusch-Godfrey: Serial Correlation</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0.062</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0.8038</w:t>
            </w:r>
          </w:p>
        </w:tc>
        <w:tc>
          <w:tcPr>
            <w:tcW w:w="0" w:type="auto"/>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No evidence of serial correlation</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0" w:type="auto"/>
            <w:hideMark/>
          </w:tcPr>
          <w:p w:rsidR="00E62E5B" w:rsidRPr="00A63412" w:rsidRDefault="00E62E5B" w:rsidP="00822385">
            <w:pPr>
              <w:pStyle w:val="SemEspaamento"/>
              <w:rPr>
                <w:rFonts w:ascii="Times New Roman" w:hAnsi="Times New Roman" w:cs="Times New Roman"/>
                <w:b w:val="0"/>
                <w:sz w:val="24"/>
                <w:szCs w:val="24"/>
              </w:rPr>
            </w:pPr>
            <w:r w:rsidRPr="00A63412">
              <w:rPr>
                <w:rFonts w:ascii="Times New Roman" w:hAnsi="Times New Roman" w:cs="Times New Roman"/>
                <w:b w:val="0"/>
                <w:sz w:val="24"/>
                <w:szCs w:val="24"/>
              </w:rPr>
              <w:t>Ramsey RESET F(3,18)</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0.43</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0.7354</w:t>
            </w:r>
          </w:p>
        </w:tc>
        <w:tc>
          <w:tcPr>
            <w:tcW w:w="0" w:type="auto"/>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Model correctly specified</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0" w:type="auto"/>
            <w:hideMark/>
          </w:tcPr>
          <w:p w:rsidR="00E62E5B" w:rsidRPr="00A63412" w:rsidRDefault="00E62E5B" w:rsidP="00822385">
            <w:pPr>
              <w:pStyle w:val="SemEspaamento"/>
              <w:rPr>
                <w:rFonts w:ascii="Times New Roman" w:hAnsi="Times New Roman" w:cs="Times New Roman"/>
                <w:b w:val="0"/>
                <w:sz w:val="24"/>
                <w:szCs w:val="24"/>
              </w:rPr>
            </w:pPr>
            <w:r w:rsidRPr="00A63412">
              <w:rPr>
                <w:rFonts w:ascii="Times New Roman" w:hAnsi="Times New Roman" w:cs="Times New Roman"/>
                <w:b w:val="0"/>
                <w:sz w:val="24"/>
                <w:szCs w:val="24"/>
              </w:rPr>
              <w:t>Normality: Jarque-Bera</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0.6043</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0.7392</w:t>
            </w:r>
          </w:p>
        </w:tc>
        <w:tc>
          <w:tcPr>
            <w:tcW w:w="0" w:type="auto"/>
            <w:hideMark/>
          </w:tcPr>
          <w:p w:rsidR="00E62E5B" w:rsidRPr="00A63412" w:rsidRDefault="00E62E5B" w:rsidP="00822385">
            <w:pPr>
              <w:pStyle w:val="SemEspaamen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Residuals normally distributed</w:t>
            </w:r>
          </w:p>
        </w:tc>
      </w:tr>
      <w:tr w:rsidR="00E62E5B" w:rsidRPr="00A63412" w:rsidTr="00822385">
        <w:tc>
          <w:tcPr>
            <w:cnfStyle w:val="001000000000" w:firstRow="0" w:lastRow="0" w:firstColumn="1" w:lastColumn="0" w:oddVBand="0" w:evenVBand="0" w:oddHBand="0" w:evenHBand="0" w:firstRowFirstColumn="0" w:firstRowLastColumn="0" w:lastRowFirstColumn="0" w:lastRowLastColumn="0"/>
            <w:tcW w:w="0" w:type="auto"/>
            <w:hideMark/>
          </w:tcPr>
          <w:p w:rsidR="00E62E5B" w:rsidRPr="00A63412" w:rsidRDefault="00E62E5B" w:rsidP="00822385">
            <w:pPr>
              <w:pStyle w:val="SemEspaamento"/>
              <w:rPr>
                <w:rFonts w:ascii="Times New Roman" w:hAnsi="Times New Roman" w:cs="Times New Roman"/>
                <w:b w:val="0"/>
                <w:sz w:val="24"/>
                <w:szCs w:val="24"/>
              </w:rPr>
            </w:pPr>
            <w:r w:rsidRPr="00A63412">
              <w:rPr>
                <w:rFonts w:ascii="Times New Roman" w:hAnsi="Times New Roman" w:cs="Times New Roman"/>
                <w:b w:val="0"/>
                <w:sz w:val="24"/>
                <w:szCs w:val="24"/>
              </w:rPr>
              <w:t>Heteroscedasticity Test: ARCH</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0.698</w:t>
            </w:r>
          </w:p>
        </w:tc>
        <w:tc>
          <w:tcPr>
            <w:tcW w:w="0" w:type="auto"/>
            <w:hideMark/>
          </w:tcPr>
          <w:p w:rsidR="00E62E5B" w:rsidRPr="00A63412" w:rsidRDefault="00E62E5B" w:rsidP="00822385">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0.4035</w:t>
            </w:r>
          </w:p>
        </w:tc>
        <w:tc>
          <w:tcPr>
            <w:tcW w:w="0" w:type="auto"/>
            <w:hideMark/>
          </w:tcPr>
          <w:p w:rsidR="00E62E5B" w:rsidRPr="00A63412" w:rsidRDefault="00E62E5B" w:rsidP="008223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412">
              <w:rPr>
                <w:rFonts w:ascii="Times New Roman" w:hAnsi="Times New Roman" w:cs="Times New Roman"/>
                <w:sz w:val="24"/>
                <w:szCs w:val="24"/>
              </w:rPr>
              <w:t>No evidence of heteroscedasticity</w:t>
            </w:r>
          </w:p>
        </w:tc>
      </w:tr>
    </w:tbl>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i/>
          <w:iCs/>
          <w:sz w:val="24"/>
          <w:szCs w:val="24"/>
        </w:rPr>
        <w:t>Source: Author’s computation output, 2025</w:t>
      </w:r>
    </w:p>
    <w:p w:rsidR="00E62E5B" w:rsidRPr="00A63412" w:rsidRDefault="00E62E5B" w:rsidP="00E62E5B">
      <w:pPr>
        <w:pStyle w:val="SemEspaamento"/>
        <w:spacing w:line="360" w:lineRule="auto"/>
        <w:jc w:val="both"/>
        <w:rPr>
          <w:rFonts w:ascii="Times New Roman" w:hAnsi="Times New Roman" w:cs="Times New Roman"/>
          <w:sz w:val="24"/>
          <w:szCs w:val="24"/>
        </w:rPr>
      </w:pPr>
      <w:r w:rsidRPr="00A63412">
        <w:rPr>
          <w:rFonts w:ascii="Times New Roman" w:hAnsi="Times New Roman" w:cs="Times New Roman"/>
          <w:sz w:val="24"/>
          <w:szCs w:val="24"/>
        </w:rPr>
        <w:t xml:space="preserve">The results indicate that the model satisfies the classical regression assumptions. The residuals are normally distributed according to the Jarque-Bera test (p = 0.7392). The ARCH test indicates homoscedastic errors (p = 0.4035). The Ramsey RESET test (p = 0.7354) confirms that there are </w:t>
      </w:r>
      <w:r w:rsidRPr="00A63412">
        <w:rPr>
          <w:rFonts w:ascii="Times New Roman" w:hAnsi="Times New Roman" w:cs="Times New Roman"/>
          <w:sz w:val="24"/>
          <w:szCs w:val="24"/>
        </w:rPr>
        <w:lastRenderedPageBreak/>
        <w:t>no functional form misspecification problems, and the Breusch-Godfrey test (p = 0.8038) suggests the absence of serial correlation.</w:t>
      </w:r>
    </w:p>
    <w:p w:rsidR="004A6DA9" w:rsidRDefault="00E62E5B" w:rsidP="00E62E5B">
      <w:pPr>
        <w:pStyle w:val="SemEspaamento"/>
        <w:spacing w:before="240" w:line="360" w:lineRule="auto"/>
        <w:jc w:val="both"/>
        <w:rPr>
          <w:rFonts w:ascii="Times New Roman" w:hAnsi="Times New Roman" w:cs="Times New Roman"/>
          <w:sz w:val="24"/>
          <w:szCs w:val="24"/>
        </w:rPr>
      </w:pPr>
      <w:r w:rsidRPr="00A63412">
        <w:rPr>
          <w:rFonts w:ascii="Times New Roman" w:hAnsi="Times New Roman" w:cs="Times New Roman"/>
          <w:sz w:val="24"/>
          <w:szCs w:val="24"/>
        </w:rPr>
        <w:t>Furthermore, stability tests (CUSUM and CUSUMSQ) demonstrate that the estimated coefficients remained stable throughout the sample period, as both plots remained within the critical bounds. This reinforces the robustness and reliability of the long- and short-run estimates obtained.</w:t>
      </w:r>
    </w:p>
    <w:p w:rsidR="00E601A5" w:rsidRPr="0059555B" w:rsidRDefault="0059555B" w:rsidP="0059555B">
      <w:pPr>
        <w:pStyle w:val="Cabealho3"/>
        <w:rPr>
          <w:sz w:val="24"/>
          <w:szCs w:val="24"/>
        </w:rPr>
      </w:pPr>
      <w:r>
        <w:t xml:space="preserve">5. </w:t>
      </w:r>
      <w:r w:rsidR="008A73E1" w:rsidRPr="00287A6E">
        <w:t>Conclusion and Recommendations</w:t>
      </w:r>
    </w:p>
    <w:p w:rsidR="00751B52" w:rsidRPr="00DD353C" w:rsidRDefault="00DD353C" w:rsidP="00830511">
      <w:pPr>
        <w:pStyle w:val="Subttulo"/>
        <w:rPr>
          <w:rFonts w:eastAsia="Times New Roman"/>
        </w:rPr>
      </w:pPr>
      <w:r w:rsidRPr="00DD353C">
        <w:t>5.1</w:t>
      </w:r>
      <w:r w:rsidR="00E601A5">
        <w:t>.</w:t>
      </w:r>
      <w:r w:rsidRPr="00DD353C">
        <w:t xml:space="preserve"> Conclusion</w:t>
      </w:r>
    </w:p>
    <w:p w:rsidR="00DD353C" w:rsidRPr="00DD353C" w:rsidRDefault="00751B52" w:rsidP="00DD353C">
      <w:pPr>
        <w:pStyle w:val="SemEspaamento"/>
        <w:spacing w:line="360" w:lineRule="auto"/>
        <w:jc w:val="both"/>
        <w:rPr>
          <w:rFonts w:ascii="Times New Roman" w:hAnsi="Times New Roman" w:cs="Times New Roman"/>
          <w:sz w:val="24"/>
          <w:szCs w:val="24"/>
        </w:rPr>
      </w:pPr>
      <w:r w:rsidRPr="00DD353C">
        <w:rPr>
          <w:rFonts w:ascii="Times New Roman" w:hAnsi="Times New Roman" w:cs="Times New Roman"/>
          <w:sz w:val="24"/>
          <w:szCs w:val="24"/>
        </w:rPr>
        <w:t>This study explored the impact of foreign aid, domestic investment, foreign direct investment, and external debt on Mozambique’s economic growth between 1992 and 2022, using the ARDL approach to assess both short- and long-term effects. The findings reveal a nuanced picture: in the long run, official development assistance (LODA) negatively affects growth, with a 1% increase in aid linked to a 0.61% decline in per capita GDP. In contrast, foreign direct investment (LFDI) contributes positively, around 0.37%, while external debt (LDBT) reduces growth by approximately 0.29%. In the short term, only domestic investment (LINV) showed a significant effect, lowering growth by 0.07% in the immediately preceding period, while other factors explained about 1.54% of GDP variation. Overall, these results indicate that, despite substantial aid inflows, Mozambique has struggled to translate foreign assistance into consistent economic growth, highlighting inefficiencies in aid utilization and the burden of external debt. Strengthening domestic resource mobilization and improving the productivity of foreign capital appear crucial for sustainable economic development.</w:t>
      </w:r>
    </w:p>
    <w:p w:rsidR="00751B52" w:rsidRPr="00DD353C" w:rsidRDefault="00DD353C" w:rsidP="00830511">
      <w:pPr>
        <w:pStyle w:val="Subttulo"/>
        <w:rPr>
          <w:rFonts w:eastAsia="Times New Roman"/>
        </w:rPr>
      </w:pPr>
      <w:r>
        <w:rPr>
          <w:rFonts w:eastAsia="Times New Roman"/>
        </w:rPr>
        <w:t xml:space="preserve">5.2. </w:t>
      </w:r>
      <w:r w:rsidR="00751B52" w:rsidRPr="00DD353C">
        <w:rPr>
          <w:rFonts w:eastAsia="Times New Roman"/>
        </w:rPr>
        <w:t>Policy Implications</w:t>
      </w:r>
    </w:p>
    <w:p w:rsidR="00751B52" w:rsidRPr="00DD353C" w:rsidRDefault="00751B52" w:rsidP="00DD353C">
      <w:pPr>
        <w:pStyle w:val="SemEspaamento"/>
        <w:spacing w:line="360" w:lineRule="auto"/>
        <w:jc w:val="both"/>
        <w:rPr>
          <w:rFonts w:ascii="Times New Roman" w:hAnsi="Times New Roman" w:cs="Times New Roman"/>
          <w:sz w:val="24"/>
          <w:szCs w:val="24"/>
        </w:rPr>
      </w:pPr>
      <w:r w:rsidRPr="00DD353C">
        <w:rPr>
          <w:rFonts w:ascii="Times New Roman" w:hAnsi="Times New Roman" w:cs="Times New Roman"/>
          <w:sz w:val="24"/>
          <w:szCs w:val="24"/>
        </w:rPr>
        <w:t xml:space="preserve">The study underscores that while foreign aid has been substantial, its long-term impact on growth is limited, emphasizing the risks of aid dependency. The negative effect of external debt highlights the importance of prudent borrowing, as excessive debt increases fiscal pressure through repayment obligations. Foreign direct investment, however, demonstrates clear potential as a growth driver, suggesting the need for policies that attract and retain productive FDI. The short-term negative effect of domestic investment reflects structural inefficiencies in resource allocation, calling for reforms to improve the business climate and channel investments into sectors that promote growth. Achieving macroeconomic stability through sound fiscal management, effective </w:t>
      </w:r>
      <w:r w:rsidRPr="00DD353C">
        <w:rPr>
          <w:rFonts w:ascii="Times New Roman" w:hAnsi="Times New Roman" w:cs="Times New Roman"/>
          <w:sz w:val="24"/>
          <w:szCs w:val="24"/>
        </w:rPr>
        <w:lastRenderedPageBreak/>
        <w:t>aid utilization, and careful debt control is essential to create an environment conducive to sustained development.</w:t>
      </w:r>
    </w:p>
    <w:p w:rsidR="00751B52" w:rsidRPr="00DD353C" w:rsidRDefault="00DD353C" w:rsidP="00830511">
      <w:pPr>
        <w:pStyle w:val="Subttulo"/>
        <w:rPr>
          <w:rFonts w:eastAsia="Times New Roman"/>
        </w:rPr>
      </w:pPr>
      <w:r>
        <w:rPr>
          <w:rFonts w:eastAsia="Times New Roman"/>
        </w:rPr>
        <w:t xml:space="preserve">5.3. </w:t>
      </w:r>
      <w:r w:rsidR="00751B52" w:rsidRPr="00DD353C">
        <w:rPr>
          <w:rFonts w:eastAsia="Times New Roman"/>
        </w:rPr>
        <w:t>Recommendations</w:t>
      </w:r>
    </w:p>
    <w:p w:rsidR="00751B52" w:rsidRPr="00DD353C" w:rsidRDefault="00751B52" w:rsidP="00DD353C">
      <w:pPr>
        <w:pStyle w:val="SemEspaamento"/>
        <w:spacing w:line="360" w:lineRule="auto"/>
        <w:jc w:val="both"/>
        <w:rPr>
          <w:rFonts w:ascii="Times New Roman" w:hAnsi="Times New Roman" w:cs="Times New Roman"/>
          <w:sz w:val="24"/>
          <w:szCs w:val="24"/>
        </w:rPr>
      </w:pPr>
      <w:r w:rsidRPr="00DD353C">
        <w:rPr>
          <w:rFonts w:ascii="Times New Roman" w:hAnsi="Times New Roman" w:cs="Times New Roman"/>
          <w:sz w:val="24"/>
          <w:szCs w:val="24"/>
        </w:rPr>
        <w:t>Based on the findings, several recommendations emerge:</w:t>
      </w:r>
    </w:p>
    <w:p w:rsidR="00751B52" w:rsidRPr="00DD353C" w:rsidRDefault="00751B52" w:rsidP="001D7801">
      <w:pPr>
        <w:pStyle w:val="SemEspaamento"/>
        <w:numPr>
          <w:ilvl w:val="0"/>
          <w:numId w:val="13"/>
        </w:numPr>
        <w:spacing w:line="360" w:lineRule="auto"/>
        <w:jc w:val="both"/>
        <w:rPr>
          <w:rFonts w:ascii="Times New Roman" w:hAnsi="Times New Roman" w:cs="Times New Roman"/>
          <w:sz w:val="24"/>
          <w:szCs w:val="24"/>
        </w:rPr>
      </w:pPr>
      <w:r w:rsidRPr="00DD353C">
        <w:rPr>
          <w:rFonts w:ascii="Times New Roman" w:hAnsi="Times New Roman" w:cs="Times New Roman"/>
          <w:sz w:val="24"/>
          <w:szCs w:val="24"/>
        </w:rPr>
        <w:t>For researchers, future studies should expand the analysis by including governance quality, institutional capacity, and political stability to better understand how aid influences growth. Diffe</w:t>
      </w:r>
      <w:r w:rsidR="00DD353C" w:rsidRPr="00DD353C">
        <w:rPr>
          <w:rFonts w:ascii="Times New Roman" w:hAnsi="Times New Roman" w:cs="Times New Roman"/>
          <w:sz w:val="24"/>
          <w:szCs w:val="24"/>
        </w:rPr>
        <w:t xml:space="preserve">rentiating between types of aid </w:t>
      </w:r>
      <w:r w:rsidRPr="00DD353C">
        <w:rPr>
          <w:rFonts w:ascii="Times New Roman" w:hAnsi="Times New Roman" w:cs="Times New Roman"/>
          <w:sz w:val="24"/>
          <w:szCs w:val="24"/>
        </w:rPr>
        <w:t>project-based, budget s</w:t>
      </w:r>
      <w:r w:rsidR="00DD353C" w:rsidRPr="00DD353C">
        <w:rPr>
          <w:rFonts w:ascii="Times New Roman" w:hAnsi="Times New Roman" w:cs="Times New Roman"/>
          <w:sz w:val="24"/>
          <w:szCs w:val="24"/>
        </w:rPr>
        <w:t xml:space="preserve">upport, or technical assistance </w:t>
      </w:r>
      <w:r w:rsidRPr="00DD353C">
        <w:rPr>
          <w:rFonts w:ascii="Times New Roman" w:hAnsi="Times New Roman" w:cs="Times New Roman"/>
          <w:sz w:val="24"/>
          <w:szCs w:val="24"/>
        </w:rPr>
        <w:t>could also clarify their effectiveness.</w:t>
      </w:r>
    </w:p>
    <w:p w:rsidR="00751B52" w:rsidRPr="00DD353C" w:rsidRDefault="00751B52" w:rsidP="001D7801">
      <w:pPr>
        <w:pStyle w:val="SemEspaamento"/>
        <w:numPr>
          <w:ilvl w:val="0"/>
          <w:numId w:val="13"/>
        </w:numPr>
        <w:spacing w:before="240" w:line="360" w:lineRule="auto"/>
        <w:jc w:val="both"/>
        <w:rPr>
          <w:rFonts w:ascii="Times New Roman" w:hAnsi="Times New Roman" w:cs="Times New Roman"/>
          <w:sz w:val="24"/>
          <w:szCs w:val="24"/>
        </w:rPr>
      </w:pPr>
      <w:r w:rsidRPr="00DD353C">
        <w:rPr>
          <w:rFonts w:ascii="Times New Roman" w:hAnsi="Times New Roman" w:cs="Times New Roman"/>
          <w:sz w:val="24"/>
          <w:szCs w:val="24"/>
        </w:rPr>
        <w:t>For policymakers, priorities should include strengthening domestic revenue mobilization through tax reforms, reducing reliance on external aid, attracting high-quality FDI, improving public spending efficiency, and ensuring that external borrowing finances productive investments. Transparency and accountability in aid management are key to maximizing developmental impact.</w:t>
      </w:r>
    </w:p>
    <w:p w:rsidR="00751B52" w:rsidRPr="00DD353C" w:rsidRDefault="00751B52" w:rsidP="001D7801">
      <w:pPr>
        <w:pStyle w:val="SemEspaamento"/>
        <w:numPr>
          <w:ilvl w:val="0"/>
          <w:numId w:val="13"/>
        </w:numPr>
        <w:spacing w:before="240" w:line="360" w:lineRule="auto"/>
        <w:jc w:val="both"/>
        <w:rPr>
          <w:rFonts w:ascii="Times New Roman" w:hAnsi="Times New Roman" w:cs="Times New Roman"/>
          <w:sz w:val="24"/>
          <w:szCs w:val="24"/>
        </w:rPr>
      </w:pPr>
      <w:r w:rsidRPr="00DD353C">
        <w:rPr>
          <w:rFonts w:ascii="Times New Roman" w:hAnsi="Times New Roman" w:cs="Times New Roman"/>
          <w:sz w:val="24"/>
          <w:szCs w:val="24"/>
        </w:rPr>
        <w:t>For development practitioners, aid programs should align with Mozambique’s national priorities rather than donor agendas, focus on building institutional and human capacity, foster private-sector partnerships, and support initiatives that enhance productivity and innovation.</w:t>
      </w:r>
    </w:p>
    <w:p w:rsidR="00751B52" w:rsidRPr="00DD353C" w:rsidRDefault="00751B52" w:rsidP="001D7801">
      <w:pPr>
        <w:pStyle w:val="SemEspaamento"/>
        <w:spacing w:line="360" w:lineRule="auto"/>
        <w:jc w:val="both"/>
        <w:rPr>
          <w:rFonts w:ascii="Times New Roman" w:hAnsi="Times New Roman" w:cs="Times New Roman"/>
          <w:sz w:val="24"/>
          <w:szCs w:val="24"/>
        </w:rPr>
      </w:pPr>
      <w:r w:rsidRPr="00DD353C">
        <w:rPr>
          <w:rFonts w:ascii="Times New Roman" w:hAnsi="Times New Roman" w:cs="Times New Roman"/>
          <w:sz w:val="24"/>
          <w:szCs w:val="24"/>
        </w:rPr>
        <w:t>Together, these strategies highlight that while foreign aid has played a major role in Mozambique’s development, sustainable growth depends on effective use of aid, reduced dependency on external resources, and a strengthened domestic economic foundation.</w:t>
      </w:r>
    </w:p>
    <w:p w:rsidR="00287A6E" w:rsidRPr="00287A6E" w:rsidRDefault="00287A6E" w:rsidP="00287A6E">
      <w:pPr>
        <w:rPr>
          <w:rFonts w:ascii="Times New Roman" w:hAnsi="Times New Roman" w:cs="Times New Roman"/>
          <w:sz w:val="24"/>
          <w:szCs w:val="24"/>
        </w:rPr>
      </w:pPr>
    </w:p>
    <w:p w:rsidR="008A73E1" w:rsidRDefault="008A73E1">
      <w:pPr>
        <w:rPr>
          <w:rFonts w:ascii="Times New Roman" w:hAnsi="Times New Roman" w:cs="Times New Roman"/>
          <w:sz w:val="24"/>
          <w:szCs w:val="24"/>
        </w:rPr>
      </w:pPr>
    </w:p>
    <w:p w:rsidR="00562305" w:rsidRDefault="00562305">
      <w:pPr>
        <w:rPr>
          <w:rFonts w:ascii="Times New Roman" w:hAnsi="Times New Roman" w:cs="Times New Roman"/>
          <w:sz w:val="24"/>
          <w:szCs w:val="24"/>
        </w:rPr>
      </w:pPr>
      <w:r>
        <w:rPr>
          <w:rFonts w:ascii="Times New Roman" w:hAnsi="Times New Roman" w:cs="Times New Roman"/>
          <w:sz w:val="24"/>
          <w:szCs w:val="24"/>
        </w:rPr>
        <w:br w:type="page"/>
      </w:r>
    </w:p>
    <w:p w:rsidR="00562305" w:rsidRDefault="00562305" w:rsidP="00E601A5">
      <w:pPr>
        <w:pStyle w:val="Ttulo"/>
        <w:numPr>
          <w:ilvl w:val="0"/>
          <w:numId w:val="4"/>
        </w:numPr>
      </w:pPr>
      <w:r>
        <w:lastRenderedPageBreak/>
        <w:t>References</w:t>
      </w:r>
      <w:r w:rsidR="00287A6E">
        <w:t xml:space="preserve"> </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 xml:space="preserve">Adedokun, A. J. (2023). </w:t>
      </w:r>
      <w:r w:rsidRPr="00147A82">
        <w:rPr>
          <w:rStyle w:val="nfase"/>
          <w:rFonts w:ascii="Times New Roman" w:hAnsi="Times New Roman" w:cs="Times New Roman"/>
          <w:sz w:val="24"/>
          <w:szCs w:val="24"/>
        </w:rPr>
        <w:t>Absorptive capacity, domestic investment and economic growth in Africa</w:t>
      </w:r>
      <w:r w:rsidRPr="00147A82">
        <w:rPr>
          <w:rFonts w:ascii="Times New Roman" w:hAnsi="Times New Roman" w:cs="Times New Roman"/>
          <w:sz w:val="24"/>
          <w:szCs w:val="24"/>
        </w:rPr>
        <w:t>. Studies in Business and Economics, 18(1), 5–18. https://doi.org/10.2478/sues-2023-0018</w:t>
      </w:r>
    </w:p>
    <w:p w:rsidR="00147A82" w:rsidRPr="00147A82" w:rsidRDefault="00147A82" w:rsidP="001E4CEE">
      <w:pPr>
        <w:spacing w:line="240" w:lineRule="auto"/>
        <w:ind w:left="720" w:hanging="720"/>
        <w:jc w:val="both"/>
        <w:rPr>
          <w:rFonts w:ascii="Times New Roman" w:hAnsi="Times New Roman" w:cs="Times New Roman"/>
          <w:sz w:val="24"/>
          <w:szCs w:val="24"/>
        </w:rPr>
      </w:pPr>
      <w:proofErr w:type="spellStart"/>
      <w:r w:rsidRPr="00147A82">
        <w:rPr>
          <w:rFonts w:ascii="Times New Roman" w:hAnsi="Times New Roman" w:cs="Times New Roman"/>
          <w:sz w:val="24"/>
          <w:szCs w:val="24"/>
        </w:rPr>
        <w:t>Alghamdi</w:t>
      </w:r>
      <w:proofErr w:type="spellEnd"/>
      <w:r w:rsidRPr="00147A82">
        <w:rPr>
          <w:rFonts w:ascii="Times New Roman" w:hAnsi="Times New Roman" w:cs="Times New Roman"/>
          <w:sz w:val="24"/>
          <w:szCs w:val="24"/>
        </w:rPr>
        <w:t xml:space="preserve">, AM (2016), Does Foreign Aid Promote Growth? Evidence from </w:t>
      </w:r>
      <w:proofErr w:type="gramStart"/>
      <w:r w:rsidRPr="00147A82">
        <w:rPr>
          <w:rFonts w:ascii="Times New Roman" w:hAnsi="Times New Roman" w:cs="Times New Roman"/>
          <w:sz w:val="24"/>
          <w:szCs w:val="24"/>
        </w:rPr>
        <w:t>Africa .</w:t>
      </w:r>
      <w:proofErr w:type="gramEnd"/>
      <w:r w:rsidRPr="00147A82">
        <w:rPr>
          <w:rFonts w:ascii="Times New Roman" w:hAnsi="Times New Roman" w:cs="Times New Roman"/>
          <w:sz w:val="24"/>
          <w:szCs w:val="24"/>
        </w:rPr>
        <w:t xml:space="preserve"> Master's    Theses. 2513, available at </w:t>
      </w:r>
      <w:hyperlink r:id="rId6" w:history="1">
        <w:r w:rsidRPr="00147A82">
          <w:rPr>
            <w:rFonts w:ascii="Times New Roman" w:hAnsi="Times New Roman" w:cs="Times New Roman"/>
            <w:color w:val="0563C1" w:themeColor="hyperlink"/>
            <w:sz w:val="24"/>
            <w:szCs w:val="24"/>
            <w:u w:val="single"/>
          </w:rPr>
          <w:t>https://thekeep.eiu.edu/theses/2513</w:t>
        </w:r>
      </w:hyperlink>
    </w:p>
    <w:p w:rsidR="00147A82" w:rsidRPr="00147A82" w:rsidRDefault="00147A82" w:rsidP="001E4CEE">
      <w:pPr>
        <w:spacing w:line="240" w:lineRule="auto"/>
        <w:ind w:left="720" w:hanging="720"/>
        <w:jc w:val="both"/>
        <w:rPr>
          <w:rFonts w:ascii="Times New Roman" w:eastAsia="Times New Roman" w:hAnsi="Times New Roman" w:cs="Times New Roman"/>
          <w:bCs/>
          <w:sz w:val="24"/>
          <w:szCs w:val="24"/>
        </w:rPr>
      </w:pPr>
      <w:proofErr w:type="spellStart"/>
      <w:r w:rsidRPr="00147A82">
        <w:rPr>
          <w:rStyle w:val="Forte"/>
          <w:rFonts w:ascii="Times New Roman" w:hAnsi="Times New Roman" w:cs="Times New Roman"/>
          <w:b w:val="0"/>
          <w:sz w:val="24"/>
          <w:szCs w:val="24"/>
        </w:rPr>
        <w:t>Bacha</w:t>
      </w:r>
      <w:proofErr w:type="spellEnd"/>
      <w:r w:rsidRPr="00147A82">
        <w:rPr>
          <w:rStyle w:val="Forte"/>
          <w:rFonts w:ascii="Times New Roman" w:hAnsi="Times New Roman" w:cs="Times New Roman"/>
          <w:b w:val="0"/>
          <w:sz w:val="24"/>
          <w:szCs w:val="24"/>
        </w:rPr>
        <w:t xml:space="preserve">, </w:t>
      </w:r>
      <w:proofErr w:type="spellStart"/>
      <w:r w:rsidRPr="00147A82">
        <w:rPr>
          <w:rStyle w:val="Forte"/>
          <w:rFonts w:ascii="Times New Roman" w:hAnsi="Times New Roman" w:cs="Times New Roman"/>
          <w:b w:val="0"/>
          <w:sz w:val="24"/>
          <w:szCs w:val="24"/>
        </w:rPr>
        <w:t>Edmar</w:t>
      </w:r>
      <w:proofErr w:type="spellEnd"/>
      <w:r w:rsidRPr="00147A82">
        <w:rPr>
          <w:rStyle w:val="Forte"/>
          <w:rFonts w:ascii="Times New Roman" w:hAnsi="Times New Roman" w:cs="Times New Roman"/>
          <w:b w:val="0"/>
          <w:sz w:val="24"/>
          <w:szCs w:val="24"/>
        </w:rPr>
        <w:t xml:space="preserve"> L.</w:t>
      </w:r>
      <w:r w:rsidRPr="00147A82">
        <w:rPr>
          <w:rFonts w:ascii="Times New Roman" w:hAnsi="Times New Roman" w:cs="Times New Roman"/>
          <w:sz w:val="24"/>
          <w:szCs w:val="24"/>
        </w:rPr>
        <w:t xml:space="preserve"> (1990). </w:t>
      </w:r>
      <w:r w:rsidRPr="00147A82">
        <w:rPr>
          <w:rStyle w:val="nfase"/>
          <w:rFonts w:ascii="Times New Roman" w:hAnsi="Times New Roman" w:cs="Times New Roman"/>
          <w:sz w:val="24"/>
          <w:szCs w:val="24"/>
        </w:rPr>
        <w:t>A Three-Gap Model of Foreign Transfers and the GDP Growth Rate in Developing Countries</w:t>
      </w:r>
      <w:r w:rsidRPr="00147A82">
        <w:rPr>
          <w:rFonts w:ascii="Times New Roman" w:hAnsi="Times New Roman" w:cs="Times New Roman"/>
          <w:sz w:val="24"/>
          <w:szCs w:val="24"/>
        </w:rPr>
        <w:t xml:space="preserve">. </w:t>
      </w:r>
      <w:r w:rsidRPr="00147A82">
        <w:rPr>
          <w:rStyle w:val="nfase"/>
          <w:rFonts w:ascii="Times New Roman" w:hAnsi="Times New Roman" w:cs="Times New Roman"/>
          <w:sz w:val="24"/>
          <w:szCs w:val="24"/>
        </w:rPr>
        <w:t>Journal of Development Economics</w:t>
      </w:r>
      <w:r w:rsidRPr="00147A82">
        <w:rPr>
          <w:rFonts w:ascii="Times New Roman" w:hAnsi="Times New Roman" w:cs="Times New Roman"/>
          <w:sz w:val="24"/>
          <w:szCs w:val="24"/>
        </w:rPr>
        <w:t>, 32(2), 279–296. https://doi.org/10.1016/0304-3878 (90)90039-E;</w:t>
      </w:r>
    </w:p>
    <w:p w:rsidR="00147A82" w:rsidRPr="00147A82" w:rsidRDefault="00147A82" w:rsidP="001E4CEE">
      <w:pPr>
        <w:spacing w:line="240" w:lineRule="auto"/>
        <w:ind w:left="720" w:hanging="720"/>
        <w:jc w:val="both"/>
        <w:rPr>
          <w:rFonts w:ascii="Times New Roman" w:eastAsia="Times New Roman" w:hAnsi="Times New Roman" w:cs="Times New Roman"/>
          <w:sz w:val="24"/>
          <w:szCs w:val="24"/>
        </w:rPr>
      </w:pPr>
      <w:proofErr w:type="spellStart"/>
      <w:r w:rsidRPr="00147A82">
        <w:rPr>
          <w:rFonts w:ascii="Times New Roman" w:eastAsia="Times New Roman" w:hAnsi="Times New Roman" w:cs="Times New Roman"/>
          <w:bCs/>
          <w:sz w:val="24"/>
          <w:szCs w:val="24"/>
        </w:rPr>
        <w:t>Borensztein</w:t>
      </w:r>
      <w:proofErr w:type="spellEnd"/>
      <w:r w:rsidRPr="00147A82">
        <w:rPr>
          <w:rFonts w:ascii="Times New Roman" w:eastAsia="Times New Roman" w:hAnsi="Times New Roman" w:cs="Times New Roman"/>
          <w:bCs/>
          <w:sz w:val="24"/>
          <w:szCs w:val="24"/>
        </w:rPr>
        <w:t>, E., De Gregorio, J., &amp; Lee, J-W. (1998).</w:t>
      </w:r>
      <w:r w:rsidRPr="00147A82">
        <w:rPr>
          <w:rFonts w:ascii="Times New Roman" w:eastAsia="Times New Roman" w:hAnsi="Times New Roman" w:cs="Times New Roman"/>
          <w:sz w:val="24"/>
          <w:szCs w:val="24"/>
        </w:rPr>
        <w:t xml:space="preserve"> "How does foreign direct investment affect economic growth?" Journal of International Economics, 45(1), 115–135.</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 xml:space="preserve">Calderón, C., &amp; Servén, L. (2004). </w:t>
      </w:r>
      <w:r w:rsidRPr="00147A82">
        <w:rPr>
          <w:rStyle w:val="nfase"/>
          <w:rFonts w:ascii="Times New Roman" w:hAnsi="Times New Roman" w:cs="Times New Roman"/>
          <w:sz w:val="24"/>
          <w:szCs w:val="24"/>
        </w:rPr>
        <w:t>The effects of infrastructure development on growth and income distribution</w:t>
      </w:r>
      <w:r w:rsidRPr="00147A82">
        <w:rPr>
          <w:rFonts w:ascii="Times New Roman" w:hAnsi="Times New Roman" w:cs="Times New Roman"/>
          <w:sz w:val="24"/>
          <w:szCs w:val="24"/>
        </w:rPr>
        <w:t>. World Bank Policy Research Working Paper No. 3400. Washington, DC: World Bank. https://elibrary.imf.org/view/journals/001/2005/195/article-A001-en.xml</w:t>
      </w:r>
    </w:p>
    <w:p w:rsidR="00147A82" w:rsidRPr="00147A82" w:rsidRDefault="00147A82" w:rsidP="001E4CEE">
      <w:pPr>
        <w:spacing w:line="240" w:lineRule="auto"/>
        <w:ind w:left="720" w:hanging="720"/>
        <w:jc w:val="both"/>
        <w:rPr>
          <w:rFonts w:ascii="Times New Roman" w:eastAsia="Times New Roman" w:hAnsi="Times New Roman" w:cs="Times New Roman"/>
          <w:sz w:val="24"/>
          <w:szCs w:val="24"/>
        </w:rPr>
      </w:pPr>
      <w:r w:rsidRPr="00147A82">
        <w:rPr>
          <w:rFonts w:ascii="Times New Roman" w:eastAsia="Times New Roman" w:hAnsi="Times New Roman" w:cs="Times New Roman"/>
          <w:bCs/>
          <w:sz w:val="24"/>
          <w:szCs w:val="24"/>
        </w:rPr>
        <w:t>Easterly, W. (2006).</w:t>
      </w:r>
      <w:r w:rsidRPr="00147A82">
        <w:rPr>
          <w:rFonts w:ascii="Times New Roman" w:eastAsia="Times New Roman" w:hAnsi="Times New Roman" w:cs="Times New Roman"/>
          <w:sz w:val="24"/>
          <w:szCs w:val="24"/>
        </w:rPr>
        <w:t xml:space="preserve"> The White Man's Burden. Penguin.</w:t>
      </w:r>
    </w:p>
    <w:p w:rsidR="00147A82" w:rsidRPr="00147A82" w:rsidRDefault="00147A82" w:rsidP="001E4CEE">
      <w:pPr>
        <w:spacing w:line="240" w:lineRule="auto"/>
        <w:ind w:left="720" w:hanging="720"/>
        <w:jc w:val="both"/>
        <w:rPr>
          <w:rFonts w:ascii="Times New Roman" w:hAnsi="Times New Roman" w:cs="Times New Roman"/>
          <w:color w:val="000000"/>
          <w:sz w:val="24"/>
          <w:szCs w:val="24"/>
        </w:rPr>
      </w:pPr>
      <w:proofErr w:type="spellStart"/>
      <w:proofErr w:type="gramStart"/>
      <w:r w:rsidRPr="00147A82">
        <w:rPr>
          <w:rFonts w:ascii="Times New Roman" w:hAnsi="Times New Roman" w:cs="Times New Roman"/>
          <w:sz w:val="24"/>
          <w:szCs w:val="24"/>
        </w:rPr>
        <w:t>Farahmad</w:t>
      </w:r>
      <w:proofErr w:type="spellEnd"/>
      <w:r w:rsidRPr="00147A82">
        <w:rPr>
          <w:rFonts w:ascii="Times New Roman" w:hAnsi="Times New Roman" w:cs="Times New Roman"/>
          <w:sz w:val="24"/>
          <w:szCs w:val="24"/>
        </w:rPr>
        <w:t xml:space="preserve"> ,</w:t>
      </w:r>
      <w:proofErr w:type="gramEnd"/>
      <w:r w:rsidRPr="00147A82">
        <w:rPr>
          <w:rFonts w:ascii="Times New Roman" w:hAnsi="Times New Roman" w:cs="Times New Roman"/>
          <w:sz w:val="24"/>
          <w:szCs w:val="24"/>
        </w:rPr>
        <w:t xml:space="preserve"> M.A. (2021). The relationship between economic growth and foreign aid: the case of Afghanistan. Journal of Policy Researches, Istanbul University</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 xml:space="preserve">Fatima, F. Foreign aid and economic growth. Open Access Library Journal, 1:e632. Available at </w:t>
      </w:r>
      <w:hyperlink r:id="rId7" w:history="1">
        <w:r w:rsidRPr="00147A82">
          <w:rPr>
            <w:rFonts w:ascii="Times New Roman" w:hAnsi="Times New Roman" w:cs="Times New Roman"/>
            <w:color w:val="0563C1" w:themeColor="hyperlink"/>
            <w:sz w:val="24"/>
            <w:szCs w:val="24"/>
            <w:u w:val="single"/>
          </w:rPr>
          <w:t>https://dx.doi.org/10.4236/0alib.1100632</w:t>
        </w:r>
      </w:hyperlink>
    </w:p>
    <w:p w:rsidR="00147A82" w:rsidRPr="00147A82" w:rsidRDefault="00147A82" w:rsidP="001E4CEE">
      <w:pPr>
        <w:spacing w:line="240" w:lineRule="auto"/>
        <w:ind w:left="720" w:hanging="720"/>
        <w:jc w:val="both"/>
        <w:rPr>
          <w:rFonts w:ascii="Times New Roman" w:hAnsi="Times New Roman" w:cs="Times New Roman"/>
          <w:sz w:val="24"/>
          <w:szCs w:val="24"/>
        </w:rPr>
      </w:pPr>
      <w:proofErr w:type="spellStart"/>
      <w:proofErr w:type="gramStart"/>
      <w:r w:rsidRPr="00147A82">
        <w:rPr>
          <w:rFonts w:ascii="Times New Roman" w:hAnsi="Times New Roman" w:cs="Times New Roman"/>
          <w:sz w:val="24"/>
          <w:szCs w:val="24"/>
          <w:lang w:val="pt-PT"/>
        </w:rPr>
        <w:t>Gebresilassie</w:t>
      </w:r>
      <w:proofErr w:type="spellEnd"/>
      <w:r w:rsidRPr="00147A82">
        <w:rPr>
          <w:rFonts w:ascii="Times New Roman" w:hAnsi="Times New Roman" w:cs="Times New Roman"/>
          <w:sz w:val="24"/>
          <w:szCs w:val="24"/>
          <w:lang w:val="pt-PT"/>
        </w:rPr>
        <w:t xml:space="preserve"> ,</w:t>
      </w:r>
      <w:proofErr w:type="gramEnd"/>
      <w:r w:rsidRPr="00147A82">
        <w:rPr>
          <w:rFonts w:ascii="Times New Roman" w:hAnsi="Times New Roman" w:cs="Times New Roman"/>
          <w:sz w:val="24"/>
          <w:szCs w:val="24"/>
          <w:lang w:val="pt-PT"/>
        </w:rPr>
        <w:t xml:space="preserve"> BA; </w:t>
      </w:r>
      <w:proofErr w:type="spellStart"/>
      <w:proofErr w:type="gramStart"/>
      <w:r w:rsidRPr="00147A82">
        <w:rPr>
          <w:rFonts w:ascii="Times New Roman" w:hAnsi="Times New Roman" w:cs="Times New Roman"/>
          <w:sz w:val="24"/>
          <w:szCs w:val="24"/>
          <w:lang w:val="pt-PT"/>
        </w:rPr>
        <w:t>Legesse</w:t>
      </w:r>
      <w:proofErr w:type="spellEnd"/>
      <w:r w:rsidRPr="00147A82">
        <w:rPr>
          <w:rFonts w:ascii="Times New Roman" w:hAnsi="Times New Roman" w:cs="Times New Roman"/>
          <w:sz w:val="24"/>
          <w:szCs w:val="24"/>
          <w:lang w:val="pt-PT"/>
        </w:rPr>
        <w:t xml:space="preserve"> ,</w:t>
      </w:r>
      <w:proofErr w:type="gramEnd"/>
      <w:r w:rsidRPr="00147A82">
        <w:rPr>
          <w:rFonts w:ascii="Times New Roman" w:hAnsi="Times New Roman" w:cs="Times New Roman"/>
          <w:sz w:val="24"/>
          <w:szCs w:val="24"/>
          <w:lang w:val="pt-PT"/>
        </w:rPr>
        <w:t xml:space="preserve"> T; </w:t>
      </w:r>
      <w:proofErr w:type="gramStart"/>
      <w:r w:rsidRPr="00147A82">
        <w:rPr>
          <w:rFonts w:ascii="Times New Roman" w:hAnsi="Times New Roman" w:cs="Times New Roman"/>
          <w:sz w:val="24"/>
          <w:szCs w:val="24"/>
          <w:lang w:val="pt-PT"/>
        </w:rPr>
        <w:t>Gebre</w:t>
      </w:r>
      <w:proofErr w:type="gramEnd"/>
      <w:r w:rsidRPr="00147A82">
        <w:rPr>
          <w:rFonts w:ascii="Times New Roman" w:hAnsi="Times New Roman" w:cs="Times New Roman"/>
          <w:sz w:val="24"/>
          <w:szCs w:val="24"/>
          <w:lang w:val="pt-PT"/>
        </w:rPr>
        <w:t xml:space="preserve">, G. G. (2023). </w:t>
      </w:r>
      <w:r w:rsidRPr="00147A82">
        <w:rPr>
          <w:rFonts w:ascii="Times New Roman" w:hAnsi="Times New Roman" w:cs="Times New Roman"/>
          <w:sz w:val="24"/>
          <w:szCs w:val="24"/>
        </w:rPr>
        <w:t xml:space="preserve">Impact of foreign aid on Ethiopia's economic </w:t>
      </w:r>
      <w:proofErr w:type="gramStart"/>
      <w:r w:rsidRPr="00147A82">
        <w:rPr>
          <w:rFonts w:ascii="Times New Roman" w:hAnsi="Times New Roman" w:cs="Times New Roman"/>
          <w:sz w:val="24"/>
          <w:szCs w:val="24"/>
        </w:rPr>
        <w:t>growth .</w:t>
      </w:r>
      <w:proofErr w:type="gramEnd"/>
      <w:r w:rsidRPr="00147A82">
        <w:rPr>
          <w:rFonts w:ascii="Times New Roman" w:hAnsi="Times New Roman" w:cs="Times New Roman"/>
          <w:sz w:val="24"/>
          <w:szCs w:val="24"/>
        </w:rPr>
        <w:t xml:space="preserve"> Journal of Economic Knowledge. Available at: </w:t>
      </w:r>
      <w:hyperlink r:id="rId8" w:history="1">
        <w:r w:rsidRPr="00147A82">
          <w:rPr>
            <w:rStyle w:val="Hiperligao"/>
            <w:rFonts w:ascii="Times New Roman" w:hAnsi="Times New Roman" w:cs="Times New Roman"/>
            <w:sz w:val="24"/>
            <w:szCs w:val="24"/>
          </w:rPr>
          <w:t xml:space="preserve">https://doi.org/10.1007/s13132-023-01303-y </w:t>
        </w:r>
      </w:hyperlink>
      <w:r w:rsidRPr="00147A82">
        <w:rPr>
          <w:rFonts w:ascii="Times New Roman" w:hAnsi="Times New Roman" w:cs="Times New Roman"/>
          <w:sz w:val="24"/>
          <w:szCs w:val="24"/>
        </w:rPr>
        <w:t>.</w:t>
      </w:r>
    </w:p>
    <w:p w:rsidR="00147A82" w:rsidRPr="00147A82" w:rsidRDefault="00147A82" w:rsidP="001E4CEE">
      <w:pPr>
        <w:spacing w:line="240" w:lineRule="auto"/>
        <w:ind w:left="720" w:hanging="720"/>
        <w:jc w:val="both"/>
        <w:rPr>
          <w:rFonts w:ascii="Times New Roman" w:hAnsi="Times New Roman" w:cs="Times New Roman"/>
          <w:sz w:val="24"/>
          <w:szCs w:val="24"/>
        </w:rPr>
      </w:pPr>
      <w:proofErr w:type="spellStart"/>
      <w:r w:rsidRPr="00147A82">
        <w:rPr>
          <w:rFonts w:ascii="Times New Roman" w:hAnsi="Times New Roman" w:cs="Times New Roman"/>
          <w:sz w:val="24"/>
          <w:szCs w:val="24"/>
        </w:rPr>
        <w:t>Gomanee</w:t>
      </w:r>
      <w:proofErr w:type="spellEnd"/>
      <w:r w:rsidRPr="00147A82">
        <w:rPr>
          <w:rFonts w:ascii="Times New Roman" w:hAnsi="Times New Roman" w:cs="Times New Roman"/>
          <w:sz w:val="24"/>
          <w:szCs w:val="24"/>
        </w:rPr>
        <w:t xml:space="preserve">, K; </w:t>
      </w:r>
      <w:proofErr w:type="spellStart"/>
      <w:proofErr w:type="gramStart"/>
      <w:r w:rsidRPr="00147A82">
        <w:rPr>
          <w:rFonts w:ascii="Times New Roman" w:hAnsi="Times New Roman" w:cs="Times New Roman"/>
          <w:sz w:val="24"/>
          <w:szCs w:val="24"/>
        </w:rPr>
        <w:t>Girma</w:t>
      </w:r>
      <w:proofErr w:type="spellEnd"/>
      <w:r w:rsidRPr="00147A82">
        <w:rPr>
          <w:rFonts w:ascii="Times New Roman" w:hAnsi="Times New Roman" w:cs="Times New Roman"/>
          <w:sz w:val="24"/>
          <w:szCs w:val="24"/>
        </w:rPr>
        <w:t xml:space="preserve"> ,</w:t>
      </w:r>
      <w:proofErr w:type="gramEnd"/>
      <w:r w:rsidRPr="00147A82">
        <w:rPr>
          <w:rFonts w:ascii="Times New Roman" w:hAnsi="Times New Roman" w:cs="Times New Roman"/>
          <w:sz w:val="24"/>
          <w:szCs w:val="24"/>
        </w:rPr>
        <w:t xml:space="preserve"> S and Morrissey . (2002), O: Aid and Growth in Sub-Saharan Africa: Accounting for the Transmission Mechanism , CREDIT Research Paper, No. 02/05, University of Nottingham, Center for Research in Economic Development and International Trade (CREDIT), Nottingham</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Growth: Evidence from a Panel of Selected Countries. International Journal of Economics and Empirical</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 xml:space="preserve">Iheonu, C. O. (2019). </w:t>
      </w:r>
      <w:r w:rsidRPr="00147A82">
        <w:rPr>
          <w:rStyle w:val="nfase"/>
          <w:rFonts w:ascii="Times New Roman" w:hAnsi="Times New Roman" w:cs="Times New Roman"/>
          <w:sz w:val="24"/>
          <w:szCs w:val="24"/>
        </w:rPr>
        <w:t>Governance and domestic private investment in Africa</w:t>
      </w:r>
      <w:r w:rsidRPr="00147A82">
        <w:rPr>
          <w:rFonts w:ascii="Times New Roman" w:hAnsi="Times New Roman" w:cs="Times New Roman"/>
          <w:sz w:val="24"/>
          <w:szCs w:val="24"/>
        </w:rPr>
        <w:t xml:space="preserve">. European Journal of Government and Economics, 8(1), 64–80. </w:t>
      </w:r>
      <w:hyperlink r:id="rId9" w:tgtFrame="_new" w:history="1">
        <w:r w:rsidRPr="00147A82">
          <w:rPr>
            <w:rStyle w:val="Hiperligao"/>
            <w:rFonts w:ascii="Times New Roman" w:hAnsi="Times New Roman" w:cs="Times New Roman"/>
            <w:sz w:val="24"/>
            <w:szCs w:val="24"/>
          </w:rPr>
          <w:t>https://revistas.udc.es/index.php/ejge/article/view/ejge.2019.8.1.4565</w:t>
        </w:r>
      </w:hyperlink>
    </w:p>
    <w:p w:rsidR="00147A82" w:rsidRPr="00147A82" w:rsidRDefault="00147A82" w:rsidP="001E4CEE">
      <w:pPr>
        <w:spacing w:line="240" w:lineRule="auto"/>
        <w:ind w:left="720" w:hanging="720"/>
        <w:jc w:val="both"/>
        <w:rPr>
          <w:rFonts w:ascii="Times New Roman" w:hAnsi="Times New Roman" w:cs="Times New Roman"/>
          <w:sz w:val="24"/>
          <w:szCs w:val="24"/>
        </w:rPr>
      </w:pPr>
      <w:proofErr w:type="spellStart"/>
      <w:r w:rsidRPr="00147A82">
        <w:rPr>
          <w:rFonts w:ascii="Times New Roman" w:hAnsi="Times New Roman" w:cs="Times New Roman"/>
          <w:sz w:val="24"/>
          <w:szCs w:val="24"/>
        </w:rPr>
        <w:t>Kargbo</w:t>
      </w:r>
      <w:proofErr w:type="spellEnd"/>
      <w:r w:rsidRPr="00147A82">
        <w:rPr>
          <w:rFonts w:ascii="Times New Roman" w:hAnsi="Times New Roman" w:cs="Times New Roman"/>
          <w:sz w:val="24"/>
          <w:szCs w:val="24"/>
        </w:rPr>
        <w:t xml:space="preserve">, P. M. (2012). Impact of foreign aid on economic growth in Sierra Leone: empirical </w:t>
      </w:r>
      <w:proofErr w:type="gramStart"/>
      <w:r w:rsidRPr="00147A82">
        <w:rPr>
          <w:rFonts w:ascii="Times New Roman" w:hAnsi="Times New Roman" w:cs="Times New Roman"/>
          <w:sz w:val="24"/>
          <w:szCs w:val="24"/>
        </w:rPr>
        <w:t>analysis .</w:t>
      </w:r>
      <w:proofErr w:type="gramEnd"/>
      <w:r w:rsidRPr="00147A82">
        <w:rPr>
          <w:rFonts w:ascii="Times New Roman" w:hAnsi="Times New Roman" w:cs="Times New Roman"/>
          <w:sz w:val="24"/>
          <w:szCs w:val="24"/>
        </w:rPr>
        <w:t xml:space="preserve"> Article presented in UNU-WIDER Working Paper No. 2012/07.</w:t>
      </w:r>
    </w:p>
    <w:p w:rsidR="00147A82" w:rsidRPr="00147A82" w:rsidRDefault="00147A82" w:rsidP="001E4CEE">
      <w:pPr>
        <w:spacing w:line="240" w:lineRule="auto"/>
        <w:ind w:left="720" w:hanging="720"/>
        <w:jc w:val="both"/>
        <w:rPr>
          <w:rFonts w:ascii="Times New Roman" w:hAnsi="Times New Roman" w:cs="Times New Roman"/>
          <w:sz w:val="24"/>
          <w:szCs w:val="24"/>
        </w:rPr>
      </w:pPr>
      <w:proofErr w:type="spellStart"/>
      <w:r w:rsidRPr="00147A82">
        <w:rPr>
          <w:rFonts w:ascii="Times New Roman" w:hAnsi="Times New Roman" w:cs="Times New Roman"/>
          <w:sz w:val="24"/>
          <w:szCs w:val="24"/>
        </w:rPr>
        <w:t>Karras</w:t>
      </w:r>
      <w:proofErr w:type="spellEnd"/>
      <w:r w:rsidRPr="00147A82">
        <w:rPr>
          <w:rFonts w:ascii="Times New Roman" w:hAnsi="Times New Roman" w:cs="Times New Roman"/>
          <w:sz w:val="24"/>
          <w:szCs w:val="24"/>
        </w:rPr>
        <w:t xml:space="preserve">, G. (2006). Foreign Aid and Long-Term Economic Growth: Empirical Evidence for a Panel of Developing </w:t>
      </w:r>
      <w:proofErr w:type="gramStart"/>
      <w:r w:rsidRPr="00147A82">
        <w:rPr>
          <w:rFonts w:ascii="Times New Roman" w:hAnsi="Times New Roman" w:cs="Times New Roman"/>
          <w:sz w:val="24"/>
          <w:szCs w:val="24"/>
        </w:rPr>
        <w:t>Countries .</w:t>
      </w:r>
      <w:proofErr w:type="gramEnd"/>
      <w:r w:rsidRPr="00147A82">
        <w:rPr>
          <w:rFonts w:ascii="Times New Roman" w:hAnsi="Times New Roman" w:cs="Times New Roman"/>
          <w:sz w:val="24"/>
          <w:szCs w:val="24"/>
        </w:rPr>
        <w:t xml:space="preserve"> Journal of International Development 18, 15-28. Available in </w:t>
      </w:r>
      <w:proofErr w:type="spellStart"/>
      <w:proofErr w:type="gramStart"/>
      <w:r w:rsidRPr="00147A82">
        <w:rPr>
          <w:rFonts w:ascii="Times New Roman" w:hAnsi="Times New Roman" w:cs="Times New Roman"/>
          <w:sz w:val="24"/>
          <w:szCs w:val="24"/>
        </w:rPr>
        <w:t>doi</w:t>
      </w:r>
      <w:proofErr w:type="spellEnd"/>
      <w:r w:rsidRPr="00147A82">
        <w:rPr>
          <w:rFonts w:ascii="Times New Roman" w:hAnsi="Times New Roman" w:cs="Times New Roman"/>
          <w:sz w:val="24"/>
          <w:szCs w:val="24"/>
        </w:rPr>
        <w:t xml:space="preserve"> :</w:t>
      </w:r>
      <w:proofErr w:type="gramEnd"/>
      <w:r w:rsidRPr="00147A82">
        <w:rPr>
          <w:rFonts w:ascii="Times New Roman" w:hAnsi="Times New Roman" w:cs="Times New Roman"/>
          <w:sz w:val="24"/>
          <w:szCs w:val="24"/>
        </w:rPr>
        <w:t xml:space="preserve"> 10.1002-jid.1187</w:t>
      </w:r>
    </w:p>
    <w:p w:rsidR="00147A82" w:rsidRPr="00147A82" w:rsidRDefault="00147A82" w:rsidP="001E4CEE">
      <w:pPr>
        <w:spacing w:line="240" w:lineRule="auto"/>
        <w:ind w:left="720" w:hanging="720"/>
        <w:jc w:val="both"/>
        <w:rPr>
          <w:rFonts w:ascii="Times New Roman" w:hAnsi="Times New Roman" w:cs="Times New Roman"/>
          <w:bCs/>
          <w:color w:val="000000"/>
          <w:sz w:val="24"/>
          <w:szCs w:val="24"/>
        </w:rPr>
      </w:pPr>
      <w:proofErr w:type="spellStart"/>
      <w:proofErr w:type="gramStart"/>
      <w:r w:rsidRPr="00147A82">
        <w:rPr>
          <w:rFonts w:ascii="Times New Roman" w:hAnsi="Times New Roman" w:cs="Times New Roman"/>
          <w:bCs/>
          <w:color w:val="000000"/>
          <w:sz w:val="24"/>
          <w:szCs w:val="24"/>
        </w:rPr>
        <w:t>Kemiso</w:t>
      </w:r>
      <w:proofErr w:type="spellEnd"/>
      <w:r w:rsidRPr="00147A82">
        <w:rPr>
          <w:rFonts w:ascii="Times New Roman" w:hAnsi="Times New Roman" w:cs="Times New Roman"/>
          <w:bCs/>
          <w:color w:val="000000"/>
          <w:sz w:val="24"/>
          <w:szCs w:val="24"/>
        </w:rPr>
        <w:t xml:space="preserve"> ,</w:t>
      </w:r>
      <w:proofErr w:type="gramEnd"/>
      <w:r w:rsidRPr="00147A82">
        <w:rPr>
          <w:rFonts w:ascii="Times New Roman" w:hAnsi="Times New Roman" w:cs="Times New Roman"/>
          <w:bCs/>
          <w:color w:val="000000"/>
          <w:sz w:val="24"/>
          <w:szCs w:val="24"/>
        </w:rPr>
        <w:t xml:space="preserve"> B. </w:t>
      </w:r>
      <w:proofErr w:type="spellStart"/>
      <w:r w:rsidRPr="00147A82">
        <w:rPr>
          <w:rFonts w:ascii="Times New Roman" w:hAnsi="Times New Roman" w:cs="Times New Roman"/>
          <w:bCs/>
          <w:color w:val="000000"/>
          <w:sz w:val="24"/>
          <w:szCs w:val="24"/>
        </w:rPr>
        <w:t>Yohannis</w:t>
      </w:r>
      <w:proofErr w:type="spellEnd"/>
      <w:r w:rsidRPr="00147A82">
        <w:rPr>
          <w:rFonts w:ascii="Times New Roman" w:hAnsi="Times New Roman" w:cs="Times New Roman"/>
          <w:bCs/>
          <w:color w:val="000000"/>
          <w:sz w:val="24"/>
          <w:szCs w:val="24"/>
        </w:rPr>
        <w:t xml:space="preserve"> . (2017). Capital Nexus Growth in Ethiopia: Evidence from ARDL, ECM Testing Approach , Ambo University, Department of Economics, Ethiopia, available at </w:t>
      </w:r>
      <w:hyperlink r:id="rId10" w:history="1">
        <w:r w:rsidRPr="00147A82">
          <w:rPr>
            <w:rFonts w:ascii="Times New Roman" w:hAnsi="Times New Roman" w:cs="Times New Roman"/>
            <w:bCs/>
            <w:color w:val="0563C1" w:themeColor="hyperlink"/>
            <w:sz w:val="24"/>
            <w:szCs w:val="24"/>
            <w:u w:val="single"/>
          </w:rPr>
          <w:t>www.globalscientificjournal.com</w:t>
        </w:r>
      </w:hyperlink>
    </w:p>
    <w:p w:rsidR="00147A82" w:rsidRPr="00147A82" w:rsidRDefault="00147A82" w:rsidP="001E4CEE">
      <w:pPr>
        <w:spacing w:line="240" w:lineRule="auto"/>
        <w:ind w:left="720" w:hanging="720"/>
        <w:jc w:val="both"/>
        <w:rPr>
          <w:rFonts w:ascii="Times New Roman" w:eastAsia="Times New Roman" w:hAnsi="Times New Roman" w:cs="Times New Roman"/>
          <w:sz w:val="24"/>
          <w:szCs w:val="24"/>
        </w:rPr>
      </w:pPr>
      <w:r w:rsidRPr="00147A82">
        <w:rPr>
          <w:rFonts w:ascii="Times New Roman" w:eastAsia="Times New Roman" w:hAnsi="Times New Roman" w:cs="Times New Roman"/>
          <w:bCs/>
          <w:sz w:val="24"/>
          <w:szCs w:val="24"/>
        </w:rPr>
        <w:lastRenderedPageBreak/>
        <w:t>Krugman, P. (1988).</w:t>
      </w:r>
      <w:r w:rsidRPr="00147A82">
        <w:rPr>
          <w:rFonts w:ascii="Times New Roman" w:eastAsia="Times New Roman" w:hAnsi="Times New Roman" w:cs="Times New Roman"/>
          <w:sz w:val="24"/>
          <w:szCs w:val="24"/>
        </w:rPr>
        <w:t xml:space="preserve"> "Financing vs. forgiving a debt overhang." Journal of Development Economics, 29(3), 253–268.</w:t>
      </w:r>
    </w:p>
    <w:p w:rsidR="00147A82" w:rsidRPr="00147A82" w:rsidRDefault="00147A82" w:rsidP="00147A82">
      <w:pPr>
        <w:spacing w:line="240" w:lineRule="auto"/>
        <w:ind w:left="720" w:hanging="720"/>
        <w:jc w:val="both"/>
        <w:rPr>
          <w:rFonts w:ascii="Times New Roman" w:hAnsi="Times New Roman" w:cs="Times New Roman"/>
          <w:color w:val="0563C1" w:themeColor="hyperlink"/>
          <w:sz w:val="24"/>
          <w:szCs w:val="24"/>
          <w:u w:val="single"/>
        </w:rPr>
      </w:pPr>
      <w:proofErr w:type="spellStart"/>
      <w:r w:rsidRPr="00147A82">
        <w:rPr>
          <w:rFonts w:ascii="Times New Roman" w:hAnsi="Times New Roman" w:cs="Times New Roman"/>
        </w:rPr>
        <w:t>Lütkepohl</w:t>
      </w:r>
      <w:proofErr w:type="spellEnd"/>
      <w:r w:rsidRPr="00147A82">
        <w:rPr>
          <w:rFonts w:ascii="Times New Roman" w:hAnsi="Times New Roman" w:cs="Times New Roman"/>
        </w:rPr>
        <w:t xml:space="preserve">, H. (2005). </w:t>
      </w:r>
      <w:r w:rsidRPr="00147A82">
        <w:rPr>
          <w:rStyle w:val="nfase"/>
          <w:rFonts w:ascii="Times New Roman" w:hAnsi="Times New Roman" w:cs="Times New Roman"/>
        </w:rPr>
        <w:t>New Introduction to Multiple Time Series Analysis</w:t>
      </w:r>
      <w:r w:rsidRPr="00147A82">
        <w:rPr>
          <w:rFonts w:ascii="Times New Roman" w:hAnsi="Times New Roman" w:cs="Times New Roman"/>
        </w:rPr>
        <w:t>. Springer. https://doi.org/10.1007/978-3-540-27752-1</w:t>
      </w:r>
    </w:p>
    <w:p w:rsidR="00147A82" w:rsidRPr="00147A82" w:rsidRDefault="00147A82" w:rsidP="001E4CEE">
      <w:pPr>
        <w:spacing w:line="240" w:lineRule="auto"/>
        <w:ind w:left="720" w:hanging="720"/>
        <w:jc w:val="both"/>
        <w:rPr>
          <w:rFonts w:ascii="Times New Roman" w:hAnsi="Times New Roman" w:cs="Times New Roman"/>
          <w:color w:val="000000"/>
          <w:sz w:val="24"/>
          <w:szCs w:val="24"/>
        </w:rPr>
      </w:pPr>
      <w:r w:rsidRPr="00147A82">
        <w:rPr>
          <w:rFonts w:ascii="Times New Roman" w:hAnsi="Times New Roman" w:cs="Times New Roman"/>
          <w:sz w:val="24"/>
          <w:szCs w:val="24"/>
        </w:rPr>
        <w:t>Moreira, SB (2002)</w:t>
      </w:r>
      <w:proofErr w:type="gramStart"/>
      <w:r w:rsidRPr="00147A82">
        <w:rPr>
          <w:rFonts w:ascii="Times New Roman" w:hAnsi="Times New Roman" w:cs="Times New Roman"/>
          <w:sz w:val="24"/>
          <w:szCs w:val="24"/>
        </w:rPr>
        <w:t>.,</w:t>
      </w:r>
      <w:proofErr w:type="gramEnd"/>
      <w:r w:rsidRPr="00147A82">
        <w:rPr>
          <w:rFonts w:ascii="Times New Roman" w:hAnsi="Times New Roman" w:cs="Times New Roman"/>
          <w:sz w:val="24"/>
          <w:szCs w:val="24"/>
        </w:rPr>
        <w:t xml:space="preserve"> Public Aid for Development and Economic Growth: Transnational Studies of the Aid-Growth Relationship. Master's thesis in </w:t>
      </w:r>
      <w:proofErr w:type="gramStart"/>
      <w:r w:rsidRPr="00147A82">
        <w:rPr>
          <w:rFonts w:ascii="Times New Roman" w:hAnsi="Times New Roman" w:cs="Times New Roman"/>
          <w:sz w:val="24"/>
          <w:szCs w:val="24"/>
        </w:rPr>
        <w:t>economics .</w:t>
      </w:r>
      <w:proofErr w:type="gramEnd"/>
      <w:r w:rsidRPr="00147A82">
        <w:rPr>
          <w:rFonts w:ascii="Times New Roman" w:hAnsi="Times New Roman" w:cs="Times New Roman"/>
          <w:sz w:val="24"/>
          <w:szCs w:val="24"/>
        </w:rPr>
        <w:t xml:space="preserve"> Technical University of Lisbon, Higher Institute of Economics and Management, Lisbon;</w:t>
      </w:r>
    </w:p>
    <w:p w:rsidR="00147A82" w:rsidRPr="00147A82" w:rsidRDefault="00147A82" w:rsidP="001E4CEE">
      <w:pPr>
        <w:spacing w:line="240" w:lineRule="auto"/>
        <w:ind w:left="720" w:hanging="720"/>
        <w:jc w:val="both"/>
        <w:rPr>
          <w:rFonts w:ascii="Times New Roman" w:hAnsi="Times New Roman" w:cs="Times New Roman"/>
          <w:color w:val="000000"/>
          <w:sz w:val="24"/>
          <w:szCs w:val="24"/>
        </w:rPr>
      </w:pPr>
      <w:r w:rsidRPr="00147A82">
        <w:rPr>
          <w:rFonts w:ascii="Times New Roman" w:hAnsi="Times New Roman" w:cs="Times New Roman"/>
          <w:color w:val="000000"/>
          <w:sz w:val="24"/>
          <w:szCs w:val="24"/>
        </w:rPr>
        <w:t xml:space="preserve">Moreira, SB (2005) Assessing the impact of foreign aid on economic growth: a transnational </w:t>
      </w:r>
      <w:proofErr w:type="gramStart"/>
      <w:r w:rsidRPr="00147A82">
        <w:rPr>
          <w:rFonts w:ascii="Times New Roman" w:hAnsi="Times New Roman" w:cs="Times New Roman"/>
          <w:color w:val="000000"/>
          <w:sz w:val="24"/>
          <w:szCs w:val="24"/>
        </w:rPr>
        <w:t>study .</w:t>
      </w:r>
      <w:proofErr w:type="gramEnd"/>
      <w:r w:rsidRPr="00147A82">
        <w:rPr>
          <w:rFonts w:ascii="Times New Roman" w:hAnsi="Times New Roman" w:cs="Times New Roman"/>
          <w:color w:val="000000"/>
          <w:sz w:val="24"/>
          <w:szCs w:val="24"/>
        </w:rPr>
        <w:t xml:space="preserve"> Economic Development Magazine, </w:t>
      </w:r>
      <w:proofErr w:type="spellStart"/>
      <w:r w:rsidRPr="00147A82">
        <w:rPr>
          <w:rFonts w:ascii="Times New Roman" w:hAnsi="Times New Roman" w:cs="Times New Roman"/>
          <w:color w:val="000000"/>
          <w:sz w:val="24"/>
          <w:szCs w:val="24"/>
        </w:rPr>
        <w:t>Vol</w:t>
      </w:r>
      <w:proofErr w:type="spellEnd"/>
      <w:r w:rsidRPr="00147A82">
        <w:rPr>
          <w:rFonts w:ascii="Times New Roman" w:hAnsi="Times New Roman" w:cs="Times New Roman"/>
          <w:color w:val="000000"/>
          <w:sz w:val="24"/>
          <w:szCs w:val="24"/>
        </w:rPr>
        <w:t xml:space="preserve"> 30, Nr 2. </w:t>
      </w:r>
      <w:proofErr w:type="spellStart"/>
      <w:r w:rsidRPr="00147A82">
        <w:rPr>
          <w:rFonts w:ascii="Times New Roman" w:hAnsi="Times New Roman" w:cs="Times New Roman"/>
          <w:color w:val="000000"/>
          <w:sz w:val="24"/>
          <w:szCs w:val="24"/>
        </w:rPr>
        <w:t>Setúbal</w:t>
      </w:r>
      <w:proofErr w:type="spellEnd"/>
      <w:r w:rsidRPr="00147A82">
        <w:rPr>
          <w:rFonts w:ascii="Times New Roman" w:hAnsi="Times New Roman" w:cs="Times New Roman"/>
          <w:color w:val="000000"/>
          <w:sz w:val="24"/>
          <w:szCs w:val="24"/>
        </w:rPr>
        <w:t xml:space="preserve"> Polytechnic School of Business Administration;</w:t>
      </w:r>
    </w:p>
    <w:p w:rsidR="00147A82" w:rsidRPr="00147A82" w:rsidRDefault="00147A82" w:rsidP="001E4CEE">
      <w:pPr>
        <w:spacing w:line="240" w:lineRule="auto"/>
        <w:ind w:left="720" w:hanging="720"/>
        <w:jc w:val="both"/>
        <w:rPr>
          <w:rFonts w:ascii="Times New Roman" w:eastAsia="Times New Roman" w:hAnsi="Times New Roman" w:cs="Times New Roman"/>
          <w:sz w:val="24"/>
          <w:szCs w:val="24"/>
        </w:rPr>
      </w:pPr>
      <w:proofErr w:type="spellStart"/>
      <w:r w:rsidRPr="00147A82">
        <w:rPr>
          <w:rFonts w:ascii="Times New Roman" w:eastAsia="Times New Roman" w:hAnsi="Times New Roman" w:cs="Times New Roman"/>
          <w:bCs/>
          <w:sz w:val="24"/>
          <w:szCs w:val="24"/>
        </w:rPr>
        <w:t>Moyo</w:t>
      </w:r>
      <w:proofErr w:type="spellEnd"/>
      <w:r w:rsidRPr="00147A82">
        <w:rPr>
          <w:rFonts w:ascii="Times New Roman" w:eastAsia="Times New Roman" w:hAnsi="Times New Roman" w:cs="Times New Roman"/>
          <w:bCs/>
          <w:sz w:val="24"/>
          <w:szCs w:val="24"/>
        </w:rPr>
        <w:t>, D. (2009).</w:t>
      </w:r>
      <w:r w:rsidRPr="00147A82">
        <w:rPr>
          <w:rFonts w:ascii="Times New Roman" w:eastAsia="Times New Roman" w:hAnsi="Times New Roman" w:cs="Times New Roman"/>
          <w:sz w:val="24"/>
          <w:szCs w:val="24"/>
        </w:rPr>
        <w:t xml:space="preserve"> Dead Aid: Why Aid is Not Working and How There is a Better Way for Africa. Farrar, Straus and Giroux.</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 xml:space="preserve">Mustafa, EM; </w:t>
      </w:r>
      <w:proofErr w:type="spellStart"/>
      <w:proofErr w:type="gramStart"/>
      <w:r w:rsidRPr="00147A82">
        <w:rPr>
          <w:rFonts w:ascii="Times New Roman" w:hAnsi="Times New Roman" w:cs="Times New Roman"/>
          <w:sz w:val="24"/>
          <w:szCs w:val="24"/>
        </w:rPr>
        <w:t>Elshakh</w:t>
      </w:r>
      <w:proofErr w:type="spellEnd"/>
      <w:r w:rsidRPr="00147A82">
        <w:rPr>
          <w:rFonts w:ascii="Times New Roman" w:hAnsi="Times New Roman" w:cs="Times New Roman"/>
          <w:sz w:val="24"/>
          <w:szCs w:val="24"/>
        </w:rPr>
        <w:t xml:space="preserve"> ,</w:t>
      </w:r>
      <w:proofErr w:type="gramEnd"/>
      <w:r w:rsidRPr="00147A82">
        <w:rPr>
          <w:rFonts w:ascii="Times New Roman" w:hAnsi="Times New Roman" w:cs="Times New Roman"/>
          <w:sz w:val="24"/>
          <w:szCs w:val="24"/>
        </w:rPr>
        <w:t xml:space="preserve"> M. M &amp; </w:t>
      </w:r>
      <w:proofErr w:type="spellStart"/>
      <w:r w:rsidRPr="00147A82">
        <w:rPr>
          <w:rFonts w:ascii="Times New Roman" w:hAnsi="Times New Roman" w:cs="Times New Roman"/>
          <w:sz w:val="24"/>
          <w:szCs w:val="24"/>
        </w:rPr>
        <w:t>Ebaidalla</w:t>
      </w:r>
      <w:proofErr w:type="spellEnd"/>
      <w:r w:rsidRPr="00147A82">
        <w:rPr>
          <w:rFonts w:ascii="Times New Roman" w:hAnsi="Times New Roman" w:cs="Times New Roman"/>
          <w:sz w:val="24"/>
          <w:szCs w:val="24"/>
        </w:rPr>
        <w:t xml:space="preserve"> , M. Does Foreign Aid Promote Economic Growth in Sudan? Evidence from ARDL bounds test analysis. Working Papers 1251, Economic Research Forum, revised 13 November 2018;</w:t>
      </w:r>
    </w:p>
    <w:p w:rsidR="00147A82" w:rsidRPr="00147A82" w:rsidRDefault="00147A82" w:rsidP="001E4CEE">
      <w:pPr>
        <w:spacing w:line="240" w:lineRule="auto"/>
        <w:ind w:left="720" w:hanging="720"/>
        <w:jc w:val="both"/>
        <w:rPr>
          <w:rFonts w:ascii="Times New Roman" w:eastAsia="Times New Roman" w:hAnsi="Times New Roman" w:cs="Times New Roman"/>
          <w:sz w:val="24"/>
          <w:szCs w:val="24"/>
        </w:rPr>
      </w:pPr>
      <w:proofErr w:type="spellStart"/>
      <w:r w:rsidRPr="00147A82">
        <w:rPr>
          <w:rStyle w:val="Forte"/>
          <w:rFonts w:ascii="Times New Roman" w:hAnsi="Times New Roman" w:cs="Times New Roman"/>
          <w:b w:val="0"/>
          <w:sz w:val="24"/>
          <w:szCs w:val="24"/>
        </w:rPr>
        <w:t>Offiong</w:t>
      </w:r>
      <w:proofErr w:type="spellEnd"/>
      <w:r w:rsidRPr="00147A82">
        <w:rPr>
          <w:rStyle w:val="Forte"/>
          <w:rFonts w:ascii="Times New Roman" w:hAnsi="Times New Roman" w:cs="Times New Roman"/>
          <w:b w:val="0"/>
          <w:sz w:val="24"/>
          <w:szCs w:val="24"/>
        </w:rPr>
        <w:t xml:space="preserve">, A. I., </w:t>
      </w:r>
      <w:proofErr w:type="spellStart"/>
      <w:r w:rsidRPr="00147A82">
        <w:rPr>
          <w:rStyle w:val="Forte"/>
          <w:rFonts w:ascii="Times New Roman" w:hAnsi="Times New Roman" w:cs="Times New Roman"/>
          <w:b w:val="0"/>
          <w:sz w:val="24"/>
          <w:szCs w:val="24"/>
        </w:rPr>
        <w:t>Etim</w:t>
      </w:r>
      <w:proofErr w:type="spellEnd"/>
      <w:r w:rsidRPr="00147A82">
        <w:rPr>
          <w:rStyle w:val="Forte"/>
          <w:rFonts w:ascii="Times New Roman" w:hAnsi="Times New Roman" w:cs="Times New Roman"/>
          <w:b w:val="0"/>
          <w:sz w:val="24"/>
          <w:szCs w:val="24"/>
        </w:rPr>
        <w:t xml:space="preserve">, G. S., </w:t>
      </w:r>
      <w:proofErr w:type="spellStart"/>
      <w:r w:rsidRPr="00147A82">
        <w:rPr>
          <w:rStyle w:val="Forte"/>
          <w:rFonts w:ascii="Times New Roman" w:hAnsi="Times New Roman" w:cs="Times New Roman"/>
          <w:b w:val="0"/>
          <w:sz w:val="24"/>
          <w:szCs w:val="24"/>
        </w:rPr>
        <w:t>Enuoh</w:t>
      </w:r>
      <w:proofErr w:type="spellEnd"/>
      <w:r w:rsidRPr="00147A82">
        <w:rPr>
          <w:rStyle w:val="Forte"/>
          <w:rFonts w:ascii="Times New Roman" w:hAnsi="Times New Roman" w:cs="Times New Roman"/>
          <w:b w:val="0"/>
          <w:sz w:val="24"/>
          <w:szCs w:val="24"/>
        </w:rPr>
        <w:t xml:space="preserve">, R. O., &amp; </w:t>
      </w:r>
      <w:proofErr w:type="spellStart"/>
      <w:r w:rsidRPr="00147A82">
        <w:rPr>
          <w:rStyle w:val="Forte"/>
          <w:rFonts w:ascii="Times New Roman" w:hAnsi="Times New Roman" w:cs="Times New Roman"/>
          <w:b w:val="0"/>
          <w:sz w:val="24"/>
          <w:szCs w:val="24"/>
        </w:rPr>
        <w:t>Nkamare</w:t>
      </w:r>
      <w:proofErr w:type="spellEnd"/>
      <w:r w:rsidRPr="00147A82">
        <w:rPr>
          <w:rStyle w:val="Forte"/>
          <w:rFonts w:ascii="Times New Roman" w:hAnsi="Times New Roman" w:cs="Times New Roman"/>
          <w:b w:val="0"/>
          <w:sz w:val="24"/>
          <w:szCs w:val="24"/>
        </w:rPr>
        <w:t>, S. E.</w:t>
      </w:r>
      <w:r w:rsidRPr="00147A82">
        <w:rPr>
          <w:rFonts w:ascii="Times New Roman" w:hAnsi="Times New Roman" w:cs="Times New Roman"/>
          <w:sz w:val="24"/>
          <w:szCs w:val="24"/>
        </w:rPr>
        <w:t xml:space="preserve"> (2020). Foreign aid, corruption, economic growth rate and development index in Nigeria: The ARDL approach. </w:t>
      </w:r>
      <w:r w:rsidRPr="00147A82">
        <w:rPr>
          <w:rStyle w:val="nfase"/>
          <w:rFonts w:ascii="Times New Roman" w:hAnsi="Times New Roman" w:cs="Times New Roman"/>
          <w:sz w:val="24"/>
          <w:szCs w:val="24"/>
        </w:rPr>
        <w:t>Research in World Economy</w:t>
      </w:r>
      <w:r w:rsidRPr="00147A82">
        <w:rPr>
          <w:rFonts w:ascii="Times New Roman" w:hAnsi="Times New Roman" w:cs="Times New Roman"/>
          <w:sz w:val="24"/>
          <w:szCs w:val="24"/>
        </w:rPr>
        <w:t>, 11(5), 35–46. https://doi.org/10.5430/rwe.v11n5p35</w:t>
      </w:r>
    </w:p>
    <w:p w:rsidR="00147A82" w:rsidRPr="00147A82" w:rsidRDefault="00147A82" w:rsidP="001E4CEE">
      <w:pPr>
        <w:spacing w:line="240" w:lineRule="auto"/>
        <w:ind w:left="720" w:hanging="720"/>
        <w:jc w:val="both"/>
        <w:rPr>
          <w:rFonts w:ascii="Times New Roman" w:hAnsi="Times New Roman" w:cs="Times New Roman"/>
          <w:sz w:val="24"/>
          <w:szCs w:val="24"/>
        </w:rPr>
      </w:pPr>
      <w:proofErr w:type="spellStart"/>
      <w:r w:rsidRPr="00147A82">
        <w:rPr>
          <w:rFonts w:ascii="Times New Roman" w:hAnsi="Times New Roman" w:cs="Times New Roman"/>
          <w:sz w:val="24"/>
          <w:szCs w:val="24"/>
        </w:rPr>
        <w:t>Olkeba</w:t>
      </w:r>
      <w:proofErr w:type="spellEnd"/>
      <w:r w:rsidRPr="00147A82">
        <w:rPr>
          <w:rFonts w:ascii="Times New Roman" w:hAnsi="Times New Roman" w:cs="Times New Roman"/>
          <w:sz w:val="24"/>
          <w:szCs w:val="24"/>
        </w:rPr>
        <w:t xml:space="preserve">, F.D. (2013). The relative role of foreign aid and domestic resource mobilizations as a strategy to boost economic growth of developing countries: the case Ethiopia. Thesis of Master of Science in International Cooperation Policy, </w:t>
      </w:r>
      <w:proofErr w:type="spellStart"/>
      <w:r w:rsidRPr="00147A82">
        <w:rPr>
          <w:rFonts w:ascii="Times New Roman" w:hAnsi="Times New Roman" w:cs="Times New Roman"/>
          <w:sz w:val="24"/>
          <w:szCs w:val="24"/>
        </w:rPr>
        <w:t>Ritsumeikan</w:t>
      </w:r>
      <w:proofErr w:type="spellEnd"/>
      <w:r w:rsidRPr="00147A82">
        <w:rPr>
          <w:rFonts w:ascii="Times New Roman" w:hAnsi="Times New Roman" w:cs="Times New Roman"/>
          <w:sz w:val="24"/>
          <w:szCs w:val="24"/>
        </w:rPr>
        <w:t xml:space="preserve"> Asia Pacific University;</w:t>
      </w:r>
    </w:p>
    <w:p w:rsidR="00147A82" w:rsidRPr="00147A82" w:rsidRDefault="00147A82" w:rsidP="00147A82">
      <w:pPr>
        <w:spacing w:line="240" w:lineRule="auto"/>
        <w:ind w:left="720" w:hanging="720"/>
        <w:jc w:val="both"/>
        <w:rPr>
          <w:rFonts w:ascii="Times New Roman" w:hAnsi="Times New Roman" w:cs="Times New Roman"/>
        </w:rPr>
      </w:pPr>
      <w:proofErr w:type="spellStart"/>
      <w:r w:rsidRPr="00147A82">
        <w:rPr>
          <w:rFonts w:ascii="Times New Roman" w:hAnsi="Times New Roman" w:cs="Times New Roman"/>
        </w:rPr>
        <w:t>Pesaran</w:t>
      </w:r>
      <w:proofErr w:type="spellEnd"/>
      <w:r w:rsidRPr="00147A82">
        <w:rPr>
          <w:rFonts w:ascii="Times New Roman" w:hAnsi="Times New Roman" w:cs="Times New Roman"/>
        </w:rPr>
        <w:t xml:space="preserve">, M.H., Shin, Y., &amp; Smith, R.J. (2001). Bounds testing approaches to the analysis of level relationships. </w:t>
      </w:r>
      <w:r w:rsidRPr="00147A82">
        <w:rPr>
          <w:rStyle w:val="nfase"/>
          <w:rFonts w:ascii="Times New Roman" w:hAnsi="Times New Roman" w:cs="Times New Roman"/>
        </w:rPr>
        <w:t>Journal of Applied Econometrics, 16</w:t>
      </w:r>
      <w:r w:rsidRPr="00147A82">
        <w:rPr>
          <w:rFonts w:ascii="Times New Roman" w:hAnsi="Times New Roman" w:cs="Times New Roman"/>
        </w:rPr>
        <w:t xml:space="preserve">(3), 289–326. </w:t>
      </w:r>
      <w:hyperlink r:id="rId11" w:history="1">
        <w:r w:rsidRPr="00147A82">
          <w:rPr>
            <w:rStyle w:val="Hiperligao"/>
            <w:rFonts w:ascii="Times New Roman" w:hAnsi="Times New Roman" w:cs="Times New Roman"/>
          </w:rPr>
          <w:t>https://doi.org/10.1002/jae.616</w:t>
        </w:r>
      </w:hyperlink>
    </w:p>
    <w:p w:rsidR="00147A82" w:rsidRPr="00147A82" w:rsidRDefault="00147A82" w:rsidP="001E4CEE">
      <w:pPr>
        <w:spacing w:line="240" w:lineRule="auto"/>
        <w:ind w:left="720" w:hanging="720"/>
        <w:jc w:val="both"/>
        <w:rPr>
          <w:rFonts w:ascii="Times New Roman" w:eastAsia="Times New Roman" w:hAnsi="Times New Roman" w:cs="Times New Roman"/>
          <w:sz w:val="24"/>
          <w:szCs w:val="24"/>
        </w:rPr>
      </w:pPr>
      <w:r w:rsidRPr="00147A82">
        <w:rPr>
          <w:rFonts w:ascii="Times New Roman" w:eastAsia="Times New Roman" w:hAnsi="Times New Roman" w:cs="Times New Roman"/>
          <w:bCs/>
          <w:sz w:val="24"/>
          <w:szCs w:val="24"/>
        </w:rPr>
        <w:t>Reinhart, C., &amp; Rogoff, K. (2010).</w:t>
      </w:r>
      <w:r w:rsidRPr="00147A82">
        <w:rPr>
          <w:rFonts w:ascii="Times New Roman" w:eastAsia="Times New Roman" w:hAnsi="Times New Roman" w:cs="Times New Roman"/>
          <w:sz w:val="24"/>
          <w:szCs w:val="24"/>
        </w:rPr>
        <w:t xml:space="preserve"> This Time is Different: Eight Centuries of Financial Folly. Princeton University </w:t>
      </w:r>
      <w:proofErr w:type="spellStart"/>
      <w:r w:rsidRPr="00147A82">
        <w:rPr>
          <w:rFonts w:ascii="Times New Roman" w:eastAsia="Times New Roman" w:hAnsi="Times New Roman" w:cs="Times New Roman"/>
          <w:sz w:val="24"/>
          <w:szCs w:val="24"/>
        </w:rPr>
        <w:t>Press.</w:t>
      </w:r>
      <w:r w:rsidRPr="00147A82">
        <w:rPr>
          <w:rFonts w:ascii="Times New Roman" w:hAnsi="Times New Roman" w:cs="Times New Roman"/>
          <w:sz w:val="24"/>
          <w:szCs w:val="24"/>
        </w:rPr>
        <w:t>Research</w:t>
      </w:r>
      <w:proofErr w:type="spellEnd"/>
      <w:r w:rsidRPr="00147A82">
        <w:rPr>
          <w:rFonts w:ascii="Times New Roman" w:hAnsi="Times New Roman" w:cs="Times New Roman"/>
          <w:sz w:val="24"/>
          <w:szCs w:val="24"/>
        </w:rPr>
        <w:t>. 5 (1), 34-37.</w:t>
      </w:r>
    </w:p>
    <w:p w:rsidR="00147A82" w:rsidRPr="00147A82" w:rsidRDefault="00147A82" w:rsidP="001E4CEE">
      <w:pPr>
        <w:spacing w:line="240" w:lineRule="auto"/>
        <w:ind w:left="720" w:hanging="720"/>
        <w:jc w:val="both"/>
        <w:rPr>
          <w:rFonts w:ascii="Times New Roman" w:hAnsi="Times New Roman" w:cs="Times New Roman"/>
          <w:sz w:val="24"/>
          <w:szCs w:val="24"/>
        </w:rPr>
      </w:pPr>
      <w:r w:rsidRPr="00147A82">
        <w:rPr>
          <w:rFonts w:ascii="Times New Roman" w:hAnsi="Times New Roman" w:cs="Times New Roman"/>
          <w:sz w:val="24"/>
          <w:szCs w:val="24"/>
        </w:rPr>
        <w:t>Siddique, H, M. A.</w:t>
      </w:r>
      <w:proofErr w:type="gramStart"/>
      <w:r w:rsidRPr="00147A82">
        <w:rPr>
          <w:rFonts w:ascii="Times New Roman" w:hAnsi="Times New Roman" w:cs="Times New Roman"/>
          <w:sz w:val="24"/>
          <w:szCs w:val="24"/>
        </w:rPr>
        <w:t>,</w:t>
      </w:r>
      <w:proofErr w:type="spellStart"/>
      <w:r w:rsidRPr="00147A82">
        <w:rPr>
          <w:rFonts w:ascii="Times New Roman" w:hAnsi="Times New Roman" w:cs="Times New Roman"/>
          <w:sz w:val="24"/>
          <w:szCs w:val="24"/>
        </w:rPr>
        <w:t>Kiani</w:t>
      </w:r>
      <w:proofErr w:type="spellEnd"/>
      <w:proofErr w:type="gramEnd"/>
      <w:r w:rsidRPr="00147A82">
        <w:rPr>
          <w:rFonts w:ascii="Times New Roman" w:hAnsi="Times New Roman" w:cs="Times New Roman"/>
          <w:sz w:val="24"/>
          <w:szCs w:val="24"/>
        </w:rPr>
        <w:t xml:space="preserve">, A. K. and </w:t>
      </w:r>
      <w:proofErr w:type="spellStart"/>
      <w:r w:rsidRPr="00147A82">
        <w:rPr>
          <w:rFonts w:ascii="Times New Roman" w:hAnsi="Times New Roman" w:cs="Times New Roman"/>
          <w:sz w:val="24"/>
          <w:szCs w:val="24"/>
        </w:rPr>
        <w:t>Batool</w:t>
      </w:r>
      <w:proofErr w:type="spellEnd"/>
      <w:r w:rsidRPr="00147A82">
        <w:rPr>
          <w:rFonts w:ascii="Times New Roman" w:hAnsi="Times New Roman" w:cs="Times New Roman"/>
          <w:sz w:val="24"/>
          <w:szCs w:val="24"/>
        </w:rPr>
        <w:t>, S. (2017).The Impact of Foreign Aid on Economic</w:t>
      </w:r>
    </w:p>
    <w:p w:rsidR="00147A82" w:rsidRPr="00147A82" w:rsidRDefault="00147A82" w:rsidP="00147A82">
      <w:pPr>
        <w:spacing w:line="240" w:lineRule="auto"/>
        <w:ind w:left="720" w:hanging="720"/>
        <w:jc w:val="both"/>
        <w:rPr>
          <w:rStyle w:val="Hiperligao"/>
          <w:rFonts w:ascii="Times New Roman" w:hAnsi="Times New Roman" w:cs="Times New Roman"/>
          <w:sz w:val="24"/>
          <w:szCs w:val="24"/>
        </w:rPr>
      </w:pPr>
      <w:r w:rsidRPr="00147A82">
        <w:rPr>
          <w:rStyle w:val="Forte"/>
          <w:rFonts w:ascii="Times New Roman" w:hAnsi="Times New Roman" w:cs="Times New Roman"/>
          <w:b w:val="0"/>
          <w:sz w:val="24"/>
          <w:szCs w:val="24"/>
          <w:lang w:val="pt-PT"/>
        </w:rPr>
        <w:t xml:space="preserve">Silva, Albino </w:t>
      </w:r>
      <w:proofErr w:type="gramStart"/>
      <w:r w:rsidRPr="00147A82">
        <w:rPr>
          <w:rStyle w:val="Forte"/>
          <w:rFonts w:ascii="Times New Roman" w:hAnsi="Times New Roman" w:cs="Times New Roman"/>
          <w:b w:val="0"/>
          <w:sz w:val="24"/>
          <w:szCs w:val="24"/>
          <w:lang w:val="pt-PT"/>
        </w:rPr>
        <w:t>da</w:t>
      </w:r>
      <w:proofErr w:type="gramEnd"/>
      <w:r w:rsidRPr="00147A82">
        <w:rPr>
          <w:rStyle w:val="Forte"/>
          <w:rFonts w:ascii="Times New Roman" w:hAnsi="Times New Roman" w:cs="Times New Roman"/>
          <w:b w:val="0"/>
          <w:sz w:val="24"/>
          <w:szCs w:val="24"/>
          <w:lang w:val="pt-PT"/>
        </w:rPr>
        <w:t>.</w:t>
      </w:r>
      <w:r w:rsidRPr="00147A82">
        <w:rPr>
          <w:rFonts w:ascii="Times New Roman" w:hAnsi="Times New Roman" w:cs="Times New Roman"/>
          <w:sz w:val="24"/>
          <w:szCs w:val="24"/>
          <w:lang w:val="pt-PT"/>
        </w:rPr>
        <w:t xml:space="preserve"> (2013). </w:t>
      </w:r>
      <w:r w:rsidRPr="00147A82">
        <w:rPr>
          <w:rStyle w:val="nfase"/>
          <w:rFonts w:ascii="Times New Roman" w:hAnsi="Times New Roman" w:cs="Times New Roman"/>
          <w:sz w:val="24"/>
          <w:szCs w:val="24"/>
          <w:lang w:val="pt-PT"/>
        </w:rPr>
        <w:t>O Impacto da Ajuda Externa sobre o Crescimento Económico dos Países da CEDEAO</w:t>
      </w:r>
      <w:r w:rsidRPr="00147A82">
        <w:rPr>
          <w:rFonts w:ascii="Times New Roman" w:hAnsi="Times New Roman" w:cs="Times New Roman"/>
          <w:sz w:val="24"/>
          <w:szCs w:val="24"/>
          <w:lang w:val="pt-PT"/>
        </w:rPr>
        <w:t xml:space="preserve">. Dissertação de Mestrado, Universidade de Lisboa, Instituto Superior de Economia e Gestão. </w:t>
      </w:r>
      <w:r w:rsidRPr="00147A82">
        <w:rPr>
          <w:rFonts w:ascii="Times New Roman" w:hAnsi="Times New Roman" w:cs="Times New Roman"/>
          <w:sz w:val="24"/>
          <w:szCs w:val="24"/>
        </w:rPr>
        <w:t xml:space="preserve">Available: </w:t>
      </w:r>
      <w:hyperlink r:id="rId12" w:tgtFrame="_new" w:history="1">
        <w:r w:rsidRPr="00147A82">
          <w:rPr>
            <w:rStyle w:val="Hiperligao"/>
            <w:rFonts w:ascii="Times New Roman" w:hAnsi="Times New Roman" w:cs="Times New Roman"/>
            <w:sz w:val="24"/>
            <w:szCs w:val="24"/>
          </w:rPr>
          <w:t>https://repositorio.ulisboa.pt/handle/10400.5/6304</w:t>
        </w:r>
      </w:hyperlink>
    </w:p>
    <w:p w:rsidR="00147A82" w:rsidRPr="00DD353C" w:rsidRDefault="00147A82" w:rsidP="001E4CEE">
      <w:pPr>
        <w:spacing w:line="240" w:lineRule="auto"/>
        <w:ind w:left="720" w:hanging="720"/>
        <w:jc w:val="both"/>
        <w:rPr>
          <w:rFonts w:ascii="Times New Roman" w:hAnsi="Times New Roman" w:cs="Times New Roman"/>
          <w:sz w:val="24"/>
          <w:szCs w:val="24"/>
        </w:rPr>
      </w:pPr>
    </w:p>
    <w:p w:rsidR="00420E53" w:rsidRDefault="00420E53">
      <w:pPr>
        <w:rPr>
          <w:rFonts w:ascii="Times New Roman" w:eastAsia="Times New Roman" w:hAnsi="Times New Roman" w:cs="Times New Roman"/>
          <w:sz w:val="24"/>
          <w:szCs w:val="24"/>
        </w:rPr>
      </w:pPr>
      <w:r>
        <w:br w:type="page"/>
      </w:r>
    </w:p>
    <w:p w:rsidR="00562305" w:rsidRDefault="00420E53" w:rsidP="00420E53">
      <w:pPr>
        <w:pStyle w:val="NormalWeb"/>
        <w:numPr>
          <w:ilvl w:val="0"/>
          <w:numId w:val="4"/>
        </w:numPr>
      </w:pPr>
      <w:r>
        <w:lastRenderedPageBreak/>
        <w:t>Appendices</w:t>
      </w:r>
    </w:p>
    <w:p w:rsidR="00420E53" w:rsidRDefault="00420E53" w:rsidP="00420E53">
      <w:pPr>
        <w:pStyle w:val="NormalWeb"/>
        <w:ind w:left="360"/>
      </w:pPr>
      <w:r>
        <w:t>A: Data</w:t>
      </w:r>
    </w:p>
    <w:tbl>
      <w:tblPr>
        <w:tblStyle w:val="TabelacomGrelhaClara"/>
        <w:tblW w:w="5000" w:type="pct"/>
        <w:tblLook w:val="04A0" w:firstRow="1" w:lastRow="0" w:firstColumn="1" w:lastColumn="0" w:noHBand="0" w:noVBand="1"/>
      </w:tblPr>
      <w:tblGrid>
        <w:gridCol w:w="831"/>
        <w:gridCol w:w="1318"/>
        <w:gridCol w:w="1646"/>
        <w:gridCol w:w="1709"/>
        <w:gridCol w:w="1690"/>
        <w:gridCol w:w="2156"/>
      </w:tblGrid>
      <w:tr w:rsidR="00420E53" w:rsidRPr="00420E53" w:rsidTr="00420E53">
        <w:trPr>
          <w:trHeight w:val="300"/>
        </w:trPr>
        <w:tc>
          <w:tcPr>
            <w:tcW w:w="444" w:type="pct"/>
            <w:noWrap/>
            <w:hideMark/>
          </w:tcPr>
          <w:p w:rsidR="00420E53" w:rsidRPr="00420E53" w:rsidRDefault="00546F09" w:rsidP="00420E53">
            <w:pPr>
              <w:jc w:val="center"/>
              <w:rPr>
                <w:rFonts w:ascii="Calibri" w:eastAsia="Times New Roman" w:hAnsi="Calibri" w:cs="Calibri"/>
                <w:color w:val="000000"/>
              </w:rPr>
            </w:pPr>
            <w:r w:rsidRPr="00420E53">
              <w:rPr>
                <w:rFonts w:ascii="Calibri" w:eastAsia="Times New Roman" w:hAnsi="Calibri" w:cs="Calibri"/>
                <w:color w:val="000000"/>
              </w:rPr>
              <w:t>T</w:t>
            </w:r>
          </w:p>
        </w:tc>
        <w:tc>
          <w:tcPr>
            <w:tcW w:w="705" w:type="pct"/>
            <w:noWrap/>
            <w:hideMark/>
          </w:tcPr>
          <w:p w:rsidR="00420E53" w:rsidRPr="00420E53" w:rsidRDefault="00420E53" w:rsidP="00420E53">
            <w:pPr>
              <w:jc w:val="center"/>
              <w:rPr>
                <w:rFonts w:ascii="Calibri" w:eastAsia="Times New Roman" w:hAnsi="Calibri" w:cs="Calibri"/>
                <w:color w:val="000000"/>
              </w:rPr>
            </w:pPr>
            <w:proofErr w:type="spellStart"/>
            <w:r w:rsidRPr="00420E53">
              <w:rPr>
                <w:rFonts w:ascii="Calibri" w:eastAsia="Times New Roman" w:hAnsi="Calibri" w:cs="Calibri"/>
                <w:color w:val="000000"/>
              </w:rPr>
              <w:t>GDPpc</w:t>
            </w:r>
            <w:proofErr w:type="spellEnd"/>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FDI (%GDP)</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INV (%GDP)</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ODA (%GDP)</w:t>
            </w:r>
          </w:p>
        </w:tc>
        <w:tc>
          <w:tcPr>
            <w:tcW w:w="1153"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DEBT</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1992</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206.1946</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0.90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34.86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52.16</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5081983468.60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1993</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221.6246</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1.11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34.07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40.82</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5163211988.50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1994</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220.4786</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1.18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30.16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40.56</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7223305768.20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1995</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212.0862</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1.47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39.09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34.73</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7410074810.10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1996</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227.1985</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1.80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25.52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22.00</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7517522867.00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1997</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247.1849</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1.32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25.18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19.46</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7583169015.20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1998</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266.6727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4.23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27.70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18.73</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8313495221.70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1999</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291.56</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6.07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44.30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13.03</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7322033827.90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2000</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287.3906</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2.35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41.13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15.30</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6616319416.30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2001</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317.1857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4.52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33.50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17.02</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4467431060.80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2002</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340.1354</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5.84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40.59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37.26</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5093523446.00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2003</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356.5212</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5.11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33.43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15.94</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5404860952.40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2004</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377.065</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5.99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28.60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15.68</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5988473521.70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2005</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391.6998</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1.38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25.37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14.54</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6118093144.70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2006</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420.5265</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2.64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23.94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17.27</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4920139667.80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2007</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442.0496</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3.85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22.35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14.07</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5681113142.30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2008</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460.9473</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4.96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22.03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13.26</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6367161910.50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2009</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475.7882</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7.58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19.76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14.68</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7910668053.10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2010</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494.1629</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11.03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23.20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17.03</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11230847942.90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2011</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514.87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25.06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29.41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14.13</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13466363287.60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2012</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540.2945</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33.77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50.59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12.41</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19786449571.00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2013</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559.394</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38.94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56.40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13.45</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28952024799.60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2014</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585.2667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27.80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53.64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11.71</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34418918531.10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2015</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610.5638</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23.87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42.25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11.22</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38032451512.30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2016</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620.7797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25.92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46.28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12.71</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42831376454.90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2017</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618.3977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17.48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32.20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13.62</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45973932532.00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2018</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621.1537</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11.17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45.98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12.14</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49810076859.60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2019</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617.1393</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21.78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40.85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11.87</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54211909485.80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2020</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591.8041</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22.39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44.83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17.96</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58664269959.00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2021</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588.2159</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32.75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40.37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14.12</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62668443874.90</w:t>
            </w:r>
          </w:p>
        </w:tc>
      </w:tr>
      <w:tr w:rsidR="00420E53" w:rsidRPr="00420E53" w:rsidTr="00420E53">
        <w:trPr>
          <w:trHeight w:val="300"/>
        </w:trPr>
        <w:tc>
          <w:tcPr>
            <w:tcW w:w="44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2022</w:t>
            </w:r>
          </w:p>
        </w:tc>
        <w:tc>
          <w:tcPr>
            <w:tcW w:w="705"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596.0589</w:t>
            </w:r>
          </w:p>
        </w:tc>
        <w:tc>
          <w:tcPr>
            <w:tcW w:w="880"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16.00 </w:t>
            </w:r>
          </w:p>
        </w:tc>
        <w:tc>
          <w:tcPr>
            <w:tcW w:w="91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 xml:space="preserve">             43.20 </w:t>
            </w:r>
          </w:p>
        </w:tc>
        <w:tc>
          <w:tcPr>
            <w:tcW w:w="904" w:type="pct"/>
            <w:noWrap/>
            <w:hideMark/>
          </w:tcPr>
          <w:p w:rsidR="00420E53" w:rsidRPr="00420E53" w:rsidRDefault="00420E53" w:rsidP="00420E53">
            <w:pPr>
              <w:jc w:val="center"/>
              <w:rPr>
                <w:rFonts w:ascii="Calibri" w:eastAsia="Times New Roman" w:hAnsi="Calibri" w:cs="Calibri"/>
                <w:color w:val="000000"/>
              </w:rPr>
            </w:pPr>
            <w:r w:rsidRPr="00420E53">
              <w:rPr>
                <w:rFonts w:ascii="Calibri" w:eastAsia="Times New Roman" w:hAnsi="Calibri" w:cs="Calibri"/>
                <w:color w:val="000000"/>
              </w:rPr>
              <w:t>13.55</w:t>
            </w:r>
          </w:p>
        </w:tc>
        <w:tc>
          <w:tcPr>
            <w:tcW w:w="1153" w:type="pct"/>
            <w:noWrap/>
            <w:hideMark/>
          </w:tcPr>
          <w:p w:rsidR="00420E53" w:rsidRPr="00420E53" w:rsidRDefault="00420E53" w:rsidP="00420E53">
            <w:pPr>
              <w:jc w:val="right"/>
              <w:rPr>
                <w:rFonts w:ascii="Calibri" w:eastAsia="Times New Roman" w:hAnsi="Calibri" w:cs="Calibri"/>
                <w:color w:val="000000"/>
              </w:rPr>
            </w:pPr>
            <w:r w:rsidRPr="00420E53">
              <w:rPr>
                <w:rFonts w:ascii="Calibri" w:eastAsia="Times New Roman" w:hAnsi="Calibri" w:cs="Calibri"/>
                <w:color w:val="000000"/>
              </w:rPr>
              <w:t>64383860284.80</w:t>
            </w:r>
          </w:p>
        </w:tc>
      </w:tr>
    </w:tbl>
    <w:p w:rsidR="00420E53" w:rsidRDefault="00420E53" w:rsidP="004A0C3F">
      <w:pPr>
        <w:pStyle w:val="NormalWeb"/>
      </w:pPr>
    </w:p>
    <w:p w:rsidR="004A0C3F" w:rsidRDefault="004A0C3F" w:rsidP="004A0C3F">
      <w:pPr>
        <w:pStyle w:val="NormalWeb"/>
      </w:pPr>
    </w:p>
    <w:p w:rsidR="004A0C3F" w:rsidRDefault="004A0C3F" w:rsidP="004A0C3F">
      <w:pPr>
        <w:pStyle w:val="NormalWeb"/>
      </w:pPr>
    </w:p>
    <w:p w:rsidR="004A0C3F" w:rsidRDefault="004A0C3F" w:rsidP="004A0C3F">
      <w:pPr>
        <w:pStyle w:val="NormalWeb"/>
      </w:pPr>
      <w:r>
        <w:lastRenderedPageBreak/>
        <w:t xml:space="preserve">  B: Stability test</w:t>
      </w:r>
    </w:p>
    <w:p w:rsidR="004A0C3F" w:rsidRPr="00562305" w:rsidRDefault="004A0C3F" w:rsidP="004A0C3F">
      <w:pPr>
        <w:pStyle w:val="NormalWeb"/>
      </w:pPr>
      <w:r w:rsidRPr="004A0C3F">
        <w:rPr>
          <w:noProof/>
        </w:rPr>
        <w:drawing>
          <wp:inline distT="0" distB="0" distL="0" distR="0">
            <wp:extent cx="5027503" cy="2882348"/>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643" cy="2889308"/>
                    </a:xfrm>
                    <a:prstGeom prst="rect">
                      <a:avLst/>
                    </a:prstGeom>
                    <a:noFill/>
                    <a:ln>
                      <a:noFill/>
                    </a:ln>
                  </pic:spPr>
                </pic:pic>
              </a:graphicData>
            </a:graphic>
          </wp:inline>
        </w:drawing>
      </w:r>
    </w:p>
    <w:p w:rsidR="00562305" w:rsidRPr="00562305" w:rsidRDefault="00562305" w:rsidP="00562305">
      <w:pPr>
        <w:pStyle w:val="SemEspaamento"/>
        <w:spacing w:before="240" w:line="360" w:lineRule="auto"/>
        <w:jc w:val="both"/>
        <w:rPr>
          <w:rFonts w:ascii="Times New Roman" w:hAnsi="Times New Roman" w:cs="Times New Roman"/>
          <w:sz w:val="24"/>
          <w:szCs w:val="24"/>
        </w:rPr>
      </w:pPr>
    </w:p>
    <w:p w:rsidR="00E62E5B" w:rsidRPr="00471925" w:rsidRDefault="00E62E5B" w:rsidP="00471925">
      <w:pPr>
        <w:spacing w:line="360" w:lineRule="auto"/>
        <w:jc w:val="both"/>
        <w:rPr>
          <w:rFonts w:ascii="Times New Roman" w:hAnsi="Times New Roman" w:cs="Times New Roman"/>
          <w:sz w:val="24"/>
          <w:szCs w:val="24"/>
        </w:rPr>
      </w:pPr>
      <w:bookmarkStart w:id="0" w:name="_GoBack"/>
      <w:bookmarkEnd w:id="0"/>
    </w:p>
    <w:sectPr w:rsidR="00E62E5B" w:rsidRPr="0047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450B"/>
    <w:multiLevelType w:val="multilevel"/>
    <w:tmpl w:val="FD1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37E19"/>
    <w:multiLevelType w:val="hybridMultilevel"/>
    <w:tmpl w:val="C538A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F6842"/>
    <w:multiLevelType w:val="multilevel"/>
    <w:tmpl w:val="FB6C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87014"/>
    <w:multiLevelType w:val="multilevel"/>
    <w:tmpl w:val="160E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8203B"/>
    <w:multiLevelType w:val="hybridMultilevel"/>
    <w:tmpl w:val="7E5C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315EE"/>
    <w:multiLevelType w:val="hybridMultilevel"/>
    <w:tmpl w:val="0FFA4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43D02"/>
    <w:multiLevelType w:val="multilevel"/>
    <w:tmpl w:val="89667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B153C4"/>
    <w:multiLevelType w:val="multilevel"/>
    <w:tmpl w:val="B82C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FD51B2"/>
    <w:multiLevelType w:val="multilevel"/>
    <w:tmpl w:val="C4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C81C52"/>
    <w:multiLevelType w:val="multilevel"/>
    <w:tmpl w:val="6DA0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C6363"/>
    <w:multiLevelType w:val="multilevel"/>
    <w:tmpl w:val="4F2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527C45"/>
    <w:multiLevelType w:val="hybridMultilevel"/>
    <w:tmpl w:val="765C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D40A2E"/>
    <w:multiLevelType w:val="multilevel"/>
    <w:tmpl w:val="4F96936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9"/>
  </w:num>
  <w:num w:numId="3">
    <w:abstractNumId w:val="11"/>
  </w:num>
  <w:num w:numId="4">
    <w:abstractNumId w:val="12"/>
  </w:num>
  <w:num w:numId="5">
    <w:abstractNumId w:val="0"/>
  </w:num>
  <w:num w:numId="6">
    <w:abstractNumId w:val="3"/>
  </w:num>
  <w:num w:numId="7">
    <w:abstractNumId w:val="8"/>
  </w:num>
  <w:num w:numId="8">
    <w:abstractNumId w:val="1"/>
  </w:num>
  <w:num w:numId="9">
    <w:abstractNumId w:val="6"/>
  </w:num>
  <w:num w:numId="10">
    <w:abstractNumId w:val="7"/>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BF"/>
    <w:rsid w:val="00053574"/>
    <w:rsid w:val="00072624"/>
    <w:rsid w:val="00147A82"/>
    <w:rsid w:val="001B2590"/>
    <w:rsid w:val="001D7801"/>
    <w:rsid w:val="001E4CEE"/>
    <w:rsid w:val="001F767E"/>
    <w:rsid w:val="00213AE9"/>
    <w:rsid w:val="00280622"/>
    <w:rsid w:val="00287A6E"/>
    <w:rsid w:val="002D3CC6"/>
    <w:rsid w:val="002D7437"/>
    <w:rsid w:val="002E3E48"/>
    <w:rsid w:val="003023F8"/>
    <w:rsid w:val="00354A14"/>
    <w:rsid w:val="003A1CDA"/>
    <w:rsid w:val="003A5E9C"/>
    <w:rsid w:val="003D5D5C"/>
    <w:rsid w:val="00420E53"/>
    <w:rsid w:val="00471925"/>
    <w:rsid w:val="004A0C3F"/>
    <w:rsid w:val="004A6DA9"/>
    <w:rsid w:val="005141F2"/>
    <w:rsid w:val="005257AC"/>
    <w:rsid w:val="005356B5"/>
    <w:rsid w:val="00546F09"/>
    <w:rsid w:val="005617CE"/>
    <w:rsid w:val="00562305"/>
    <w:rsid w:val="005846DF"/>
    <w:rsid w:val="0059555B"/>
    <w:rsid w:val="005A2941"/>
    <w:rsid w:val="005E74B1"/>
    <w:rsid w:val="006538F0"/>
    <w:rsid w:val="00673C42"/>
    <w:rsid w:val="0069238C"/>
    <w:rsid w:val="007027D8"/>
    <w:rsid w:val="00751B52"/>
    <w:rsid w:val="007B54EE"/>
    <w:rsid w:val="00812E54"/>
    <w:rsid w:val="00822385"/>
    <w:rsid w:val="00830511"/>
    <w:rsid w:val="00844387"/>
    <w:rsid w:val="00881C7C"/>
    <w:rsid w:val="008A73E1"/>
    <w:rsid w:val="008D228D"/>
    <w:rsid w:val="008F775B"/>
    <w:rsid w:val="009F008D"/>
    <w:rsid w:val="00A10229"/>
    <w:rsid w:val="00A2581E"/>
    <w:rsid w:val="00A63412"/>
    <w:rsid w:val="00A65B05"/>
    <w:rsid w:val="00A80B75"/>
    <w:rsid w:val="00AC197F"/>
    <w:rsid w:val="00B67824"/>
    <w:rsid w:val="00C25643"/>
    <w:rsid w:val="00C37409"/>
    <w:rsid w:val="00C604E8"/>
    <w:rsid w:val="00C83CAB"/>
    <w:rsid w:val="00C92025"/>
    <w:rsid w:val="00CD11CD"/>
    <w:rsid w:val="00D21B8E"/>
    <w:rsid w:val="00D65BD5"/>
    <w:rsid w:val="00D722CD"/>
    <w:rsid w:val="00D90D84"/>
    <w:rsid w:val="00DD353C"/>
    <w:rsid w:val="00DF511A"/>
    <w:rsid w:val="00E078BF"/>
    <w:rsid w:val="00E17E9D"/>
    <w:rsid w:val="00E275D8"/>
    <w:rsid w:val="00E319D5"/>
    <w:rsid w:val="00E576B2"/>
    <w:rsid w:val="00E601A5"/>
    <w:rsid w:val="00E62E5B"/>
    <w:rsid w:val="00E71954"/>
    <w:rsid w:val="00EA4AF7"/>
    <w:rsid w:val="00EE5A77"/>
    <w:rsid w:val="00F26106"/>
    <w:rsid w:val="00F77340"/>
    <w:rsid w:val="00F8376A"/>
    <w:rsid w:val="00F96C16"/>
    <w:rsid w:val="00FC4578"/>
    <w:rsid w:val="00FD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45368-84C9-43CC-9C68-31ACD897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3">
    <w:name w:val="heading 3"/>
    <w:basedOn w:val="Normal"/>
    <w:link w:val="Cabealho3Carter"/>
    <w:uiPriority w:val="9"/>
    <w:qFormat/>
    <w:rsid w:val="00751B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E17E9D"/>
    <w:rPr>
      <w:color w:val="808080"/>
    </w:rPr>
  </w:style>
  <w:style w:type="paragraph" w:styleId="PargrafodaLista">
    <w:name w:val="List Paragraph"/>
    <w:basedOn w:val="Normal"/>
    <w:uiPriority w:val="34"/>
    <w:qFormat/>
    <w:rsid w:val="00E17E9D"/>
    <w:pPr>
      <w:ind w:left="720"/>
      <w:contextualSpacing/>
    </w:pPr>
  </w:style>
  <w:style w:type="table" w:styleId="TabelacomGrelhaClara">
    <w:name w:val="Grid Table Light"/>
    <w:basedOn w:val="Tabelanormal"/>
    <w:uiPriority w:val="40"/>
    <w:rsid w:val="003A1CDA"/>
    <w:pPr>
      <w:spacing w:after="0" w:line="240" w:lineRule="auto"/>
    </w:pPr>
    <w:rPr>
      <w:kern w:val="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aSimples2">
    <w:name w:val="Plain Table 2"/>
    <w:basedOn w:val="Tabelanormal"/>
    <w:uiPriority w:val="42"/>
    <w:rsid w:val="00E62E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mEspaamento">
    <w:name w:val="No Spacing"/>
    <w:uiPriority w:val="1"/>
    <w:qFormat/>
    <w:rsid w:val="00E62E5B"/>
    <w:pPr>
      <w:spacing w:after="0" w:line="240" w:lineRule="auto"/>
    </w:pPr>
  </w:style>
  <w:style w:type="table" w:styleId="Tabelacomgrelha">
    <w:name w:val="Table Grid"/>
    <w:basedOn w:val="Tabelanormal"/>
    <w:uiPriority w:val="39"/>
    <w:rsid w:val="00E6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2E5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egenda">
    <w:name w:val="caption"/>
    <w:basedOn w:val="Normal"/>
    <w:next w:val="Normal"/>
    <w:uiPriority w:val="35"/>
    <w:unhideWhenUsed/>
    <w:qFormat/>
    <w:rsid w:val="00E62E5B"/>
    <w:pPr>
      <w:spacing w:after="200" w:line="240" w:lineRule="auto"/>
    </w:pPr>
    <w:rPr>
      <w:i/>
      <w:iCs/>
      <w:color w:val="44546A" w:themeColor="text2"/>
      <w:sz w:val="18"/>
      <w:szCs w:val="18"/>
    </w:rPr>
  </w:style>
  <w:style w:type="paragraph" w:styleId="NormalWeb">
    <w:name w:val="Normal (Web)"/>
    <w:basedOn w:val="Normal"/>
    <w:uiPriority w:val="99"/>
    <w:unhideWhenUsed/>
    <w:rsid w:val="00562305"/>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562305"/>
    <w:rPr>
      <w:i/>
      <w:iCs/>
    </w:rPr>
  </w:style>
  <w:style w:type="character" w:styleId="Hiperligao">
    <w:name w:val="Hyperlink"/>
    <w:basedOn w:val="Tipodeletrapredefinidodopargrafo"/>
    <w:uiPriority w:val="99"/>
    <w:unhideWhenUsed/>
    <w:rsid w:val="00562305"/>
    <w:rPr>
      <w:color w:val="0563C1" w:themeColor="hyperlink"/>
      <w:u w:val="single"/>
    </w:rPr>
  </w:style>
  <w:style w:type="character" w:styleId="Forte">
    <w:name w:val="Strong"/>
    <w:basedOn w:val="Tipodeletrapredefinidodopargrafo"/>
    <w:uiPriority w:val="22"/>
    <w:qFormat/>
    <w:rsid w:val="001F767E"/>
    <w:rPr>
      <w:b/>
      <w:bCs/>
    </w:rPr>
  </w:style>
  <w:style w:type="paragraph" w:styleId="Ttulo">
    <w:name w:val="Title"/>
    <w:basedOn w:val="Normal"/>
    <w:next w:val="Normal"/>
    <w:link w:val="TtuloCarter"/>
    <w:autoRedefine/>
    <w:uiPriority w:val="10"/>
    <w:qFormat/>
    <w:rsid w:val="005257AC"/>
    <w:pPr>
      <w:spacing w:after="0" w:line="360" w:lineRule="auto"/>
      <w:contextualSpacing/>
      <w:jc w:val="both"/>
    </w:pPr>
    <w:rPr>
      <w:rFonts w:ascii="Times New Roman" w:eastAsiaTheme="majorEastAsia" w:hAnsi="Times New Roman" w:cstheme="majorBidi"/>
      <w:b/>
      <w:spacing w:val="-10"/>
      <w:kern w:val="28"/>
      <w:sz w:val="24"/>
      <w:szCs w:val="56"/>
    </w:rPr>
  </w:style>
  <w:style w:type="character" w:customStyle="1" w:styleId="TtuloCarter">
    <w:name w:val="Título Caráter"/>
    <w:basedOn w:val="Tipodeletrapredefinidodopargrafo"/>
    <w:link w:val="Ttulo"/>
    <w:uiPriority w:val="10"/>
    <w:rsid w:val="005257AC"/>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arter"/>
    <w:autoRedefine/>
    <w:uiPriority w:val="11"/>
    <w:qFormat/>
    <w:rsid w:val="00830511"/>
    <w:pPr>
      <w:numPr>
        <w:ilvl w:val="1"/>
      </w:numPr>
      <w:spacing w:before="240"/>
    </w:pPr>
    <w:rPr>
      <w:rFonts w:ascii="Times New Roman" w:eastAsiaTheme="minorEastAsia" w:hAnsi="Times New Roman"/>
      <w:b/>
      <w:i/>
      <w:spacing w:val="15"/>
      <w:sz w:val="24"/>
    </w:rPr>
  </w:style>
  <w:style w:type="character" w:customStyle="1" w:styleId="SubttuloCarter">
    <w:name w:val="Subtítulo Caráter"/>
    <w:basedOn w:val="Tipodeletrapredefinidodopargrafo"/>
    <w:link w:val="Subttulo"/>
    <w:uiPriority w:val="11"/>
    <w:rsid w:val="00830511"/>
    <w:rPr>
      <w:rFonts w:ascii="Times New Roman" w:eastAsiaTheme="minorEastAsia" w:hAnsi="Times New Roman"/>
      <w:b/>
      <w:i/>
      <w:spacing w:val="15"/>
      <w:sz w:val="24"/>
    </w:rPr>
  </w:style>
  <w:style w:type="character" w:customStyle="1" w:styleId="Cabealho3Carter">
    <w:name w:val="Cabeçalho 3 Caráter"/>
    <w:basedOn w:val="Tipodeletrapredefinidodopargrafo"/>
    <w:link w:val="Cabealho3"/>
    <w:uiPriority w:val="9"/>
    <w:rsid w:val="00751B5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9691">
      <w:bodyDiv w:val="1"/>
      <w:marLeft w:val="0"/>
      <w:marRight w:val="0"/>
      <w:marTop w:val="0"/>
      <w:marBottom w:val="0"/>
      <w:divBdr>
        <w:top w:val="none" w:sz="0" w:space="0" w:color="auto"/>
        <w:left w:val="none" w:sz="0" w:space="0" w:color="auto"/>
        <w:bottom w:val="none" w:sz="0" w:space="0" w:color="auto"/>
        <w:right w:val="none" w:sz="0" w:space="0" w:color="auto"/>
      </w:divBdr>
    </w:div>
    <w:div w:id="73819826">
      <w:bodyDiv w:val="1"/>
      <w:marLeft w:val="0"/>
      <w:marRight w:val="0"/>
      <w:marTop w:val="0"/>
      <w:marBottom w:val="0"/>
      <w:divBdr>
        <w:top w:val="none" w:sz="0" w:space="0" w:color="auto"/>
        <w:left w:val="none" w:sz="0" w:space="0" w:color="auto"/>
        <w:bottom w:val="none" w:sz="0" w:space="0" w:color="auto"/>
        <w:right w:val="none" w:sz="0" w:space="0" w:color="auto"/>
      </w:divBdr>
    </w:div>
    <w:div w:id="293102967">
      <w:bodyDiv w:val="1"/>
      <w:marLeft w:val="0"/>
      <w:marRight w:val="0"/>
      <w:marTop w:val="0"/>
      <w:marBottom w:val="0"/>
      <w:divBdr>
        <w:top w:val="none" w:sz="0" w:space="0" w:color="auto"/>
        <w:left w:val="none" w:sz="0" w:space="0" w:color="auto"/>
        <w:bottom w:val="none" w:sz="0" w:space="0" w:color="auto"/>
        <w:right w:val="none" w:sz="0" w:space="0" w:color="auto"/>
      </w:divBdr>
    </w:div>
    <w:div w:id="415135769">
      <w:bodyDiv w:val="1"/>
      <w:marLeft w:val="0"/>
      <w:marRight w:val="0"/>
      <w:marTop w:val="0"/>
      <w:marBottom w:val="0"/>
      <w:divBdr>
        <w:top w:val="none" w:sz="0" w:space="0" w:color="auto"/>
        <w:left w:val="none" w:sz="0" w:space="0" w:color="auto"/>
        <w:bottom w:val="none" w:sz="0" w:space="0" w:color="auto"/>
        <w:right w:val="none" w:sz="0" w:space="0" w:color="auto"/>
      </w:divBdr>
      <w:divsChild>
        <w:div w:id="1445151458">
          <w:marLeft w:val="0"/>
          <w:marRight w:val="0"/>
          <w:marTop w:val="0"/>
          <w:marBottom w:val="0"/>
          <w:divBdr>
            <w:top w:val="none" w:sz="0" w:space="0" w:color="auto"/>
            <w:left w:val="none" w:sz="0" w:space="0" w:color="auto"/>
            <w:bottom w:val="none" w:sz="0" w:space="0" w:color="auto"/>
            <w:right w:val="none" w:sz="0" w:space="0" w:color="auto"/>
          </w:divBdr>
          <w:divsChild>
            <w:div w:id="1780753126">
              <w:marLeft w:val="0"/>
              <w:marRight w:val="0"/>
              <w:marTop w:val="0"/>
              <w:marBottom w:val="0"/>
              <w:divBdr>
                <w:top w:val="none" w:sz="0" w:space="0" w:color="auto"/>
                <w:left w:val="none" w:sz="0" w:space="0" w:color="auto"/>
                <w:bottom w:val="none" w:sz="0" w:space="0" w:color="auto"/>
                <w:right w:val="none" w:sz="0" w:space="0" w:color="auto"/>
              </w:divBdr>
              <w:divsChild>
                <w:div w:id="15391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7729">
          <w:marLeft w:val="0"/>
          <w:marRight w:val="0"/>
          <w:marTop w:val="0"/>
          <w:marBottom w:val="0"/>
          <w:divBdr>
            <w:top w:val="none" w:sz="0" w:space="0" w:color="auto"/>
            <w:left w:val="none" w:sz="0" w:space="0" w:color="auto"/>
            <w:bottom w:val="none" w:sz="0" w:space="0" w:color="auto"/>
            <w:right w:val="none" w:sz="0" w:space="0" w:color="auto"/>
          </w:divBdr>
          <w:divsChild>
            <w:div w:id="374895239">
              <w:marLeft w:val="0"/>
              <w:marRight w:val="0"/>
              <w:marTop w:val="0"/>
              <w:marBottom w:val="0"/>
              <w:divBdr>
                <w:top w:val="none" w:sz="0" w:space="0" w:color="auto"/>
                <w:left w:val="none" w:sz="0" w:space="0" w:color="auto"/>
                <w:bottom w:val="none" w:sz="0" w:space="0" w:color="auto"/>
                <w:right w:val="none" w:sz="0" w:space="0" w:color="auto"/>
              </w:divBdr>
              <w:divsChild>
                <w:div w:id="16732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7920">
      <w:bodyDiv w:val="1"/>
      <w:marLeft w:val="0"/>
      <w:marRight w:val="0"/>
      <w:marTop w:val="0"/>
      <w:marBottom w:val="0"/>
      <w:divBdr>
        <w:top w:val="none" w:sz="0" w:space="0" w:color="auto"/>
        <w:left w:val="none" w:sz="0" w:space="0" w:color="auto"/>
        <w:bottom w:val="none" w:sz="0" w:space="0" w:color="auto"/>
        <w:right w:val="none" w:sz="0" w:space="0" w:color="auto"/>
      </w:divBdr>
    </w:div>
    <w:div w:id="875965570">
      <w:bodyDiv w:val="1"/>
      <w:marLeft w:val="0"/>
      <w:marRight w:val="0"/>
      <w:marTop w:val="0"/>
      <w:marBottom w:val="0"/>
      <w:divBdr>
        <w:top w:val="none" w:sz="0" w:space="0" w:color="auto"/>
        <w:left w:val="none" w:sz="0" w:space="0" w:color="auto"/>
        <w:bottom w:val="none" w:sz="0" w:space="0" w:color="auto"/>
        <w:right w:val="none" w:sz="0" w:space="0" w:color="auto"/>
      </w:divBdr>
    </w:div>
    <w:div w:id="945576164">
      <w:bodyDiv w:val="1"/>
      <w:marLeft w:val="0"/>
      <w:marRight w:val="0"/>
      <w:marTop w:val="0"/>
      <w:marBottom w:val="0"/>
      <w:divBdr>
        <w:top w:val="none" w:sz="0" w:space="0" w:color="auto"/>
        <w:left w:val="none" w:sz="0" w:space="0" w:color="auto"/>
        <w:bottom w:val="none" w:sz="0" w:space="0" w:color="auto"/>
        <w:right w:val="none" w:sz="0" w:space="0" w:color="auto"/>
      </w:divBdr>
    </w:div>
    <w:div w:id="1043481870">
      <w:bodyDiv w:val="1"/>
      <w:marLeft w:val="0"/>
      <w:marRight w:val="0"/>
      <w:marTop w:val="0"/>
      <w:marBottom w:val="0"/>
      <w:divBdr>
        <w:top w:val="none" w:sz="0" w:space="0" w:color="auto"/>
        <w:left w:val="none" w:sz="0" w:space="0" w:color="auto"/>
        <w:bottom w:val="none" w:sz="0" w:space="0" w:color="auto"/>
        <w:right w:val="none" w:sz="0" w:space="0" w:color="auto"/>
      </w:divBdr>
    </w:div>
    <w:div w:id="1197936414">
      <w:bodyDiv w:val="1"/>
      <w:marLeft w:val="0"/>
      <w:marRight w:val="0"/>
      <w:marTop w:val="0"/>
      <w:marBottom w:val="0"/>
      <w:divBdr>
        <w:top w:val="none" w:sz="0" w:space="0" w:color="auto"/>
        <w:left w:val="none" w:sz="0" w:space="0" w:color="auto"/>
        <w:bottom w:val="none" w:sz="0" w:space="0" w:color="auto"/>
        <w:right w:val="none" w:sz="0" w:space="0" w:color="auto"/>
      </w:divBdr>
    </w:div>
    <w:div w:id="1269775192">
      <w:bodyDiv w:val="1"/>
      <w:marLeft w:val="0"/>
      <w:marRight w:val="0"/>
      <w:marTop w:val="0"/>
      <w:marBottom w:val="0"/>
      <w:divBdr>
        <w:top w:val="none" w:sz="0" w:space="0" w:color="auto"/>
        <w:left w:val="none" w:sz="0" w:space="0" w:color="auto"/>
        <w:bottom w:val="none" w:sz="0" w:space="0" w:color="auto"/>
        <w:right w:val="none" w:sz="0" w:space="0" w:color="auto"/>
      </w:divBdr>
    </w:div>
    <w:div w:id="1325545974">
      <w:bodyDiv w:val="1"/>
      <w:marLeft w:val="0"/>
      <w:marRight w:val="0"/>
      <w:marTop w:val="0"/>
      <w:marBottom w:val="0"/>
      <w:divBdr>
        <w:top w:val="none" w:sz="0" w:space="0" w:color="auto"/>
        <w:left w:val="none" w:sz="0" w:space="0" w:color="auto"/>
        <w:bottom w:val="none" w:sz="0" w:space="0" w:color="auto"/>
        <w:right w:val="none" w:sz="0" w:space="0" w:color="auto"/>
      </w:divBdr>
    </w:div>
    <w:div w:id="1332678189">
      <w:bodyDiv w:val="1"/>
      <w:marLeft w:val="0"/>
      <w:marRight w:val="0"/>
      <w:marTop w:val="0"/>
      <w:marBottom w:val="0"/>
      <w:divBdr>
        <w:top w:val="none" w:sz="0" w:space="0" w:color="auto"/>
        <w:left w:val="none" w:sz="0" w:space="0" w:color="auto"/>
        <w:bottom w:val="none" w:sz="0" w:space="0" w:color="auto"/>
        <w:right w:val="none" w:sz="0" w:space="0" w:color="auto"/>
      </w:divBdr>
    </w:div>
    <w:div w:id="1395930116">
      <w:bodyDiv w:val="1"/>
      <w:marLeft w:val="0"/>
      <w:marRight w:val="0"/>
      <w:marTop w:val="0"/>
      <w:marBottom w:val="0"/>
      <w:divBdr>
        <w:top w:val="none" w:sz="0" w:space="0" w:color="auto"/>
        <w:left w:val="none" w:sz="0" w:space="0" w:color="auto"/>
        <w:bottom w:val="none" w:sz="0" w:space="0" w:color="auto"/>
        <w:right w:val="none" w:sz="0" w:space="0" w:color="auto"/>
      </w:divBdr>
    </w:div>
    <w:div w:id="1555266113">
      <w:bodyDiv w:val="1"/>
      <w:marLeft w:val="0"/>
      <w:marRight w:val="0"/>
      <w:marTop w:val="0"/>
      <w:marBottom w:val="0"/>
      <w:divBdr>
        <w:top w:val="none" w:sz="0" w:space="0" w:color="auto"/>
        <w:left w:val="none" w:sz="0" w:space="0" w:color="auto"/>
        <w:bottom w:val="none" w:sz="0" w:space="0" w:color="auto"/>
        <w:right w:val="none" w:sz="0" w:space="0" w:color="auto"/>
      </w:divBdr>
    </w:div>
    <w:div w:id="1867719131">
      <w:bodyDiv w:val="1"/>
      <w:marLeft w:val="0"/>
      <w:marRight w:val="0"/>
      <w:marTop w:val="0"/>
      <w:marBottom w:val="0"/>
      <w:divBdr>
        <w:top w:val="none" w:sz="0" w:space="0" w:color="auto"/>
        <w:left w:val="none" w:sz="0" w:space="0" w:color="auto"/>
        <w:bottom w:val="none" w:sz="0" w:space="0" w:color="auto"/>
        <w:right w:val="none" w:sz="0" w:space="0" w:color="auto"/>
      </w:divBdr>
    </w:div>
    <w:div w:id="1882786428">
      <w:bodyDiv w:val="1"/>
      <w:marLeft w:val="0"/>
      <w:marRight w:val="0"/>
      <w:marTop w:val="0"/>
      <w:marBottom w:val="0"/>
      <w:divBdr>
        <w:top w:val="none" w:sz="0" w:space="0" w:color="auto"/>
        <w:left w:val="none" w:sz="0" w:space="0" w:color="auto"/>
        <w:bottom w:val="none" w:sz="0" w:space="0" w:color="auto"/>
        <w:right w:val="none" w:sz="0" w:space="0" w:color="auto"/>
      </w:divBdr>
    </w:div>
    <w:div w:id="20864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32-023-01303-y"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dx.doi.org/10.4236/0alib.1100632" TargetMode="External"/><Relationship Id="rId12" Type="http://schemas.openxmlformats.org/officeDocument/2006/relationships/hyperlink" Target="https://repositorio.ulisboa.pt/handle/10400.5/6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keep.eiu.edu/theses/2513" TargetMode="External"/><Relationship Id="rId11" Type="http://schemas.openxmlformats.org/officeDocument/2006/relationships/hyperlink" Target="https://doi.org/10.1002/jae.616"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www.globalscientificjournal.com" TargetMode="External"/><Relationship Id="rId4" Type="http://schemas.openxmlformats.org/officeDocument/2006/relationships/webSettings" Target="webSettings.xml"/><Relationship Id="rId9" Type="http://schemas.openxmlformats.org/officeDocument/2006/relationships/hyperlink" Target="https://revistas.udc.es/index.php/ejge/article/view/ejge.2019.8.1.4565"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vro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Net ODA received (Constant 2021 US$)</c:v>
                </c:pt>
              </c:strCache>
            </c:strRef>
          </c:tx>
          <c:spPr>
            <a:solidFill>
              <a:schemeClr val="accent1"/>
            </a:solidFill>
            <a:ln>
              <a:noFill/>
            </a:ln>
            <a:effectLst/>
          </c:spPr>
          <c:invertIfNegative val="0"/>
          <c:cat>
            <c:numRef>
              <c:f>Folha1!$A$2:$A$32</c:f>
              <c:numCache>
                <c:formatCode>General</c:formatCod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numCache>
            </c:numRef>
          </c:cat>
          <c:val>
            <c:numRef>
              <c:f>Folha1!$B$2:$B$32</c:f>
              <c:numCache>
                <c:formatCode>General</c:formatCode>
                <c:ptCount val="31"/>
                <c:pt idx="0">
                  <c:v>2178.5400390625</c:v>
                </c:pt>
                <c:pt idx="1">
                  <c:v>1910.77001953125</c:v>
                </c:pt>
                <c:pt idx="2">
                  <c:v>1855.4100341796898</c:v>
                </c:pt>
                <c:pt idx="3">
                  <c:v>1473.1700439453102</c:v>
                </c:pt>
                <c:pt idx="4">
                  <c:v>1253.5400390625</c:v>
                </c:pt>
                <c:pt idx="5">
                  <c:v>1445.93994140625</c:v>
                </c:pt>
                <c:pt idx="6">
                  <c:v>1605.6199951171898</c:v>
                </c:pt>
                <c:pt idx="7">
                  <c:v>1257.75</c:v>
                </c:pt>
                <c:pt idx="8">
                  <c:v>1510.72998046875</c:v>
                </c:pt>
                <c:pt idx="9">
                  <c:v>1603.72998046875</c:v>
                </c:pt>
                <c:pt idx="10">
                  <c:v>3555.6599121093795</c:v>
                </c:pt>
                <c:pt idx="11">
                  <c:v>1444.73999023438</c:v>
                </c:pt>
                <c:pt idx="12">
                  <c:v>1558.8399658203102</c:v>
                </c:pt>
                <c:pt idx="13">
                  <c:v>1567.0999755859398</c:v>
                </c:pt>
                <c:pt idx="14">
                  <c:v>1913.73999023438</c:v>
                </c:pt>
                <c:pt idx="15">
                  <c:v>1623</c:v>
                </c:pt>
                <c:pt idx="16">
                  <c:v>1750.02001953125</c:v>
                </c:pt>
                <c:pt idx="17">
                  <c:v>1918.3800048828102</c:v>
                </c:pt>
                <c:pt idx="18">
                  <c:v>2073.56005859375</c:v>
                </c:pt>
                <c:pt idx="19">
                  <c:v>2100.01000976563</c:v>
                </c:pt>
                <c:pt idx="20">
                  <c:v>2158.8000488281295</c:v>
                </c:pt>
                <c:pt idx="21">
                  <c:v>2390.0500488281295</c:v>
                </c:pt>
                <c:pt idx="22">
                  <c:v>2154.5700683593795</c:v>
                </c:pt>
                <c:pt idx="23">
                  <c:v>2064.3701171875</c:v>
                </c:pt>
                <c:pt idx="24">
                  <c:v>1736.4300537109398</c:v>
                </c:pt>
                <c:pt idx="25">
                  <c:v>2003.28002929688</c:v>
                </c:pt>
                <c:pt idx="26">
                  <c:v>1953.0699462890602</c:v>
                </c:pt>
                <c:pt idx="27">
                  <c:v>2010.8699951171898</c:v>
                </c:pt>
                <c:pt idx="28">
                  <c:v>2719.6999511718795</c:v>
                </c:pt>
                <c:pt idx="29">
                  <c:v>2282.830078125</c:v>
                </c:pt>
                <c:pt idx="30">
                  <c:v>2623.93994140625</c:v>
                </c:pt>
              </c:numCache>
            </c:numRef>
          </c:val>
        </c:ser>
        <c:dLbls>
          <c:showLegendKey val="0"/>
          <c:showVal val="0"/>
          <c:showCatName val="0"/>
          <c:showSerName val="0"/>
          <c:showPercent val="0"/>
          <c:showBubbleSize val="0"/>
        </c:dLbls>
        <c:gapWidth val="100"/>
        <c:overlap val="100"/>
        <c:axId val="-445161840"/>
        <c:axId val="-445158032"/>
      </c:barChart>
      <c:lineChart>
        <c:grouping val="standard"/>
        <c:varyColors val="0"/>
        <c:ser>
          <c:idx val="1"/>
          <c:order val="1"/>
          <c:tx>
            <c:strRef>
              <c:f>Folha1!$C$1</c:f>
              <c:strCache>
                <c:ptCount val="1"/>
                <c:pt idx="0">
                  <c:v>Real GDP growth (%)</c:v>
                </c:pt>
              </c:strCache>
            </c:strRef>
          </c:tx>
          <c:spPr>
            <a:ln w="19050" cap="rnd">
              <a:solidFill>
                <a:schemeClr val="accent2"/>
              </a:solidFill>
              <a:round/>
            </a:ln>
            <a:effectLst/>
          </c:spPr>
          <c:marker>
            <c:symbol val="none"/>
          </c:marker>
          <c:dLbls>
            <c:dLbl>
              <c:idx val="8"/>
              <c:layout>
                <c:manualLayout>
                  <c:x val="-3.6111111111111108E-2"/>
                  <c:y val="4.629629629629621E-2"/>
                </c:manualLayout>
              </c:layout>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w Cen MT" panose="020B0602020104020603"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28"/>
              <c:layout>
                <c:manualLayout>
                  <c:x val="-4.7222222222222325E-2"/>
                  <c:y val="4.1666666666666581E-2"/>
                </c:manualLayout>
              </c:layout>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w Cen MT" panose="020B0602020104020603"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w Cen MT" panose="020B0602020104020603"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Folha1!$A$2:$A$32</c:f>
              <c:numCache>
                <c:formatCode>General</c:formatCod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numCache>
            </c:numRef>
          </c:cat>
          <c:val>
            <c:numRef>
              <c:f>Folha1!$C$2:$C$32</c:f>
              <c:numCache>
                <c:formatCode>0.0%</c:formatCode>
                <c:ptCount val="31"/>
                <c:pt idx="0">
                  <c:v>-7.5766472384363751E-2</c:v>
                </c:pt>
                <c:pt idx="1">
                  <c:v>0.10940434993959988</c:v>
                </c:pt>
                <c:pt idx="2">
                  <c:v>6.4401837353843153E-2</c:v>
                </c:pt>
                <c:pt idx="3">
                  <c:v>2.1228937579433237E-2</c:v>
                </c:pt>
                <c:pt idx="4">
                  <c:v>0.10695911029433521</c:v>
                </c:pt>
                <c:pt idx="5">
                  <c:v>0.11814945927999841</c:v>
                </c:pt>
                <c:pt idx="6">
                  <c:v>0.10369232488156782</c:v>
                </c:pt>
                <c:pt idx="7">
                  <c:v>0.11816986521838604</c:v>
                </c:pt>
                <c:pt idx="8">
                  <c:v>7.6623495907701018E-3</c:v>
                </c:pt>
                <c:pt idx="9">
                  <c:v>0.12851682032112882</c:v>
                </c:pt>
                <c:pt idx="10">
                  <c:v>9.6685053269557647E-2</c:v>
                </c:pt>
                <c:pt idx="11">
                  <c:v>7.2177008794865744E-2</c:v>
                </c:pt>
                <c:pt idx="12">
                  <c:v>8.2047049494584898E-2</c:v>
                </c:pt>
                <c:pt idx="13">
                  <c:v>6.3120237880822327E-2</c:v>
                </c:pt>
                <c:pt idx="14">
                  <c:v>9.9106775480930248E-2</c:v>
                </c:pt>
                <c:pt idx="15">
                  <c:v>7.6493539367044394E-2</c:v>
                </c:pt>
                <c:pt idx="16">
                  <c:v>6.8780294341825921E-2</c:v>
                </c:pt>
                <c:pt idx="17">
                  <c:v>5.9289718752967936E-2</c:v>
                </c:pt>
                <c:pt idx="18">
                  <c:v>6.6797293470060221E-2</c:v>
                </c:pt>
                <c:pt idx="19">
                  <c:v>7.1340584305656943E-2</c:v>
                </c:pt>
                <c:pt idx="20">
                  <c:v>7.9945031669806987E-2</c:v>
                </c:pt>
                <c:pt idx="21">
                  <c:v>6.5714138957894574E-2</c:v>
                </c:pt>
                <c:pt idx="22">
                  <c:v>7.7025684501852584E-2</c:v>
                </c:pt>
                <c:pt idx="23">
                  <c:v>7.393093689621047E-2</c:v>
                </c:pt>
                <c:pt idx="24">
                  <c:v>4.6969902482655347E-2</c:v>
                </c:pt>
                <c:pt idx="25">
                  <c:v>2.6382112570904045E-2</c:v>
                </c:pt>
                <c:pt idx="26">
                  <c:v>3.484928104576436E-2</c:v>
                </c:pt>
                <c:pt idx="27">
                  <c:v>2.3178139469445188E-2</c:v>
                </c:pt>
                <c:pt idx="28">
                  <c:v>-1.2195225030610549E-2</c:v>
                </c:pt>
                <c:pt idx="29">
                  <c:v>2.3774357374718169E-2</c:v>
                </c:pt>
                <c:pt idx="30">
                  <c:v>4.3644507401643502E-2</c:v>
                </c:pt>
              </c:numCache>
            </c:numRef>
          </c:val>
          <c:smooth val="0"/>
        </c:ser>
        <c:dLbls>
          <c:showLegendKey val="0"/>
          <c:showVal val="0"/>
          <c:showCatName val="0"/>
          <c:showSerName val="0"/>
          <c:showPercent val="0"/>
          <c:showBubbleSize val="0"/>
        </c:dLbls>
        <c:marker val="1"/>
        <c:smooth val="0"/>
        <c:axId val="-445163472"/>
        <c:axId val="-445158576"/>
      </c:lineChart>
      <c:valAx>
        <c:axId val="-445158576"/>
        <c:scaling>
          <c:orientation val="minMax"/>
          <c:max val="0.15000000000000002"/>
          <c:min val="-7.6000000000000012E-2"/>
        </c:scaling>
        <c:delete val="0"/>
        <c:axPos val="r"/>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latin typeface="Tw Cen MT" panose="020B0602020104020603" pitchFamily="34" charset="0"/>
                <a:ea typeface="+mn-ea"/>
                <a:cs typeface="+mn-cs"/>
              </a:defRPr>
            </a:pPr>
            <a:endParaRPr lang="en-US"/>
          </a:p>
        </c:txPr>
        <c:crossAx val="-445163472"/>
        <c:crosses val="max"/>
        <c:crossBetween val="between"/>
      </c:valAx>
      <c:catAx>
        <c:axId val="-445163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Tw Cen MT" panose="020B0602020104020603" pitchFamily="34" charset="0"/>
                <a:ea typeface="+mn-ea"/>
                <a:cs typeface="+mn-cs"/>
              </a:defRPr>
            </a:pPr>
            <a:endParaRPr lang="en-US"/>
          </a:p>
        </c:txPr>
        <c:crossAx val="-445158576"/>
        <c:crosses val="autoZero"/>
        <c:auto val="1"/>
        <c:lblAlgn val="ctr"/>
        <c:lblOffset val="100"/>
        <c:noMultiLvlLbl val="0"/>
      </c:catAx>
      <c:valAx>
        <c:axId val="-44515803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Tw Cen MT" panose="020B0602020104020603" pitchFamily="34" charset="0"/>
                    <a:ea typeface="+mn-ea"/>
                    <a:cs typeface="+mn-cs"/>
                  </a:defRPr>
                </a:pPr>
                <a:r>
                  <a:rPr lang="en-US"/>
                  <a:t>Million USD</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Tw Cen MT" panose="020B0602020104020603"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latin typeface="Tw Cen MT" panose="020B0602020104020603" pitchFamily="34" charset="0"/>
                <a:ea typeface="+mn-ea"/>
                <a:cs typeface="+mn-cs"/>
              </a:defRPr>
            </a:pPr>
            <a:endParaRPr lang="en-US"/>
          </a:p>
        </c:txPr>
        <c:crossAx val="-445161840"/>
        <c:crosses val="autoZero"/>
        <c:crossBetween val="between"/>
      </c:valAx>
      <c:catAx>
        <c:axId val="-445161840"/>
        <c:scaling>
          <c:orientation val="minMax"/>
        </c:scaling>
        <c:delete val="1"/>
        <c:axPos val="b"/>
        <c:numFmt formatCode="General" sourceLinked="1"/>
        <c:majorTickMark val="out"/>
        <c:minorTickMark val="none"/>
        <c:tickLblPos val="nextTo"/>
        <c:crossAx val="-445158032"/>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Tw Cen MT" panose="020B0602020104020603" pitchFamily="34" charset="0"/>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b="1">
          <a:latin typeface="Tw Cen MT" panose="020B06020201040206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7119</Words>
  <Characters>40583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Microsoft</dc:creator>
  <cp:keywords/>
  <dc:description/>
  <cp:lastModifiedBy>Conta Microsoft</cp:lastModifiedBy>
  <cp:revision>2</cp:revision>
  <dcterms:created xsi:type="dcterms:W3CDTF">2026-06-26T04:38:00Z</dcterms:created>
  <dcterms:modified xsi:type="dcterms:W3CDTF">2026-06-26T04:38:00Z</dcterms:modified>
</cp:coreProperties>
</file>