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Intracranial Aneurysm Detection Using AI: A Review</w:t>
      </w:r>
    </w:p>
    <w:p w:rsidR="00000000" w:rsidDel="00000000" w:rsidP="00000000" w:rsidRDefault="00000000" w:rsidRPr="00000000" w14:paraId="00000002">
      <w:pPr>
        <w:spacing w:after="200" w:lineRule="auto"/>
        <w:jc w:val="center"/>
        <w:rPr>
          <w:rFonts w:ascii="Times" w:cs="Times" w:eastAsia="Times" w:hAnsi="Times"/>
          <w:b w:val="1"/>
          <w:bCs w:val="1"/>
          <w:sz w:val="28"/>
          <w:szCs w:val="28"/>
        </w:rPr>
      </w:pPr>
      <w:r w:rsidDel="00000000" w:rsidR="00000000" w:rsidRPr="00000000">
        <w:rPr>
          <w:rtl w:val="0"/>
        </w:rPr>
      </w:r>
    </w:p>
    <w:p w:rsidR="00000000" w:rsidDel="00000000" w:rsidP="00000000" w:rsidRDefault="00000000" w:rsidRPr="00000000" w14:paraId="00000003">
      <w:pPr>
        <w:spacing w:after="200" w:lineRule="auto"/>
        <w:jc w:val="center"/>
        <w:rPr>
          <w:rFonts w:ascii="Times" w:cs="Times" w:eastAsia="Times" w:hAnsi="Times"/>
          <w:sz w:val="20"/>
          <w:szCs w:val="20"/>
          <w:vertAlign w:val="superscript"/>
        </w:rPr>
      </w:pPr>
      <w:r w:rsidDel="00000000" w:rsidR="00000000" w:rsidRPr="00000000">
        <w:rPr>
          <w:rFonts w:ascii="Times" w:cs="Times" w:eastAsia="Times" w:hAnsi="Times"/>
          <w:sz w:val="20"/>
          <w:szCs w:val="20"/>
          <w:rtl w:val="0"/>
        </w:rPr>
        <w:t xml:space="preserve">S Olive Keran</w:t>
      </w:r>
      <w:r w:rsidDel="00000000" w:rsidR="00000000" w:rsidRPr="00000000">
        <w:rPr>
          <w:rFonts w:ascii="Times" w:cs="Times" w:eastAsia="Times" w:hAnsi="Times"/>
          <w:sz w:val="20"/>
          <w:szCs w:val="20"/>
          <w:vertAlign w:val="superscript"/>
          <w:rtl w:val="0"/>
        </w:rPr>
        <w:t xml:space="preserve">1</w:t>
      </w:r>
      <w:r w:rsidDel="00000000" w:rsidR="00000000" w:rsidRPr="00000000">
        <w:rPr>
          <w:rFonts w:ascii="Times" w:cs="Times" w:eastAsia="Times" w:hAnsi="Times"/>
          <w:sz w:val="20"/>
          <w:szCs w:val="20"/>
          <w:rtl w:val="0"/>
        </w:rPr>
        <w:t xml:space="preserve"> and Dr. Rekha V</w:t>
      </w:r>
      <w:r w:rsidDel="00000000" w:rsidR="00000000" w:rsidRPr="00000000">
        <w:rPr>
          <w:rFonts w:ascii="Times" w:cs="Times" w:eastAsia="Times" w:hAnsi="Times"/>
          <w:sz w:val="20"/>
          <w:szCs w:val="20"/>
          <w:vertAlign w:val="superscript"/>
          <w:rtl w:val="0"/>
        </w:rPr>
        <w:t xml:space="preserve">2</w:t>
      </w:r>
    </w:p>
    <w:p w:rsidR="00000000" w:rsidDel="00000000" w:rsidP="00000000" w:rsidRDefault="00000000" w:rsidRPr="00000000" w14:paraId="00000004">
      <w:pPr>
        <w:spacing w:after="0" w:lineRule="auto"/>
        <w:jc w:val="center"/>
        <w:rPr>
          <w:rFonts w:ascii="Times" w:cs="Times" w:eastAsia="Times" w:hAnsi="Times"/>
          <w:sz w:val="20"/>
          <w:szCs w:val="20"/>
        </w:rPr>
      </w:pPr>
      <w:r w:rsidDel="00000000" w:rsidR="00000000" w:rsidRPr="00000000">
        <w:rPr>
          <w:rFonts w:ascii="Times" w:cs="Times" w:eastAsia="Times" w:hAnsi="Times"/>
          <w:sz w:val="20"/>
          <w:szCs w:val="20"/>
          <w:vertAlign w:val="superscript"/>
          <w:rtl w:val="0"/>
        </w:rPr>
        <w:t xml:space="preserve">1</w:t>
      </w:r>
      <w:r w:rsidDel="00000000" w:rsidR="00000000" w:rsidRPr="00000000">
        <w:rPr>
          <w:rFonts w:ascii="Times" w:cs="Times" w:eastAsia="Times" w:hAnsi="Times"/>
          <w:sz w:val="20"/>
          <w:szCs w:val="20"/>
          <w:rtl w:val="0"/>
        </w:rPr>
        <w:t xml:space="preserve">Christ University, olive.keran@mtech.christuniversity.in</w:t>
      </w:r>
    </w:p>
    <w:p w:rsidR="00000000" w:rsidDel="00000000" w:rsidP="00000000" w:rsidRDefault="00000000" w:rsidRPr="00000000" w14:paraId="00000005">
      <w:pPr>
        <w:spacing w:after="200" w:lineRule="auto"/>
        <w:jc w:val="center"/>
        <w:rPr>
          <w:rFonts w:ascii="Times" w:cs="Times" w:eastAsia="Times" w:hAnsi="Times"/>
          <w:sz w:val="20"/>
          <w:szCs w:val="20"/>
        </w:rPr>
      </w:pPr>
      <w:r w:rsidDel="00000000" w:rsidR="00000000" w:rsidRPr="00000000">
        <w:rPr>
          <w:rFonts w:ascii="Times" w:cs="Times" w:eastAsia="Times" w:hAnsi="Times"/>
          <w:sz w:val="20"/>
          <w:szCs w:val="20"/>
          <w:vertAlign w:val="superscript"/>
          <w:rtl w:val="0"/>
        </w:rPr>
        <w:t xml:space="preserve">2</w:t>
      </w:r>
      <w:r w:rsidDel="00000000" w:rsidR="00000000" w:rsidRPr="00000000">
        <w:rPr>
          <w:rFonts w:ascii="Times" w:cs="Times" w:eastAsia="Times" w:hAnsi="Times"/>
          <w:sz w:val="20"/>
          <w:szCs w:val="20"/>
          <w:rtl w:val="0"/>
        </w:rPr>
        <w:t xml:space="preserve">Christ University, </w:t>
      </w:r>
      <w:r w:rsidDel="00000000" w:rsidR="00000000" w:rsidRPr="00000000">
        <w:rPr>
          <w:rFonts w:ascii="Times" w:cs="Times" w:eastAsia="Times" w:hAnsi="Times"/>
          <w:sz w:val="20"/>
          <w:szCs w:val="20"/>
          <w:rtl w:val="0"/>
        </w:rPr>
        <w:t xml:space="preserve">rekha.v@christuniversity.in</w:t>
      </w:r>
      <w:r w:rsidDel="00000000" w:rsidR="00000000" w:rsidRPr="00000000">
        <w:rPr>
          <w:rtl w:val="0"/>
        </w:rPr>
      </w:r>
    </w:p>
    <w:p w:rsidR="00000000" w:rsidDel="00000000" w:rsidP="00000000" w:rsidRDefault="00000000" w:rsidRPr="00000000" w14:paraId="00000006">
      <w:pPr>
        <w:spacing w:after="200" w:lineRule="auto"/>
        <w:jc w:val="both"/>
        <w:rPr>
          <w:rFonts w:ascii="Times" w:cs="Times" w:eastAsia="Times" w:hAnsi="Times"/>
          <w:sz w:val="18"/>
          <w:szCs w:val="18"/>
        </w:rPr>
      </w:pPr>
      <w:r w:rsidDel="00000000" w:rsidR="00000000" w:rsidRPr="00000000">
        <w:rPr>
          <w:rFonts w:ascii="Times" w:cs="Times" w:eastAsia="Times" w:hAnsi="Times"/>
          <w:b w:val="1"/>
          <w:bCs w:val="1"/>
          <w:sz w:val="18"/>
          <w:szCs w:val="18"/>
          <w:rtl w:val="0"/>
        </w:rPr>
        <w:t xml:space="preserve">Abstract.</w:t>
      </w:r>
      <w:r w:rsidDel="00000000" w:rsidR="00000000" w:rsidRPr="00000000">
        <w:rPr>
          <w:rFonts w:ascii="Times" w:cs="Times" w:eastAsia="Times" w:hAnsi="Times"/>
          <w:sz w:val="18"/>
          <w:szCs w:val="18"/>
          <w:rtl w:val="0"/>
        </w:rPr>
        <w:t xml:space="preserve"> Intracranial aneurysms are dangerous cerebrovascular anomalies that, upon rupture, may lead to subarachnoid hemorrhage and severe neurological outcomes; therefore, their early and correct diagnosis is of clinical interest. Recently, artificial intelligence-based approaches have appeared in the literature in the last few years for automatically detecting, segmenting intracranial aneurysms, and related risk analysis on multimodal neuroimaging. This review offers a comprehensive overview of the IA-related literature published between June 2022 and October 2025, which systematically analyzed AI approaches on various levels: definition, imaging modality, model architecture, dataset, and evaluation strategy. A task-oriented and modality-aware taxonomy is proposed to categorize the recent advances and trends. Although there are some encouraging results reported in the literature, the lack of publicly available datasets, class imbalance, diversity in evaluation settings, and the absence of prospective clinical studies are all obstacles to real-world applications. The review summarizes current progress and presents key research directions needed for the robust clinical translation of AI-assisted intracranial aneurysm analysis systems.</w:t>
      </w:r>
    </w:p>
    <w:p w:rsidR="00000000" w:rsidDel="00000000" w:rsidP="00000000" w:rsidRDefault="00000000" w:rsidRPr="00000000" w14:paraId="00000007">
      <w:pPr>
        <w:spacing w:after="200" w:lineRule="auto"/>
        <w:jc w:val="both"/>
        <w:rPr>
          <w:rFonts w:ascii="Times" w:cs="Times" w:eastAsia="Times" w:hAnsi="Times"/>
          <w:sz w:val="18"/>
          <w:szCs w:val="18"/>
        </w:rPr>
      </w:pPr>
      <w:r w:rsidDel="00000000" w:rsidR="00000000" w:rsidRPr="00000000">
        <w:rPr>
          <w:rFonts w:ascii="Times" w:cs="Times" w:eastAsia="Times" w:hAnsi="Times"/>
          <w:b w:val="1"/>
          <w:bCs w:val="1"/>
          <w:sz w:val="18"/>
          <w:szCs w:val="18"/>
          <w:rtl w:val="0"/>
        </w:rPr>
        <w:t xml:space="preserve">Keywords:</w:t>
      </w:r>
      <w:r w:rsidDel="00000000" w:rsidR="00000000" w:rsidRPr="00000000">
        <w:rPr>
          <w:rFonts w:ascii="Times" w:cs="Times" w:eastAsia="Times" w:hAnsi="Times"/>
          <w:sz w:val="18"/>
          <w:szCs w:val="18"/>
          <w:rtl w:val="0"/>
        </w:rPr>
        <w:t xml:space="preserve"> Intracranial aneurysm; deep learning; computer-aided diagnosis; medical image analysis; image segmentation; multimodal neuroimaging;</w:t>
      </w:r>
    </w:p>
    <w:p w:rsidR="00000000" w:rsidDel="00000000" w:rsidP="00000000" w:rsidRDefault="00000000" w:rsidRPr="00000000" w14:paraId="00000008">
      <w:pPr>
        <w:numPr>
          <w:ilvl w:val="0"/>
          <w:numId w:val="2"/>
        </w:numPr>
        <w:spacing w:after="200" w:lineRule="auto"/>
        <w:ind w:left="720" w:hanging="360"/>
        <w:jc w:val="both"/>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Introduction</w:t>
      </w:r>
    </w:p>
    <w:p w:rsidR="00000000" w:rsidDel="00000000" w:rsidP="00000000" w:rsidRDefault="00000000" w:rsidRPr="00000000" w14:paraId="00000009">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Intracranial aneurysms (IAs) are considered to be abnormal dilations of arteries in the brain, which may rupture and lead to subarachnoid hemorrhage (SAH) due to potentially life-threatening conditions. The prognosis for ruptures is determined by the severity of the condition, which has a high mortality rate and disability [1], [2]. The prognosis is dependent on the early diagnosis of aneurysm rupture, which emphasizes the importance of early and accurate diagnosis of IAs [3]. The accurate diagnosis of IAs is difficult in clinical settings, particularly in cases with small aneurysm sizes, complex vascular anatomical structures, and multiple IAs [4].</w:t>
      </w:r>
    </w:p>
    <w:p w:rsidR="00000000" w:rsidDel="00000000" w:rsidP="00000000" w:rsidRDefault="00000000" w:rsidRPr="00000000" w14:paraId="0000000A">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CTA (Computed Tomography Angiography), MRA (Magnetic Resonance Angiography), TOF-MRA (Time-Of-Flight MRA), and DSA (Digital Subtraction Angiography) have greatly improved the visualization of intracranial vasculature [5]. Of these techniques, DSA is the clinical standard since it has the best spatial resolution; however, it also involves invasiveness and radiation exposure [6]. Despite such advances in imaging quality, the interpretation of cerebrovascular scans highly relies on expertise from radiologists and remains time-consuming, as well as prone to inter-observer variability, especially in high-volume clinical settings [7].</w:t>
      </w:r>
    </w:p>
    <w:p w:rsidR="00000000" w:rsidDel="00000000" w:rsidP="00000000" w:rsidRDefault="00000000" w:rsidRPr="00000000" w14:paraId="0000000B">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Recently, artificial intelligence (AI), specifically machine learning (ML) and deep learning (DL), has been identified as a promising method for computer-aided diagnosis (CAD) in medical imaging, including the analysis of intracranial aneurysms [8], [9]. Various methods have been proposed using AI for the detection, segmentation, and risk of rupture of aneurysms, mainly based on convolutional neural networks, encoder-decoder networks such as U-Net, and object detection models [10], [12]. More recent studies have explored transformer-based, graph-based, and hybrid models to better capture vascular geometry and contextual information [13], [14].</w:t>
      </w:r>
    </w:p>
    <w:p w:rsidR="00000000" w:rsidDel="00000000" w:rsidP="00000000" w:rsidRDefault="00000000" w:rsidRPr="00000000" w14:paraId="0000000C">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Some review studies conducted in 2022 and 2024 presented a comprehensive overview of early achievements in AI-related tasks in the detection and segmentation of intracranial aneurysms [15]–[18]. Nevertheless, in recent times, particularly after mid-2022, there have been tremendous developments in AI model creation and formulation of multimodal learning strategies, dataset sizes, as well as clinical validation studies, including multi-reader and workflow studies [19]–[21]. As such, there is a need to carry out an overall synthesis of the latest developments with regard to emerging trends, as well as the challenges involved.</w:t>
      </w:r>
    </w:p>
    <w:p w:rsidR="00000000" w:rsidDel="00000000" w:rsidP="00000000" w:rsidRDefault="00000000" w:rsidRPr="00000000" w14:paraId="0000000D">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This review presents a selection of articles published between June 2022 and October 2025 on AI-related IA analysis. The objectives of the review articles include providing a systematic review of the AI-related studies by clinical tasks, image modalities, and model architectures, presenting a task-oriented and modality-aware theory of grouping the recent studies, and outlining the challenges for future research that will ensure the translation of AI-related intracranial aneurysm analysis systems into clinical practice with success.</w:t>
      </w:r>
    </w:p>
    <w:p w:rsidR="00000000" w:rsidDel="00000000" w:rsidP="00000000" w:rsidRDefault="00000000" w:rsidRPr="00000000" w14:paraId="0000000E">
      <w:pPr>
        <w:numPr>
          <w:ilvl w:val="0"/>
          <w:numId w:val="2"/>
        </w:numPr>
        <w:spacing w:after="200" w:lineRule="auto"/>
        <w:ind w:left="720" w:hanging="360"/>
        <w:jc w:val="both"/>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Related Works</w:t>
      </w:r>
    </w:p>
    <w:p w:rsidR="00000000" w:rsidDel="00000000" w:rsidP="00000000" w:rsidRDefault="00000000" w:rsidRPr="00000000" w14:paraId="0000000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Recent years have seen a lot of progress in using artificial intelligence to help with intracranial aneurysm analysis. This is because of developments in deep learning and better computers. Doctors are also getting more interested in using computers to help them diagnose problems. Now people are working on more than finding intracranial aneurysms early. They are also trying to figure out the shape and size of the aneurysms and how likely they are to rupture. They are using different kinds of imaging tests to do this, like intracranial aneurysm analysis, with artificial intelligence. Artificial intelligence is helping with IA analysis in various ways.</w:t>
      </w:r>
    </w:p>
    <w:p w:rsidR="00000000" w:rsidDel="00000000" w:rsidP="00000000" w:rsidRDefault="00000000" w:rsidRPr="00000000" w14:paraId="00000010">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1">
      <w:pPr>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2.1 AI-Based Intracranial Aneurysm Detection</w:t>
      </w:r>
    </w:p>
    <w:p w:rsidR="00000000" w:rsidDel="00000000" w:rsidP="00000000" w:rsidRDefault="00000000" w:rsidRPr="00000000" w14:paraId="00000012">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3">
      <w:pPr>
        <w:spacing w:after="20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Automated detection of intracranial aneurysms has been most extensively studied using computed tomography angiography (CTA), owing to its high spatial resolution and routine clinical use. Deep learning models based on convolutional neural networks have demonstrated strong detection performance by learning discriminative vascular features directly from volumetric CTA data [10], [11]. However, these early CNN-based systems often suffered from high false-positive rates due to complex vascular anatomy and severe class imbalance.</w:t>
      </w:r>
    </w:p>
    <w:p w:rsidR="00000000" w:rsidDel="00000000" w:rsidP="00000000" w:rsidRDefault="00000000" w:rsidRPr="00000000" w14:paraId="00000014">
      <w:pPr>
        <w:jc w:val="center"/>
        <w:rPr>
          <w:rFonts w:ascii="Times" w:cs="Times" w:eastAsia="Times" w:hAnsi="Times"/>
          <w:sz w:val="18"/>
          <w:szCs w:val="18"/>
        </w:rPr>
      </w:pPr>
      <w:r w:rsidDel="00000000" w:rsidR="00000000" w:rsidRPr="00000000">
        <w:rPr>
          <w:rFonts w:ascii="Times" w:cs="Times" w:eastAsia="Times" w:hAnsi="Times"/>
          <w:b w:val="1"/>
          <w:bCs w:val="1"/>
          <w:sz w:val="18"/>
          <w:szCs w:val="18"/>
          <w:rtl w:val="0"/>
        </w:rPr>
        <w:t xml:space="preserve">Table 1:</w:t>
      </w:r>
      <w:r w:rsidDel="00000000" w:rsidR="00000000" w:rsidRPr="00000000">
        <w:rPr>
          <w:rFonts w:ascii="Times" w:cs="Times" w:eastAsia="Times" w:hAnsi="Times"/>
          <w:sz w:val="18"/>
          <w:szCs w:val="18"/>
          <w:rtl w:val="0"/>
        </w:rPr>
        <w:t xml:space="preserve"> Detection-focused AI methods for IA analysis with modality as CTA</w:t>
      </w:r>
    </w:p>
    <w:p w:rsidR="00000000" w:rsidDel="00000000" w:rsidP="00000000" w:rsidRDefault="00000000" w:rsidRPr="00000000" w14:paraId="00000015">
      <w:pPr>
        <w:spacing w:line="240" w:lineRule="auto"/>
        <w:jc w:val="center"/>
        <w:rPr>
          <w:rFonts w:ascii="Times" w:cs="Times" w:eastAsia="Times" w:hAnsi="Times"/>
          <w:sz w:val="18"/>
          <w:szCs w:val="18"/>
        </w:rPr>
      </w:pPr>
      <w:r w:rsidDel="00000000" w:rsidR="00000000" w:rsidRPr="00000000">
        <w:rPr>
          <w:rtl w:val="0"/>
        </w:rPr>
      </w:r>
    </w:p>
    <w:tbl>
      <w:tblPr>
        <w:tblStyle w:val="Table1"/>
        <w:tblW w:w="94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675"/>
        <w:gridCol w:w="2475"/>
        <w:gridCol w:w="1665"/>
        <w:gridCol w:w="2115"/>
        <w:gridCol w:w="1830"/>
        <w:tblGridChange w:id="0">
          <w:tblGrid>
            <w:gridCol w:w="705"/>
            <w:gridCol w:w="675"/>
            <w:gridCol w:w="2475"/>
            <w:gridCol w:w="1665"/>
            <w:gridCol w:w="2115"/>
            <w:gridCol w:w="18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Ref.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Model/approach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Dataset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Key strengths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Limitations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2024</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CNN-based CAD</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Multi-center CTA</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High sensitivity on clinical CTA</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Elevated false positives for small 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3D CNN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Institutional CTA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Robust volumetric learning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Limited generalization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[4]</w:t>
            </w:r>
          </w:p>
        </w:tc>
        <w:tc>
          <w:tcPr>
            <w:tcBorders>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Object detection framework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Mixed CTA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End-to-end localization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Small aneurysm sensitivity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[22]</w:t>
            </w:r>
          </w:p>
        </w:tc>
        <w:tc>
          <w:tcPr>
            <w:tcBorders>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2022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Cascade detection network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CTA cohort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Reduced FP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Multi-stage complexity</w:t>
            </w:r>
          </w:p>
        </w:tc>
      </w:tr>
    </w:tbl>
    <w:p w:rsidR="00000000" w:rsidDel="00000000" w:rsidP="00000000" w:rsidRDefault="00000000" w:rsidRPr="00000000" w14:paraId="00000034">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To solve such problems, multi-stage detection frameworks were proposed, combining candidate generation and false positive reduction networks [22]. Object detection–oriented approaches later reframed aneurysm detection as a localization problem, enabling end-to-end learning without handcrafted candidate extraction and improving robustness in anatomically complex regions [4]. In spite of these improvements, detection of very small aneurysms, especially smaller than 3 mm in diameter, is still a challenge [5], [21].</w:t>
      </w:r>
    </w:p>
    <w:p w:rsidR="00000000" w:rsidDel="00000000" w:rsidP="00000000" w:rsidRDefault="00000000" w:rsidRPr="00000000" w14:paraId="00000036">
      <w:pPr>
        <w:spacing w:after="20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Magnetic resonance angiography (MRA) and time-of-flight magnetic resonance angiography (TOF-MRA) have additionally been investigated for automated detection, especially in situations where screening and longitudinal follow-up are needed, and radiation exposure is an issue [6]. In comparison to CTA, MRA-based approaches have to deal with the lower signal-to-noise ratio and flow-related artifacts, motivating modality-specific preprocessing and augmentation approaches [7].</w:t>
      </w:r>
    </w:p>
    <w:p w:rsidR="00000000" w:rsidDel="00000000" w:rsidP="00000000" w:rsidRDefault="00000000" w:rsidRPr="00000000" w14:paraId="00000037">
      <w:pPr>
        <w:spacing w:before="28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2.2 Segmentation-Based Approaches</w:t>
      </w:r>
    </w:p>
    <w:p w:rsidR="00000000" w:rsidDel="00000000" w:rsidP="00000000" w:rsidRDefault="00000000" w:rsidRPr="00000000" w14:paraId="00000038">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Accurate segmentation of aneurysm boundaries is necessary for its morphological analysis and treatment planning. Encoder-decoder architectures, notably U-Net and all its variants, have become the prevailing architectures for aneurysm segmentation in both CTA and MRA modals [8], [9]. These architectures are effective in the context of integrating multiscale contextual information and maintaining spatial details using skip connections.</w:t>
      </w:r>
    </w:p>
    <w:p w:rsidR="00000000" w:rsidDel="00000000" w:rsidP="00000000" w:rsidRDefault="00000000" w:rsidRPr="00000000" w14:paraId="00000039">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Subsequent studies added attention mechanisms, residual connections, and deep supervision to improve the delineation of boundaries and the segmentation stability on small datasets [23]. Vessel-aware modeling strategies such as centerline-guided learning and topology-preserving constraints have further increased the segmentation accuracy in the case of close connections between aneurysms with parent vessels [11], [24]. However, segmentation performance is still sensitive to the quality of the annotation and the inter-observer variability, especially for irregularly shaped aneurysms.</w:t>
      </w:r>
    </w:p>
    <w:p w:rsidR="00000000" w:rsidDel="00000000" w:rsidP="00000000" w:rsidRDefault="00000000" w:rsidRPr="00000000" w14:paraId="0000003A">
      <w:pPr>
        <w:jc w:val="center"/>
        <w:rPr>
          <w:rFonts w:ascii="Times" w:cs="Times" w:eastAsia="Times" w:hAnsi="Times"/>
          <w:sz w:val="18"/>
          <w:szCs w:val="18"/>
        </w:rPr>
      </w:pPr>
      <w:r w:rsidDel="00000000" w:rsidR="00000000" w:rsidRPr="00000000">
        <w:rPr>
          <w:rFonts w:ascii="Times" w:cs="Times" w:eastAsia="Times" w:hAnsi="Times"/>
          <w:b w:val="1"/>
          <w:bCs w:val="1"/>
          <w:sz w:val="18"/>
          <w:szCs w:val="18"/>
          <w:rtl w:val="0"/>
        </w:rPr>
        <w:t xml:space="preserve">Table 2:</w:t>
      </w:r>
      <w:r w:rsidDel="00000000" w:rsidR="00000000" w:rsidRPr="00000000">
        <w:rPr>
          <w:rFonts w:ascii="Times" w:cs="Times" w:eastAsia="Times" w:hAnsi="Times"/>
          <w:sz w:val="18"/>
          <w:szCs w:val="18"/>
          <w:rtl w:val="0"/>
        </w:rPr>
        <w:t xml:space="preserve"> Segmentation-based AI methods for modalities CTA/MRA</w:t>
      </w:r>
    </w:p>
    <w:p w:rsidR="00000000" w:rsidDel="00000000" w:rsidP="00000000" w:rsidRDefault="00000000" w:rsidRPr="00000000" w14:paraId="0000003B">
      <w:pPr>
        <w:spacing w:line="240" w:lineRule="auto"/>
        <w:jc w:val="center"/>
        <w:rPr>
          <w:rFonts w:ascii="Times" w:cs="Times" w:eastAsia="Times" w:hAnsi="Times"/>
          <w:sz w:val="20"/>
          <w:szCs w:val="20"/>
        </w:rPr>
      </w:pPr>
      <w:r w:rsidDel="00000000" w:rsidR="00000000" w:rsidRPr="00000000">
        <w:rPr>
          <w:rtl w:val="0"/>
        </w:rPr>
      </w:r>
    </w:p>
    <w:tbl>
      <w:tblPr>
        <w:tblStyle w:val="Table2"/>
        <w:tblW w:w="94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720"/>
        <w:gridCol w:w="2160"/>
        <w:gridCol w:w="1650"/>
        <w:gridCol w:w="2280"/>
        <w:gridCol w:w="1965"/>
        <w:tblGridChange w:id="0">
          <w:tblGrid>
            <w:gridCol w:w="690"/>
            <w:gridCol w:w="720"/>
            <w:gridCol w:w="2160"/>
            <w:gridCol w:w="1650"/>
            <w:gridCol w:w="2280"/>
            <w:gridCol w:w="1965"/>
          </w:tblGrid>
        </w:tblGridChange>
      </w:tblGrid>
      <w:tr>
        <w:trPr>
          <w:cantSplit w:val="0"/>
          <w:tblHeader w:val="0"/>
        </w:trP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Ref.</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Year</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Model/Approach</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Dataset</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Key strengths</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Limitations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U-Net variants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Multi-institution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Strong boundary accuracy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Annotation dependency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Encoder–decoder DL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CTA cohort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Consistent Dice scores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Irregular shape errors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Attention U-Net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Single-center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Improved vessel separation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Limited dataset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Topology-aware DL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Research dataset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Preserves vascular structure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Requires vessel extraction</w:t>
            </w:r>
          </w:p>
        </w:tc>
      </w:tr>
    </w:tbl>
    <w:p w:rsidR="00000000" w:rsidDel="00000000" w:rsidP="00000000" w:rsidRDefault="00000000" w:rsidRPr="00000000" w14:paraId="0000005A">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B">
      <w:pPr>
        <w:spacing w:before="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2.3 Joint Detection–Segmentation Frameworks</w:t>
      </w:r>
    </w:p>
    <w:p w:rsidR="00000000" w:rsidDel="00000000" w:rsidP="00000000" w:rsidRDefault="00000000" w:rsidRPr="00000000" w14:paraId="0000005C">
      <w:pPr>
        <w:spacing w:before="28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Recognizing the complementary nature of detection and segmentation, several recent works have proposed unified frameworks that perform both tasks within a single pipeline. Joint learning approaches typically employ a shared backbone with task-specific heads, enabling feature reuse and improved consistency between localization and boundary estimation [12].</w:t>
      </w:r>
    </w:p>
    <w:p w:rsidR="00000000" w:rsidDel="00000000" w:rsidP="00000000" w:rsidRDefault="00000000" w:rsidRPr="00000000" w14:paraId="0000005D">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Cascade-based designs, where the detection results are used to inform further segmentation networks, have also shown an improved efficiency and reduced false positives [13], [25]. While such integrated systems for clinical deployment are promising, they need to be balanced optimally for loss and have huge datasets so as not to degrade performance due to task interference [14].</w:t>
      </w:r>
    </w:p>
    <w:p w:rsidR="00000000" w:rsidDel="00000000" w:rsidP="00000000" w:rsidRDefault="00000000" w:rsidRPr="00000000" w14:paraId="0000005F">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0">
      <w:pPr>
        <w:spacing w:after="200" w:before="280" w:lineRule="auto"/>
        <w:ind w:left="360" w:firstLine="0"/>
        <w:jc w:val="both"/>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2.4 Emerging Model Paradigms</w:t>
      </w:r>
      <w:r w:rsidDel="00000000" w:rsidR="00000000" w:rsidRPr="00000000">
        <w:rPr>
          <w:rtl w:val="0"/>
        </w:rPr>
      </w:r>
    </w:p>
    <w:p w:rsidR="00000000" w:rsidDel="00000000" w:rsidP="00000000" w:rsidRDefault="00000000" w:rsidRPr="00000000" w14:paraId="0000006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Transformer-based architectures have been recently proposed for intracranial aneurysm analysis, in order to better represent long-range spatial dependencies in volumetric data [15]. Hybrid CNN-transformer models are used to extract local features as well as to model global context and have demonstrated better performance in preliminary works, although their requirements are high.</w:t>
      </w:r>
    </w:p>
    <w:p w:rsidR="00000000" w:rsidDel="00000000" w:rsidP="00000000" w:rsidRDefault="00000000" w:rsidRPr="00000000" w14:paraId="00000062">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Graph-based and point-based learning approaches are another rising direction, whereby the vascular topology is explicitly modeled via meshes, graphs, or point clouds [16], [17]. These methods are especially effective in representing a complex vascular geometry, yet often rely on accurate vessel extraction and are often tested on smaller and selected data sets.</w:t>
      </w:r>
    </w:p>
    <w:p w:rsidR="00000000" w:rsidDel="00000000" w:rsidP="00000000" w:rsidRDefault="00000000" w:rsidRPr="00000000" w14:paraId="00000064">
      <w:pPr>
        <w:spacing w:before="28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2.5 Rupture Risk Assessment and Clinical Outcome Prediction</w:t>
      </w:r>
    </w:p>
    <w:p w:rsidR="00000000" w:rsidDel="00000000" w:rsidP="00000000" w:rsidRDefault="00000000" w:rsidRPr="00000000" w14:paraId="0000006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Beyond detection and segmentation, there is a growing subset of studies that deal with rupture risk studies and clinical outcome prediction. These approaches usually combine morphological features extracted from segmentation with radiomic features or deep features to discriminate ruptured and unruptured aneurysms [18]. Some of the studies further add clinical variables to improve the power of prediction [19]. However, the scarcity of longitudinal data sets and standardized outcome labels continues to limit the generalizability and clinical translation.</w:t>
      </w:r>
    </w:p>
    <w:p w:rsidR="00000000" w:rsidDel="00000000" w:rsidP="00000000" w:rsidRDefault="00000000" w:rsidRPr="00000000" w14:paraId="00000067">
      <w:pPr>
        <w:spacing w:after="20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8">
      <w:pPr>
        <w:jc w:val="center"/>
        <w:rPr>
          <w:rFonts w:ascii="Times" w:cs="Times" w:eastAsia="Times" w:hAnsi="Times"/>
          <w:sz w:val="18"/>
          <w:szCs w:val="18"/>
        </w:rPr>
      </w:pPr>
      <w:r w:rsidDel="00000000" w:rsidR="00000000" w:rsidRPr="00000000">
        <w:rPr>
          <w:rFonts w:ascii="Times" w:cs="Times" w:eastAsia="Times" w:hAnsi="Times"/>
          <w:b w:val="1"/>
          <w:bCs w:val="1"/>
          <w:sz w:val="18"/>
          <w:szCs w:val="18"/>
          <w:rtl w:val="0"/>
        </w:rPr>
        <w:t xml:space="preserve">Table 3:</w:t>
      </w:r>
      <w:r w:rsidDel="00000000" w:rsidR="00000000" w:rsidRPr="00000000">
        <w:rPr>
          <w:rFonts w:ascii="Times" w:cs="Times" w:eastAsia="Times" w:hAnsi="Times"/>
          <w:sz w:val="18"/>
          <w:szCs w:val="18"/>
          <w:rtl w:val="0"/>
        </w:rPr>
        <w:t xml:space="preserve"> Qualitative comparison of representative AI-based IA studies</w:t>
      </w:r>
    </w:p>
    <w:p w:rsidR="00000000" w:rsidDel="00000000" w:rsidP="00000000" w:rsidRDefault="00000000" w:rsidRPr="00000000" w14:paraId="00000069">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Symbols: ✓ = addressed ◐ = partially addressed ✗ = not addressed</w:t>
      </w:r>
    </w:p>
    <w:p w:rsidR="00000000" w:rsidDel="00000000" w:rsidP="00000000" w:rsidRDefault="00000000" w:rsidRPr="00000000" w14:paraId="0000006A">
      <w:pPr>
        <w:spacing w:line="240" w:lineRule="auto"/>
        <w:jc w:val="center"/>
        <w:rPr>
          <w:rFonts w:ascii="Times" w:cs="Times" w:eastAsia="Times" w:hAnsi="Times"/>
          <w:sz w:val="18"/>
          <w:szCs w:val="18"/>
        </w:rPr>
      </w:pPr>
      <w:r w:rsidDel="00000000" w:rsidR="00000000" w:rsidRPr="00000000">
        <w:rPr>
          <w:rtl w:val="0"/>
        </w:rPr>
      </w:r>
    </w:p>
    <w:tbl>
      <w:tblPr>
        <w:tblStyle w:val="Table3"/>
        <w:tblW w:w="9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615"/>
        <w:gridCol w:w="1065"/>
        <w:gridCol w:w="1380"/>
        <w:gridCol w:w="1290"/>
        <w:gridCol w:w="990"/>
        <w:gridCol w:w="900"/>
        <w:gridCol w:w="1395"/>
        <w:gridCol w:w="1260"/>
        <w:tblGridChange w:id="0">
          <w:tblGrid>
            <w:gridCol w:w="555"/>
            <w:gridCol w:w="615"/>
            <w:gridCol w:w="1065"/>
            <w:gridCol w:w="1380"/>
            <w:gridCol w:w="1290"/>
            <w:gridCol w:w="990"/>
            <w:gridCol w:w="900"/>
            <w:gridCol w:w="1395"/>
            <w:gridCol w:w="1260"/>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jc w:val="cente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Ref.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jc w:val="cente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jc w:val="cente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Detection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jc w:val="cente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Segmentation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jc w:val="cente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Joint Framework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jc w:val="cente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Risk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jc w:val="cente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3D Context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jc w:val="center"/>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Multi-</w:t>
            </w:r>
          </w:p>
          <w:p w:rsidR="00000000" w:rsidDel="00000000" w:rsidP="00000000" w:rsidRDefault="00000000" w:rsidRPr="00000000" w14:paraId="00000073">
            <w:pPr>
              <w:jc w:val="cente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modality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jc w:val="center"/>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External Validation</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rPr>
                <w:rFonts w:ascii="Times" w:cs="Times" w:eastAsia="Times" w:hAnsi="Times"/>
                <w:sz w:val="20"/>
                <w:szCs w:val="20"/>
              </w:rPr>
            </w:pPr>
            <w:r w:rsidDel="00000000" w:rsidR="00000000" w:rsidRPr="00000000">
              <w:rPr>
                <w:rFonts w:ascii="Times" w:cs="Times" w:eastAsia="Times" w:hAnsi="Times"/>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rPr>
                <w:rFonts w:ascii="Times" w:cs="Times" w:eastAsia="Times" w:hAnsi="Times"/>
                <w:sz w:val="20"/>
                <w:szCs w:val="20"/>
              </w:rPr>
            </w:pPr>
            <w:r w:rsidDel="00000000" w:rsidR="00000000" w:rsidRPr="00000000">
              <w:rPr>
                <w:rFonts w:ascii="Times" w:cs="Times" w:eastAsia="Times" w:hAnsi="Times"/>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rPr>
                <w:rFonts w:ascii="Times" w:cs="Times" w:eastAsia="Times" w:hAnsi="Times"/>
                <w:sz w:val="20"/>
                <w:szCs w:val="20"/>
              </w:rPr>
            </w:pPr>
            <w:r w:rsidDel="00000000" w:rsidR="00000000" w:rsidRPr="00000000">
              <w:rPr>
                <w:rFonts w:ascii="Times" w:cs="Times" w:eastAsia="Times" w:hAnsi="Times"/>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rPr>
                <w:rFonts w:ascii="Times" w:cs="Times" w:eastAsia="Times" w:hAnsi="Times"/>
                <w:sz w:val="20"/>
                <w:szCs w:val="20"/>
              </w:rPr>
            </w:pPr>
            <w:r w:rsidDel="00000000" w:rsidR="00000000" w:rsidRPr="00000000">
              <w:rPr>
                <w:rFonts w:ascii="Times" w:cs="Times" w:eastAsia="Times" w:hAnsi="Times"/>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rPr>
                <w:rFonts w:ascii="Times" w:cs="Times" w:eastAsia="Times" w:hAnsi="Times"/>
                <w:sz w:val="20"/>
                <w:szCs w:val="20"/>
              </w:rPr>
            </w:pPr>
            <w:r w:rsidDel="00000000" w:rsidR="00000000" w:rsidRPr="00000000">
              <w:rPr>
                <w:rFonts w:ascii="Times" w:cs="Times" w:eastAsia="Times" w:hAnsi="Times"/>
                <w:sz w:val="20"/>
                <w:szCs w:val="20"/>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rPr>
                <w:rFonts w:ascii="Times" w:cs="Times" w:eastAsia="Times" w:hAnsi="Times"/>
                <w:sz w:val="20"/>
                <w:szCs w:val="20"/>
              </w:rPr>
            </w:pPr>
            <w:r w:rsidDel="00000000" w:rsidR="00000000" w:rsidRPr="00000000">
              <w:rPr>
                <w:rFonts w:ascii="Times" w:cs="Times" w:eastAsia="Times" w:hAnsi="Times"/>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Times" w:cs="Times" w:eastAsia="Times" w:hAnsi="Times"/>
                <w:sz w:val="20"/>
                <w:szCs w:val="20"/>
              </w:rPr>
            </w:pPr>
            <w:r w:rsidDel="00000000" w:rsidR="00000000" w:rsidRPr="00000000">
              <w:rPr>
                <w:rFonts w:ascii="Times" w:cs="Times" w:eastAsia="Times" w:hAnsi="Times"/>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rPr>
                <w:rFonts w:ascii="Times" w:cs="Times" w:eastAsia="Times" w:hAnsi="Times"/>
                <w:sz w:val="20"/>
                <w:szCs w:val="20"/>
              </w:rPr>
            </w:pPr>
            <w:r w:rsidDel="00000000" w:rsidR="00000000" w:rsidRPr="00000000">
              <w:rPr>
                <w:rFonts w:ascii="Times" w:cs="Times" w:eastAsia="Times" w:hAnsi="Times"/>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Times" w:cs="Times" w:eastAsia="Times" w:hAnsi="Times"/>
                <w:sz w:val="20"/>
                <w:szCs w:val="20"/>
              </w:rPr>
            </w:pPr>
            <w:r w:rsidDel="00000000" w:rsidR="00000000" w:rsidRPr="00000000">
              <w:rPr>
                <w:rFonts w:ascii="Times" w:cs="Times" w:eastAsia="Times" w:hAnsi="Times"/>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Times" w:cs="Times" w:eastAsia="Times" w:hAnsi="Times"/>
                <w:sz w:val="20"/>
                <w:szCs w:val="20"/>
              </w:rPr>
            </w:pPr>
            <w:r w:rsidDel="00000000" w:rsidR="00000000" w:rsidRPr="00000000">
              <w:rPr>
                <w:rFonts w:ascii="Times" w:cs="Times" w:eastAsia="Times" w:hAnsi="Times"/>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Times" w:cs="Times" w:eastAsia="Times" w:hAnsi="Times"/>
                <w:sz w:val="20"/>
                <w:szCs w:val="20"/>
              </w:rPr>
            </w:pPr>
            <w:r w:rsidDel="00000000" w:rsidR="00000000" w:rsidRPr="00000000">
              <w:rPr>
                <w:rFonts w:ascii="Times" w:cs="Times" w:eastAsia="Times" w:hAnsi="Times"/>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Times" w:cs="Times" w:eastAsia="Times" w:hAnsi="Times"/>
                <w:sz w:val="20"/>
                <w:szCs w:val="20"/>
              </w:rPr>
            </w:pPr>
            <w:r w:rsidDel="00000000" w:rsidR="00000000" w:rsidRPr="00000000">
              <w:rPr>
                <w:rFonts w:ascii="Times" w:cs="Times" w:eastAsia="Times" w:hAnsi="Times"/>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Times" w:cs="Times" w:eastAsia="Times" w:hAnsi="Times"/>
                <w:sz w:val="20"/>
                <w:szCs w:val="20"/>
              </w:rPr>
            </w:pPr>
            <w:r w:rsidDel="00000000" w:rsidR="00000000" w:rsidRPr="00000000">
              <w:rPr>
                <w:rFonts w:ascii="Times" w:cs="Times" w:eastAsia="Times" w:hAnsi="Times"/>
                <w:sz w:val="20"/>
                <w:szCs w:val="20"/>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Times" w:cs="Times" w:eastAsia="Times" w:hAnsi="Times"/>
                <w:sz w:val="20"/>
                <w:szCs w:val="20"/>
              </w:rPr>
            </w:pPr>
            <w:r w:rsidDel="00000000" w:rsidR="00000000" w:rsidRPr="00000000">
              <w:rPr>
                <w:rFonts w:ascii="Times" w:cs="Times" w:eastAsia="Times" w:hAnsi="Times"/>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Times" w:cs="Times" w:eastAsia="Times" w:hAnsi="Times"/>
                <w:sz w:val="20"/>
                <w:szCs w:val="20"/>
              </w:rPr>
            </w:pPr>
            <w:r w:rsidDel="00000000" w:rsidR="00000000" w:rsidRPr="00000000">
              <w:rPr>
                <w:rFonts w:ascii="Times" w:cs="Times" w:eastAsia="Times" w:hAnsi="Times"/>
                <w:sz w:val="20"/>
                <w:szCs w:val="20"/>
                <w:rtl w:val="0"/>
              </w:rPr>
              <w:t xml:space="preserve">[18]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Times" w:cs="Times" w:eastAsia="Times" w:hAnsi="Times"/>
                <w:sz w:val="20"/>
                <w:szCs w:val="20"/>
              </w:rPr>
            </w:pPr>
            <w:r w:rsidDel="00000000" w:rsidR="00000000" w:rsidRPr="00000000">
              <w:rPr>
                <w:rFonts w:ascii="Times" w:cs="Times" w:eastAsia="Times" w:hAnsi="Times"/>
                <w:sz w:val="20"/>
                <w:szCs w:val="20"/>
                <w:rtl w:val="0"/>
              </w:rPr>
              <w:t xml:space="preserve">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Times" w:cs="Times" w:eastAsia="Times" w:hAnsi="Times"/>
                <w:sz w:val="20"/>
                <w:szCs w:val="20"/>
              </w:rPr>
            </w:pPr>
            <w:r w:rsidDel="00000000" w:rsidR="00000000" w:rsidRPr="00000000">
              <w:rPr>
                <w:rFonts w:ascii="Times" w:cs="Times" w:eastAsia="Times" w:hAnsi="Times"/>
                <w:sz w:val="20"/>
                <w:szCs w:val="20"/>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Times" w:cs="Times" w:eastAsia="Times" w:hAnsi="Times"/>
                <w:sz w:val="20"/>
                <w:szCs w:val="20"/>
              </w:rPr>
            </w:pPr>
            <w:r w:rsidDel="00000000" w:rsidR="00000000" w:rsidRPr="00000000">
              <w:rPr>
                <w:rFonts w:ascii="Times" w:cs="Times" w:eastAsia="Times" w:hAnsi="Times"/>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rFonts w:ascii="Times" w:cs="Times" w:eastAsia="Times" w:hAnsi="Times"/>
                <w:sz w:val="20"/>
                <w:szCs w:val="20"/>
              </w:rPr>
            </w:pPr>
            <w:r w:rsidDel="00000000" w:rsidR="00000000" w:rsidRPr="00000000">
              <w:rPr>
                <w:rFonts w:ascii="Times" w:cs="Times" w:eastAsia="Times" w:hAnsi="Times"/>
                <w:sz w:val="20"/>
                <w:szCs w:val="20"/>
                <w:rtl w:val="0"/>
              </w:rPr>
              <w:t xml:space="preserve">◐</w:t>
            </w:r>
          </w:p>
        </w:tc>
      </w:tr>
    </w:tbl>
    <w:p w:rsidR="00000000" w:rsidDel="00000000" w:rsidP="00000000" w:rsidRDefault="00000000" w:rsidRPr="00000000" w14:paraId="000000C6">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7">
      <w:pPr>
        <w:spacing w:after="200" w:before="280" w:lineRule="auto"/>
        <w:ind w:left="360" w:firstLine="0"/>
        <w:jc w:val="both"/>
        <w:rPr>
          <w:rFonts w:ascii="Times" w:cs="Times" w:eastAsia="Times" w:hAnsi="Times"/>
          <w:sz w:val="20"/>
          <w:szCs w:val="20"/>
        </w:rPr>
      </w:pPr>
      <w:r w:rsidDel="00000000" w:rsidR="00000000" w:rsidRPr="00000000">
        <w:rPr>
          <w:rFonts w:ascii="Times" w:cs="Times" w:eastAsia="Times" w:hAnsi="Times"/>
          <w:b w:val="1"/>
          <w:bCs w:val="1"/>
          <w:sz w:val="20"/>
          <w:szCs w:val="20"/>
          <w:rtl w:val="0"/>
        </w:rPr>
        <w:t xml:space="preserve">2.6 Datasets and Evaluation Practices</w:t>
      </w:r>
      <w:r w:rsidDel="00000000" w:rsidR="00000000" w:rsidRPr="00000000">
        <w:rPr>
          <w:rtl w:val="0"/>
        </w:rPr>
      </w:r>
    </w:p>
    <w:p w:rsidR="00000000" w:rsidDel="00000000" w:rsidP="00000000" w:rsidRDefault="00000000" w:rsidRPr="00000000" w14:paraId="000000C8">
      <w:pPr>
        <w:spacing w:after="20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Across the literature, there are large variations in the composition of the datasets, annotation protocols, and evaluation metrics. Many studies are based on single-center data or proprietary data, which makes it difficult to reproduce the results and compare them across studies [20]. While generally reported metrics include sensitivity, false positive per scan, Dice similarity coefficient, and the area under the ROC curve, inconsistent reporting practices, and heterogeneous evaluation settings pose problems to the objective benchmarking [21]. These limitations point to the importance of standardized datasets and evaluation frameworks.</w:t>
      </w:r>
    </w:p>
    <w:p w:rsidR="00000000" w:rsidDel="00000000" w:rsidP="00000000" w:rsidRDefault="00000000" w:rsidRPr="00000000" w14:paraId="000000C9">
      <w:pPr>
        <w:numPr>
          <w:ilvl w:val="0"/>
          <w:numId w:val="2"/>
        </w:numPr>
        <w:spacing w:after="200" w:lineRule="auto"/>
        <w:ind w:left="720" w:hanging="360"/>
        <w:jc w:val="both"/>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Taxonomy of AI-based IA Analysis</w:t>
      </w:r>
    </w:p>
    <w:p w:rsidR="00000000" w:rsidDel="00000000" w:rsidP="00000000" w:rsidRDefault="00000000" w:rsidRPr="00000000" w14:paraId="000000CA">
      <w:pPr>
        <w:spacing w:after="20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Given the rapid increase in the number of methods and the wide variation in research methodologies employed to study intracranial aneurysms with artificial intelligence-based methods, there is a need for a structured taxonomy to systematically organize current work and to reveal underlying trends. Based on a thorough analysis of the reviewed articles, this review proposes a task-oriented modality-aware taxonomy in which studies using artificial intelligence (AI) for intracranial aneurysm are classified into 3 main dimensions: clinical task, imaging modality, and AI methodology. This hierarchical organization is shown in Figure 1.</w:t>
      </w:r>
    </w:p>
    <w:p w:rsidR="00000000" w:rsidDel="00000000" w:rsidP="00000000" w:rsidRDefault="00000000" w:rsidRPr="00000000" w14:paraId="000000CB">
      <w:pPr>
        <w:spacing w:after="20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3.1 Task-based Categorization</w:t>
      </w:r>
    </w:p>
    <w:p w:rsidR="00000000" w:rsidDel="00000000" w:rsidP="00000000" w:rsidRDefault="00000000" w:rsidRPr="00000000" w14:paraId="000000CC">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At the highest level, studies into intracranial aneurysms based on artificial intelligence can be divided by the clinical task they are intended to solve. This task-centric view is based on real-world clinical working practices and is the basis of the proposed taxonomy.</w:t>
      </w:r>
    </w:p>
    <w:p w:rsidR="00000000" w:rsidDel="00000000" w:rsidP="00000000" w:rsidRDefault="00000000" w:rsidRPr="00000000" w14:paraId="000000CD">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Detection is the most widely studied task where the goal is to localize the aneurysms in volumetric neurovascular images. Detection-oriented models usually provide candidate locations or bounding regions and are assessed with sensitivity and false positive/scan. Because of the routine use of this modality in acute clinical settings, a large proportion of CT studies fall under this category [4], [10], [11].</w:t>
      </w:r>
    </w:p>
    <w:p w:rsidR="00000000" w:rsidDel="00000000" w:rsidP="00000000" w:rsidRDefault="00000000" w:rsidRPr="00000000" w14:paraId="000000CE">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Segmentation allows the boundaries of an aneurysm to be clearly delineated and is fundamental for the morphological analysis of the aneurysm, the determination of its treatment, and the assessment of the risk of rupture. Segmentation-based studies generally use encoder-decoder architectures and focus on the spatial accuracy metrics using, e.g., the Dice similarity coefficient [8], [9]. These methods are of particular relevance in pre-interventional planning and longitudinal monitoring.</w:t>
      </w:r>
    </w:p>
    <w:p w:rsidR="00000000" w:rsidDel="00000000" w:rsidP="00000000" w:rsidRDefault="00000000" w:rsidRPr="00000000" w14:paraId="000000CF">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Joint detection-segmentation frameworks have the objective of combining both tasks in one pipeline. Such approaches are indicative of a growing trend towards end-to-end CAD systems that are able to deliver comprehensive outputs from one model [12], [13]. </w:t>
      </w:r>
    </w:p>
    <w:p w:rsidR="00000000" w:rsidDel="00000000" w:rsidP="00000000" w:rsidRDefault="00000000" w:rsidRPr="00000000" w14:paraId="000000D0">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 smaller but growing body of work considers the assessment of the risk of ruptures and the prediction of outcomes, the extension of analysis based on artificial intelligence beyond structural identification. These studies often take advantage of features from the outputs of detection or segmentation procedures and use models based on machine learning or deep learning to estimate the state of rupture or indicators of risk [18], [19].</w:t>
      </w:r>
    </w:p>
    <w:p w:rsidR="00000000" w:rsidDel="00000000" w:rsidP="00000000" w:rsidRDefault="00000000" w:rsidRPr="00000000" w14:paraId="000000D1">
      <w:pPr>
        <w:spacing w:after="0" w:before="24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3.2 Imaging Modality-based Organization</w:t>
      </w:r>
    </w:p>
    <w:p w:rsidR="00000000" w:rsidDel="00000000" w:rsidP="00000000" w:rsidRDefault="00000000" w:rsidRPr="00000000" w14:paraId="000000D2">
      <w:pPr>
        <w:spacing w:after="0" w:before="240" w:lineRule="auto"/>
        <w:ind w:left="0" w:firstLine="0"/>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Within each clinical task, studies can be further organised according to the modality of imaging. Imaging modality is an important axis in the taxonomy as it has a direct effect on the data characteristics, attainable resolution and clinical applicability.</w:t>
      </w:r>
    </w:p>
    <w:p w:rsidR="00000000" w:rsidDel="00000000" w:rsidP="00000000" w:rsidRDefault="00000000" w:rsidRPr="00000000" w14:paraId="000000D3">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Computed tomography angiography (CTA) is the major modality for all detection and joint frameworks, as a result of its high thickness and accessibility in the emergency and screening setting [5]. CTA-based models typically have the advantage of having a better vessel contrast but have to cope with the radiation-related constraints and inter-scanner variability.</w:t>
      </w:r>
    </w:p>
    <w:p w:rsidR="00000000" w:rsidDel="00000000" w:rsidP="00000000" w:rsidRDefault="00000000" w:rsidRPr="00000000" w14:paraId="000000D4">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Magnetic resonance-based modalities such as MRA and TOF-MRA are also being investigated with the increasing use, especially in non-emergency and follow-up settings [6], [7]. AI models developed for these modalities are often tailored to include request-specific preprocessing and augmentation mechanisms that are effective in removing flow-related artefacts and reducing signal-to-noise ratios.</w:t>
      </w:r>
    </w:p>
    <w:p w:rsidR="00000000" w:rsidDel="00000000" w:rsidP="00000000" w:rsidRDefault="00000000" w:rsidRPr="00000000" w14:paraId="000000D5">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Digital subtraction angiography (DSA) and 3D rotational angiography (3DRA), even though not extensively used in large-scale AI studies, play an important role in high-precision segmentation and validation, because of their superior spatial resolution [6]. However, the invasive nature of these modalities restricts the availability of datasets and large-scale model training.</w:t>
      </w:r>
    </w:p>
    <w:p w:rsidR="00000000" w:rsidDel="00000000" w:rsidP="00000000" w:rsidRDefault="00000000" w:rsidRPr="00000000" w14:paraId="000000D6">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Emerging and supplementary modalities such as vessel wall imaging, 4D-MRI, transcranial Doppler sonography, and optical coherence tomography lie on the peripheral branches of the taxonomy and are yet to be explored in depth in AI-driven analysis of aneurysms.</w:t>
      </w:r>
    </w:p>
    <w:p w:rsidR="00000000" w:rsidDel="00000000" w:rsidP="00000000" w:rsidRDefault="00000000" w:rsidRPr="00000000" w14:paraId="000000D7">
      <w:pPr>
        <w:pStyle w:val="Heading3"/>
        <w:keepNext w:val="0"/>
        <w:keepLines w:val="0"/>
        <w:spacing w:before="280" w:lineRule="auto"/>
        <w:ind w:left="360" w:firstLine="0"/>
        <w:jc w:val="both"/>
        <w:rPr>
          <w:rFonts w:ascii="Times" w:cs="Times" w:eastAsia="Times" w:hAnsi="Times"/>
          <w:b w:val="1"/>
          <w:bCs w:val="1"/>
          <w:color w:val="000000"/>
          <w:sz w:val="20"/>
          <w:szCs w:val="20"/>
        </w:rPr>
      </w:pPr>
      <w:bookmarkStart w:colFirst="0" w:colLast="0" w:name="_ogzrt4m8mtlr" w:id="0"/>
      <w:bookmarkEnd w:id="0"/>
      <w:r w:rsidDel="00000000" w:rsidR="00000000" w:rsidRPr="00000000">
        <w:rPr>
          <w:rFonts w:ascii="Times" w:cs="Times" w:eastAsia="Times" w:hAnsi="Times"/>
          <w:b w:val="1"/>
          <w:bCs w:val="1"/>
          <w:color w:val="000000"/>
          <w:sz w:val="20"/>
          <w:szCs w:val="20"/>
          <w:rtl w:val="0"/>
        </w:rPr>
        <w:t xml:space="preserve">3.3 AI Methodology-Based Classification</w:t>
      </w:r>
    </w:p>
    <w:p w:rsidR="00000000" w:rsidDel="00000000" w:rsidP="00000000" w:rsidRDefault="00000000" w:rsidRPr="00000000" w14:paraId="000000D8">
      <w:pPr>
        <w:spacing w:after="200" w:lineRule="auto"/>
        <w:jc w:val="both"/>
        <w:rPr>
          <w:rFonts w:ascii="Times" w:cs="Times" w:eastAsia="Times" w:hAnsi="Times"/>
          <w:sz w:val="24"/>
          <w:szCs w:val="24"/>
        </w:rPr>
      </w:pPr>
      <w:r w:rsidDel="00000000" w:rsidR="00000000" w:rsidRPr="00000000">
        <w:rPr>
          <w:rFonts w:ascii="Times" w:cs="Times" w:eastAsia="Times" w:hAnsi="Times"/>
          <w:sz w:val="20"/>
          <w:szCs w:val="20"/>
          <w:rtl w:val="0"/>
        </w:rPr>
        <w:t xml:space="preserve">At the third level, the taxonomy classifies studies according to the methodologies for AI that were used. Conventional CNN-based architecture is the backbone of most of the currently existing architectures, especially for detection and segmentation tasks [10], [11]. Encoder-decoder architectures like U-Net and its variants are the focus of segmentation-oriented studies because of their capacity to capture multiscale spatial context [8], [9].</w:t>
      </w:r>
      <w:r w:rsidDel="00000000" w:rsidR="00000000" w:rsidRPr="00000000">
        <w:rPr>
          <w:rtl w:val="0"/>
        </w:rPr>
      </w:r>
    </w:p>
    <w:p w:rsidR="00000000" w:rsidDel="00000000" w:rsidP="00000000" w:rsidRDefault="00000000" w:rsidRPr="00000000" w14:paraId="000000D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More recent works have proposed transformer-based and hybrid CNN-transformer models to tackle the limitation of long-range dependency modeling [15]. These approaches constitute a move towards more expressive architectures and are at present limited by data and computational demands.</w:t>
      </w:r>
    </w:p>
    <w:p w:rsidR="00000000" w:rsidDel="00000000" w:rsidP="00000000" w:rsidRDefault="00000000" w:rsidRPr="00000000" w14:paraId="000000DA">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Graph-based, mesh-based, and point-based models are another emerging branch of methodology that explicitly encodes vascular topology and geometry [16], [17]. While promising in terms of capturing complex vascular structures, those methods often depend on accurate extraction of vessels and are less standardized than methods based on voxels.</w:t>
      </w:r>
    </w:p>
    <w:p w:rsidR="00000000" w:rsidDel="00000000" w:rsidP="00000000" w:rsidRDefault="00000000" w:rsidRPr="00000000" w14:paraId="000000DC">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Finally, radiomics as well as hybrid ML-DL pipelines are still being used, especially in the evaluation of risk for rupture, where interpretability and feature-level analysis are of clinical value [18].</w:t>
      </w:r>
    </w:p>
    <w:p w:rsidR="00000000" w:rsidDel="00000000" w:rsidP="00000000" w:rsidRDefault="00000000" w:rsidRPr="00000000" w14:paraId="000000DE">
      <w:pPr>
        <w:pStyle w:val="Heading3"/>
        <w:keepNext w:val="0"/>
        <w:keepLines w:val="0"/>
        <w:spacing w:before="280" w:lineRule="auto"/>
        <w:ind w:left="360" w:firstLine="0"/>
        <w:jc w:val="both"/>
        <w:rPr>
          <w:rFonts w:ascii="Times" w:cs="Times" w:eastAsia="Times" w:hAnsi="Times"/>
          <w:b w:val="1"/>
          <w:bCs w:val="1"/>
          <w:color w:val="000000"/>
          <w:sz w:val="20"/>
          <w:szCs w:val="20"/>
        </w:rPr>
      </w:pPr>
      <w:bookmarkStart w:colFirst="0" w:colLast="0" w:name="_tv2m4ih2zskb" w:id="1"/>
      <w:bookmarkEnd w:id="1"/>
      <w:r w:rsidDel="00000000" w:rsidR="00000000" w:rsidRPr="00000000">
        <w:rPr>
          <w:rFonts w:ascii="Times" w:cs="Times" w:eastAsia="Times" w:hAnsi="Times"/>
          <w:b w:val="1"/>
          <w:bCs w:val="1"/>
          <w:color w:val="000000"/>
          <w:sz w:val="20"/>
          <w:szCs w:val="20"/>
          <w:rtl w:val="0"/>
        </w:rPr>
        <w:t xml:space="preserve">3.4 Summary of the Taxonomy</w:t>
      </w:r>
    </w:p>
    <w:p w:rsidR="00000000" w:rsidDel="00000000" w:rsidP="00000000" w:rsidRDefault="00000000" w:rsidRPr="00000000" w14:paraId="000000DF">
      <w:pPr>
        <w:spacing w:after="20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proposed taxonomy offers a common platform for understanding the relationships between AI-based studies of intracranial aneurysms in terms of tasks, modalities, and methodologies. By organizing the literature in a hierarchical fashion, the taxonomy reveals research directions, combinations of research areas that have been underexplored, and emerging trends. Importantly, this structure is also a basis of the comparative analysis presented in subsequent sections and makes it easier to identify gaps that need to be addressed for effective clinical translation.</w:t>
      </w:r>
    </w:p>
    <w:p w:rsidR="00000000" w:rsidDel="00000000" w:rsidP="00000000" w:rsidRDefault="00000000" w:rsidRPr="00000000" w14:paraId="000000E0">
      <w:pPr>
        <w:spacing w:after="0" w:before="0" w:lineRule="auto"/>
        <w:rPr>
          <w:rFonts w:ascii="Times" w:cs="Times" w:eastAsia="Times" w:hAnsi="Times"/>
          <w:sz w:val="18"/>
          <w:szCs w:val="18"/>
        </w:rPr>
      </w:pPr>
      <w:r w:rsidDel="00000000" w:rsidR="00000000" w:rsidRPr="00000000">
        <w:rPr>
          <w:rFonts w:ascii="Times" w:cs="Times" w:eastAsia="Times" w:hAnsi="Times"/>
          <w:b w:val="1"/>
          <w:bCs w:val="1"/>
          <w:sz w:val="18"/>
          <w:szCs w:val="18"/>
          <w:rtl w:val="0"/>
        </w:rPr>
        <w:t xml:space="preserve">Fig. 1.</w:t>
      </w:r>
      <w:r w:rsidDel="00000000" w:rsidR="00000000" w:rsidRPr="00000000">
        <w:rPr>
          <w:rFonts w:ascii="Times" w:cs="Times" w:eastAsia="Times" w:hAnsi="Times"/>
          <w:sz w:val="18"/>
          <w:szCs w:val="18"/>
          <w:rtl w:val="0"/>
        </w:rPr>
        <w:t xml:space="preserve"> Horizontal taxonomy of AI-based IA analysis illustrating the hierarchical organization of studies reviewed between 2022 and 2025</w:t>
      </w:r>
    </w:p>
    <w:p w:rsidR="00000000" w:rsidDel="00000000" w:rsidP="00000000" w:rsidRDefault="00000000" w:rsidRPr="00000000" w14:paraId="000000E1">
      <w:pPr>
        <w:spacing w:after="0" w:before="0" w:line="240" w:lineRule="auto"/>
        <w:jc w:val="cente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2">
      <w:pPr>
        <w:spacing w:after="0" w:before="0" w:lineRule="auto"/>
        <w:jc w:val="both"/>
        <w:rPr>
          <w:rFonts w:ascii="Times" w:cs="Times" w:eastAsia="Times" w:hAnsi="Times"/>
          <w:sz w:val="20"/>
          <w:szCs w:val="20"/>
        </w:rPr>
      </w:pPr>
      <w:r w:rsidDel="00000000" w:rsidR="00000000" w:rsidRPr="00000000">
        <w:rPr>
          <w:rFonts w:ascii="Times" w:cs="Times" w:eastAsia="Times" w:hAnsi="Times"/>
          <w:sz w:val="20"/>
          <w:szCs w:val="20"/>
        </w:rPr>
        <w:drawing>
          <wp:inline distB="114300" distT="114300" distL="114300" distR="114300">
            <wp:extent cx="5734050" cy="7605713"/>
            <wp:effectExtent b="12700" l="12700" r="12700" t="127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0" cy="760571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E3">
      <w:pPr>
        <w:numPr>
          <w:ilvl w:val="0"/>
          <w:numId w:val="2"/>
        </w:numPr>
        <w:spacing w:after="200" w:lineRule="auto"/>
        <w:ind w:left="720" w:hanging="360"/>
        <w:jc w:val="both"/>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Clinical Integration and Practical Considerations</w:t>
      </w:r>
    </w:p>
    <w:p w:rsidR="00000000" w:rsidDel="00000000" w:rsidP="00000000" w:rsidRDefault="00000000" w:rsidRPr="00000000" w14:paraId="000000E4">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Despite the fast pace of methodological progress in AI-based intracranial aneurysm analysis, successful clinical translation also relies on factors that go well beyond algorithmic performance. This section will address important practical considerations that impact real-world translation, such as workflow integration, human-AI interaction, interpretability, validation, and regulatory limitations.</w:t>
      </w:r>
    </w:p>
    <w:p w:rsidR="00000000" w:rsidDel="00000000" w:rsidP="00000000" w:rsidRDefault="00000000" w:rsidRPr="00000000" w14:paraId="000000E5">
      <w:pPr>
        <w:spacing w:after="240" w:before="240" w:lineRule="auto"/>
        <w:ind w:left="360" w:firstLine="0"/>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4.1 Role of AI in Clinical Workflow</w:t>
      </w:r>
    </w:p>
    <w:p w:rsidR="00000000" w:rsidDel="00000000" w:rsidP="00000000" w:rsidRDefault="00000000" w:rsidRPr="00000000" w14:paraId="000000E6">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 current state of AI technology in intracranial aneurysm analysis is mainly focused on the role of AI as a CAD system, not as an independent decision-support system. In practical clinical workflow, AI is most useful as a pre-reading or concurrent reading assistant that points out potential aneurysm areas to the radiologist. Detection models, in particular, can help mitigate oversight errors in high-volume CTA analysis, while segmentation results are used for morphological analysis and treatment planning.</w:t>
      </w:r>
    </w:p>
    <w:p w:rsidR="00000000" w:rsidDel="00000000" w:rsidP="00000000" w:rsidRDefault="00000000" w:rsidRPr="00000000" w14:paraId="000000E7">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For successful end-to-end implementation, however, seamless PACS and radiology workstation integration is necessary. AI models that require significant preprocessing, human interaction, or software execution in a non-standard environment are highly unlikely to be successfully translated into clinical practice, irrespective of their algorithmic performance.</w:t>
      </w:r>
    </w:p>
    <w:p w:rsidR="00000000" w:rsidDel="00000000" w:rsidP="00000000" w:rsidRDefault="00000000" w:rsidRPr="00000000" w14:paraId="000000E8">
      <w:pPr>
        <w:spacing w:after="240" w:before="240" w:lineRule="auto"/>
        <w:ind w:left="360" w:firstLine="0"/>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4.2 Interpretability and Explainability</w:t>
      </w:r>
    </w:p>
    <w:p w:rsidR="00000000" w:rsidDel="00000000" w:rsidP="00000000" w:rsidRDefault="00000000" w:rsidRPr="00000000" w14:paraId="000000E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There is a growing recognition of the importance of interpretability in practical applications. While radiomics-based models are able to provide explicit explanations at the feature level, deep learning models in general need the use of post-hoc interpretability techniques. Visualization-based explanations, such as saliency or attention maps, provide a partial explanation that may not necessarily be connected to clinical practice.</w:t>
      </w:r>
    </w:p>
    <w:p w:rsidR="00000000" w:rsidDel="00000000" w:rsidP="00000000" w:rsidRDefault="00000000" w:rsidRPr="00000000" w14:paraId="000000EA">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In the context of rupture risk assessment and outcome prediction, the importance of interpretability is even more significant, as the outcome of such predictions may have a direct bearing on long-term management plans. Hybrid models that combine deep learning-derived representations with significant clinical features offer a promising direction that balances model performance and interpretability.</w:t>
      </w:r>
    </w:p>
    <w:p w:rsidR="00000000" w:rsidDel="00000000" w:rsidP="00000000" w:rsidRDefault="00000000" w:rsidRPr="00000000" w14:paraId="000000EC">
      <w:pPr>
        <w:spacing w:after="240" w:before="24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4.3 Regulatory and Ethical Considerations</w:t>
      </w:r>
    </w:p>
    <w:p w:rsidR="00000000" w:rsidDel="00000000" w:rsidP="00000000" w:rsidRDefault="00000000" w:rsidRPr="00000000" w14:paraId="000000ED">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Obtaining regulatory approval is a crucial step toward clinical translation. AI systems designed for diagnostic purposes must meet very stringent criteria with respect to safety, performance consistency, and monitoring after deployment. Model updating, dataset drift, and interpretability are challenging issues within the current regulatory framework.</w:t>
      </w:r>
    </w:p>
    <w:p w:rsidR="00000000" w:rsidDel="00000000" w:rsidP="00000000" w:rsidRDefault="00000000" w:rsidRPr="00000000" w14:paraId="000000EE">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Ethical issues, such as bias, transparency, and accountability, are especially relevant in the context of intracranial aneurysm analysis, where incorrect or missed diagnoses can have catastrophic consequences.</w:t>
      </w:r>
    </w:p>
    <w:p w:rsidR="00000000" w:rsidDel="00000000" w:rsidP="00000000" w:rsidRDefault="00000000" w:rsidRPr="00000000" w14:paraId="000000EF">
      <w:pPr>
        <w:numPr>
          <w:ilvl w:val="0"/>
          <w:numId w:val="2"/>
        </w:numPr>
        <w:spacing w:after="200" w:lineRule="auto"/>
        <w:ind w:left="720" w:hanging="360"/>
        <w:jc w:val="both"/>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Open Challenges and Future Directions</w:t>
      </w:r>
    </w:p>
    <w:p w:rsidR="00000000" w:rsidDel="00000000" w:rsidP="00000000" w:rsidRDefault="00000000" w:rsidRPr="00000000" w14:paraId="000000F0">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Despite the progress made in AI-based intracranial aneurysm analysis, there are still some challenges that need to be addressed. These challenges are discussed below.</w:t>
      </w:r>
    </w:p>
    <w:p w:rsidR="00000000" w:rsidDel="00000000" w:rsidP="00000000" w:rsidRDefault="00000000" w:rsidRPr="00000000" w14:paraId="000000F1">
      <w:pPr>
        <w:spacing w:after="240" w:before="24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2">
      <w:pPr>
        <w:spacing w:before="28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5.1 Data Availability, Diversity, and Standardization</w:t>
      </w:r>
    </w:p>
    <w:p w:rsidR="00000000" w:rsidDel="00000000" w:rsidP="00000000" w:rsidRDefault="00000000" w:rsidRPr="00000000" w14:paraId="000000F3">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One of the biggest challenges in the literature is the lack of large-scale, diverse, and well-annotated datasets. Most of the existing literature is based on single-center or institution-specific datasets, which are mostly limited in terms of demographic and scanner diversity. This is a big challenge in terms of the generalization of the models. Future research should focus on multi-center data sharing initiatives, standardized annotation protocols, and the development of publicly available benchmark datasets for intracranial aneurysm analysis.</w:t>
      </w:r>
    </w:p>
    <w:p w:rsidR="00000000" w:rsidDel="00000000" w:rsidP="00000000" w:rsidRDefault="00000000" w:rsidRPr="00000000" w14:paraId="000000F4">
      <w:pPr>
        <w:spacing w:before="28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5.2 Generalization and Domain Robustness</w:t>
      </w:r>
    </w:p>
    <w:p w:rsidR="00000000" w:rsidDel="00000000" w:rsidP="00000000" w:rsidRDefault="00000000" w:rsidRPr="00000000" w14:paraId="000000F5">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Most of the models are not robust and perform poorly on external datasets or unseen imaging conditions. There is a lot of variability in acquisition parameters, contrast timing, reconstruction kernels, and scanner vendors, which causes domain shifts that are not well handled by the current training paradigms. Future research should focus on domain adaptation, self-supervised learning, and robust training paradigms that can handle dataset bias and improve cross-domain generalization.</w:t>
      </w:r>
    </w:p>
    <w:p w:rsidR="00000000" w:rsidDel="00000000" w:rsidP="00000000" w:rsidRDefault="00000000" w:rsidRPr="00000000" w14:paraId="000000F6">
      <w:pPr>
        <w:spacing w:before="28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5.3 Small Aneurysm Detection and Rare Case Representation</w:t>
      </w:r>
    </w:p>
    <w:p w:rsidR="00000000" w:rsidDel="00000000" w:rsidP="00000000" w:rsidRDefault="00000000" w:rsidRPr="00000000" w14:paraId="000000F7">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Small aneurysm detection and rare case representation are one of the most difficult and important tasks. These cases are underrepresented in existing datasets and are often the cause of false negatives in the detection pipeline. To overcome this problem, it is necessary to use specific data curation, learning strategies for class imbalance, and evaluation protocols that specifically evaluate performance on small and rare aneurysms.</w:t>
      </w:r>
    </w:p>
    <w:p w:rsidR="00000000" w:rsidDel="00000000" w:rsidP="00000000" w:rsidRDefault="00000000" w:rsidRPr="00000000" w14:paraId="000000F8">
      <w:pPr>
        <w:spacing w:before="28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5.4 Multimodal and Longitudinal Analysis</w:t>
      </w:r>
    </w:p>
    <w:p w:rsidR="00000000" w:rsidDel="00000000" w:rsidP="00000000" w:rsidRDefault="00000000" w:rsidRPr="00000000" w14:paraId="000000F9">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Most existing AI models are designed to process single-modality inputs and perform cross-sectional analysis. However, in real-world clinical practice, multimodal imaging and longitudinal analysis are often required. Future models should be designed to combine complementary information from multiple imaging modalities and temporal sequences to better model aneurysm dynamics, growth patterns, and treatment response. Multimodal fusion and temporal modeling are promising but under-explored directions.</w:t>
      </w:r>
    </w:p>
    <w:p w:rsidR="00000000" w:rsidDel="00000000" w:rsidP="00000000" w:rsidRDefault="00000000" w:rsidRPr="00000000" w14:paraId="000000FA">
      <w:pPr>
        <w:spacing w:before="28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5.5 Integration of Advanced Model Architectures</w:t>
      </w:r>
    </w:p>
    <w:p w:rsidR="00000000" w:rsidDel="00000000" w:rsidP="00000000" w:rsidRDefault="00000000" w:rsidRPr="00000000" w14:paraId="000000FB">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New architectures, such as transformer models, graph models, and foundation models, provide new opportunities for modeling complex vascular structures and long-range dependencies. However, their practical application in clinical practice is currently limited by data requirements, computational complexity, and interpretability issues. Future work should be focused on hybrid architectures that strike a balance between representational capacity and efficiency.</w:t>
      </w:r>
    </w:p>
    <w:p w:rsidR="00000000" w:rsidDel="00000000" w:rsidP="00000000" w:rsidRDefault="00000000" w:rsidRPr="00000000" w14:paraId="000000FC">
      <w:pPr>
        <w:spacing w:before="28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5.6 Explainability and Clinically Meaningful Outputs</w:t>
      </w:r>
    </w:p>
    <w:p w:rsidR="00000000" w:rsidDel="00000000" w:rsidP="00000000" w:rsidRDefault="00000000" w:rsidRPr="00000000" w14:paraId="000000FD">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Explainability is still a key requirement for trust and adoption, especially for rupture risk evaluation and outcome prediction tasks. The state-of-the-art interpretability methods tend to offer little to no clear understanding of the model’s behavior. The development of explanation methods that are more aligned with clinical reasoning, such as feature relevance, anatomical plausibility, or uncertainty estimation, will be crucial for effective human-AI collaboration.</w:t>
      </w:r>
    </w:p>
    <w:p w:rsidR="00000000" w:rsidDel="00000000" w:rsidP="00000000" w:rsidRDefault="00000000" w:rsidRPr="00000000" w14:paraId="000000FE">
      <w:pPr>
        <w:spacing w:after="240" w:before="240" w:lineRule="auto"/>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F">
      <w:pPr>
        <w:spacing w:before="28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5.7 Prospective Validation and Real-World Evaluation</w:t>
      </w:r>
    </w:p>
    <w:p w:rsidR="00000000" w:rsidDel="00000000" w:rsidP="00000000" w:rsidRDefault="00000000" w:rsidRPr="00000000" w14:paraId="00000100">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One of the areas where the literature is lacking is in prospective and real-world validation. While retrospective validation is important and helpful, it does not reflect the full complexity of real-world clinical use. Future work should include prospective trials, reader studies, and workflow-level validation to assess not only the diagnostic accuracy but also the clinical utility, efficiency, and acceptance.</w:t>
      </w:r>
    </w:p>
    <w:p w:rsidR="00000000" w:rsidDel="00000000" w:rsidP="00000000" w:rsidRDefault="00000000" w:rsidRPr="00000000" w14:paraId="00000101">
      <w:pPr>
        <w:spacing w:before="280" w:lineRule="auto"/>
        <w:ind w:left="360" w:firstLine="0"/>
        <w:jc w:val="both"/>
        <w:rPr>
          <w:rFonts w:ascii="Times" w:cs="Times" w:eastAsia="Times" w:hAnsi="Times"/>
          <w:b w:val="1"/>
          <w:bCs w:val="1"/>
          <w:sz w:val="20"/>
          <w:szCs w:val="20"/>
        </w:rPr>
      </w:pPr>
      <w:r w:rsidDel="00000000" w:rsidR="00000000" w:rsidRPr="00000000">
        <w:rPr>
          <w:rFonts w:ascii="Times" w:cs="Times" w:eastAsia="Times" w:hAnsi="Times"/>
          <w:b w:val="1"/>
          <w:bCs w:val="1"/>
          <w:sz w:val="20"/>
          <w:szCs w:val="20"/>
          <w:rtl w:val="0"/>
        </w:rPr>
        <w:t xml:space="preserve">5.8 Ethical, Regulatory, and Deployment Considerations</w:t>
      </w:r>
    </w:p>
    <w:p w:rsidR="00000000" w:rsidDel="00000000" w:rsidP="00000000" w:rsidRDefault="00000000" w:rsidRPr="00000000" w14:paraId="00000102">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As AI systems approach the point of clinical utility, ethical and regulatory considerations are becoming increasingly important. Questions of bias, transparency, accountability, and model updating will need to be addressed within the existing regulatory framework. Future work should include fairness analysis, monitoring, and governance to ensure safe and fair deployment.</w:t>
      </w:r>
    </w:p>
    <w:p w:rsidR="00000000" w:rsidDel="00000000" w:rsidP="00000000" w:rsidRDefault="00000000" w:rsidRPr="00000000" w14:paraId="00000103">
      <w:pPr>
        <w:numPr>
          <w:ilvl w:val="0"/>
          <w:numId w:val="2"/>
        </w:numPr>
        <w:spacing w:after="200" w:lineRule="auto"/>
        <w:ind w:left="720" w:hanging="360"/>
        <w:jc w:val="both"/>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Conclusion</w:t>
      </w:r>
      <w:r w:rsidDel="00000000" w:rsidR="00000000" w:rsidRPr="00000000">
        <w:rPr>
          <w:rtl w:val="0"/>
        </w:rPr>
      </w:r>
    </w:p>
    <w:p w:rsidR="00000000" w:rsidDel="00000000" w:rsidP="00000000" w:rsidRDefault="00000000" w:rsidRPr="00000000" w14:paraId="00000104">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This review offered a thorough and organized discussion of the latest developments in AI-based intracranial aneurysm studies published between June 2022 and October 2025. By systematically reviewing the state-of-the-art in detection, segmentation, joint detection and segmentation, and risk assessment tasks using various imaging modalities and AI approaches, this review revealed both the prevailing trends and the deficiencies in the literature. A task-modality taxonomy was introduced to systematically categorize the burgeoning literature and facilitate a comparative analysis.</w:t>
      </w:r>
    </w:p>
    <w:p w:rsidR="00000000" w:rsidDel="00000000" w:rsidP="00000000" w:rsidRDefault="00000000" w:rsidRPr="00000000" w14:paraId="00000105">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By qualitative and quantitative analysis, this review has shown that, although promising results have been obtained in controlled experiments using AI approaches, specifically deep learning-based models, there are still challenges in real-world applications. Problems of data diversity, generalizability, interpretability, and external validation remain in most categories of existing studies. Moreover, the fact that there are few integrated multi-task models and prospective studies indicates the existing gap between innovation and readiness.</w:t>
      </w:r>
    </w:p>
    <w:p w:rsidR="00000000" w:rsidDel="00000000" w:rsidP="00000000" w:rsidRDefault="00000000" w:rsidRPr="00000000" w14:paraId="00000106">
      <w:pPr>
        <w:spacing w:after="240" w:before="240" w:lineRule="auto"/>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Looking ahead, in order to make significant progress in the area of AI-based analysis of intracranial aneurysms, there will be a need for greater synergy between the development of AI models and clinical practice. The focus on multi-center datasets, harmonized assessment protocols, interpretable and stable models, and prospective validation studies will be critical in ensuring that advances in research are translated into effective clinical solutions. In this manner, this review hopes to contribute to the development of clinically useful AI solutions for intracranial aneurysm analysis.</w:t>
      </w:r>
    </w:p>
    <w:p w:rsidR="00000000" w:rsidDel="00000000" w:rsidP="00000000" w:rsidRDefault="00000000" w:rsidRPr="00000000" w14:paraId="00000107">
      <w:pPr>
        <w:spacing w:after="240" w:before="240" w:lineRule="auto"/>
        <w:jc w:val="both"/>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References</w:t>
      </w:r>
    </w:p>
    <w:p w:rsidR="00000000" w:rsidDel="00000000" w:rsidP="00000000" w:rsidRDefault="00000000" w:rsidRPr="00000000" w14:paraId="00000108">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D. J. Nieuwkamp et al., “Changes in case fatality of aneurysmal subarachnoid haemorrhage over time,” Lancet Neurol., vol. 8, no. 7, pp. 635–642, 2009.</w:t>
      </w:r>
    </w:p>
    <w:p w:rsidR="00000000" w:rsidDel="00000000" w:rsidP="00000000" w:rsidRDefault="00000000" w:rsidRPr="00000000" w14:paraId="00000109">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J. van Gijn, R. S. Kerr, and G. J. Rinkel, “Subarachnoid haemorrhage,” Lancet, vol. 369, no. 9558, pp. 306–318, 2007.</w:t>
      </w:r>
    </w:p>
    <w:p w:rsidR="00000000" w:rsidDel="00000000" w:rsidP="00000000" w:rsidRDefault="00000000" w:rsidRPr="00000000" w14:paraId="0000010A">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R. L. Macdonald and T. A. Schweizer, “Spontaneous subarachnoid haemorrhage,” Lancet, vol. 389, no. 10069, pp. 655–666, 2017.</w:t>
      </w:r>
    </w:p>
    <w:p w:rsidR="00000000" w:rsidDel="00000000" w:rsidP="00000000" w:rsidRDefault="00000000" w:rsidRPr="00000000" w14:paraId="0000010B">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T. Di Noto et al., “Survey of intracranial aneurysm detection and segmentation,” Med. Image Anal., vol. 91, 2025.</w:t>
      </w:r>
    </w:p>
    <w:p w:rsidR="00000000" w:rsidDel="00000000" w:rsidP="00000000" w:rsidRDefault="00000000" w:rsidRPr="00000000" w14:paraId="0000010C">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H. Brinjikji et al., “Imaging of intracranial aneurysms,” Stroke, vol. 46, no. 5, pp. 1404–1412, 2015.</w:t>
      </w:r>
    </w:p>
    <w:p w:rsidR="00000000" w:rsidDel="00000000" w:rsidP="00000000" w:rsidRDefault="00000000" w:rsidRPr="00000000" w14:paraId="0000010D">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M. Söderman et al., “3D rotational angiography in intracranial aneurysms,” AJNR, vol. 26, no. 6, pp. 1419–1426, 2005.</w:t>
      </w:r>
    </w:p>
    <w:p w:rsidR="00000000" w:rsidDel="00000000" w:rsidP="00000000" w:rsidRDefault="00000000" w:rsidRPr="00000000" w14:paraId="0000010E">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A. G. van der Schaaf et al., “Observer variability in aneurysm detection,” Neuroradiology, vol. 48, no. 7, pp. 477–482, 2006.</w:t>
      </w:r>
    </w:p>
    <w:p w:rsidR="00000000" w:rsidDel="00000000" w:rsidP="00000000" w:rsidRDefault="00000000" w:rsidRPr="00000000" w14:paraId="0000010F">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G. Litjens et al., “A survey on deep learning in medical image analysis,” Med. Image Anal., vol. 42, pp. 60–88, 2017.</w:t>
      </w:r>
    </w:p>
    <w:p w:rsidR="00000000" w:rsidDel="00000000" w:rsidP="00000000" w:rsidRDefault="00000000" w:rsidRPr="00000000" w14:paraId="00000110">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J. Ker et al., “Deep learning applications in medical image analysis,” IEEE Access, vol. 6, pp. 9375–9389, 2018.</w:t>
      </w:r>
    </w:p>
    <w:p w:rsidR="00000000" w:rsidDel="00000000" w:rsidP="00000000" w:rsidRDefault="00000000" w:rsidRPr="00000000" w14:paraId="00000111">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Y. Assis et al., “Deep learning for intracranial aneurysm detection on CTA,” BMC Med. Imaging, vol. 24, 2024.</w:t>
      </w:r>
    </w:p>
    <w:p w:rsidR="00000000" w:rsidDel="00000000" w:rsidP="00000000" w:rsidRDefault="00000000" w:rsidRPr="00000000" w14:paraId="00000112">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W.-C. Hsu et al., “Automated detection of intracranial aneurysms using deep neural networks,” Sci. Rep., vol. 13, 2023.</w:t>
      </w:r>
    </w:p>
    <w:p w:rsidR="00000000" w:rsidDel="00000000" w:rsidP="00000000" w:rsidRDefault="00000000" w:rsidRPr="00000000" w14:paraId="00000113">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T. Di Noto et al., “Classification, detection, and segmentation performance of image-based AI in intracranial aneurysms,” BMC Med. Imaging, 2024.</w:t>
      </w:r>
    </w:p>
    <w:p w:rsidR="00000000" w:rsidDel="00000000" w:rsidP="00000000" w:rsidRDefault="00000000" w:rsidRPr="00000000" w14:paraId="00000114">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S. Chen et al., “Graph-based deep learning for intracranial aneurysm analysis,” NeuroImage: Clinical, vol. 39, 2023.</w:t>
      </w:r>
    </w:p>
    <w:p w:rsidR="00000000" w:rsidDel="00000000" w:rsidP="00000000" w:rsidRDefault="00000000" w:rsidRPr="00000000" w14:paraId="00000115">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Z. Liu et al., “Transformer-based models for medical image analysis,” Med. Image Anal., vol. 82, 2022.</w:t>
      </w:r>
    </w:p>
    <w:p w:rsidR="00000000" w:rsidDel="00000000" w:rsidP="00000000" w:rsidRDefault="00000000" w:rsidRPr="00000000" w14:paraId="00000116">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S. Park et al., “Deep learning in the management of intracranial aneurysms,” Clin. Neurol. Neurosurg., vol. 215, 2022.</w:t>
      </w:r>
    </w:p>
    <w:p w:rsidR="00000000" w:rsidDel="00000000" w:rsidP="00000000" w:rsidRDefault="00000000" w:rsidRPr="00000000" w14:paraId="00000117">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A. Rahman et al., “Artificial intelligence applications in intracranial aneurysm,” Neurosurg. Rev., vol. 45, 2022.</w:t>
      </w:r>
    </w:p>
    <w:p w:rsidR="00000000" w:rsidDel="00000000" w:rsidP="00000000" w:rsidRDefault="00000000" w:rsidRPr="00000000" w14:paraId="00000118">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J. Wang et al., “Systematic review of deep learning for intracranial aneurysm detection,” Diagnostics, vol. 11, no. 11, 2023.</w:t>
      </w:r>
    </w:p>
    <w:p w:rsidR="00000000" w:rsidDel="00000000" w:rsidP="00000000" w:rsidRDefault="00000000" w:rsidRPr="00000000" w14:paraId="00000119">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T. Di Noto et al., “Intracranial aneurysm detection: an object detection perspective,” Int. J. Comput. Assist. Radiol. Surg., 2024.</w:t>
      </w:r>
    </w:p>
    <w:p w:rsidR="00000000" w:rsidDel="00000000" w:rsidP="00000000" w:rsidRDefault="00000000" w:rsidRPr="00000000" w14:paraId="0000011A">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J. Qian et al., “Multicenter validation of AI-based intracranial aneurysm detection,” Lancet Digit. Health, vol. 6, 2024.</w:t>
      </w:r>
    </w:p>
    <w:p w:rsidR="00000000" w:rsidDel="00000000" w:rsidP="00000000" w:rsidRDefault="00000000" w:rsidRPr="00000000" w14:paraId="0000011B">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H. Yang et al., “Workflow impact of AI-assisted aneurysm detection,” Eur. Radiol., 2025.</w:t>
      </w:r>
    </w:p>
    <w:p w:rsidR="00000000" w:rsidDel="00000000" w:rsidP="00000000" w:rsidRDefault="00000000" w:rsidRPr="00000000" w14:paraId="0000011C">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Y. Assis et al., “Advancing intracranial aneurysm detection: a systematic review and meta-analysis,” Med. Image Anal., 2025.</w:t>
      </w:r>
    </w:p>
    <w:p w:rsidR="00000000" w:rsidDel="00000000" w:rsidP="00000000" w:rsidRDefault="00000000" w:rsidRPr="00000000" w14:paraId="0000011D">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J. Qian et al., “Evaluation of an automated intracranial aneurysm detection approach using cascade detection networks,” Comput. Med. Imaging Graph., 2022.</w:t>
      </w:r>
    </w:p>
    <w:p w:rsidR="00000000" w:rsidDel="00000000" w:rsidP="00000000" w:rsidRDefault="00000000" w:rsidRPr="00000000" w14:paraId="0000011E">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J. Chen et al., “Attention-guided U-Net for intracranial aneurysm segmentation,” Comput. Biol. Med., 2023.</w:t>
      </w:r>
    </w:p>
    <w:p w:rsidR="00000000" w:rsidDel="00000000" w:rsidP="00000000" w:rsidRDefault="00000000" w:rsidRPr="00000000" w14:paraId="0000011F">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S. Chen et al., “Topology-aware deep learning for cerebral aneurysm segmentation,” NeuroImage: Clinical, 2023.</w:t>
      </w:r>
    </w:p>
    <w:p w:rsidR="00000000" w:rsidDel="00000000" w:rsidP="00000000" w:rsidRDefault="00000000" w:rsidRPr="00000000" w14:paraId="00000120">
      <w:pPr>
        <w:numPr>
          <w:ilvl w:val="0"/>
          <w:numId w:val="1"/>
        </w:numPr>
        <w:ind w:left="720" w:hanging="360"/>
        <w:jc w:val="both"/>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J. Qian et al., “Cascade detection and classification networks for intracranial aneurysm analysis,” Med. Phys., 2023.</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