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2D19" w14:textId="77777777" w:rsidR="00C46000" w:rsidRDefault="00E35267">
      <w:pPr>
        <w:spacing w:before="54" w:after="0" w:line="276" w:lineRule="auto"/>
        <w:jc w:val="center"/>
        <w:rPr>
          <w:rFonts w:ascii="Cambria" w:hAnsi="Cambria"/>
          <w:b/>
          <w:bCs/>
          <w:sz w:val="24"/>
          <w:szCs w:val="24"/>
        </w:rPr>
      </w:pPr>
      <w:proofErr w:type="spellStart"/>
      <w:r>
        <w:rPr>
          <w:rFonts w:ascii="Cambria" w:hAnsi="Cambria"/>
          <w:b/>
          <w:bCs/>
          <w:sz w:val="28"/>
          <w:szCs w:val="28"/>
        </w:rPr>
        <w:t>LearnSphere</w:t>
      </w:r>
      <w:proofErr w:type="spellEnd"/>
      <w:r>
        <w:rPr>
          <w:rFonts w:ascii="Cambria" w:hAnsi="Cambria"/>
          <w:b/>
          <w:bCs/>
          <w:sz w:val="28"/>
          <w:szCs w:val="28"/>
        </w:rPr>
        <w:t xml:space="preserve"> and Beyond: A Survey of </w:t>
      </w:r>
      <w:proofErr w:type="spellStart"/>
      <w:r>
        <w:rPr>
          <w:rFonts w:ascii="Cambria" w:hAnsi="Cambria"/>
          <w:b/>
          <w:bCs/>
          <w:sz w:val="28"/>
          <w:szCs w:val="28"/>
        </w:rPr>
        <w:t>AIPowered</w:t>
      </w:r>
      <w:proofErr w:type="spellEnd"/>
      <w:r>
        <w:rPr>
          <w:rFonts w:ascii="Cambria" w:hAnsi="Cambria"/>
          <w:b/>
          <w:bCs/>
          <w:sz w:val="28"/>
          <w:szCs w:val="28"/>
        </w:rPr>
        <w:t xml:space="preserve"> Adaptive Learning Ecosystem</w:t>
      </w:r>
      <w:r>
        <w:rPr>
          <w:rFonts w:ascii="Cambria" w:hAnsi="Cambria"/>
          <w:b/>
          <w:bCs/>
          <w:sz w:val="24"/>
          <w:szCs w:val="24"/>
        </w:rPr>
        <w:br/>
        <w:t xml:space="preserve">Prof. Sai </w:t>
      </w:r>
      <w:proofErr w:type="spellStart"/>
      <w:r>
        <w:rPr>
          <w:rFonts w:ascii="Cambria" w:hAnsi="Cambria"/>
          <w:b/>
          <w:bCs/>
          <w:sz w:val="24"/>
          <w:szCs w:val="24"/>
        </w:rPr>
        <w:t>Takawale</w:t>
      </w:r>
      <w:proofErr w:type="spellEnd"/>
      <w:r>
        <w:rPr>
          <w:rFonts w:ascii="Cambria" w:hAnsi="Cambria"/>
          <w:b/>
          <w:bCs/>
          <w:sz w:val="24"/>
          <w:szCs w:val="24"/>
          <w:vertAlign w:val="superscript"/>
        </w:rPr>
        <w:t>*1</w:t>
      </w:r>
      <w:r>
        <w:rPr>
          <w:rFonts w:ascii="Cambria" w:hAnsi="Cambria"/>
          <w:b/>
          <w:bCs/>
          <w:sz w:val="24"/>
          <w:szCs w:val="24"/>
        </w:rPr>
        <w:t>, Mr. Swapnil Bharate</w:t>
      </w:r>
      <w:r>
        <w:rPr>
          <w:rFonts w:ascii="Cambria" w:hAnsi="Cambria"/>
          <w:b/>
          <w:bCs/>
          <w:sz w:val="24"/>
          <w:szCs w:val="24"/>
          <w:vertAlign w:val="superscript"/>
        </w:rPr>
        <w:t>*2</w:t>
      </w:r>
      <w:r>
        <w:rPr>
          <w:rFonts w:ascii="Cambria" w:hAnsi="Cambria"/>
          <w:b/>
          <w:bCs/>
          <w:sz w:val="24"/>
          <w:szCs w:val="24"/>
        </w:rPr>
        <w:t>, Mr. Sahil Jadhav</w:t>
      </w:r>
      <w:r>
        <w:rPr>
          <w:rFonts w:ascii="Cambria" w:hAnsi="Cambria"/>
          <w:b/>
          <w:bCs/>
          <w:sz w:val="24"/>
          <w:szCs w:val="24"/>
          <w:vertAlign w:val="superscript"/>
        </w:rPr>
        <w:t xml:space="preserve">*3 </w:t>
      </w:r>
      <w:r>
        <w:rPr>
          <w:rFonts w:ascii="Cambria" w:hAnsi="Cambria"/>
          <w:b/>
          <w:bCs/>
          <w:sz w:val="24"/>
          <w:szCs w:val="24"/>
        </w:rPr>
        <w:t xml:space="preserve">Mr. Balkrishna </w:t>
      </w:r>
      <w:proofErr w:type="spellStart"/>
      <w:r>
        <w:rPr>
          <w:rFonts w:ascii="Cambria" w:hAnsi="Cambria"/>
          <w:b/>
          <w:bCs/>
          <w:sz w:val="24"/>
          <w:szCs w:val="24"/>
        </w:rPr>
        <w:t>Gurme</w:t>
      </w:r>
      <w:proofErr w:type="spellEnd"/>
      <w:r>
        <w:rPr>
          <w:rFonts w:ascii="Cambria" w:hAnsi="Cambria"/>
          <w:b/>
          <w:bCs/>
          <w:sz w:val="24"/>
          <w:szCs w:val="24"/>
          <w:vertAlign w:val="superscript"/>
        </w:rPr>
        <w:t>*4</w:t>
      </w:r>
      <w:r>
        <w:rPr>
          <w:rFonts w:ascii="Cambria" w:hAnsi="Cambria"/>
          <w:b/>
          <w:bCs/>
          <w:sz w:val="24"/>
          <w:szCs w:val="24"/>
        </w:rPr>
        <w:t xml:space="preserve">  Mr. Aditya </w:t>
      </w:r>
      <w:proofErr w:type="spellStart"/>
      <w:r>
        <w:rPr>
          <w:rFonts w:ascii="Cambria" w:hAnsi="Cambria"/>
          <w:b/>
          <w:bCs/>
          <w:sz w:val="24"/>
          <w:szCs w:val="24"/>
        </w:rPr>
        <w:t>Bomble</w:t>
      </w:r>
      <w:proofErr w:type="spellEnd"/>
      <w:r>
        <w:rPr>
          <w:rFonts w:ascii="Cambria" w:hAnsi="Cambria"/>
          <w:b/>
          <w:bCs/>
          <w:sz w:val="24"/>
          <w:szCs w:val="24"/>
          <w:vertAlign w:val="superscript"/>
        </w:rPr>
        <w:t>*5</w:t>
      </w:r>
      <w:r>
        <w:rPr>
          <w:rFonts w:ascii="Cambria" w:hAnsi="Cambria"/>
          <w:b/>
          <w:bCs/>
          <w:sz w:val="24"/>
          <w:szCs w:val="24"/>
        </w:rPr>
        <w:t xml:space="preserve">  </w:t>
      </w:r>
    </w:p>
    <w:p w14:paraId="5438FF55" w14:textId="77777777" w:rsidR="00C46000" w:rsidRDefault="00E35267">
      <w:pPr>
        <w:pBdr>
          <w:bottom w:val="single" w:sz="12" w:space="1" w:color="auto"/>
        </w:pBdr>
        <w:spacing w:before="54" w:after="0" w:line="276" w:lineRule="auto"/>
        <w:jc w:val="center"/>
        <w:rPr>
          <w:rFonts w:ascii="Cambria" w:hAnsi="Cambria"/>
          <w:sz w:val="32"/>
          <w:szCs w:val="32"/>
          <w:vertAlign w:val="superscript"/>
        </w:rPr>
      </w:pPr>
      <w:r>
        <w:rPr>
          <w:rFonts w:ascii="Cambria" w:hAnsi="Cambria"/>
          <w:sz w:val="32"/>
          <w:szCs w:val="32"/>
          <w:vertAlign w:val="superscript"/>
        </w:rPr>
        <w:t xml:space="preserve">Department Of Computer Engineering, Trinity College Of </w:t>
      </w:r>
      <w:r>
        <w:rPr>
          <w:rFonts w:ascii="Cambria" w:hAnsi="Cambria"/>
          <w:sz w:val="32"/>
          <w:szCs w:val="32"/>
          <w:vertAlign w:val="superscript"/>
        </w:rPr>
        <w:t>Engineering And Research Pune, India.</w:t>
      </w:r>
    </w:p>
    <w:p w14:paraId="29A84542" w14:textId="77777777" w:rsidR="00C46000" w:rsidRDefault="00E35267">
      <w:pPr>
        <w:spacing w:before="54" w:after="0" w:line="276" w:lineRule="auto"/>
        <w:rPr>
          <w:rFonts w:ascii="Cambria" w:hAnsi="Cambria"/>
          <w:b/>
          <w:bCs/>
          <w:sz w:val="24"/>
          <w:szCs w:val="24"/>
        </w:rPr>
      </w:pPr>
      <w:r>
        <w:rPr>
          <w:rFonts w:ascii="Cambria" w:hAnsi="Cambria"/>
        </w:rPr>
        <w:t xml:space="preserve">                                                                                        </w:t>
      </w:r>
      <w:r>
        <w:rPr>
          <w:rFonts w:ascii="Cambria" w:hAnsi="Cambria"/>
          <w:b/>
          <w:bCs/>
          <w:sz w:val="24"/>
          <w:szCs w:val="24"/>
        </w:rPr>
        <w:t xml:space="preserve">ABSTRACT </w:t>
      </w:r>
    </w:p>
    <w:p w14:paraId="3775C59A" w14:textId="77777777" w:rsidR="00C46000" w:rsidRDefault="00E35267">
      <w:pPr>
        <w:pBdr>
          <w:bottom w:val="single" w:sz="4" w:space="8" w:color="auto"/>
        </w:pBdr>
        <w:spacing w:before="54" w:after="0" w:line="276" w:lineRule="auto"/>
        <w:jc w:val="both"/>
        <w:rPr>
          <w:rFonts w:ascii="Cambria" w:hAnsi="Cambria"/>
          <w:sz w:val="20"/>
          <w:szCs w:val="20"/>
        </w:rPr>
      </w:pPr>
      <w:r>
        <w:rPr>
          <w:rFonts w:ascii="Cambria" w:hAnsi="Cambria"/>
          <w:sz w:val="20"/>
          <w:szCs w:val="20"/>
        </w:rPr>
        <w:t xml:space="preserve">The rapid growth of Artificial Intelligence (AI) has changed the face of digital education by enabling personalized and </w:t>
      </w:r>
      <w:r>
        <w:rPr>
          <w:rFonts w:ascii="Cambria" w:hAnsi="Cambria"/>
          <w:sz w:val="20"/>
          <w:szCs w:val="20"/>
        </w:rPr>
        <w:t xml:space="preserve">adaptive learning experiences. </w:t>
      </w:r>
      <w:proofErr w:type="spellStart"/>
      <w:r>
        <w:rPr>
          <w:rFonts w:ascii="Cambria" w:hAnsi="Cambria"/>
          <w:sz w:val="20"/>
          <w:szCs w:val="20"/>
        </w:rPr>
        <w:t>LearnSphere</w:t>
      </w:r>
      <w:proofErr w:type="spellEnd"/>
      <w:r>
        <w:rPr>
          <w:rFonts w:ascii="Cambria" w:hAnsi="Cambria"/>
          <w:sz w:val="20"/>
          <w:szCs w:val="20"/>
        </w:rPr>
        <w:t>, an AI-powered adaptive learning ecosystem, aims to provide a flexible and data-driven educational environment that dynamically adjusts to individual learners’ needs, performance, and learning styles. The system e</w:t>
      </w:r>
      <w:r>
        <w:rPr>
          <w:rFonts w:ascii="Cambria" w:hAnsi="Cambria"/>
          <w:sz w:val="20"/>
          <w:szCs w:val="20"/>
        </w:rPr>
        <w:t xml:space="preserve">mploys machine learning and natural language processing techniques to analyze learner behavior, identify knowledge gaps, and recommend customized learning content. Through continuous feedback and intelligent assessments, </w:t>
      </w:r>
      <w:proofErr w:type="spellStart"/>
      <w:r>
        <w:rPr>
          <w:rFonts w:ascii="Cambria" w:hAnsi="Cambria"/>
          <w:sz w:val="20"/>
          <w:szCs w:val="20"/>
        </w:rPr>
        <w:t>LearnSphere</w:t>
      </w:r>
      <w:proofErr w:type="spellEnd"/>
      <w:r>
        <w:rPr>
          <w:rFonts w:ascii="Cambria" w:hAnsi="Cambria"/>
          <w:sz w:val="20"/>
          <w:szCs w:val="20"/>
        </w:rPr>
        <w:t xml:space="preserve"> promotes self-paced lea</w:t>
      </w:r>
      <w:r>
        <w:rPr>
          <w:rFonts w:ascii="Cambria" w:hAnsi="Cambria"/>
          <w:sz w:val="20"/>
          <w:szCs w:val="20"/>
        </w:rPr>
        <w:t xml:space="preserve">rning while improving engagement and retention. Additionally, real-time analytics dashboards assist educators in monitoring progress and refining instructional strategies. By integrating personalization, automation, and scalability, </w:t>
      </w:r>
      <w:proofErr w:type="spellStart"/>
      <w:r>
        <w:rPr>
          <w:rFonts w:ascii="Cambria" w:hAnsi="Cambria"/>
          <w:sz w:val="20"/>
          <w:szCs w:val="20"/>
        </w:rPr>
        <w:t>LearnSphere</w:t>
      </w:r>
      <w:proofErr w:type="spellEnd"/>
      <w:r>
        <w:rPr>
          <w:rFonts w:ascii="Cambria" w:hAnsi="Cambria"/>
          <w:sz w:val="20"/>
          <w:szCs w:val="20"/>
        </w:rPr>
        <w:t xml:space="preserve"> contributes</w:t>
      </w:r>
      <w:r>
        <w:rPr>
          <w:rFonts w:ascii="Cambria" w:hAnsi="Cambria"/>
          <w:sz w:val="20"/>
          <w:szCs w:val="20"/>
        </w:rPr>
        <w:t xml:space="preserve"> toward building a smart, inclusive, and effective digital learning ecosystem.</w:t>
      </w:r>
    </w:p>
    <w:p w14:paraId="3C2A6981" w14:textId="77777777" w:rsidR="00C46000" w:rsidRDefault="00E35267">
      <w:pPr>
        <w:spacing w:before="54" w:after="0" w:line="276" w:lineRule="auto"/>
        <w:ind w:left="360"/>
        <w:jc w:val="center"/>
        <w:rPr>
          <w:rFonts w:ascii="Cambria" w:hAnsi="Cambria"/>
          <w:b/>
          <w:bCs/>
          <w:sz w:val="24"/>
          <w:szCs w:val="24"/>
        </w:rPr>
      </w:pPr>
      <w:r>
        <w:rPr>
          <w:rFonts w:ascii="Cambria" w:hAnsi="Cambria"/>
          <w:b/>
          <w:bCs/>
          <w:sz w:val="24"/>
          <w:szCs w:val="24"/>
        </w:rPr>
        <w:t xml:space="preserve">1.  INTRODUCTION </w:t>
      </w:r>
    </w:p>
    <w:p w14:paraId="421E5B6C" w14:textId="77777777" w:rsidR="00C46000" w:rsidRDefault="00E35267">
      <w:pPr>
        <w:pStyle w:val="NormalWeb"/>
        <w:jc w:val="both"/>
        <w:rPr>
          <w:rFonts w:ascii="Cambria" w:hAnsi="Cambria"/>
          <w:sz w:val="20"/>
          <w:szCs w:val="20"/>
        </w:rPr>
      </w:pPr>
      <w:r>
        <w:rPr>
          <w:rFonts w:ascii="Cambria" w:hAnsi="Cambria"/>
          <w:sz w:val="20"/>
          <w:szCs w:val="20"/>
        </w:rPr>
        <w:t>The integration of Artificial Intelligence (AI) in education has revolutionized traditional learning methodologies by enabling personalized, data-driven, and a</w:t>
      </w:r>
      <w:r>
        <w:rPr>
          <w:rFonts w:ascii="Cambria" w:hAnsi="Cambria"/>
          <w:sz w:val="20"/>
          <w:szCs w:val="20"/>
        </w:rPr>
        <w:t xml:space="preserve">daptive learning experiences. Conventional learning systems often fail to address differences in learners’ abilities, interests, and learning speeds. AI-powered adaptive learning systems overcome these limitations by </w:t>
      </w:r>
      <w:proofErr w:type="spellStart"/>
      <w:r>
        <w:rPr>
          <w:rFonts w:ascii="Cambria" w:hAnsi="Cambria"/>
          <w:sz w:val="20"/>
          <w:szCs w:val="20"/>
        </w:rPr>
        <w:t>analyzing</w:t>
      </w:r>
      <w:proofErr w:type="spellEnd"/>
      <w:r>
        <w:rPr>
          <w:rFonts w:ascii="Cambria" w:hAnsi="Cambria"/>
          <w:sz w:val="20"/>
          <w:szCs w:val="20"/>
        </w:rPr>
        <w:t xml:space="preserve"> learner </w:t>
      </w:r>
      <w:proofErr w:type="spellStart"/>
      <w:r>
        <w:rPr>
          <w:rFonts w:ascii="Cambria" w:hAnsi="Cambria"/>
          <w:sz w:val="20"/>
          <w:szCs w:val="20"/>
        </w:rPr>
        <w:t>behavior</w:t>
      </w:r>
      <w:proofErr w:type="spellEnd"/>
      <w:r>
        <w:rPr>
          <w:rFonts w:ascii="Cambria" w:hAnsi="Cambria"/>
          <w:sz w:val="20"/>
          <w:szCs w:val="20"/>
        </w:rPr>
        <w:t xml:space="preserve"> and dynamica</w:t>
      </w:r>
      <w:r>
        <w:rPr>
          <w:rFonts w:ascii="Cambria" w:hAnsi="Cambria"/>
          <w:sz w:val="20"/>
          <w:szCs w:val="20"/>
        </w:rPr>
        <w:t>lly adjusting instructional content.</w:t>
      </w:r>
    </w:p>
    <w:p w14:paraId="21A604BE" w14:textId="77777777" w:rsidR="00C46000" w:rsidRDefault="00E35267">
      <w:pPr>
        <w:pBdr>
          <w:bottom w:val="single" w:sz="6" w:space="0" w:color="auto"/>
        </w:pBdr>
        <w:spacing w:before="54" w:after="0" w:line="276" w:lineRule="auto"/>
        <w:jc w:val="both"/>
        <w:rPr>
          <w:rFonts w:ascii="Cambria" w:hAnsi="Cambria"/>
          <w:sz w:val="20"/>
          <w:szCs w:val="20"/>
        </w:rPr>
      </w:pPr>
      <w:proofErr w:type="spellStart"/>
      <w:r>
        <w:rPr>
          <w:rFonts w:ascii="Cambria" w:hAnsi="Cambria"/>
          <w:sz w:val="20"/>
          <w:szCs w:val="20"/>
        </w:rPr>
        <w:t>LearnSphere</w:t>
      </w:r>
      <w:proofErr w:type="spellEnd"/>
      <w:r>
        <w:rPr>
          <w:rFonts w:ascii="Cambria" w:hAnsi="Cambria"/>
          <w:sz w:val="20"/>
          <w:szCs w:val="20"/>
        </w:rPr>
        <w:t xml:space="preserve"> is envisioned as an intelligent learning platform that bridges the gap between technology. It leverages machine learning algorithms, natural language processing, and predictive analytics to continuously moni</w:t>
      </w:r>
      <w:r>
        <w:rPr>
          <w:rFonts w:ascii="Cambria" w:hAnsi="Cambria"/>
          <w:sz w:val="20"/>
          <w:szCs w:val="20"/>
        </w:rPr>
        <w:t xml:space="preserve">tor learner progress and deliver tailored educational resources. The system empowers educators with real-time analytics and performance dashboards, facilitating informed decision-making and improved </w:t>
      </w:r>
      <w:r>
        <w:rPr>
          <w:rFonts w:ascii="Cambria" w:hAnsi="Cambria"/>
          <w:sz w:val="20"/>
          <w:szCs w:val="20"/>
        </w:rPr>
        <w:t xml:space="preserve"> </w:t>
      </w:r>
      <w:r>
        <w:rPr>
          <w:rFonts w:ascii="Cambria" w:hAnsi="Cambria"/>
          <w:sz w:val="20"/>
          <w:szCs w:val="20"/>
        </w:rPr>
        <w:t>design.</w:t>
      </w:r>
      <w:r>
        <w:rPr>
          <w:rFonts w:ascii="Cambria" w:hAnsi="Cambria"/>
          <w:sz w:val="20"/>
          <w:szCs w:val="20"/>
        </w:rPr>
        <w:br/>
      </w:r>
    </w:p>
    <w:p w14:paraId="7910C3F0" w14:textId="77777777" w:rsidR="00C46000" w:rsidRDefault="00E35267">
      <w:pPr>
        <w:pStyle w:val="ListParagraph"/>
        <w:numPr>
          <w:ilvl w:val="0"/>
          <w:numId w:val="2"/>
        </w:numPr>
        <w:spacing w:before="54" w:after="0" w:line="276" w:lineRule="auto"/>
        <w:jc w:val="center"/>
        <w:rPr>
          <w:rFonts w:ascii="Cambria" w:hAnsi="Cambria"/>
          <w:b/>
          <w:bCs/>
          <w:sz w:val="24"/>
          <w:szCs w:val="24"/>
        </w:rPr>
      </w:pPr>
      <w:r>
        <w:rPr>
          <w:rFonts w:ascii="Cambria" w:hAnsi="Cambria"/>
          <w:b/>
          <w:bCs/>
          <w:sz w:val="24"/>
          <w:szCs w:val="24"/>
        </w:rPr>
        <w:t>METHODOLOGY</w:t>
      </w:r>
    </w:p>
    <w:p w14:paraId="1339C301" w14:textId="77777777" w:rsidR="00C46000" w:rsidRDefault="00E35267">
      <w:pPr>
        <w:pBdr>
          <w:bottom w:val="single" w:sz="4" w:space="1" w:color="auto"/>
        </w:pBdr>
        <w:spacing w:before="54" w:after="0" w:line="276" w:lineRule="auto"/>
        <w:jc w:val="both"/>
        <w:rPr>
          <w:rFonts w:ascii="Cambria" w:hAnsi="Cambria"/>
        </w:rPr>
      </w:pPr>
      <w:r>
        <w:rPr>
          <w:rFonts w:ascii="Cambria" w:hAnsi="Cambria"/>
          <w:sz w:val="20"/>
          <w:szCs w:val="20"/>
        </w:rPr>
        <w:t xml:space="preserve">The research work titled </w:t>
      </w:r>
      <w:r>
        <w:rPr>
          <w:rStyle w:val="Strong"/>
          <w:rFonts w:ascii="Cambria" w:hAnsi="Cambria"/>
          <w:sz w:val="20"/>
          <w:szCs w:val="20"/>
        </w:rPr>
        <w:t>“</w:t>
      </w:r>
      <w:proofErr w:type="spellStart"/>
      <w:r>
        <w:rPr>
          <w:rStyle w:val="Strong"/>
          <w:rFonts w:ascii="Cambria" w:hAnsi="Cambria"/>
          <w:sz w:val="20"/>
          <w:szCs w:val="20"/>
        </w:rPr>
        <w:t>LearnSphe</w:t>
      </w:r>
      <w:r>
        <w:rPr>
          <w:rStyle w:val="Strong"/>
          <w:rFonts w:ascii="Cambria" w:hAnsi="Cambria"/>
          <w:sz w:val="20"/>
          <w:szCs w:val="20"/>
        </w:rPr>
        <w:t>re</w:t>
      </w:r>
      <w:proofErr w:type="spellEnd"/>
      <w:r>
        <w:rPr>
          <w:rStyle w:val="Strong"/>
          <w:rFonts w:ascii="Cambria" w:hAnsi="Cambria"/>
          <w:sz w:val="20"/>
          <w:szCs w:val="20"/>
        </w:rPr>
        <w:t xml:space="preserve"> and Beyond: A Survey of AI-Powered Adaptive Learning Ecosystem”</w:t>
      </w:r>
      <w:r>
        <w:rPr>
          <w:rFonts w:ascii="Cambria" w:hAnsi="Cambria"/>
          <w:sz w:val="20"/>
          <w:szCs w:val="20"/>
        </w:rPr>
        <w:t xml:space="preserve"> follows a structured methodology to analyze and design an intelligent adaptive learning framework using Artificial Intelligence. The study begins with a detailed review of existing AI-power</w:t>
      </w:r>
      <w:r>
        <w:rPr>
          <w:rFonts w:ascii="Cambria" w:hAnsi="Cambria"/>
          <w:sz w:val="20"/>
          <w:szCs w:val="20"/>
        </w:rPr>
        <w:t>ed adaptive learning systems to identify current approaches and limitations. Learner behavior is conceptually analyzed using parameters such as performance, engagement, and learning pace. Machine Learning techniques, including supervised learning and clust</w:t>
      </w:r>
      <w:r>
        <w:rPr>
          <w:rFonts w:ascii="Cambria" w:hAnsi="Cambria"/>
          <w:sz w:val="20"/>
          <w:szCs w:val="20"/>
        </w:rPr>
        <w:t xml:space="preserve">ering, are applied for learner profiling and performance prediction. Reinforcement Learning is used to adapt learning paths and optimize content sequencing based on continuous  feedback. </w:t>
      </w:r>
      <w:r>
        <w:rPr>
          <w:rFonts w:ascii="Cambria" w:hAnsi="Cambria"/>
          <w:sz w:val="20"/>
          <w:szCs w:val="20"/>
        </w:rPr>
        <w:br/>
        <w:t>Natural Language Processing supports intelligent tutoring through au</w:t>
      </w:r>
      <w:r>
        <w:rPr>
          <w:rFonts w:ascii="Cambria" w:hAnsi="Cambria"/>
          <w:sz w:val="20"/>
          <w:szCs w:val="20"/>
        </w:rPr>
        <w:t>tomated assessment and personalized feedback. Learning Analytics tools are utilized to monitor learner progress and provide real-time insights to educators. Gamification techniques are incorporated to enhance learner motivation by dynamically adjusting rew</w:t>
      </w:r>
      <w:r>
        <w:rPr>
          <w:rFonts w:ascii="Cambria" w:hAnsi="Cambria"/>
          <w:sz w:val="20"/>
          <w:szCs w:val="20"/>
        </w:rPr>
        <w:t>ards and challenges. The methodology emphasizes continuous improvement, scalability, and transparency, ensuring effective personalization and secure handling of learner data within an AI-driven adaptive learning ecosystem.</w:t>
      </w:r>
    </w:p>
    <w:p w14:paraId="29FAB7BC" w14:textId="29EC4E1D" w:rsidR="00C46000" w:rsidRDefault="00E35267">
      <w:pPr>
        <w:pStyle w:val="Heading5"/>
        <w:ind w:left="0" w:firstLine="0"/>
        <w:rPr>
          <w:rFonts w:ascii="Cambria" w:hAnsi="Cambria"/>
          <w:b/>
          <w:bCs/>
          <w:sz w:val="20"/>
          <w:szCs w:val="20"/>
        </w:rPr>
      </w:pPr>
      <w:r>
        <w:rPr>
          <w:rFonts w:ascii="Cambria" w:hAnsi="Cambria"/>
          <w:b/>
          <w:bCs/>
          <w:sz w:val="24"/>
          <w:szCs w:val="24"/>
        </w:rPr>
        <w:br/>
        <w:t xml:space="preserve">                             </w:t>
      </w:r>
      <w:r>
        <w:rPr>
          <w:rFonts w:ascii="Cambria" w:hAnsi="Cambria"/>
          <w:b/>
          <w:bCs/>
          <w:sz w:val="24"/>
          <w:szCs w:val="24"/>
        </w:rPr>
        <w:t xml:space="preserve">   </w:t>
      </w:r>
      <w:r>
        <w:rPr>
          <w:rFonts w:ascii="Cambria" w:hAnsi="Cambria"/>
          <w:b/>
          <w:bCs/>
          <w:sz w:val="24"/>
          <w:szCs w:val="24"/>
        </w:rPr>
        <w:t xml:space="preserve">                                   </w:t>
      </w:r>
      <w:r w:rsidR="00B75A09">
        <w:rPr>
          <w:rFonts w:ascii="Cambria" w:hAnsi="Cambria"/>
          <w:b/>
          <w:bCs/>
          <w:sz w:val="24"/>
          <w:szCs w:val="24"/>
        </w:rPr>
        <w:br/>
      </w:r>
      <w:r w:rsidR="00B75A09">
        <w:rPr>
          <w:rFonts w:ascii="Cambria" w:hAnsi="Cambria"/>
          <w:b/>
          <w:bCs/>
          <w:sz w:val="24"/>
          <w:szCs w:val="24"/>
        </w:rPr>
        <w:lastRenderedPageBreak/>
        <w:br/>
        <w:t xml:space="preserve">                                                                </w:t>
      </w:r>
      <w:r>
        <w:rPr>
          <w:rFonts w:ascii="Cambria" w:hAnsi="Cambria"/>
          <w:b/>
          <w:bCs/>
          <w:sz w:val="24"/>
          <w:szCs w:val="24"/>
        </w:rPr>
        <w:t xml:space="preserve"> </w:t>
      </w:r>
      <w:r>
        <w:rPr>
          <w:rFonts w:ascii="Cambria" w:hAnsi="Cambria"/>
          <w:b/>
          <w:bCs/>
          <w:sz w:val="24"/>
          <w:szCs w:val="24"/>
        </w:rPr>
        <w:t xml:space="preserve">  3.  LITERATURE SURVEY</w:t>
      </w:r>
    </w:p>
    <w:p w14:paraId="12676DE2" w14:textId="77777777" w:rsidR="00C46000" w:rsidRDefault="00E35267">
      <w:pPr>
        <w:pStyle w:val="Heading3"/>
        <w:rPr>
          <w:rFonts w:ascii="Cambria" w:hAnsi="Cambria"/>
          <w:color w:val="auto"/>
          <w:sz w:val="20"/>
          <w:szCs w:val="20"/>
        </w:rPr>
      </w:pPr>
      <w:r>
        <w:rPr>
          <w:rStyle w:val="Strong"/>
        </w:rPr>
        <w:br/>
      </w:r>
      <w:r>
        <w:rPr>
          <w:rStyle w:val="Strong"/>
          <w:rFonts w:ascii="Cambria" w:hAnsi="Cambria"/>
          <w:color w:val="auto"/>
          <w:sz w:val="20"/>
          <w:szCs w:val="20"/>
        </w:rPr>
        <w:t>3.1 Adaptive Learning and AI-Powered Educational Systems</w:t>
      </w:r>
    </w:p>
    <w:p w14:paraId="24EF2EA0" w14:textId="77777777" w:rsidR="00C46000" w:rsidRDefault="00E35267">
      <w:pPr>
        <w:pStyle w:val="NormalWeb"/>
        <w:jc w:val="both"/>
        <w:rPr>
          <w:rFonts w:ascii="Cambria" w:hAnsi="Cambria"/>
          <w:sz w:val="20"/>
          <w:szCs w:val="20"/>
        </w:rPr>
      </w:pPr>
      <w:r>
        <w:rPr>
          <w:rFonts w:ascii="Cambria" w:hAnsi="Cambria"/>
          <w:sz w:val="20"/>
          <w:szCs w:val="20"/>
        </w:rPr>
        <w:t xml:space="preserve">Adaptive learning ecosystems make use of Artificial Intelligence (AI) to personalize educational content, enhance learner </w:t>
      </w:r>
      <w:r>
        <w:rPr>
          <w:rFonts w:ascii="Cambria" w:hAnsi="Cambria"/>
          <w:sz w:val="20"/>
          <w:szCs w:val="20"/>
        </w:rPr>
        <w:t xml:space="preserve">engagement, and improve the overall delivery of instruction. These systems dynamically modify learning materials, assessments, and progression paths according to individual learner performance, </w:t>
      </w:r>
      <w:proofErr w:type="spellStart"/>
      <w:r>
        <w:rPr>
          <w:rFonts w:ascii="Cambria" w:hAnsi="Cambria"/>
          <w:sz w:val="20"/>
          <w:szCs w:val="20"/>
        </w:rPr>
        <w:t>behavior</w:t>
      </w:r>
      <w:proofErr w:type="spellEnd"/>
      <w:r>
        <w:rPr>
          <w:rFonts w:ascii="Cambria" w:hAnsi="Cambria"/>
          <w:sz w:val="20"/>
          <w:szCs w:val="20"/>
        </w:rPr>
        <w:t>, and preferred learning styles [1], [2]. A typical ad</w:t>
      </w:r>
      <w:r>
        <w:rPr>
          <w:rFonts w:ascii="Cambria" w:hAnsi="Cambria"/>
          <w:sz w:val="20"/>
          <w:szCs w:val="20"/>
        </w:rPr>
        <w:t xml:space="preserve">aptive learning environment consists of four major components: learner profiling, knowledge representation, content recommendation, and performance analytics [1]. In the </w:t>
      </w:r>
      <w:proofErr w:type="spellStart"/>
      <w:r>
        <w:rPr>
          <w:rFonts w:ascii="Cambria" w:hAnsi="Cambria"/>
          <w:sz w:val="20"/>
          <w:szCs w:val="20"/>
        </w:rPr>
        <w:t>LearnSphere</w:t>
      </w:r>
      <w:proofErr w:type="spellEnd"/>
      <w:r>
        <w:rPr>
          <w:rFonts w:ascii="Cambria" w:hAnsi="Cambria"/>
          <w:sz w:val="20"/>
          <w:szCs w:val="20"/>
        </w:rPr>
        <w:t xml:space="preserve"> framework, personalization is achieved through Machine Learning (ML) and L</w:t>
      </w:r>
      <w:r>
        <w:rPr>
          <w:rFonts w:ascii="Cambria" w:hAnsi="Cambria"/>
          <w:sz w:val="20"/>
          <w:szCs w:val="20"/>
        </w:rPr>
        <w:t xml:space="preserve">earning Analytics (LA) techniques, which examine learner interactions to detect knowledge gaps and generate targeted learning recommendations. Supervised learning algorithms such as Decision Trees and Random Forests are used to predict learner performance </w:t>
      </w:r>
      <w:r>
        <w:rPr>
          <w:rFonts w:ascii="Cambria" w:hAnsi="Cambria"/>
          <w:sz w:val="20"/>
          <w:szCs w:val="20"/>
        </w:rPr>
        <w:t xml:space="preserve">[2], while Reinforcement Learning (RL) techniques optimize content sequencing based on continuous learner feedback [4]. In addition, Natural Language Processing (NLP) supports intelligent tutoring and automated feedback by </w:t>
      </w:r>
      <w:proofErr w:type="spellStart"/>
      <w:r>
        <w:rPr>
          <w:rFonts w:ascii="Cambria" w:hAnsi="Cambria"/>
          <w:sz w:val="20"/>
          <w:szCs w:val="20"/>
        </w:rPr>
        <w:t>analyzing</w:t>
      </w:r>
      <w:proofErr w:type="spellEnd"/>
      <w:r>
        <w:rPr>
          <w:rFonts w:ascii="Cambria" w:hAnsi="Cambria"/>
          <w:sz w:val="20"/>
          <w:szCs w:val="20"/>
        </w:rPr>
        <w:t xml:space="preserve"> the meaning and sentime</w:t>
      </w:r>
      <w:r>
        <w:rPr>
          <w:rFonts w:ascii="Cambria" w:hAnsi="Cambria"/>
          <w:sz w:val="20"/>
          <w:szCs w:val="20"/>
        </w:rPr>
        <w:t>nt of learners’ textual responses [3].</w:t>
      </w:r>
    </w:p>
    <w:p w14:paraId="06DC7A75" w14:textId="77777777" w:rsidR="00C46000" w:rsidRDefault="00E35267">
      <w:pPr>
        <w:pStyle w:val="NormalWeb"/>
        <w:jc w:val="both"/>
        <w:rPr>
          <w:rFonts w:ascii="Cambria" w:hAnsi="Cambria"/>
          <w:sz w:val="20"/>
          <w:szCs w:val="20"/>
        </w:rPr>
      </w:pPr>
      <w:r>
        <w:rPr>
          <w:rFonts w:ascii="Cambria" w:hAnsi="Cambria"/>
          <w:sz w:val="20"/>
          <w:szCs w:val="20"/>
        </w:rPr>
        <w:t xml:space="preserve">To enable real-time decision-making, </w:t>
      </w:r>
      <w:proofErr w:type="spellStart"/>
      <w:r>
        <w:rPr>
          <w:rFonts w:ascii="Cambria" w:hAnsi="Cambria"/>
          <w:sz w:val="20"/>
          <w:szCs w:val="20"/>
        </w:rPr>
        <w:t>LearnSphere</w:t>
      </w:r>
      <w:proofErr w:type="spellEnd"/>
      <w:r>
        <w:rPr>
          <w:rFonts w:ascii="Cambria" w:hAnsi="Cambria"/>
          <w:sz w:val="20"/>
          <w:szCs w:val="20"/>
        </w:rPr>
        <w:t xml:space="preserve"> employs Educational Data Mining (EDM) and Learning Analytics to identify patterns in learner performance, engagement, and </w:t>
      </w:r>
      <w:proofErr w:type="spellStart"/>
      <w:r>
        <w:rPr>
          <w:rFonts w:ascii="Cambria" w:hAnsi="Cambria"/>
          <w:sz w:val="20"/>
          <w:szCs w:val="20"/>
        </w:rPr>
        <w:t>behavioral</w:t>
      </w:r>
      <w:proofErr w:type="spellEnd"/>
      <w:r>
        <w:rPr>
          <w:rFonts w:ascii="Cambria" w:hAnsi="Cambria"/>
          <w:sz w:val="20"/>
          <w:szCs w:val="20"/>
        </w:rPr>
        <w:t xml:space="preserve"> trends [1], [6]. The </w:t>
      </w:r>
      <w:r>
        <w:rPr>
          <w:rFonts w:ascii="Cambria" w:hAnsi="Cambria"/>
          <w:sz w:val="20"/>
          <w:szCs w:val="20"/>
        </w:rPr>
        <w:t xml:space="preserve">extracted insights are presented through interactive dashboards that allow educators to monitor progress, identify at-risk learners, and adjust instructional strategies accordingly. A cloud-based architecture ensures scalability, secure data handling, and </w:t>
      </w:r>
      <w:r>
        <w:rPr>
          <w:rFonts w:ascii="Cambria" w:hAnsi="Cambria"/>
          <w:sz w:val="20"/>
          <w:szCs w:val="20"/>
        </w:rPr>
        <w:t>synchronization across multiple devices, making the platform suitable for both remote and hybrid learning environments [4]. Despite advancements, challenges such as data privacy, model bias, and lack of transparency in AI-driven recommendations remain sign</w:t>
      </w:r>
      <w:r>
        <w:rPr>
          <w:rFonts w:ascii="Cambria" w:hAnsi="Cambria"/>
          <w:sz w:val="20"/>
          <w:szCs w:val="20"/>
        </w:rPr>
        <w:t>ificant [5]. Deep learning models often function as black boxes, making it difficult for educators to trust automated decisions [6]. Moreover, effective personalization typically requires large, high-quality datasets, which may not be available in resource</w:t>
      </w:r>
      <w:r>
        <w:rPr>
          <w:rFonts w:ascii="Cambria" w:hAnsi="Cambria"/>
          <w:sz w:val="20"/>
          <w:szCs w:val="20"/>
        </w:rPr>
        <w:t xml:space="preserve">-limited institutions. To address these challenges, </w:t>
      </w:r>
      <w:proofErr w:type="spellStart"/>
      <w:r>
        <w:rPr>
          <w:rFonts w:ascii="Cambria" w:hAnsi="Cambria"/>
          <w:sz w:val="20"/>
          <w:szCs w:val="20"/>
        </w:rPr>
        <w:t>LearnSphere</w:t>
      </w:r>
      <w:proofErr w:type="spellEnd"/>
      <w:r>
        <w:rPr>
          <w:rFonts w:ascii="Cambria" w:hAnsi="Cambria"/>
          <w:sz w:val="20"/>
          <w:szCs w:val="20"/>
        </w:rPr>
        <w:t xml:space="preserve"> proposes the use of federated learning for privacy-preserving model training and interpretable AI techniques to enhance transparency and trust in adaptive learning pathways [4], [5]. By integr</w:t>
      </w:r>
      <w:r>
        <w:rPr>
          <w:rFonts w:ascii="Cambria" w:hAnsi="Cambria"/>
          <w:sz w:val="20"/>
          <w:szCs w:val="20"/>
        </w:rPr>
        <w:t xml:space="preserve">ating AI, analytics, and pedagogy, </w:t>
      </w:r>
      <w:proofErr w:type="spellStart"/>
      <w:r>
        <w:rPr>
          <w:rFonts w:ascii="Cambria" w:hAnsi="Cambria"/>
          <w:sz w:val="20"/>
          <w:szCs w:val="20"/>
        </w:rPr>
        <w:t>LearnSphere</w:t>
      </w:r>
      <w:proofErr w:type="spellEnd"/>
      <w:r>
        <w:rPr>
          <w:rFonts w:ascii="Cambria" w:hAnsi="Cambria"/>
          <w:sz w:val="20"/>
          <w:szCs w:val="20"/>
        </w:rPr>
        <w:t xml:space="preserve"> represents a next-generation learning ecosystem capable of supporting scalable, equitable, and lifelong education [2], [4].</w:t>
      </w:r>
    </w:p>
    <w:p w14:paraId="5352952C" w14:textId="77777777" w:rsidR="00C46000" w:rsidRDefault="00E35267">
      <w:r>
        <w:pict w14:anchorId="5DA95170">
          <v:rect id="_x0000_i1025" style="width:0;height:1.5pt" o:hralign="center" o:hrstd="t" o:hr="t" fillcolor="#a0a0a0" stroked="f"/>
        </w:pict>
      </w:r>
    </w:p>
    <w:p w14:paraId="22319B71" w14:textId="77777777" w:rsidR="00C46000" w:rsidRDefault="00E35267">
      <w:pPr>
        <w:pStyle w:val="Heading3"/>
        <w:rPr>
          <w:rFonts w:ascii="Cambria" w:hAnsi="Cambria"/>
          <w:color w:val="auto"/>
          <w:sz w:val="20"/>
          <w:szCs w:val="20"/>
        </w:rPr>
      </w:pPr>
      <w:r>
        <w:rPr>
          <w:rStyle w:val="Strong"/>
          <w:rFonts w:ascii="Cambria" w:hAnsi="Cambria"/>
          <w:color w:val="auto"/>
          <w:sz w:val="20"/>
          <w:szCs w:val="20"/>
        </w:rPr>
        <w:t>3.2 Intelligent Tutoring Systems and Personalized Feedback Mechanisms</w:t>
      </w:r>
    </w:p>
    <w:p w14:paraId="64250B73" w14:textId="77777777" w:rsidR="00C46000" w:rsidRDefault="00E35267">
      <w:pPr>
        <w:pStyle w:val="NormalWeb"/>
        <w:jc w:val="both"/>
        <w:rPr>
          <w:rFonts w:ascii="Cambria" w:hAnsi="Cambria"/>
          <w:sz w:val="20"/>
          <w:szCs w:val="20"/>
        </w:rPr>
      </w:pPr>
      <w:r>
        <w:rPr>
          <w:rFonts w:ascii="Cambria" w:hAnsi="Cambria"/>
          <w:sz w:val="20"/>
          <w:szCs w:val="20"/>
        </w:rPr>
        <w:t>Intelligent T</w:t>
      </w:r>
      <w:r>
        <w:rPr>
          <w:rFonts w:ascii="Cambria" w:hAnsi="Cambria"/>
          <w:sz w:val="20"/>
          <w:szCs w:val="20"/>
        </w:rPr>
        <w:t>utoring Systems (ITS) represent a major advancement in AI-based education, aiming to replicate the personalized guidance traditionally provided by human tutors [3], [5]. These systems integrate artificial intelligence, cognitive science, and educational ps</w:t>
      </w:r>
      <w:r>
        <w:rPr>
          <w:rFonts w:ascii="Cambria" w:hAnsi="Cambria"/>
          <w:sz w:val="20"/>
          <w:szCs w:val="20"/>
        </w:rPr>
        <w:t>ychology to model a learner’s knowledge state and adapt instruction in real time. The standard ITS architecture includes four core modules: the domain model, which defines subject knowledge; the student model, which tracks learner understanding and misconc</w:t>
      </w:r>
      <w:r>
        <w:rPr>
          <w:rFonts w:ascii="Cambria" w:hAnsi="Cambria"/>
          <w:sz w:val="20"/>
          <w:szCs w:val="20"/>
        </w:rPr>
        <w:t>eptions; the pedagogical model, which selects instructional strategies; and the user interface model, which manages human–computer interaction [3]. In LearnSphere, the intelligent tutoring component uses a hybrid feedback mechanism that combines rule-based</w:t>
      </w:r>
      <w:r>
        <w:rPr>
          <w:rFonts w:ascii="Cambria" w:hAnsi="Cambria"/>
          <w:sz w:val="20"/>
          <w:szCs w:val="20"/>
        </w:rPr>
        <w:t xml:space="preserve"> logic with machine learning classifiers to assess learner performance and deliver adaptive feedback. Predictive analytics continuously evaluates quiz scores, participation levels, and engagement patterns to personalize learning recommendations. Reinforcem</w:t>
      </w:r>
      <w:r>
        <w:rPr>
          <w:rFonts w:ascii="Cambria" w:hAnsi="Cambria"/>
          <w:sz w:val="20"/>
          <w:szCs w:val="20"/>
        </w:rPr>
        <w:t>ent Learning is applied to determine optimal instructional sequences, balancing difficulty levels and sustaining learner motivation [4]. NLP further enhances personalization by enabling conversational agents that provide context-aware feedback and automate</w:t>
      </w:r>
      <w:r>
        <w:rPr>
          <w:rFonts w:ascii="Cambria" w:hAnsi="Cambria"/>
          <w:sz w:val="20"/>
          <w:szCs w:val="20"/>
        </w:rPr>
        <w:t>d evaluation of short-answer responses [2], [3].</w:t>
      </w:r>
    </w:p>
    <w:p w14:paraId="7C352CF7" w14:textId="77777777" w:rsidR="00C46000" w:rsidRDefault="00E35267">
      <w:pPr>
        <w:pStyle w:val="NormalWeb"/>
        <w:jc w:val="both"/>
        <w:rPr>
          <w:rFonts w:ascii="Cambria" w:hAnsi="Cambria"/>
          <w:sz w:val="20"/>
          <w:szCs w:val="20"/>
        </w:rPr>
      </w:pPr>
      <w:r>
        <w:rPr>
          <w:rFonts w:ascii="Cambria" w:hAnsi="Cambria"/>
          <w:sz w:val="20"/>
          <w:szCs w:val="20"/>
        </w:rPr>
        <w:t>Recent studies show that timely and contextualized feedback provided by ITS significantly improves learner engagement and knowledge retention [5]. By incorporating multimodal learning analytics—such as inter</w:t>
      </w:r>
      <w:r>
        <w:rPr>
          <w:rFonts w:ascii="Cambria" w:hAnsi="Cambria"/>
          <w:sz w:val="20"/>
          <w:szCs w:val="20"/>
        </w:rPr>
        <w:t>action logs, time-on-task data, and behavioral metrics—systems can infer cognitive load and dynamically adjust instructional pacing [1], [6]. LearnSphere extends these capabilities by integrating a real-time analytics dashboard that enables educators to vi</w:t>
      </w:r>
      <w:r>
        <w:rPr>
          <w:rFonts w:ascii="Cambria" w:hAnsi="Cambria"/>
          <w:sz w:val="20"/>
          <w:szCs w:val="20"/>
        </w:rPr>
        <w:t>sualize learner progress, intervene when necessary, and refine content delivery using data-driven insights. However, challenges related to scalability, interpretability, and pedagogical alignment remain. Many ITS solutions are domain-specific and lack adap</w:t>
      </w:r>
      <w:r>
        <w:rPr>
          <w:rFonts w:ascii="Cambria" w:hAnsi="Cambria"/>
          <w:sz w:val="20"/>
          <w:szCs w:val="20"/>
        </w:rPr>
        <w:t xml:space="preserve">tability across disciplines [3].  Overall, </w:t>
      </w:r>
      <w:r>
        <w:rPr>
          <w:rFonts w:ascii="Cambria" w:hAnsi="Cambria"/>
          <w:sz w:val="20"/>
          <w:szCs w:val="20"/>
        </w:rPr>
        <w:lastRenderedPageBreak/>
        <w:t>the integration of ITS within LearnSphere creates a comprehensive feedback ecosystem that supports personalized learning paths, promotes self-regulated learning, and effectively balances automated intelligence wit</w:t>
      </w:r>
      <w:r>
        <w:rPr>
          <w:rFonts w:ascii="Cambria" w:hAnsi="Cambria"/>
          <w:sz w:val="20"/>
          <w:szCs w:val="20"/>
        </w:rPr>
        <w:t>h human expertise [2], [4], [6].</w:t>
      </w:r>
    </w:p>
    <w:p w14:paraId="1F0AF90B" w14:textId="77777777" w:rsidR="00C46000" w:rsidRDefault="00E35267">
      <w:r>
        <w:pict w14:anchorId="43A62D46">
          <v:rect id="_x0000_i1026" style="width:0;height:1.5pt" o:hralign="center" o:hrstd="t" o:hr="t" fillcolor="#a0a0a0" stroked="f"/>
        </w:pict>
      </w:r>
    </w:p>
    <w:p w14:paraId="0300D179" w14:textId="77777777" w:rsidR="00C46000" w:rsidRDefault="00E35267">
      <w:pPr>
        <w:pStyle w:val="Heading3"/>
        <w:rPr>
          <w:rFonts w:ascii="Cambria" w:hAnsi="Cambria"/>
        </w:rPr>
      </w:pPr>
      <w:r>
        <w:rPr>
          <w:rStyle w:val="Strong"/>
          <w:rFonts w:ascii="Cambria" w:hAnsi="Cambria"/>
          <w:color w:val="auto"/>
          <w:sz w:val="20"/>
          <w:szCs w:val="20"/>
        </w:rPr>
        <w:t>3.3 Educational Data Mining and Learning Analytics</w:t>
      </w:r>
    </w:p>
    <w:p w14:paraId="5170C475" w14:textId="77777777" w:rsidR="00C46000" w:rsidRDefault="00E35267">
      <w:pPr>
        <w:pStyle w:val="NormalWeb"/>
        <w:jc w:val="both"/>
        <w:rPr>
          <w:rFonts w:ascii="Cambria" w:hAnsi="Cambria"/>
          <w:sz w:val="20"/>
          <w:szCs w:val="20"/>
        </w:rPr>
      </w:pPr>
      <w:r>
        <w:rPr>
          <w:rFonts w:ascii="Cambria" w:hAnsi="Cambria"/>
          <w:sz w:val="20"/>
          <w:szCs w:val="20"/>
        </w:rPr>
        <w:t>Educational Data Mining (EDM) and Learning Analytics (LA) form the foundation of AI-driven adaptive learning systems by enabling the analysis, interpretation, and effecti</w:t>
      </w:r>
      <w:r>
        <w:rPr>
          <w:rFonts w:ascii="Cambria" w:hAnsi="Cambria"/>
          <w:sz w:val="20"/>
          <w:szCs w:val="20"/>
        </w:rPr>
        <w:t>ve use of large-scale educational data [1], [6]. EDM focuses on developing algorithms to discover patterns in learner behavior, performance, and engagement, whereas LA emphasizes visualization, interpretability, and actionable insights for educators and ad</w:t>
      </w:r>
      <w:r>
        <w:rPr>
          <w:rFonts w:ascii="Cambria" w:hAnsi="Cambria"/>
          <w:sz w:val="20"/>
          <w:szCs w:val="20"/>
        </w:rPr>
        <w:t>ministrators [1]. Within LearnSphere, EDM techniques are used to identify knowledge gaps, predict learning outcomes, and group learners based on performance indicators. Learning Analytics dashboards provide real-time insights into engagement levels, comple</w:t>
      </w:r>
      <w:r>
        <w:rPr>
          <w:rFonts w:ascii="Cambria" w:hAnsi="Cambria"/>
          <w:sz w:val="20"/>
          <w:szCs w:val="20"/>
        </w:rPr>
        <w:t>tion rates, and learning progression, allowing educators to monitor both individual and group performance, identify at-risk learners, and take timely corrective actions [2], [6].</w:t>
      </w:r>
    </w:p>
    <w:p w14:paraId="6E2D8A81" w14:textId="77777777" w:rsidR="00C46000" w:rsidRDefault="00E35267">
      <w:pPr>
        <w:pStyle w:val="NormalWeb"/>
        <w:jc w:val="both"/>
        <w:rPr>
          <w:rFonts w:ascii="Cambria" w:hAnsi="Cambria"/>
          <w:sz w:val="20"/>
          <w:szCs w:val="20"/>
        </w:rPr>
      </w:pPr>
      <w:r>
        <w:rPr>
          <w:rFonts w:ascii="Cambria" w:hAnsi="Cambria"/>
          <w:sz w:val="20"/>
          <w:szCs w:val="20"/>
        </w:rPr>
        <w:t>Recent research emphasizes the importance of incorporating temporal and seque</w:t>
      </w:r>
      <w:r>
        <w:rPr>
          <w:rFonts w:ascii="Cambria" w:hAnsi="Cambria"/>
          <w:sz w:val="20"/>
          <w:szCs w:val="20"/>
        </w:rPr>
        <w:t>ntial analysis within EDM frameworks to capture learning trajectories over time. Methods such as Markov models, hidden Markov models, and reinforcement learning support adaptive sequencing of learning resources based on historical learner behavior [4], [6]</w:t>
      </w:r>
      <w:r>
        <w:rPr>
          <w:rFonts w:ascii="Cambria" w:hAnsi="Cambria"/>
          <w:sz w:val="20"/>
          <w:szCs w:val="20"/>
        </w:rPr>
        <w:t>. Learning Analytics also prioritizes interpretability, ensuring that predictive outputs and recommendations are understandable and pedagogically meaningful for educators [6]. By combining EDM and LA, LearnSphere establishes a robust data-driven foundation</w:t>
      </w:r>
      <w:r>
        <w:rPr>
          <w:rFonts w:ascii="Cambria" w:hAnsi="Cambria"/>
          <w:sz w:val="20"/>
          <w:szCs w:val="20"/>
        </w:rPr>
        <w:t xml:space="preserve"> for scalable, adaptive, and evidence-based personalized learning [1], [2], [6].</w:t>
      </w:r>
    </w:p>
    <w:p w14:paraId="64276B13" w14:textId="77777777" w:rsidR="00C46000" w:rsidRDefault="00E35267">
      <w:r>
        <w:pict w14:anchorId="5923AC5F">
          <v:rect id="_x0000_i1027" style="width:0;height:1.5pt" o:hralign="center" o:hrstd="t" o:hr="t" fillcolor="#a0a0a0" stroked="f"/>
        </w:pict>
      </w:r>
    </w:p>
    <w:p w14:paraId="5743AD9D" w14:textId="77777777" w:rsidR="00C46000" w:rsidRDefault="00E35267">
      <w:pPr>
        <w:pStyle w:val="Heading3"/>
        <w:rPr>
          <w:rFonts w:ascii="Cambria" w:hAnsi="Cambria"/>
          <w:color w:val="auto"/>
          <w:sz w:val="20"/>
          <w:szCs w:val="20"/>
        </w:rPr>
      </w:pPr>
      <w:r>
        <w:rPr>
          <w:rStyle w:val="Strong"/>
          <w:rFonts w:ascii="Cambria" w:hAnsi="Cambria"/>
          <w:color w:val="auto"/>
          <w:sz w:val="20"/>
          <w:szCs w:val="20"/>
        </w:rPr>
        <w:t>3.4 AI-Powered Personalized Learning Platforms: Emerging Trends and Applications</w:t>
      </w:r>
    </w:p>
    <w:p w14:paraId="5A684796" w14:textId="77777777" w:rsidR="00C46000" w:rsidRDefault="00E35267">
      <w:pPr>
        <w:pStyle w:val="NormalWeb"/>
        <w:jc w:val="both"/>
        <w:rPr>
          <w:rFonts w:ascii="Cambria" w:hAnsi="Cambria"/>
          <w:sz w:val="20"/>
          <w:szCs w:val="20"/>
        </w:rPr>
      </w:pPr>
      <w:r>
        <w:rPr>
          <w:rFonts w:ascii="Cambria" w:hAnsi="Cambria"/>
          <w:sz w:val="20"/>
          <w:szCs w:val="20"/>
        </w:rPr>
        <w:t>AI-powered personalized learning platforms are increasingly transforming digital education b</w:t>
      </w:r>
      <w:r>
        <w:rPr>
          <w:rFonts w:ascii="Cambria" w:hAnsi="Cambria"/>
          <w:sz w:val="20"/>
          <w:szCs w:val="20"/>
        </w:rPr>
        <w:t>y combining machine learning, natural language processing, and learning analytics to deliver customized learning experiences for diverse learners [2], [4]. These platforms use data-driven insights to adapt instructional content, assessments, and learning p</w:t>
      </w:r>
      <w:r>
        <w:rPr>
          <w:rFonts w:ascii="Cambria" w:hAnsi="Cambria"/>
          <w:sz w:val="20"/>
          <w:szCs w:val="20"/>
        </w:rPr>
        <w:t>athways in real time, resulting in improved engagement, knowledge retention, and learning outcomes [4], [5]. In LearnSphere, predictive modeling, reinforcement learning, and NLP-based feedback mechanisms work together to dynamically personalize learning tr</w:t>
      </w:r>
      <w:r>
        <w:rPr>
          <w:rFonts w:ascii="Cambria" w:hAnsi="Cambria"/>
          <w:sz w:val="20"/>
          <w:szCs w:val="20"/>
        </w:rPr>
        <w:t>ajectories. Predictive models such as Random Forests and Decision Trees analyze learner interaction data to identify strengths and weaknesses, while reinforcement learning optimizes content sequencing and pacing to suit individual learners [2], [4]. NLP mo</w:t>
      </w:r>
      <w:r>
        <w:rPr>
          <w:rFonts w:ascii="Cambria" w:hAnsi="Cambria"/>
          <w:sz w:val="20"/>
          <w:szCs w:val="20"/>
        </w:rPr>
        <w:t>dules enable automated feedback, semantic analysis of learner responses, and conversational tutoring, thereby improving interaction quality and comprehension [3].</w:t>
      </w:r>
    </w:p>
    <w:p w14:paraId="6D8F2061" w14:textId="77777777" w:rsidR="00C46000" w:rsidRDefault="00E35267">
      <w:pPr>
        <w:pStyle w:val="NormalWeb"/>
        <w:jc w:val="both"/>
        <w:rPr>
          <w:rFonts w:ascii="Cambria" w:hAnsi="Cambria"/>
          <w:sz w:val="20"/>
          <w:szCs w:val="20"/>
        </w:rPr>
      </w:pPr>
      <w:r>
        <w:rPr>
          <w:rFonts w:ascii="Cambria" w:hAnsi="Cambria"/>
          <w:sz w:val="20"/>
          <w:szCs w:val="20"/>
        </w:rPr>
        <w:t>Current trends in personalized learning platforms include microlearning, adaptive assessments</w:t>
      </w:r>
      <w:r>
        <w:rPr>
          <w:rFonts w:ascii="Cambria" w:hAnsi="Cambria"/>
          <w:sz w:val="20"/>
          <w:szCs w:val="20"/>
        </w:rPr>
        <w:t>, and AI-supported gamification to enhance learner motivation. Cloud-based infrastructures ensure scalability, cross-device accessibility, and real-time data synchronization, supporting both remote and hybrid learning environments [4], [6]. Educator dashbo</w:t>
      </w:r>
      <w:r>
        <w:rPr>
          <w:rFonts w:ascii="Cambria" w:hAnsi="Cambria"/>
          <w:sz w:val="20"/>
          <w:szCs w:val="20"/>
        </w:rPr>
        <w:t>ards further provide actionable insights into learner progress, enabling timely interventions and curriculum refinement [1], [6]. However, issues such as data privacy, bias in AI recommendations, and the need for explainable models remain challenges [5], [</w:t>
      </w:r>
      <w:r>
        <w:rPr>
          <w:rFonts w:ascii="Cambria" w:hAnsi="Cambria"/>
          <w:sz w:val="20"/>
          <w:szCs w:val="20"/>
        </w:rPr>
        <w:t>6]. LearnSphere addresses these concerns through federated learning, interpretable AI models, and teacher-in-the-loop mechanisms that balance automation with instructional oversight, ensuring trust and educational effectiveness [4], [5].</w:t>
      </w:r>
    </w:p>
    <w:p w14:paraId="26DA0FBE" w14:textId="77777777" w:rsidR="00C46000" w:rsidRDefault="00E35267">
      <w:r>
        <w:pict w14:anchorId="48989F77">
          <v:rect id="_x0000_i1028" style="width:0;height:1.5pt" o:hralign="center" o:hrstd="t" o:hr="t" fillcolor="#a0a0a0" stroked="f"/>
        </w:pict>
      </w:r>
    </w:p>
    <w:p w14:paraId="169AB216" w14:textId="77777777" w:rsidR="00C46000" w:rsidRDefault="00E35267">
      <w:pPr>
        <w:pStyle w:val="Heading3"/>
        <w:rPr>
          <w:rFonts w:ascii="Cambria" w:hAnsi="Cambria"/>
          <w:color w:val="auto"/>
          <w:sz w:val="20"/>
          <w:szCs w:val="20"/>
        </w:rPr>
      </w:pPr>
      <w:r>
        <w:rPr>
          <w:rStyle w:val="Strong"/>
          <w:rFonts w:ascii="Cambria" w:hAnsi="Cambria"/>
          <w:color w:val="auto"/>
          <w:sz w:val="20"/>
          <w:szCs w:val="20"/>
        </w:rPr>
        <w:t>3.5 Gamification</w:t>
      </w:r>
      <w:r>
        <w:rPr>
          <w:rStyle w:val="Strong"/>
          <w:rFonts w:ascii="Cambria" w:hAnsi="Cambria"/>
          <w:color w:val="auto"/>
          <w:sz w:val="20"/>
          <w:szCs w:val="20"/>
        </w:rPr>
        <w:t xml:space="preserve"> and Engagement in Adaptive Learning</w:t>
      </w:r>
    </w:p>
    <w:p w14:paraId="47AEA319" w14:textId="77777777" w:rsidR="00C46000" w:rsidRDefault="00E35267">
      <w:pPr>
        <w:pStyle w:val="NormalWeb"/>
        <w:jc w:val="both"/>
        <w:rPr>
          <w:rFonts w:ascii="Cambria" w:hAnsi="Cambria"/>
          <w:sz w:val="20"/>
          <w:szCs w:val="20"/>
        </w:rPr>
      </w:pPr>
      <w:r>
        <w:rPr>
          <w:rFonts w:ascii="Cambria" w:hAnsi="Cambria"/>
          <w:sz w:val="20"/>
          <w:szCs w:val="20"/>
        </w:rPr>
        <w:t>Gamification in adaptive learning involves the use of game-based elements such as points, badges, leaderboards, challenges, and progress indicators to increase learner motivation, engagement, and persistence [2], [4]. W</w:t>
      </w:r>
      <w:r>
        <w:rPr>
          <w:rFonts w:ascii="Cambria" w:hAnsi="Cambria"/>
          <w:sz w:val="20"/>
          <w:szCs w:val="20"/>
        </w:rPr>
        <w:t xml:space="preserve">hen combined with AI-driven personalization, gamified systems can dynamically adapt rewards, challenges, and feedback based on learner performance and preferences. In LearnSphere, gamification is integrated alongside AI </w:t>
      </w:r>
      <w:r>
        <w:rPr>
          <w:rFonts w:ascii="Cambria" w:hAnsi="Cambria"/>
          <w:sz w:val="20"/>
          <w:szCs w:val="20"/>
        </w:rPr>
        <w:lastRenderedPageBreak/>
        <w:t>personalization to sustain engagemen</w:t>
      </w:r>
      <w:r>
        <w:rPr>
          <w:rFonts w:ascii="Cambria" w:hAnsi="Cambria"/>
          <w:sz w:val="20"/>
          <w:szCs w:val="20"/>
        </w:rPr>
        <w:t>t throughout the learning process. Learners earn points and badges for completing modules or achieving milestones, while leaderboards promote healthy competition. AI algorithms continuously monitor learner progress and adjust task difficulty, reward freque</w:t>
      </w:r>
      <w:r>
        <w:rPr>
          <w:rFonts w:ascii="Cambria" w:hAnsi="Cambria"/>
          <w:sz w:val="20"/>
          <w:szCs w:val="20"/>
        </w:rPr>
        <w:t>ncy, and challenge types to maximize motivation and reduce disengagement [4], [5].</w:t>
      </w:r>
    </w:p>
    <w:p w14:paraId="11B3DD43" w14:textId="77777777" w:rsidR="00C46000" w:rsidRDefault="00E35267">
      <w:pPr>
        <w:pStyle w:val="NormalWeb"/>
        <w:jc w:val="both"/>
        <w:rPr>
          <w:rFonts w:ascii="Cambria" w:hAnsi="Cambria"/>
          <w:sz w:val="20"/>
          <w:szCs w:val="20"/>
        </w:rPr>
      </w:pPr>
      <w:r>
        <w:rPr>
          <w:rFonts w:ascii="Cambria" w:hAnsi="Cambria"/>
          <w:sz w:val="20"/>
          <w:szCs w:val="20"/>
        </w:rPr>
        <w:t>Research shows that gamified adaptive learning environments significantly improve learning outcomes, retention rates, and self-regulated learning skills. Features such as pr</w:t>
      </w:r>
      <w:r>
        <w:rPr>
          <w:rFonts w:ascii="Cambria" w:hAnsi="Cambria"/>
          <w:sz w:val="20"/>
          <w:szCs w:val="20"/>
        </w:rPr>
        <w:t>ogressive challenges, instant feedback, and achievement tracking enhance both intrinsic and extrinsic motivation, particularly in online learning contexts [2], [6]. Aligning gamification strategies with pedagogical goals is therefore essential. LearnSphere</w:t>
      </w:r>
      <w:r>
        <w:rPr>
          <w:rFonts w:ascii="Cambria" w:hAnsi="Cambria"/>
          <w:sz w:val="20"/>
          <w:szCs w:val="20"/>
        </w:rPr>
        <w:t xml:space="preserve"> addresses these issues by using AI to balance motivational elements with learning objectives and incorporating teacher oversight to ensure meaningful and educationally relevant engagement [4], [5].</w:t>
      </w:r>
    </w:p>
    <w:p w14:paraId="3C3C0B63" w14:textId="77777777" w:rsidR="00C46000" w:rsidRDefault="00C46000">
      <w:pPr>
        <w:pBdr>
          <w:bottom w:val="single" w:sz="4" w:space="7" w:color="auto"/>
        </w:pBdr>
        <w:spacing w:before="54" w:after="0" w:line="276" w:lineRule="auto"/>
        <w:jc w:val="both"/>
        <w:rPr>
          <w:rFonts w:ascii="Cambria" w:hAnsi="Cambria"/>
          <w:sz w:val="20"/>
          <w:szCs w:val="20"/>
        </w:rPr>
      </w:pPr>
    </w:p>
    <w:p w14:paraId="668DA9B5" w14:textId="77777777" w:rsidR="00C46000" w:rsidRDefault="00E35267">
      <w:pPr>
        <w:pStyle w:val="NormalWeb"/>
        <w:jc w:val="both"/>
        <w:rPr>
          <w:rFonts w:ascii="Cambria" w:hAnsi="Cambria"/>
          <w:sz w:val="20"/>
          <w:szCs w:val="20"/>
        </w:rPr>
      </w:pPr>
      <w:r>
        <w:rPr>
          <w:rFonts w:ascii="Cambria" w:hAnsi="Cambria"/>
          <w:b/>
          <w:bCs/>
        </w:rPr>
        <w:t xml:space="preserve">                                                        </w:t>
      </w:r>
      <w:r>
        <w:rPr>
          <w:rFonts w:ascii="Cambria" w:hAnsi="Cambria"/>
          <w:b/>
          <w:bCs/>
        </w:rPr>
        <w:t xml:space="preserve">        4.SYSTEMARCHITECTURE</w:t>
      </w:r>
      <w:r>
        <w:rPr>
          <w:rFonts w:ascii="Cambria" w:hAnsi="Cambria"/>
          <w:b/>
          <w:bCs/>
        </w:rPr>
        <w:br/>
      </w:r>
      <w:r>
        <w:rPr>
          <w:rFonts w:ascii="Cambria" w:hAnsi="Cambria"/>
          <w:b/>
          <w:bCs/>
        </w:rPr>
        <w:br/>
      </w:r>
      <w:r>
        <w:rPr>
          <w:rFonts w:ascii="Cambria" w:hAnsi="Cambria"/>
          <w:b/>
          <w:bCs/>
        </w:rPr>
        <w:br/>
      </w:r>
      <w:r>
        <w:rPr>
          <w:noProof/>
        </w:rPr>
        <w:drawing>
          <wp:inline distT="0" distB="0" distL="0" distR="0" wp14:anchorId="222A61BD" wp14:editId="4EF44A67">
            <wp:extent cx="5966460" cy="3002280"/>
            <wp:effectExtent l="0" t="0" r="7620" b="0"/>
            <wp:docPr id="1" name="Picture 1" descr="Architecture of an adaptive learning system.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chitecture of an adaptive learning system. | Downloa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66460" cy="3002280"/>
                    </a:xfrm>
                    <a:prstGeom prst="rect">
                      <a:avLst/>
                    </a:prstGeom>
                    <a:noFill/>
                    <a:ln>
                      <a:noFill/>
                    </a:ln>
                  </pic:spPr>
                </pic:pic>
              </a:graphicData>
            </a:graphic>
          </wp:inline>
        </w:drawing>
      </w:r>
      <w:r>
        <w:rPr>
          <w:rFonts w:ascii="Cambria" w:hAnsi="Cambria"/>
          <w:b/>
          <w:bCs/>
        </w:rPr>
        <w:br/>
      </w:r>
      <w:r>
        <w:br/>
      </w:r>
      <w:r>
        <w:rPr>
          <w:rFonts w:ascii="Cambria" w:hAnsi="Cambria"/>
          <w:sz w:val="20"/>
          <w:szCs w:val="20"/>
        </w:rPr>
        <w:br/>
        <w:t xml:space="preserve">The proposed </w:t>
      </w:r>
      <w:r>
        <w:rPr>
          <w:rStyle w:val="Strong"/>
          <w:rFonts w:ascii="Cambria" w:hAnsi="Cambria"/>
          <w:sz w:val="20"/>
          <w:szCs w:val="20"/>
        </w:rPr>
        <w:t>LearnSphere: AI-Powered Adaptive Learning Ecosystem</w:t>
      </w:r>
      <w:r>
        <w:rPr>
          <w:rFonts w:ascii="Cambria" w:hAnsi="Cambria"/>
          <w:sz w:val="20"/>
          <w:szCs w:val="20"/>
        </w:rPr>
        <w:t xml:space="preserve"> is designed as an intelligent, modular, and scalable architecture aimed at delivering personalized learning experiences through the integration of Artificia</w:t>
      </w:r>
      <w:r>
        <w:rPr>
          <w:rFonts w:ascii="Cambria" w:hAnsi="Cambria"/>
          <w:sz w:val="20"/>
          <w:szCs w:val="20"/>
        </w:rPr>
        <w:t>l Intelligence, Learning Analytics, and Gamification. The system follows a learner-centric approach in which instructional content, feedback, and engagement strategies are continuously adapted based on individual learner behavior and performance. The archi</w:t>
      </w:r>
      <w:r>
        <w:rPr>
          <w:rFonts w:ascii="Cambria" w:hAnsi="Cambria"/>
          <w:sz w:val="20"/>
          <w:szCs w:val="20"/>
        </w:rPr>
        <w:t>tecture consists of four primary components: the Learner Module, AI Engine, Analytics Dashboard, and Feedback &amp; Gamification Module. These components operate within a closed-loop framework to support continuous learning improvement and adaptability.</w:t>
      </w:r>
    </w:p>
    <w:p w14:paraId="63B46F4D"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Le</w:t>
      </w:r>
      <w:r>
        <w:rPr>
          <w:rStyle w:val="Strong"/>
          <w:rFonts w:ascii="Cambria" w:hAnsi="Cambria"/>
          <w:sz w:val="20"/>
          <w:szCs w:val="20"/>
        </w:rPr>
        <w:t>arner Module</w:t>
      </w:r>
      <w:r>
        <w:rPr>
          <w:rFonts w:ascii="Cambria" w:hAnsi="Cambria"/>
          <w:sz w:val="20"/>
          <w:szCs w:val="20"/>
        </w:rPr>
        <w:t xml:space="preserve"> serves as the primary interaction layer of the system, enabling learners to access educational resources such as video lectures, reading materials, quizzes, and assessments. During interaction, the module captures essential learner data, including assessm</w:t>
      </w:r>
      <w:r>
        <w:rPr>
          <w:rFonts w:ascii="Cambria" w:hAnsi="Cambria"/>
          <w:sz w:val="20"/>
          <w:szCs w:val="20"/>
        </w:rPr>
        <w:t>ent scores, interaction logs, learning pace, and engagement patterns. This data is systematically collected and forwarded to the AI Engine for further analysis.</w:t>
      </w:r>
    </w:p>
    <w:p w14:paraId="1C1EC20E"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AI Engine</w:t>
      </w:r>
      <w:r>
        <w:rPr>
          <w:rFonts w:ascii="Cambria" w:hAnsi="Cambria"/>
          <w:sz w:val="20"/>
          <w:szCs w:val="20"/>
        </w:rPr>
        <w:t xml:space="preserve"> represents the core intelligence layer of LearnSphere. It employs Machine Learnin</w:t>
      </w:r>
      <w:r>
        <w:rPr>
          <w:rFonts w:ascii="Cambria" w:hAnsi="Cambria"/>
          <w:sz w:val="20"/>
          <w:szCs w:val="20"/>
        </w:rPr>
        <w:t xml:space="preserve">g algorithms for learner profiling and performance prediction, Reinforcement Learning techniques for adaptive content sequencing, and Natural Language Processing for intelligent tutoring and automated feedback generation. </w:t>
      </w:r>
    </w:p>
    <w:p w14:paraId="630747D5" w14:textId="77777777" w:rsidR="00C46000" w:rsidRDefault="00E35267">
      <w:pPr>
        <w:pStyle w:val="NormalWeb"/>
        <w:jc w:val="both"/>
        <w:rPr>
          <w:rFonts w:ascii="Cambria" w:hAnsi="Cambria"/>
          <w:sz w:val="20"/>
          <w:szCs w:val="20"/>
        </w:rPr>
      </w:pPr>
      <w:r>
        <w:rPr>
          <w:rFonts w:ascii="Cambria" w:hAnsi="Cambria"/>
          <w:sz w:val="20"/>
          <w:szCs w:val="20"/>
        </w:rPr>
        <w:lastRenderedPageBreak/>
        <w:t xml:space="preserve">The </w:t>
      </w:r>
      <w:r>
        <w:rPr>
          <w:rStyle w:val="Strong"/>
          <w:rFonts w:ascii="Cambria" w:hAnsi="Cambria"/>
          <w:sz w:val="20"/>
          <w:szCs w:val="20"/>
        </w:rPr>
        <w:t>Analytics Dashboard</w:t>
      </w:r>
      <w:r>
        <w:rPr>
          <w:rFonts w:ascii="Cambria" w:hAnsi="Cambria"/>
          <w:sz w:val="20"/>
          <w:szCs w:val="20"/>
        </w:rPr>
        <w:t xml:space="preserve"> provides </w:t>
      </w:r>
      <w:r>
        <w:rPr>
          <w:rFonts w:ascii="Cambria" w:hAnsi="Cambria"/>
          <w:sz w:val="20"/>
          <w:szCs w:val="20"/>
        </w:rPr>
        <w:t>real-time visual insights for educators and administrators. It presents key indicators such as learner progress, engagement levels, completion rates, and risk alerts, enabling timely intervention and data-driven instructional decision-making.</w:t>
      </w:r>
    </w:p>
    <w:p w14:paraId="295BB1CA"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 xml:space="preserve">Feedback </w:t>
      </w:r>
      <w:r>
        <w:rPr>
          <w:rStyle w:val="Strong"/>
          <w:rFonts w:ascii="Cambria" w:hAnsi="Cambria"/>
          <w:sz w:val="20"/>
          <w:szCs w:val="20"/>
        </w:rPr>
        <w:t>and Gamification Module</w:t>
      </w:r>
      <w:r>
        <w:rPr>
          <w:rFonts w:ascii="Cambria" w:hAnsi="Cambria"/>
          <w:sz w:val="20"/>
          <w:szCs w:val="20"/>
        </w:rPr>
        <w:t xml:space="preserve"> enhances learner motivation by delivering personalized feedback, rewards, badges, leaderboards, and adaptive challenges. Gamification strategies are dynamically adjusted using AI to ensure alignment with learning objectives. This cl</w:t>
      </w:r>
      <w:r>
        <w:rPr>
          <w:rFonts w:ascii="Cambria" w:hAnsi="Cambria"/>
          <w:sz w:val="20"/>
          <w:szCs w:val="20"/>
        </w:rPr>
        <w:t>osed-loop architecture ensures scalability, continuous improvement, and effective personalized learning delivery.</w:t>
      </w:r>
    </w:p>
    <w:p w14:paraId="3DC04C14" w14:textId="77777777" w:rsidR="00C46000" w:rsidRDefault="00C46000">
      <w:pPr>
        <w:pBdr>
          <w:bottom w:val="single" w:sz="4" w:space="8" w:color="auto"/>
        </w:pBdr>
        <w:spacing w:before="54" w:after="0" w:line="276" w:lineRule="auto"/>
        <w:jc w:val="both"/>
        <w:rPr>
          <w:rFonts w:ascii="Cambria" w:hAnsi="Cambria"/>
          <w:sz w:val="20"/>
          <w:szCs w:val="20"/>
        </w:rPr>
      </w:pPr>
    </w:p>
    <w:p w14:paraId="15336FDD" w14:textId="77777777" w:rsidR="00C46000" w:rsidRDefault="00C46000">
      <w:pPr>
        <w:spacing w:before="54" w:after="0" w:line="276" w:lineRule="auto"/>
        <w:jc w:val="both"/>
        <w:rPr>
          <w:rFonts w:ascii="Cambria" w:hAnsi="Cambria"/>
          <w:b/>
          <w:bCs/>
          <w:sz w:val="20"/>
          <w:szCs w:val="20"/>
        </w:rPr>
      </w:pPr>
    </w:p>
    <w:p w14:paraId="71572788" w14:textId="77777777" w:rsidR="00C46000" w:rsidRDefault="00E35267">
      <w:pPr>
        <w:pStyle w:val="ListParagraph"/>
        <w:spacing w:before="54" w:after="0" w:line="276" w:lineRule="auto"/>
        <w:rPr>
          <w:rFonts w:ascii="Cambria" w:hAnsi="Cambria"/>
          <w:b/>
          <w:bCs/>
          <w:sz w:val="24"/>
          <w:szCs w:val="24"/>
        </w:rPr>
      </w:pPr>
      <w:r>
        <w:rPr>
          <w:rFonts w:ascii="Cambria" w:hAnsi="Cambria"/>
          <w:b/>
          <w:bCs/>
          <w:sz w:val="24"/>
          <w:szCs w:val="24"/>
        </w:rPr>
        <w:t xml:space="preserve">                                                                5.CONCLUSION</w:t>
      </w:r>
    </w:p>
    <w:p w14:paraId="379479BA" w14:textId="77777777" w:rsidR="00C46000" w:rsidRDefault="00E35267">
      <w:pPr>
        <w:pBdr>
          <w:bottom w:val="single" w:sz="4" w:space="8" w:color="auto"/>
        </w:pBdr>
        <w:spacing w:before="54" w:after="0" w:line="276" w:lineRule="auto"/>
        <w:jc w:val="both"/>
        <w:rPr>
          <w:rFonts w:ascii="Cambria" w:hAnsi="Cambria"/>
          <w:sz w:val="20"/>
          <w:szCs w:val="20"/>
        </w:rPr>
      </w:pPr>
      <w:r>
        <w:rPr>
          <w:rFonts w:ascii="Cambria" w:hAnsi="Cambria"/>
          <w:sz w:val="20"/>
          <w:szCs w:val="20"/>
        </w:rPr>
        <w:t>LearnSphere demonstrates the potential of AI-powered adaptive learning ecosystems to deliver personalized, scalable, and engaging education. By integrating machine learning, reinf</w:t>
      </w:r>
      <w:r>
        <w:rPr>
          <w:rFonts w:ascii="Cambria" w:hAnsi="Cambria"/>
          <w:sz w:val="20"/>
          <w:szCs w:val="20"/>
        </w:rPr>
        <w:t>orcement learning, natural language processing, and gamification, the system addresses limitations of existing platforms. LearnSphere offers a transparent, data-driven, and pedagogically aligned framework that supports diverse learners and future-ready dig</w:t>
      </w:r>
      <w:r>
        <w:rPr>
          <w:rFonts w:ascii="Cambria" w:hAnsi="Cambria"/>
          <w:sz w:val="20"/>
          <w:szCs w:val="20"/>
        </w:rPr>
        <w:t>ital_education.</w:t>
      </w:r>
    </w:p>
    <w:p w14:paraId="560EAF02" w14:textId="77777777" w:rsidR="00C46000" w:rsidRDefault="00E35267">
      <w:pPr>
        <w:spacing w:before="54" w:after="0" w:line="276" w:lineRule="auto"/>
        <w:jc w:val="both"/>
        <w:rPr>
          <w:rFonts w:ascii="Cambria" w:hAnsi="Cambria"/>
          <w:b/>
          <w:bCs/>
          <w:sz w:val="24"/>
          <w:szCs w:val="24"/>
        </w:rPr>
      </w:pPr>
      <w:r>
        <w:rPr>
          <w:rFonts w:ascii="Cambria" w:hAnsi="Cambria"/>
          <w:b/>
          <w:bCs/>
          <w:sz w:val="24"/>
          <w:szCs w:val="24"/>
        </w:rPr>
        <w:br/>
        <w:t xml:space="preserve">                                                                              6.REFERENCES</w:t>
      </w:r>
    </w:p>
    <w:p w14:paraId="0C5CC2C9" w14:textId="77777777" w:rsidR="00C46000" w:rsidRDefault="00E35267">
      <w:pPr>
        <w:widowControl w:val="0"/>
        <w:autoSpaceDE w:val="0"/>
        <w:autoSpaceDN w:val="0"/>
        <w:spacing w:before="60" w:after="0" w:line="276" w:lineRule="auto"/>
        <w:rPr>
          <w:rFonts w:ascii="Cambria" w:hAnsi="Cambria"/>
          <w:sz w:val="20"/>
          <w:szCs w:val="20"/>
        </w:rPr>
      </w:pPr>
      <w:r>
        <w:rPr>
          <w:rFonts w:ascii="Cambria" w:hAnsi="Cambria"/>
          <w:sz w:val="20"/>
          <w:szCs w:val="20"/>
        </w:rPr>
        <w:t xml:space="preserve">[1] C. Romero and S. Ventura, “Educational data mining and learning analytics: An updated survey,” </w:t>
      </w:r>
      <w:r>
        <w:rPr>
          <w:rStyle w:val="Emphasis"/>
          <w:rFonts w:ascii="Cambria" w:hAnsi="Cambria"/>
          <w:sz w:val="20"/>
          <w:szCs w:val="20"/>
        </w:rPr>
        <w:t xml:space="preserve">Wiley Interdisciplinary Reviews: Data Mining and </w:t>
      </w:r>
      <w:r>
        <w:rPr>
          <w:rStyle w:val="Emphasis"/>
          <w:rFonts w:ascii="Cambria" w:hAnsi="Cambria"/>
          <w:sz w:val="20"/>
          <w:szCs w:val="20"/>
        </w:rPr>
        <w:t>Knowledge Discovery</w:t>
      </w:r>
      <w:r>
        <w:rPr>
          <w:rFonts w:ascii="Cambria" w:hAnsi="Cambria"/>
          <w:sz w:val="20"/>
          <w:szCs w:val="20"/>
        </w:rPr>
        <w:t>, vol. 10, no. 3, 2025.</w:t>
      </w:r>
      <w:r>
        <w:rPr>
          <w:rFonts w:ascii="Cambria" w:hAnsi="Cambria"/>
          <w:sz w:val="20"/>
          <w:szCs w:val="20"/>
        </w:rPr>
        <w:br/>
      </w:r>
      <w:r>
        <w:rPr>
          <w:rFonts w:ascii="Cambria" w:hAnsi="Cambria"/>
          <w:sz w:val="20"/>
          <w:szCs w:val="20"/>
        </w:rPr>
        <w:br/>
        <w:t xml:space="preserve">[2] S. Wang, “Artificial intelligence in education: A systematic literature review,” </w:t>
      </w:r>
      <w:r>
        <w:rPr>
          <w:rStyle w:val="Emphasis"/>
          <w:rFonts w:ascii="Cambria" w:hAnsi="Cambria"/>
          <w:sz w:val="20"/>
          <w:szCs w:val="20"/>
        </w:rPr>
        <w:t>Education and Information Technologies</w:t>
      </w:r>
      <w:r>
        <w:rPr>
          <w:rFonts w:ascii="Cambria" w:hAnsi="Cambria"/>
          <w:sz w:val="20"/>
          <w:szCs w:val="20"/>
        </w:rPr>
        <w:t>, vol. 29, no. 2, 2024.</w:t>
      </w:r>
      <w:r>
        <w:rPr>
          <w:rFonts w:ascii="Cambria" w:hAnsi="Cambria"/>
          <w:sz w:val="20"/>
          <w:szCs w:val="20"/>
        </w:rPr>
        <w:br/>
      </w:r>
      <w:r>
        <w:rPr>
          <w:rFonts w:ascii="Cambria" w:hAnsi="Cambria"/>
          <w:sz w:val="20"/>
          <w:szCs w:val="20"/>
        </w:rPr>
        <w:br/>
        <w:t>[3] A. Alkhatlan and J. Kalita, “Intelligent tutoring systems: A</w:t>
      </w:r>
      <w:r>
        <w:rPr>
          <w:rFonts w:ascii="Cambria" w:hAnsi="Cambria"/>
          <w:sz w:val="20"/>
          <w:szCs w:val="20"/>
        </w:rPr>
        <w:t xml:space="preserve"> comprehensive survey,” </w:t>
      </w:r>
      <w:r>
        <w:rPr>
          <w:rStyle w:val="Emphasis"/>
          <w:rFonts w:ascii="Cambria" w:hAnsi="Cambria"/>
          <w:sz w:val="20"/>
          <w:szCs w:val="20"/>
        </w:rPr>
        <w:t>International Journal of Computer Applications</w:t>
      </w:r>
      <w:r>
        <w:rPr>
          <w:rFonts w:ascii="Cambria" w:hAnsi="Cambria"/>
          <w:sz w:val="20"/>
          <w:szCs w:val="20"/>
        </w:rPr>
        <w:t>, vol. 181, no. 10, 2024.</w:t>
      </w:r>
      <w:r>
        <w:rPr>
          <w:rFonts w:ascii="Cambria" w:hAnsi="Cambria"/>
          <w:sz w:val="20"/>
          <w:szCs w:val="20"/>
        </w:rPr>
        <w:br/>
      </w:r>
      <w:r>
        <w:rPr>
          <w:rFonts w:ascii="Cambria" w:hAnsi="Cambria"/>
          <w:sz w:val="20"/>
          <w:szCs w:val="20"/>
        </w:rPr>
        <w:br/>
        <w:t xml:space="preserve">[4] P. Tan, “AI-enabled adaptive learning platforms,” </w:t>
      </w:r>
      <w:r>
        <w:rPr>
          <w:rStyle w:val="Emphasis"/>
          <w:rFonts w:ascii="Cambria" w:hAnsi="Cambria"/>
          <w:sz w:val="20"/>
          <w:szCs w:val="20"/>
        </w:rPr>
        <w:t>Computers and Education: Artificial Intelligence</w:t>
      </w:r>
      <w:r>
        <w:rPr>
          <w:rFonts w:ascii="Cambria" w:hAnsi="Cambria"/>
          <w:sz w:val="20"/>
          <w:szCs w:val="20"/>
        </w:rPr>
        <w:t>, vol. 6, 2023.</w:t>
      </w:r>
      <w:r>
        <w:rPr>
          <w:rFonts w:ascii="Cambria" w:hAnsi="Cambria"/>
          <w:sz w:val="20"/>
          <w:szCs w:val="20"/>
        </w:rPr>
        <w:br/>
      </w:r>
      <w:r>
        <w:rPr>
          <w:rFonts w:ascii="Cambria" w:hAnsi="Cambria"/>
          <w:sz w:val="20"/>
          <w:szCs w:val="20"/>
        </w:rPr>
        <w:br/>
        <w:t>[5] J. Létourneau et al., “Effects of in</w:t>
      </w:r>
      <w:r>
        <w:rPr>
          <w:rFonts w:ascii="Cambria" w:hAnsi="Cambria"/>
          <w:sz w:val="20"/>
          <w:szCs w:val="20"/>
        </w:rPr>
        <w:t xml:space="preserve">telligent tutoring systems,” </w:t>
      </w:r>
      <w:r>
        <w:rPr>
          <w:rStyle w:val="Emphasis"/>
          <w:rFonts w:ascii="Cambria" w:hAnsi="Cambria"/>
          <w:sz w:val="20"/>
          <w:szCs w:val="20"/>
        </w:rPr>
        <w:t>Computers &amp; Education</w:t>
      </w:r>
      <w:r>
        <w:rPr>
          <w:rFonts w:ascii="Cambria" w:hAnsi="Cambria"/>
          <w:sz w:val="20"/>
          <w:szCs w:val="20"/>
        </w:rPr>
        <w:t>, vol. 212, 2023.</w:t>
      </w:r>
      <w:r>
        <w:rPr>
          <w:rFonts w:ascii="Cambria" w:hAnsi="Cambria"/>
          <w:sz w:val="20"/>
          <w:szCs w:val="20"/>
        </w:rPr>
        <w:br/>
      </w:r>
      <w:r>
        <w:rPr>
          <w:rFonts w:ascii="Cambria" w:hAnsi="Cambria"/>
          <w:sz w:val="20"/>
          <w:szCs w:val="20"/>
        </w:rPr>
        <w:br/>
        <w:t xml:space="preserve">[6] D. LeMay et al., “Learning analytics and EDM research comparison,” </w:t>
      </w:r>
      <w:r>
        <w:rPr>
          <w:rStyle w:val="Emphasis"/>
          <w:rFonts w:ascii="Cambria" w:hAnsi="Cambria"/>
          <w:sz w:val="20"/>
          <w:szCs w:val="20"/>
        </w:rPr>
        <w:t>Journal of Learning Analytics</w:t>
      </w:r>
      <w:r>
        <w:rPr>
          <w:rFonts w:ascii="Cambria" w:hAnsi="Cambria"/>
          <w:sz w:val="20"/>
          <w:szCs w:val="20"/>
        </w:rPr>
        <w:t>, vol. 8, no. 1, 2023.</w:t>
      </w:r>
    </w:p>
    <w:sectPr w:rsidR="00C4600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FC96" w14:textId="77777777" w:rsidR="00E35267" w:rsidRDefault="00E35267">
      <w:pPr>
        <w:spacing w:line="240" w:lineRule="auto"/>
      </w:pPr>
      <w:r>
        <w:separator/>
      </w:r>
    </w:p>
  </w:endnote>
  <w:endnote w:type="continuationSeparator" w:id="0">
    <w:p w14:paraId="2FE9AA19" w14:textId="77777777" w:rsidR="00E35267" w:rsidRDefault="00E35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3513" w14:textId="77777777" w:rsidR="00C46000" w:rsidRDefault="00C46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8789" w14:textId="77777777" w:rsidR="00C46000" w:rsidRDefault="00E35267">
    <w:pPr>
      <w:pBdr>
        <w:top w:val="single" w:sz="4" w:space="1" w:color="auto"/>
      </w:pBdr>
      <w:spacing w:after="0"/>
      <w:rPr>
        <w:rFonts w:ascii="Cambria Math" w:hAnsi="Cambria Math" w:cs="Mangal"/>
        <w:b/>
        <w:i/>
        <w:color w:val="00B050"/>
        <w:sz w:val="18"/>
        <w:szCs w:val="18"/>
      </w:rPr>
    </w:pPr>
    <w:hyperlink r:id="rId1" w:history="1">
      <w:r>
        <w:rPr>
          <w:rFonts w:ascii="Cambria Math" w:hAnsi="Cambria Math"/>
          <w:iCs/>
          <w:color w:val="0000FF"/>
          <w:sz w:val="18"/>
          <w:szCs w:val="18"/>
          <w:u w:val="single"/>
        </w:rPr>
        <w:t>www.irjmets.com</w:t>
      </w:r>
    </w:hyperlink>
    <w:r>
      <w:rPr>
        <w:rFonts w:ascii="Cambria Math" w:hAnsi="Cambria Math"/>
        <w:iCs/>
        <w:color w:val="00A84C"/>
        <w:sz w:val="18"/>
        <w:szCs w:val="18"/>
      </w:rPr>
      <w:t xml:space="preserve">                              </w:t>
    </w:r>
    <w:r>
      <w:rPr>
        <w:rFonts w:ascii="Cambria Math" w:hAnsi="Cambria Math"/>
        <w:iCs/>
        <w:color w:val="00B050"/>
        <w:sz w:val="18"/>
        <w:szCs w:val="18"/>
      </w:rPr>
      <w:t xml:space="preserve">@International Research Journal of </w:t>
    </w:r>
    <w:r>
      <w:rPr>
        <w:rFonts w:ascii="Cambria Math" w:hAnsi="Cambria Math"/>
        <w:iCs/>
        <w:color w:val="00B050"/>
        <w:sz w:val="18"/>
        <w:szCs w:val="18"/>
      </w:rPr>
      <w:t>Modernization in Engineering, Technology and Science</w:t>
    </w:r>
  </w:p>
  <w:p w14:paraId="73C3803D" w14:textId="77777777" w:rsidR="00C46000" w:rsidRDefault="00E35267">
    <w:pPr>
      <w:tabs>
        <w:tab w:val="center" w:pos="4820"/>
        <w:tab w:val="right" w:pos="9360"/>
      </w:tabs>
      <w:spacing w:after="0" w:line="240" w:lineRule="auto"/>
      <w:jc w:val="center"/>
      <w:rPr>
        <w:rFonts w:asciiTheme="majorHAnsi" w:hAnsiTheme="majorHAnsi" w:cstheme="majorHAnsi"/>
        <w:color w:val="44546A"/>
        <w:sz w:val="20"/>
        <w:szCs w:val="20"/>
      </w:rPr>
    </w:pPr>
    <w:r>
      <w:rPr>
        <w:rFonts w:asciiTheme="majorHAnsi" w:hAnsiTheme="majorHAnsi" w:cstheme="majorHAnsi"/>
        <w:color w:val="44546A"/>
        <w:sz w:val="20"/>
        <w:szCs w:val="20"/>
      </w:rPr>
      <w:t xml:space="preserve"> [</w:t>
    </w:r>
    <w:sdt>
      <w:sdtPr>
        <w:rPr>
          <w:rFonts w:asciiTheme="majorHAnsi" w:hAnsiTheme="majorHAnsi" w:cstheme="majorHAnsi"/>
          <w:color w:val="44546A"/>
          <w:sz w:val="20"/>
          <w:szCs w:val="20"/>
        </w:rPr>
        <w:id w:val="201070037"/>
        <w:docPartObj>
          <w:docPartGallery w:val="AutoText"/>
        </w:docPartObj>
      </w:sdtPr>
      <w:sdtEndPr/>
      <w:sdtContent>
        <w:r>
          <w:rPr>
            <w:rFonts w:asciiTheme="majorHAnsi" w:hAnsiTheme="majorHAnsi" w:cstheme="majorHAnsi"/>
            <w:color w:val="44546A"/>
            <w:sz w:val="20"/>
            <w:szCs w:val="20"/>
          </w:rPr>
          <w:fldChar w:fldCharType="begin"/>
        </w:r>
        <w:r>
          <w:rPr>
            <w:rFonts w:asciiTheme="majorHAnsi" w:hAnsiTheme="majorHAnsi" w:cstheme="majorHAnsi"/>
            <w:color w:val="44546A"/>
            <w:sz w:val="20"/>
            <w:szCs w:val="20"/>
          </w:rPr>
          <w:instrText xml:space="preserve"> PAGE   \* MERGEFORMAT </w:instrText>
        </w:r>
        <w:r>
          <w:rPr>
            <w:rFonts w:asciiTheme="majorHAnsi" w:hAnsiTheme="majorHAnsi" w:cstheme="majorHAnsi"/>
            <w:color w:val="44546A"/>
            <w:sz w:val="20"/>
            <w:szCs w:val="20"/>
          </w:rPr>
          <w:fldChar w:fldCharType="separate"/>
        </w:r>
        <w:r>
          <w:rPr>
            <w:rFonts w:asciiTheme="majorHAnsi" w:hAnsiTheme="majorHAnsi" w:cstheme="majorHAnsi"/>
            <w:color w:val="44546A"/>
            <w:sz w:val="20"/>
            <w:szCs w:val="20"/>
          </w:rPr>
          <w:t>1</w:t>
        </w:r>
        <w:r>
          <w:rPr>
            <w:rFonts w:asciiTheme="majorHAnsi" w:hAnsiTheme="majorHAnsi" w:cstheme="majorHAnsi"/>
            <w:color w:val="44546A"/>
            <w:sz w:val="20"/>
            <w:szCs w:val="20"/>
          </w:rPr>
          <w:fldChar w:fldCharType="end"/>
        </w:r>
        <w:r>
          <w:rPr>
            <w:rFonts w:asciiTheme="majorHAnsi" w:hAnsiTheme="majorHAnsi" w:cstheme="majorHAnsi"/>
            <w:color w:val="44546A"/>
            <w:sz w:val="20"/>
            <w:szCs w:val="20"/>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28E3" w14:textId="77777777" w:rsidR="00C46000" w:rsidRDefault="00C4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AB3D" w14:textId="77777777" w:rsidR="00E35267" w:rsidRDefault="00E35267">
      <w:pPr>
        <w:spacing w:after="0"/>
      </w:pPr>
      <w:r>
        <w:separator/>
      </w:r>
    </w:p>
  </w:footnote>
  <w:footnote w:type="continuationSeparator" w:id="0">
    <w:p w14:paraId="729BA65D" w14:textId="77777777" w:rsidR="00E35267" w:rsidRDefault="00E35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5EE1" w14:textId="77777777" w:rsidR="00C46000" w:rsidRDefault="00C46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E00F" w14:textId="77777777" w:rsidR="00C46000" w:rsidRDefault="00E35267">
    <w:pPr>
      <w:tabs>
        <w:tab w:val="left" w:pos="4820"/>
        <w:tab w:val="right" w:pos="9498"/>
      </w:tabs>
      <w:spacing w:after="0"/>
      <w:rPr>
        <w:rFonts w:ascii="Cambria Math" w:hAnsi="Cambria Math" w:cs="Mangal"/>
        <w:b/>
        <w:color w:val="00B050"/>
        <w:sz w:val="32"/>
        <w:szCs w:val="32"/>
        <w:lang w:val="fr-FR" w:bidi="mr-IN"/>
      </w:rPr>
    </w:pPr>
    <w:r>
      <w:rPr>
        <w:rFonts w:ascii="Cambria Math" w:hAnsi="Cambria Math" w:cs="Mangal"/>
        <w:b/>
        <w:color w:val="00B050"/>
        <w:sz w:val="28"/>
        <w:szCs w:val="28"/>
      </w:rPr>
      <w:t xml:space="preserve"> </w:t>
    </w:r>
    <w:r>
      <w:rPr>
        <w:rFonts w:ascii="Cambria Math" w:eastAsia="Cambria Math" w:hAnsi="Cambria Math" w:cs="Cambria Math"/>
        <w:b/>
        <w:color w:val="00B050"/>
        <w:sz w:val="24"/>
        <w:szCs w:val="24"/>
      </w:rPr>
      <w:t xml:space="preserve">                                                                   </w:t>
    </w:r>
    <w:r>
      <w:rPr>
        <w:rFonts w:ascii="Cambria Math" w:hAnsi="Cambria Math" w:cs="Mangal"/>
        <w:b/>
        <w:color w:val="00B050"/>
        <w:szCs w:val="20"/>
        <w:lang w:val="fr-FR" w:bidi="mr-IN"/>
      </w:rPr>
      <w:t xml:space="preserve">    </w:t>
    </w:r>
    <w:r>
      <w:rPr>
        <w:rFonts w:ascii="Cambria Math" w:hAnsi="Cambria Math" w:cs="Mangal"/>
        <w:b/>
        <w:noProof/>
        <w:color w:val="00B050"/>
        <w:sz w:val="28"/>
        <w:szCs w:val="28"/>
      </w:rPr>
      <w:drawing>
        <wp:inline distT="0" distB="0" distL="0" distR="0" wp14:anchorId="38663E5A" wp14:editId="4572E081">
          <wp:extent cx="1380490" cy="698500"/>
          <wp:effectExtent l="0" t="0" r="0" b="63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l="8949" t="23158" r="14700"/>
                  <a:stretch>
                    <a:fillRect/>
                  </a:stretch>
                </pic:blipFill>
                <pic:spPr>
                  <a:xfrm>
                    <a:off x="0" y="0"/>
                    <a:ext cx="1380490" cy="698500"/>
                  </a:xfrm>
                  <a:prstGeom prst="rect">
                    <a:avLst/>
                  </a:prstGeom>
                  <a:noFill/>
                  <a:ln>
                    <a:noFill/>
                  </a:ln>
                </pic:spPr>
              </pic:pic>
            </a:graphicData>
          </a:graphic>
        </wp:inline>
      </w:drawing>
    </w:r>
    <w:r>
      <w:rPr>
        <w:rFonts w:ascii="Cambria Math" w:hAnsi="Cambria Math" w:cs="Mangal"/>
        <w:b/>
        <w:color w:val="00B050"/>
        <w:szCs w:val="20"/>
        <w:lang w:val="fr-FR" w:bidi="mr-IN"/>
      </w:rPr>
      <w:t xml:space="preserve">                                 </w:t>
    </w:r>
    <w:r>
      <w:rPr>
        <w:rFonts w:ascii="Cambria Math" w:hAnsi="Cambria Math" w:cs="Mangal"/>
        <w:b/>
        <w:color w:val="00B050"/>
        <w:sz w:val="24"/>
        <w:szCs w:val="24"/>
        <w:lang w:val="fr-FR" w:bidi="mr-IN"/>
      </w:rPr>
      <w:t>e-ISSN: 2582-5208</w:t>
    </w:r>
  </w:p>
  <w:p w14:paraId="224655C6" w14:textId="77777777" w:rsidR="00C46000" w:rsidRDefault="00E35267">
    <w:pPr>
      <w:tabs>
        <w:tab w:val="center" w:pos="4680"/>
        <w:tab w:val="left" w:pos="9498"/>
      </w:tabs>
      <w:spacing w:after="0"/>
      <w:rPr>
        <w:rFonts w:ascii="Cambria Math" w:hAnsi="Cambria Math" w:cs="Mangal"/>
        <w:b/>
        <w:color w:val="00B050"/>
        <w:sz w:val="25"/>
        <w:szCs w:val="25"/>
        <w:lang w:val="fr-FR" w:bidi="mr-IN"/>
      </w:rPr>
    </w:pPr>
    <w:r>
      <w:rPr>
        <w:rFonts w:ascii="Cambria Math" w:hAnsi="Cambria Math" w:cs="Mangal"/>
        <w:b/>
        <w:color w:val="00B050"/>
        <w:sz w:val="25"/>
        <w:szCs w:val="25"/>
        <w:lang w:val="fr-FR" w:bidi="mr-IN"/>
      </w:rPr>
      <w:t xml:space="preserve">International </w:t>
    </w:r>
    <w:proofErr w:type="spellStart"/>
    <w:r>
      <w:rPr>
        <w:rFonts w:ascii="Cambria Math" w:hAnsi="Cambria Math" w:cs="Mangal"/>
        <w:b/>
        <w:color w:val="00B050"/>
        <w:sz w:val="25"/>
        <w:szCs w:val="25"/>
        <w:lang w:val="fr-FR" w:bidi="mr-IN"/>
      </w:rPr>
      <w:t>Research</w:t>
    </w:r>
    <w:proofErr w:type="spellEnd"/>
    <w:r>
      <w:rPr>
        <w:rFonts w:ascii="Cambria Math" w:hAnsi="Cambria Math" w:cs="Mangal"/>
        <w:b/>
        <w:color w:val="00B050"/>
        <w:sz w:val="25"/>
        <w:szCs w:val="25"/>
        <w:lang w:val="fr-FR" w:bidi="mr-IN"/>
      </w:rPr>
      <w:t xml:space="preserve"> Journal of </w:t>
    </w:r>
    <w:proofErr w:type="spellStart"/>
    <w:r>
      <w:rPr>
        <w:rFonts w:ascii="Cambria Math" w:hAnsi="Cambria Math" w:cs="Mangal"/>
        <w:b/>
        <w:color w:val="00B050"/>
        <w:sz w:val="25"/>
        <w:szCs w:val="25"/>
        <w:lang w:val="fr-FR" w:bidi="mr-IN"/>
      </w:rPr>
      <w:t>Modernization</w:t>
    </w:r>
    <w:proofErr w:type="spellEnd"/>
    <w:r>
      <w:rPr>
        <w:rFonts w:ascii="Cambria Math" w:hAnsi="Cambria Math" w:cs="Mangal"/>
        <w:b/>
        <w:color w:val="00B050"/>
        <w:sz w:val="25"/>
        <w:szCs w:val="25"/>
        <w:lang w:val="fr-FR" w:bidi="mr-IN"/>
      </w:rPr>
      <w:t xml:space="preserve"> in Engineering </w:t>
    </w:r>
    <w:proofErr w:type="spellStart"/>
    <w:r>
      <w:rPr>
        <w:rFonts w:ascii="Cambria Math" w:hAnsi="Cambria Math" w:cs="Mangal"/>
        <w:b/>
        <w:color w:val="00B050"/>
        <w:sz w:val="25"/>
        <w:szCs w:val="25"/>
        <w:lang w:val="fr-FR" w:bidi="mr-IN"/>
      </w:rPr>
      <w:t>Technology</w:t>
    </w:r>
    <w:proofErr w:type="spellEnd"/>
    <w:r>
      <w:rPr>
        <w:rFonts w:ascii="Cambria Math" w:hAnsi="Cambria Math" w:cs="Mangal"/>
        <w:b/>
        <w:color w:val="00B050"/>
        <w:sz w:val="25"/>
        <w:szCs w:val="25"/>
        <w:lang w:val="fr-FR" w:bidi="mr-IN"/>
      </w:rPr>
      <w:t xml:space="preserve">  and  Science</w:t>
    </w:r>
  </w:p>
  <w:p w14:paraId="7F555ADA" w14:textId="77777777" w:rsidR="00C46000" w:rsidRDefault="00E35267">
    <w:pPr>
      <w:tabs>
        <w:tab w:val="center" w:pos="4680"/>
        <w:tab w:val="right" w:pos="9360"/>
        <w:tab w:val="right" w:pos="9498"/>
      </w:tabs>
      <w:spacing w:after="0"/>
      <w:jc w:val="center"/>
      <w:rPr>
        <w:rFonts w:ascii="Times New Roman" w:hAnsi="Times New Roman" w:cs="Times New Roman"/>
        <w:color w:val="1F497D"/>
        <w:sz w:val="24"/>
        <w:szCs w:val="24"/>
        <w:lang w:bidi="mr-IN"/>
      </w:rPr>
    </w:pPr>
    <w:r>
      <w:rPr>
        <w:rFonts w:ascii="Times New Roman" w:hAnsi="Times New Roman" w:cs="Times New Roman"/>
        <w:b/>
        <w:color w:val="1F497D"/>
        <w:sz w:val="24"/>
        <w:szCs w:val="20"/>
        <w:lang w:bidi="mr-IN"/>
      </w:rPr>
      <w:t xml:space="preserve">( Peer-Reviewed, Open Access, Fully Refereed </w:t>
    </w:r>
    <w:r>
      <w:rPr>
        <w:rFonts w:ascii="Times New Roman" w:hAnsi="Times New Roman" w:cs="Times New Roman"/>
        <w:b/>
        <w:color w:val="1F497D"/>
        <w:sz w:val="24"/>
        <w:szCs w:val="20"/>
        <w:lang w:bidi="mr-IN"/>
      </w:rPr>
      <w:t>International Journal )</w:t>
    </w:r>
  </w:p>
  <w:p w14:paraId="088B59CE" w14:textId="77777777" w:rsidR="00C46000" w:rsidRDefault="00E35267">
    <w:pPr>
      <w:pBdr>
        <w:bottom w:val="single" w:sz="4" w:space="1" w:color="auto"/>
      </w:pBdr>
      <w:tabs>
        <w:tab w:val="center" w:pos="4680"/>
        <w:tab w:val="right" w:pos="9360"/>
        <w:tab w:val="right" w:pos="9498"/>
      </w:tabs>
      <w:spacing w:after="120"/>
      <w:jc w:val="both"/>
      <w:rPr>
        <w:rFonts w:cs="Mangal"/>
        <w:sz w:val="24"/>
        <w:szCs w:val="24"/>
        <w:lang w:bidi="mr-IN"/>
      </w:rPr>
    </w:pPr>
    <w:r>
      <w:rPr>
        <w:rFonts w:ascii="Times New Roman" w:hAnsi="Times New Roman" w:cs="Times New Roman"/>
        <w:b/>
        <w:color w:val="1F497D"/>
        <w:sz w:val="24"/>
        <w:szCs w:val="20"/>
        <w:lang w:val="fr-FR" w:bidi="mr-IN"/>
      </w:rPr>
      <w:t>Volume:07/Issue:08/August-2025          Impact Factor- 8.187                              www.irjmets.com</w:t>
    </w:r>
    <w:r>
      <w:rPr>
        <w:rFonts w:cs="Mangal"/>
        <w:b/>
        <w:color w:val="44546A"/>
        <w:sz w:val="24"/>
        <w:szCs w:val="20"/>
        <w:lang w:val="fr-FR" w:bidi="mr-IN"/>
      </w:rPr>
      <w:t xml:space="preserve"> </w:t>
    </w:r>
    <w:r>
      <w:rPr>
        <w:rFonts w:cs="Mangal"/>
        <w:szCs w:val="20"/>
        <w:lang w:bidi="mr-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5EB6" w14:textId="77777777" w:rsidR="00C46000" w:rsidRDefault="00C46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362"/>
    <w:multiLevelType w:val="multilevel"/>
    <w:tmpl w:val="002B236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3B"/>
    <w:rsid w:val="000001D6"/>
    <w:rsid w:val="00002102"/>
    <w:rsid w:val="000056AE"/>
    <w:rsid w:val="0000775C"/>
    <w:rsid w:val="00062B06"/>
    <w:rsid w:val="00066A7A"/>
    <w:rsid w:val="000717AD"/>
    <w:rsid w:val="00081E20"/>
    <w:rsid w:val="000846F5"/>
    <w:rsid w:val="00091059"/>
    <w:rsid w:val="00095D77"/>
    <w:rsid w:val="000A3933"/>
    <w:rsid w:val="000A5BB0"/>
    <w:rsid w:val="000B1932"/>
    <w:rsid w:val="000B2931"/>
    <w:rsid w:val="000C2D11"/>
    <w:rsid w:val="000C7AA9"/>
    <w:rsid w:val="000D7425"/>
    <w:rsid w:val="000D79A3"/>
    <w:rsid w:val="000E12D8"/>
    <w:rsid w:val="000E5718"/>
    <w:rsid w:val="000F2747"/>
    <w:rsid w:val="000F2DCD"/>
    <w:rsid w:val="0010160E"/>
    <w:rsid w:val="00115146"/>
    <w:rsid w:val="00127B8C"/>
    <w:rsid w:val="00130820"/>
    <w:rsid w:val="001345E3"/>
    <w:rsid w:val="0013642C"/>
    <w:rsid w:val="00140E84"/>
    <w:rsid w:val="0014571A"/>
    <w:rsid w:val="00157BEC"/>
    <w:rsid w:val="001669B3"/>
    <w:rsid w:val="00167C79"/>
    <w:rsid w:val="0017211F"/>
    <w:rsid w:val="001814AA"/>
    <w:rsid w:val="00187922"/>
    <w:rsid w:val="001C0F2F"/>
    <w:rsid w:val="001C15A0"/>
    <w:rsid w:val="001C75F5"/>
    <w:rsid w:val="001D095B"/>
    <w:rsid w:val="001D1DD3"/>
    <w:rsid w:val="001E4A2E"/>
    <w:rsid w:val="001F0BB1"/>
    <w:rsid w:val="00205839"/>
    <w:rsid w:val="00205A73"/>
    <w:rsid w:val="00206DE4"/>
    <w:rsid w:val="00227FA8"/>
    <w:rsid w:val="00235CD2"/>
    <w:rsid w:val="002426D5"/>
    <w:rsid w:val="00246B73"/>
    <w:rsid w:val="00263A55"/>
    <w:rsid w:val="002650CA"/>
    <w:rsid w:val="00273038"/>
    <w:rsid w:val="00275ED8"/>
    <w:rsid w:val="002943C1"/>
    <w:rsid w:val="002E4877"/>
    <w:rsid w:val="002E72CF"/>
    <w:rsid w:val="002E7408"/>
    <w:rsid w:val="002F3187"/>
    <w:rsid w:val="002F43A5"/>
    <w:rsid w:val="00310678"/>
    <w:rsid w:val="003202E1"/>
    <w:rsid w:val="003265E6"/>
    <w:rsid w:val="0033723E"/>
    <w:rsid w:val="00347C82"/>
    <w:rsid w:val="00350F8D"/>
    <w:rsid w:val="00361C3F"/>
    <w:rsid w:val="003656D1"/>
    <w:rsid w:val="003705FD"/>
    <w:rsid w:val="00392E5A"/>
    <w:rsid w:val="003A3AED"/>
    <w:rsid w:val="003B13EB"/>
    <w:rsid w:val="003B34DD"/>
    <w:rsid w:val="003C3221"/>
    <w:rsid w:val="003C3EE1"/>
    <w:rsid w:val="003C4071"/>
    <w:rsid w:val="003D2120"/>
    <w:rsid w:val="003E0C55"/>
    <w:rsid w:val="003E2ECA"/>
    <w:rsid w:val="003E49D7"/>
    <w:rsid w:val="003E7930"/>
    <w:rsid w:val="003F6F2B"/>
    <w:rsid w:val="004161D7"/>
    <w:rsid w:val="00417004"/>
    <w:rsid w:val="0044570C"/>
    <w:rsid w:val="00446FEA"/>
    <w:rsid w:val="00450069"/>
    <w:rsid w:val="004623B5"/>
    <w:rsid w:val="00463B63"/>
    <w:rsid w:val="0048549C"/>
    <w:rsid w:val="0048603E"/>
    <w:rsid w:val="004960D6"/>
    <w:rsid w:val="00496A8A"/>
    <w:rsid w:val="004A055C"/>
    <w:rsid w:val="004A26D4"/>
    <w:rsid w:val="004A52B3"/>
    <w:rsid w:val="004B0E1D"/>
    <w:rsid w:val="004C2ECF"/>
    <w:rsid w:val="004D5813"/>
    <w:rsid w:val="004D5DC8"/>
    <w:rsid w:val="004D5FF5"/>
    <w:rsid w:val="004D6948"/>
    <w:rsid w:val="00505045"/>
    <w:rsid w:val="005165E7"/>
    <w:rsid w:val="00524B78"/>
    <w:rsid w:val="0052520C"/>
    <w:rsid w:val="005256A9"/>
    <w:rsid w:val="005264B4"/>
    <w:rsid w:val="00526DDB"/>
    <w:rsid w:val="005338E6"/>
    <w:rsid w:val="00557B92"/>
    <w:rsid w:val="00576F06"/>
    <w:rsid w:val="0059491F"/>
    <w:rsid w:val="005A48C2"/>
    <w:rsid w:val="005B3887"/>
    <w:rsid w:val="005B5F83"/>
    <w:rsid w:val="005B73A4"/>
    <w:rsid w:val="005C1D19"/>
    <w:rsid w:val="005D265F"/>
    <w:rsid w:val="005E4F97"/>
    <w:rsid w:val="006110CA"/>
    <w:rsid w:val="00617A82"/>
    <w:rsid w:val="00632466"/>
    <w:rsid w:val="00633CDF"/>
    <w:rsid w:val="006413AE"/>
    <w:rsid w:val="00654E2C"/>
    <w:rsid w:val="00690A1B"/>
    <w:rsid w:val="006918DA"/>
    <w:rsid w:val="006962A4"/>
    <w:rsid w:val="00697449"/>
    <w:rsid w:val="006A5E5C"/>
    <w:rsid w:val="006B47FC"/>
    <w:rsid w:val="006C11CA"/>
    <w:rsid w:val="006D7E62"/>
    <w:rsid w:val="006E4CFE"/>
    <w:rsid w:val="006F51F4"/>
    <w:rsid w:val="00732B32"/>
    <w:rsid w:val="00756E86"/>
    <w:rsid w:val="00767719"/>
    <w:rsid w:val="007813C9"/>
    <w:rsid w:val="007B170D"/>
    <w:rsid w:val="007B6E91"/>
    <w:rsid w:val="007D5C9A"/>
    <w:rsid w:val="007E5515"/>
    <w:rsid w:val="007E75BA"/>
    <w:rsid w:val="007E79D6"/>
    <w:rsid w:val="007F4C35"/>
    <w:rsid w:val="007F5865"/>
    <w:rsid w:val="007F6CE4"/>
    <w:rsid w:val="00814B7E"/>
    <w:rsid w:val="00837A71"/>
    <w:rsid w:val="00852CB4"/>
    <w:rsid w:val="00855648"/>
    <w:rsid w:val="00861EE8"/>
    <w:rsid w:val="008741D3"/>
    <w:rsid w:val="00880D03"/>
    <w:rsid w:val="008A72D8"/>
    <w:rsid w:val="008A74F7"/>
    <w:rsid w:val="008B5B88"/>
    <w:rsid w:val="008C1050"/>
    <w:rsid w:val="008C7F5F"/>
    <w:rsid w:val="008D1F25"/>
    <w:rsid w:val="008D4A85"/>
    <w:rsid w:val="008E308A"/>
    <w:rsid w:val="008E3D0A"/>
    <w:rsid w:val="009039C1"/>
    <w:rsid w:val="0090504D"/>
    <w:rsid w:val="00905466"/>
    <w:rsid w:val="00912170"/>
    <w:rsid w:val="0091436C"/>
    <w:rsid w:val="0093005F"/>
    <w:rsid w:val="0093478F"/>
    <w:rsid w:val="0094277C"/>
    <w:rsid w:val="009446C5"/>
    <w:rsid w:val="0094642D"/>
    <w:rsid w:val="00971033"/>
    <w:rsid w:val="00980284"/>
    <w:rsid w:val="009A49D4"/>
    <w:rsid w:val="009C06A4"/>
    <w:rsid w:val="009C692D"/>
    <w:rsid w:val="009C713B"/>
    <w:rsid w:val="009E4D95"/>
    <w:rsid w:val="009E7E3D"/>
    <w:rsid w:val="009F1339"/>
    <w:rsid w:val="009F6540"/>
    <w:rsid w:val="00A0162A"/>
    <w:rsid w:val="00A01DDE"/>
    <w:rsid w:val="00A0450B"/>
    <w:rsid w:val="00A27FEE"/>
    <w:rsid w:val="00A30F91"/>
    <w:rsid w:val="00A4268C"/>
    <w:rsid w:val="00A42836"/>
    <w:rsid w:val="00A61FC8"/>
    <w:rsid w:val="00A66F99"/>
    <w:rsid w:val="00A71E07"/>
    <w:rsid w:val="00A730E3"/>
    <w:rsid w:val="00A846B7"/>
    <w:rsid w:val="00A921E2"/>
    <w:rsid w:val="00A95514"/>
    <w:rsid w:val="00AA1805"/>
    <w:rsid w:val="00AB1E91"/>
    <w:rsid w:val="00AC095F"/>
    <w:rsid w:val="00AC432D"/>
    <w:rsid w:val="00AD11A2"/>
    <w:rsid w:val="00AD52FF"/>
    <w:rsid w:val="00AD55FF"/>
    <w:rsid w:val="00AE7056"/>
    <w:rsid w:val="00AF1A54"/>
    <w:rsid w:val="00B0156E"/>
    <w:rsid w:val="00B07F98"/>
    <w:rsid w:val="00B127F4"/>
    <w:rsid w:val="00B17F4E"/>
    <w:rsid w:val="00B21E66"/>
    <w:rsid w:val="00B56B57"/>
    <w:rsid w:val="00B60F30"/>
    <w:rsid w:val="00B71A47"/>
    <w:rsid w:val="00B75A09"/>
    <w:rsid w:val="00B76621"/>
    <w:rsid w:val="00B82E3B"/>
    <w:rsid w:val="00B83191"/>
    <w:rsid w:val="00B86BAB"/>
    <w:rsid w:val="00BA40F9"/>
    <w:rsid w:val="00BA6D24"/>
    <w:rsid w:val="00BC087A"/>
    <w:rsid w:val="00BC4792"/>
    <w:rsid w:val="00BD0DF3"/>
    <w:rsid w:val="00BD4C6C"/>
    <w:rsid w:val="00BD53E4"/>
    <w:rsid w:val="00BE5B25"/>
    <w:rsid w:val="00BF71B6"/>
    <w:rsid w:val="00C13545"/>
    <w:rsid w:val="00C20B7A"/>
    <w:rsid w:val="00C35F1D"/>
    <w:rsid w:val="00C378A3"/>
    <w:rsid w:val="00C43197"/>
    <w:rsid w:val="00C46000"/>
    <w:rsid w:val="00C556D7"/>
    <w:rsid w:val="00C56420"/>
    <w:rsid w:val="00C5653F"/>
    <w:rsid w:val="00C647C5"/>
    <w:rsid w:val="00C652C6"/>
    <w:rsid w:val="00C76010"/>
    <w:rsid w:val="00C80495"/>
    <w:rsid w:val="00C83C5D"/>
    <w:rsid w:val="00C8572B"/>
    <w:rsid w:val="00C87AD7"/>
    <w:rsid w:val="00C87DAA"/>
    <w:rsid w:val="00C9394F"/>
    <w:rsid w:val="00CA0B60"/>
    <w:rsid w:val="00CA6977"/>
    <w:rsid w:val="00CD4967"/>
    <w:rsid w:val="00CD7165"/>
    <w:rsid w:val="00CE1663"/>
    <w:rsid w:val="00CE4576"/>
    <w:rsid w:val="00CE4A54"/>
    <w:rsid w:val="00CE5A19"/>
    <w:rsid w:val="00CF4336"/>
    <w:rsid w:val="00D25854"/>
    <w:rsid w:val="00D3084A"/>
    <w:rsid w:val="00D31DA0"/>
    <w:rsid w:val="00D638F8"/>
    <w:rsid w:val="00D74DDA"/>
    <w:rsid w:val="00D8276D"/>
    <w:rsid w:val="00D96B30"/>
    <w:rsid w:val="00DA52F4"/>
    <w:rsid w:val="00DD6B36"/>
    <w:rsid w:val="00DF201E"/>
    <w:rsid w:val="00DF317B"/>
    <w:rsid w:val="00DF6FFA"/>
    <w:rsid w:val="00E03AB8"/>
    <w:rsid w:val="00E058D9"/>
    <w:rsid w:val="00E26448"/>
    <w:rsid w:val="00E26687"/>
    <w:rsid w:val="00E34078"/>
    <w:rsid w:val="00E35267"/>
    <w:rsid w:val="00E35FB6"/>
    <w:rsid w:val="00E63E7D"/>
    <w:rsid w:val="00E71A03"/>
    <w:rsid w:val="00E73492"/>
    <w:rsid w:val="00E81599"/>
    <w:rsid w:val="00E82016"/>
    <w:rsid w:val="00EA6189"/>
    <w:rsid w:val="00EB432A"/>
    <w:rsid w:val="00EB588E"/>
    <w:rsid w:val="00EB59B4"/>
    <w:rsid w:val="00ED698A"/>
    <w:rsid w:val="00EE526E"/>
    <w:rsid w:val="00F00659"/>
    <w:rsid w:val="00F0114A"/>
    <w:rsid w:val="00F01E52"/>
    <w:rsid w:val="00F141E8"/>
    <w:rsid w:val="00F14345"/>
    <w:rsid w:val="00F14F23"/>
    <w:rsid w:val="00F21C38"/>
    <w:rsid w:val="00F258BA"/>
    <w:rsid w:val="00F42C71"/>
    <w:rsid w:val="00F43ABE"/>
    <w:rsid w:val="00F44511"/>
    <w:rsid w:val="00F62C11"/>
    <w:rsid w:val="00F63CA2"/>
    <w:rsid w:val="00F65276"/>
    <w:rsid w:val="00F91437"/>
    <w:rsid w:val="00FA02EE"/>
    <w:rsid w:val="00FC398B"/>
    <w:rsid w:val="00FC754E"/>
    <w:rsid w:val="00FC7701"/>
    <w:rsid w:val="00FD4868"/>
    <w:rsid w:val="00FD543B"/>
    <w:rsid w:val="00FE3C38"/>
    <w:rsid w:val="00FF3465"/>
    <w:rsid w:val="13E0058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C5A5"/>
  <w15:docId w15:val="{33CE3A85-066B-4E27-B8EE-7712B539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unhideWhenUsed/>
    <w:qFormat/>
    <w:pPr>
      <w:keepNext/>
      <w:keepLines/>
      <w:spacing w:before="280" w:after="290" w:line="376" w:lineRule="auto"/>
      <w:outlineLvl w:val="3"/>
    </w:pPr>
    <w:rPr>
      <w:b/>
      <w:bCs/>
      <w:sz w:val="28"/>
      <w:szCs w:val="28"/>
    </w:rPr>
  </w:style>
  <w:style w:type="paragraph" w:styleId="Heading5">
    <w:name w:val="heading 5"/>
    <w:basedOn w:val="Normal"/>
    <w:next w:val="Normal"/>
    <w:link w:val="Heading5Char"/>
    <w:qFormat/>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Calibri" w:hAnsi="Calibri" w:cs="Kartika"/>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rPr>
      <w:rFonts w:ascii="Times New Roman" w:eastAsia="PMingLiU" w:hAnsi="Times New Roman" w:cs="Times New Roman"/>
      <w:sz w:val="18"/>
      <w:szCs w:val="18"/>
    </w:rPr>
  </w:style>
  <w:style w:type="paragraph" w:customStyle="1" w:styleId="Affiliation">
    <w:name w:val="Affiliation"/>
    <w:pPr>
      <w:jc w:val="center"/>
    </w:pPr>
    <w:rPr>
      <w:rFonts w:ascii="Times New Roman" w:eastAsia="SimSun" w:hAnsi="Times New Roman" w:cs="Times New Roman"/>
      <w:lang w:val="en-US" w:eastAsia="en-US"/>
    </w:rPr>
  </w:style>
  <w:style w:type="paragraph" w:customStyle="1" w:styleId="Abstract">
    <w:name w:val="Abstract"/>
    <w:pPr>
      <w:suppressAutoHyphens/>
      <w:spacing w:after="200"/>
      <w:ind w:firstLine="170"/>
      <w:jc w:val="both"/>
    </w:pPr>
    <w:rPr>
      <w:rFonts w:ascii="Times New Roman" w:eastAsia="SimSun" w:hAnsi="Times New Roman" w:cs="Times New Roman"/>
      <w:b/>
      <w:bCs/>
      <w:sz w:val="18"/>
      <w:szCs w:val="18"/>
      <w:lang w:val="en-US" w:eastAsia="zh-CN"/>
    </w:rPr>
  </w:style>
  <w:style w:type="paragraph" w:customStyle="1" w:styleId="keywords">
    <w:name w:val="key words"/>
    <w:pPr>
      <w:suppressAutoHyphens/>
      <w:spacing w:after="120"/>
      <w:ind w:firstLine="288"/>
      <w:jc w:val="both"/>
    </w:pPr>
    <w:rPr>
      <w:rFonts w:ascii="Times New Roman" w:eastAsia="SimSun" w:hAnsi="Times New Roman" w:cs="Times New Roman"/>
      <w:b/>
      <w:bCs/>
      <w:iCs/>
      <w:sz w:val="18"/>
      <w:szCs w:val="18"/>
      <w:lang w:val="en-US" w:eastAsia="en-US"/>
    </w:rPr>
  </w:style>
  <w:style w:type="paragraph" w:customStyle="1" w:styleId="IEEEHeading2">
    <w:name w:val="IEEE Heading 2"/>
    <w:basedOn w:val="Normal"/>
    <w:next w:val="IEEEParagraph"/>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Pr>
      <w:rFonts w:ascii="Times New Roman" w:eastAsia="SimSun" w:hAnsi="Times New Roman" w:cs="Times New Roman"/>
      <w:sz w:val="20"/>
      <w:szCs w:val="24"/>
      <w:lang w:val="en-AU" w:eastAsia="zh-CN"/>
    </w:rPr>
  </w:style>
  <w:style w:type="paragraph" w:styleId="NoSpacing">
    <w:name w:val="No Spacing"/>
    <w:uiPriority w:val="1"/>
    <w:qFormat/>
    <w:rPr>
      <w:rFonts w:ascii="Calibri" w:eastAsia="Calibri" w:hAnsi="Calibri" w:cs="Times New Roman"/>
      <w:sz w:val="22"/>
      <w:szCs w:val="22"/>
      <w:lang w:val="en-US" w:eastAsia="en-US"/>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bidi="ml-I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rjme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58C6-730C-47BA-8603-90F86D5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2610</Words>
  <Characters>14881</Characters>
  <Application>Microsoft Office Word</Application>
  <DocSecurity>0</DocSecurity>
  <Lines>124</Lines>
  <Paragraphs>34</Paragraphs>
  <ScaleCrop>false</ScaleCrop>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Rampyari</dc:creator>
  <cp:lastModifiedBy>Swapnil Bharate</cp:lastModifiedBy>
  <cp:revision>6</cp:revision>
  <cp:lastPrinted>2020-08-02T14:25:00Z</cp:lastPrinted>
  <dcterms:created xsi:type="dcterms:W3CDTF">2026-01-08T04:49:00Z</dcterms:created>
  <dcterms:modified xsi:type="dcterms:W3CDTF">2026-01-08T10:36:00Z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A692A29D7878408DA6DAD2AF36D5B77A_12</vt:lpwstr>
  </property>
</Properties>
</file>