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EC" w:rsidRPr="00EA4245" w:rsidRDefault="00500BEC" w:rsidP="00EA4245">
      <w:pPr>
        <w:pStyle w:val="Standard"/>
        <w:spacing w:beforeLines="240" w:before="576" w:afterLines="240" w:after="576"/>
        <w:contextualSpacing/>
        <w:jc w:val="center"/>
        <w:rPr>
          <w:rFonts w:ascii="Times New Roman" w:hAnsi="Times New Roman" w:cs="Times New Roman"/>
          <w:b/>
        </w:rPr>
      </w:pPr>
    </w:p>
    <w:p w:rsidR="00500BEC" w:rsidRDefault="00547D22" w:rsidP="00EA4245">
      <w:pPr>
        <w:pStyle w:val="Standard"/>
        <w:spacing w:beforeLines="240" w:before="576" w:afterLines="240" w:after="576"/>
        <w:contextualSpacing/>
        <w:jc w:val="center"/>
        <w:rPr>
          <w:rFonts w:ascii="Times New Roman" w:hAnsi="Times New Roman" w:cs="Times New Roman"/>
          <w:b/>
          <w:sz w:val="36"/>
        </w:rPr>
      </w:pPr>
      <w:r w:rsidRPr="007D5CFA">
        <w:rPr>
          <w:rFonts w:ascii="Times New Roman" w:hAnsi="Times New Roman" w:cs="Times New Roman"/>
          <w:b/>
          <w:sz w:val="36"/>
        </w:rPr>
        <w:t>Exploring the Multi-Theoretical Pathways between Work Life Balance (WLB) and Organizational Commitment (OC): An IMRAD-Based Framework</w:t>
      </w:r>
    </w:p>
    <w:p w:rsidR="005E6A96" w:rsidRDefault="005E6A96" w:rsidP="00EA4245">
      <w:pPr>
        <w:pStyle w:val="Standard"/>
        <w:spacing w:beforeLines="240" w:before="576" w:afterLines="240" w:after="576"/>
        <w:contextualSpacing/>
        <w:jc w:val="center"/>
        <w:rPr>
          <w:rFonts w:ascii="Times New Roman" w:hAnsi="Times New Roman" w:cs="Times New Roman"/>
          <w:b/>
          <w:sz w:val="36"/>
        </w:rPr>
      </w:pPr>
    </w:p>
    <w:p w:rsidR="007D5CFA" w:rsidRDefault="007D5CFA" w:rsidP="005E6A96">
      <w:pPr>
        <w:pStyle w:val="Standard"/>
        <w:spacing w:beforeLines="240" w:before="576" w:afterLines="240" w:after="576"/>
        <w:contextualSpacing/>
        <w:jc w:val="center"/>
        <w:rPr>
          <w:rFonts w:ascii="Times New Roman" w:hAnsi="Times New Roman" w:cs="Times New Roman"/>
          <w:b/>
        </w:rPr>
      </w:pPr>
      <w:r w:rsidRPr="007D5CFA">
        <w:rPr>
          <w:rFonts w:ascii="Times New Roman" w:hAnsi="Times New Roman" w:cs="Times New Roman"/>
          <w:b/>
          <w:vertAlign w:val="superscript"/>
        </w:rPr>
        <w:t xml:space="preserve"/>
      </w:r>
      <w:r w:rsidRPr="007D5CFA">
        <w:rPr>
          <w:rFonts w:ascii="Times New Roman" w:hAnsi="Times New Roman" w:cs="Times New Roman"/>
          <w:b/>
        </w:rPr>
        <w:t xml:space="preserve"/>
      </w:r>
      <w:r w:rsidRPr="007D5CFA">
        <w:rPr>
          <w:rFonts w:ascii="Times New Roman" w:hAnsi="Times New Roman" w:cs="Times New Roman"/>
          <w:b/>
          <w:vertAlign w:val="superscript"/>
        </w:rPr>
        <w:t xml:space="preserve"/>
      </w:r>
      <w:r w:rsidRPr="007D5CFA">
        <w:rPr>
          <w:rFonts w:ascii="Times New Roman" w:hAnsi="Times New Roman" w:cs="Times New Roman"/>
          <w:b/>
        </w:rPr>
        <w:t xml:space="preserve"/>
      </w:r>
    </w:p>
    <w:p w:rsidR="007D5CFA" w:rsidRPr="007D5CFA" w:rsidRDefault="007D5CFA" w:rsidP="005E6A96">
      <w:pPr>
        <w:pStyle w:val="Standard"/>
        <w:spacing w:beforeLines="240" w:before="576" w:afterLines="240" w:after="576"/>
        <w:contextualSpacing/>
        <w:jc w:val="center"/>
        <w:rPr>
          <w:rFonts w:ascii="Times New Roman" w:hAnsi="Times New Roman" w:cs="Times New Roman"/>
          <w:b/>
        </w:rPr>
      </w:pPr>
      <w:r w:rsidRPr="007D5CFA">
        <w:rPr>
          <w:rFonts w:ascii="Times New Roman" w:hAnsi="Times New Roman" w:cs="Times New Roman"/>
          <w:b/>
          <w:vertAlign w:val="superscript"/>
        </w:rPr>
        <w:t/>
      </w:r>
      <w:r>
        <w:rPr>
          <w:rFonts w:ascii="Times New Roman" w:hAnsi="Times New Roman" w:cs="Times New Roman"/>
          <w:b/>
        </w:rPr>
        <w:t xml:space="preserve"/>
      </w:r>
    </w:p>
    <w:p w:rsidR="007D5CFA" w:rsidRDefault="007D5CFA" w:rsidP="005E6A96">
      <w:pPr>
        <w:pStyle w:val="Standard"/>
        <w:spacing w:beforeLines="240" w:before="576" w:afterLines="240" w:after="576"/>
        <w:contextualSpacing/>
        <w:jc w:val="center"/>
        <w:rPr>
          <w:rFonts w:ascii="Times New Roman" w:hAnsi="Times New Roman" w:cs="Times New Roman"/>
          <w:b/>
        </w:rPr>
      </w:pPr>
      <w:r w:rsidRPr="007D5CFA">
        <w:rPr>
          <w:rFonts w:ascii="Times New Roman" w:hAnsi="Times New Roman" w:cs="Times New Roman"/>
          <w:b/>
          <w:vertAlign w:val="superscript"/>
        </w:rPr>
        <w:t/>
      </w:r>
      <w:r>
        <w:rPr>
          <w:rFonts w:ascii="Times New Roman" w:hAnsi="Times New Roman" w:cs="Times New Roman"/>
          <w:b/>
        </w:rPr>
        <w:t xml:space="preserve"/>
      </w:r>
      <w:r w:rsidRPr="007D5CFA">
        <w:rPr>
          <w:rFonts w:ascii="Times New Roman" w:hAnsi="Times New Roman" w:cs="Times New Roman"/>
          <w:b/>
        </w:rPr>
        <w:t/>
      </w:r>
      <w:r>
        <w:rPr>
          <w:rFonts w:ascii="Times New Roman" w:hAnsi="Times New Roman" w:cs="Times New Roman"/>
          <w:b/>
        </w:rPr>
        <w:t xml:space="preserve"/>
      </w:r>
    </w:p>
    <w:p w:rsidR="005E6A96" w:rsidRDefault="005E6A96" w:rsidP="005E6A96">
      <w:pPr>
        <w:pStyle w:val="Standard"/>
        <w:spacing w:beforeLines="240" w:before="576" w:afterLines="240" w:after="576"/>
        <w:contextualSpacing/>
        <w:jc w:val="center"/>
        <w:rPr>
          <w:rFonts w:ascii="Times New Roman" w:hAnsi="Times New Roman" w:cs="Times New Roman"/>
          <w:b/>
        </w:rPr>
      </w:pPr>
    </w:p>
    <w:p w:rsidR="007D5CFA" w:rsidRPr="007D5CFA" w:rsidRDefault="007D5CFA" w:rsidP="005E6A96">
      <w:pPr>
        <w:pStyle w:val="Standard"/>
        <w:spacing w:beforeLines="240" w:before="576" w:afterLines="240" w:after="576"/>
        <w:contextualSpacing/>
        <w:jc w:val="center"/>
        <w:rPr>
          <w:rFonts w:ascii="Times New Roman" w:hAnsi="Times New Roman" w:cs="Times New Roman"/>
          <w:b/>
        </w:rPr>
      </w:pPr>
      <w:r>
        <w:rPr>
          <w:rFonts w:ascii="Times New Roman" w:hAnsi="Times New Roman" w:cs="Times New Roman"/>
          <w:b/>
        </w:rPr>
        <w:t/>
      </w:r>
      <w:r w:rsidR="005E6A96">
        <w:rPr>
          <w:rFonts w:ascii="Times New Roman" w:hAnsi="Times New Roman" w:cs="Times New Roman"/>
          <w:b/>
        </w:rPr>
        <w:t xml:space="preserve"/>
      </w:r>
      <w:r w:rsidR="005E6A96" w:rsidRPr="007D5CFA">
        <w:rPr>
          <w:rFonts w:ascii="Times New Roman" w:hAnsi="Times New Roman" w:cs="Times New Roman"/>
          <w:b/>
          <w:vertAlign w:val="superscript"/>
        </w:rPr>
        <w:t xml:space="preserve"/>
      </w:r>
      <w:r w:rsidR="005E6A96" w:rsidRPr="007D5CFA">
        <w:rPr>
          <w:rFonts w:ascii="Times New Roman" w:hAnsi="Times New Roman" w:cs="Times New Roman"/>
          <w:b/>
        </w:rPr>
        <w:t/>
      </w:r>
    </w:p>
    <w:p w:rsidR="00500BEC" w:rsidRPr="00EA4245" w:rsidRDefault="00500BEC" w:rsidP="00EA4245">
      <w:pPr>
        <w:pStyle w:val="Standard"/>
        <w:spacing w:beforeLines="240" w:before="576" w:afterLines="240" w:after="576"/>
        <w:contextualSpacing/>
        <w:jc w:val="center"/>
        <w:rPr>
          <w:rFonts w:ascii="Times New Roman" w:hAnsi="Times New Roman" w:cs="Times New Roman"/>
          <w:i/>
        </w:rPr>
      </w:pPr>
    </w:p>
    <w:p w:rsidR="00500BEC" w:rsidRPr="005932DB" w:rsidRDefault="005932DB" w:rsidP="00EA4245">
      <w:pPr>
        <w:pStyle w:val="Standard"/>
        <w:spacing w:beforeLines="240" w:before="576" w:afterLines="240" w:after="576"/>
        <w:contextualSpacing/>
        <w:rPr>
          <w:rFonts w:ascii="Times New Roman" w:hAnsi="Times New Roman" w:cs="Times New Roman"/>
          <w:b/>
          <w:sz w:val="28"/>
        </w:rPr>
      </w:pPr>
      <w:r w:rsidRPr="005932DB">
        <w:rPr>
          <w:rFonts w:ascii="Times New Roman" w:hAnsi="Times New Roman" w:cs="Times New Roman"/>
          <w:b/>
          <w:sz w:val="28"/>
        </w:rPr>
        <w:t>ABSTRACT</w:t>
      </w:r>
    </w:p>
    <w:p w:rsidR="00500BEC" w:rsidRPr="00EA4245" w:rsidRDefault="00500BEC" w:rsidP="00EA4245">
      <w:pPr>
        <w:pStyle w:val="Standard"/>
        <w:spacing w:beforeLines="240" w:before="576" w:afterLines="240" w:after="576"/>
        <w:contextualSpacing/>
        <w:rPr>
          <w:rFonts w:ascii="Times New Roman" w:hAnsi="Times New Roman" w:cs="Times New Roman"/>
          <w:b/>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Purpose</w:t>
      </w:r>
      <w:r w:rsidRPr="00EA4245">
        <w:rPr>
          <w:rFonts w:ascii="Times New Roman" w:hAnsi="Times New Roman" w:cs="Times New Roman"/>
        </w:rPr>
        <w:t>: Despite the many studies focusing on work life balance (WLB) and organizational commitment (OC), the literature on human resource development (HRD) is lacking in integrative, theory-forming explanations of how gendered, socio-cultural, and contextual fac</w:t>
      </w:r>
      <w:r w:rsidRPr="00EA4245">
        <w:rPr>
          <w:rFonts w:ascii="Times New Roman" w:hAnsi="Times New Roman" w:cs="Times New Roman"/>
        </w:rPr>
        <w:t xml:space="preserve">tors all interact to shape commitment in high-intensity professions. This shortage is particularly severe among female doctors who practice at the private health-care facilities.  </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Design/methodology/approach:</w:t>
      </w:r>
      <w:r w:rsidRPr="00EA4245">
        <w:rPr>
          <w:rFonts w:ascii="Times New Roman" w:hAnsi="Times New Roman" w:cs="Times New Roman"/>
        </w:rPr>
        <w:t xml:space="preserve"> The current study uses a conceptual and theor</w:t>
      </w:r>
      <w:r w:rsidRPr="00EA4245">
        <w:rPr>
          <w:rFonts w:ascii="Times New Roman" w:hAnsi="Times New Roman" w:cs="Times New Roman"/>
        </w:rPr>
        <w:t>y-building methodology that is consistent with the scholarly literature of HRD, which builds an integrated framework based on five existing perspectives, i.e., Spillover Theory, Social Exchange Theory, Conservation of Resources Theory, the Job Demands-reso</w:t>
      </w:r>
      <w:r w:rsidRPr="00EA4245">
        <w:rPr>
          <w:rFonts w:ascii="Times New Roman" w:hAnsi="Times New Roman" w:cs="Times New Roman"/>
        </w:rPr>
        <w:t>urces model, and Self-Determination Theory. In this context, the work-life balance is theorized as the major mediating developmental process and the marital status is hypothesized as a demarcating condition that remedies the linkage between work-life balan</w:t>
      </w:r>
      <w:r w:rsidRPr="00EA4245">
        <w:rPr>
          <w:rFonts w:ascii="Times New Roman" w:hAnsi="Times New Roman" w:cs="Times New Roman"/>
        </w:rPr>
        <w:t xml:space="preserve">ce and organizational-commitment.  </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Findings:</w:t>
      </w:r>
      <w:r w:rsidRPr="00EA4245">
        <w:rPr>
          <w:rFonts w:ascii="Times New Roman" w:hAnsi="Times New Roman" w:cs="Times New Roman"/>
        </w:rPr>
        <w:t xml:space="preserve"> The research progresses six theoretically based propositions that outline the influence of personal-professional demands, socio-cultural expectations, external stressors and gender discrimination on work-life </w:t>
      </w:r>
      <w:r w:rsidRPr="00EA4245">
        <w:rPr>
          <w:rFonts w:ascii="Times New Roman" w:hAnsi="Times New Roman" w:cs="Times New Roman"/>
        </w:rPr>
        <w:t xml:space="preserve">balance, which in turn impacts affective, continuance and normative types of organizational commitment.  </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Originality/value:</w:t>
      </w:r>
      <w:r w:rsidRPr="00EA4245">
        <w:rPr>
          <w:rFonts w:ascii="Times New Roman" w:hAnsi="Times New Roman" w:cs="Times New Roman"/>
        </w:rPr>
        <w:t xml:space="preserve"> This article will contribute to HRD and management research by providing a multi-theoretical and gender-sensitive approach that go</w:t>
      </w:r>
      <w:r w:rsidRPr="00EA4245">
        <w:rPr>
          <w:rFonts w:ascii="Times New Roman" w:hAnsi="Times New Roman" w:cs="Times New Roman"/>
        </w:rPr>
        <w:t xml:space="preserve">es beyond single-theory explanations that are fragmented. The theorization of work-life balance as a development process and marital status as a moderating condition explicitly gives a sensitive insight into employee development, retention and sustainable </w:t>
      </w:r>
      <w:r w:rsidRPr="00EA4245">
        <w:rPr>
          <w:rFonts w:ascii="Times New Roman" w:hAnsi="Times New Roman" w:cs="Times New Roman"/>
        </w:rPr>
        <w:t>workforce management in the health-care arena.</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b/>
          <w:i/>
        </w:rPr>
      </w:pPr>
      <w:r w:rsidRPr="00EA4245">
        <w:rPr>
          <w:rFonts w:ascii="Times New Roman" w:hAnsi="Times New Roman" w:cs="Times New Roman"/>
          <w:b/>
          <w:i/>
        </w:rPr>
        <w:t>Keywords: Work-Life Balance, Organizational Commitment, Female Doctors, Multi-theoretical Framework, Marital Status, Gender Discrimination</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6F70A0" w:rsidRDefault="006F70A0" w:rsidP="006F70A0">
      <w:pPr>
        <w:pStyle w:val="Standard"/>
        <w:spacing w:beforeLines="240" w:before="576" w:afterLines="240" w:after="576"/>
        <w:contextualSpacing/>
        <w:jc w:val="both"/>
        <w:rPr>
          <w:rFonts w:ascii="Times New Roman" w:hAnsi="Times New Roman" w:cs="Times New Roman"/>
          <w:b/>
          <w:sz w:val="28"/>
        </w:rPr>
      </w:pPr>
      <w:r w:rsidRPr="006F70A0">
        <w:rPr>
          <w:rFonts w:ascii="Times New Roman" w:hAnsi="Times New Roman" w:cs="Times New Roman"/>
          <w:b/>
          <w:sz w:val="28"/>
        </w:rPr>
        <w:t>INTRODUCTION</w:t>
      </w:r>
    </w:p>
    <w:p w:rsidR="00500BEC" w:rsidRPr="00EA4245" w:rsidRDefault="00500BEC" w:rsidP="00EA4245">
      <w:pPr>
        <w:pStyle w:val="Standard"/>
        <w:spacing w:beforeLines="240" w:before="576" w:afterLines="240" w:after="576"/>
        <w:ind w:left="720"/>
        <w:contextualSpacing/>
        <w:jc w:val="both"/>
        <w:rPr>
          <w:rFonts w:ascii="Times New Roman" w:hAnsi="Times New Roman" w:cs="Times New Roman"/>
          <w:b/>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research on human resource development (HRD) conti</w:t>
      </w:r>
      <w:r w:rsidRPr="00EA4245">
        <w:rPr>
          <w:rFonts w:ascii="Times New Roman" w:hAnsi="Times New Roman" w:cs="Times New Roman"/>
        </w:rPr>
        <w:t>nues to predict the sustainability of employees, their well-being and long-term attachment with the organization as the strategic consequences of effective people management. Work-life balance (WLB) has become a developmental issue of particular concern in</w:t>
      </w:r>
      <w:r w:rsidRPr="00EA4245">
        <w:rPr>
          <w:rFonts w:ascii="Times New Roman" w:hAnsi="Times New Roman" w:cs="Times New Roman"/>
        </w:rPr>
        <w:t xml:space="preserve"> quality of work in high-demand jobs that are marked with emotional labour, long hours, and continued role overload, as part of this discourse. The healthcare environment is one of such settings, where the current labor scarcity, the growing demands of ser</w:t>
      </w:r>
      <w:r w:rsidRPr="00EA4245">
        <w:rPr>
          <w:rFonts w:ascii="Times New Roman" w:hAnsi="Times New Roman" w:cs="Times New Roman"/>
        </w:rPr>
        <w:t>vices, and the swift feminization of the workforce increase the importance of WLB in terms of organizational performance and human capital formation.</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Women doctors are placed in a very special status in modern healthcare systems. They often have to negoti</w:t>
      </w:r>
      <w:r w:rsidRPr="00EA4245">
        <w:rPr>
          <w:rFonts w:ascii="Times New Roman" w:hAnsi="Times New Roman" w:cs="Times New Roman"/>
        </w:rPr>
        <w:t>ate deeply rooted socio-cultural norms of caregiving, gender roles and gender-appropriate behavior along with their intensive clinical responsibilities. Previous studies have always shown that these two pressures of roles increase work-family conflict, psy</w:t>
      </w:r>
      <w:r w:rsidRPr="00EA4245">
        <w:rPr>
          <w:rFonts w:ascii="Times New Roman" w:hAnsi="Times New Roman" w:cs="Times New Roman"/>
        </w:rPr>
        <w:t>chological strain and turnover intentions, and thus hinder organizational commitment (OC). HRD-wise, reduced commitment is not only the increase in the risk of retention but also the waste of investments in professional capability development and knowledge</w:t>
      </w:r>
      <w:r w:rsidRPr="00EA4245">
        <w:rPr>
          <w:rFonts w:ascii="Times New Roman" w:hAnsi="Times New Roman" w:cs="Times New Roman"/>
        </w:rPr>
        <w:t xml:space="preserve"> of the organization.</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Whereas the research has long been studied as a precursor of OC, the current body of research is theoretically disjointed. A large part of the literature is either based on single-theory explanations or is narrow in its concentration</w:t>
      </w:r>
      <w:r w:rsidRPr="00EA4245">
        <w:rPr>
          <w:rFonts w:ascii="Times New Roman" w:hAnsi="Times New Roman" w:cs="Times New Roman"/>
        </w:rPr>
        <w:t xml:space="preserve"> on organizational determinants, and does not provide much information about the interaction of socio-cultural norms, gender discrimination, and exogenous stress factors in influencing the experiences of workers. Furthermore, contextual boundary conditions</w:t>
      </w:r>
      <w:r w:rsidRPr="00EA4245">
        <w:rPr>
          <w:rFonts w:ascii="Times New Roman" w:hAnsi="Times New Roman" w:cs="Times New Roman"/>
        </w:rPr>
        <w:t xml:space="preserve"> especially marital status has been largely theorized without being given much consideration despite its significance to women professionals working in collectivist and family-oriented societies.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Overcoming these shortcomings, this paper draws a multi-the</w:t>
      </w:r>
      <w:r w:rsidRPr="00EA4245">
        <w:rPr>
          <w:rFonts w:ascii="Times New Roman" w:hAnsi="Times New Roman" w:cs="Times New Roman"/>
        </w:rPr>
        <w:t>oretical framework that lies at the crossroad of HRD and management literature. The paper uses a conceptualization based on the combination of five major organizational behavior theories that WLB can be conceptualized as a mediating developmental process b</w:t>
      </w:r>
      <w:r w:rsidRPr="00EA4245">
        <w:rPr>
          <w:rFonts w:ascii="Times New Roman" w:hAnsi="Times New Roman" w:cs="Times New Roman"/>
        </w:rPr>
        <w:t>etween various antecedents and organizational commitment outcomes, with marital status moderating the quality of this interaction. By so doing, the paper addresses HRD research calls to be more integrative of theory, more sensitive to context, and more gen</w:t>
      </w:r>
      <w:r w:rsidRPr="00EA4245">
        <w:rPr>
          <w:rFonts w:ascii="Times New Roman" w:hAnsi="Times New Roman" w:cs="Times New Roman"/>
        </w:rPr>
        <w:t>der-sensitive models that can explain the intersection of development, well-being, and commitment in modern organizations.</w:t>
      </w:r>
    </w:p>
    <w:p w:rsidR="00500BEC" w:rsidRPr="00EA4245" w:rsidRDefault="00500BEC" w:rsidP="00EA4245">
      <w:pPr>
        <w:pStyle w:val="Standard"/>
        <w:spacing w:beforeLines="240" w:before="576" w:afterLines="240" w:after="576"/>
        <w:ind w:left="720"/>
        <w:contextualSpacing/>
        <w:jc w:val="both"/>
        <w:rPr>
          <w:rFonts w:ascii="Times New Roman" w:hAnsi="Times New Roman" w:cs="Times New Roman"/>
        </w:rPr>
      </w:pPr>
    </w:p>
    <w:p w:rsidR="00500BEC" w:rsidRPr="006F70A0" w:rsidRDefault="006F70A0" w:rsidP="00EA4245">
      <w:pPr>
        <w:pStyle w:val="Standard"/>
        <w:spacing w:beforeLines="240" w:before="576" w:afterLines="240" w:after="576"/>
        <w:contextualSpacing/>
        <w:jc w:val="both"/>
        <w:rPr>
          <w:rFonts w:ascii="Times New Roman" w:hAnsi="Times New Roman" w:cs="Times New Roman"/>
          <w:b/>
        </w:rPr>
      </w:pPr>
      <w:r w:rsidRPr="006F70A0">
        <w:rPr>
          <w:rFonts w:ascii="Times New Roman" w:hAnsi="Times New Roman" w:cs="Times New Roman"/>
          <w:b/>
        </w:rPr>
        <w:t>Research gap</w:t>
      </w:r>
    </w:p>
    <w:p w:rsidR="00500BEC" w:rsidRPr="00EA4245" w:rsidRDefault="00500BEC" w:rsidP="00EA4245">
      <w:pPr>
        <w:pStyle w:val="Standard"/>
        <w:spacing w:beforeLines="240" w:before="576" w:afterLines="240" w:after="576"/>
        <w:ind w:left="720"/>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The existing academic literature lacks unifying models of how personal-professional demands, socio-cultural </w:t>
      </w:r>
      <w:r w:rsidRPr="00EA4245">
        <w:rPr>
          <w:rFonts w:ascii="Times New Roman" w:hAnsi="Times New Roman" w:cs="Times New Roman"/>
        </w:rPr>
        <w:t>requirements, gender discrimination, and external stressors can be integrated simultaneously to explain the balance between workplace and family and occupational commitment. Multi-theoretical theories are also quite uncommon, and the moderating role of mar</w:t>
      </w:r>
      <w:r w:rsidRPr="00EA4245">
        <w:rPr>
          <w:rFonts w:ascii="Times New Roman" w:hAnsi="Times New Roman" w:cs="Times New Roman"/>
        </w:rPr>
        <w:t>ital status in healthcare settings is not theorized in a sufficient manner (Kossek and Ozeki, 1998; Allen et al., 2000; Haar et al., 2014).</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6F70A0" w:rsidRDefault="006F70A0" w:rsidP="00754D6D">
      <w:pPr>
        <w:pStyle w:val="Standard"/>
        <w:spacing w:beforeLines="240" w:before="576" w:afterLines="240" w:after="576"/>
        <w:contextualSpacing/>
        <w:jc w:val="both"/>
        <w:rPr>
          <w:rFonts w:ascii="Times New Roman" w:hAnsi="Times New Roman" w:cs="Times New Roman"/>
          <w:b/>
        </w:rPr>
      </w:pPr>
      <w:r w:rsidRPr="006F70A0">
        <w:rPr>
          <w:rFonts w:ascii="Times New Roman" w:hAnsi="Times New Roman" w:cs="Times New Roman"/>
          <w:b/>
        </w:rPr>
        <w:t>Research objectives</w:t>
      </w:r>
    </w:p>
    <w:p w:rsidR="00500BEC" w:rsidRPr="00EA4245" w:rsidRDefault="00547D22" w:rsidP="00EA4245">
      <w:pPr>
        <w:pStyle w:val="ListParagraph"/>
        <w:numPr>
          <w:ilvl w:val="0"/>
          <w:numId w:val="2"/>
        </w:numPr>
        <w:spacing w:beforeLines="240" w:before="576" w:afterLines="240" w:after="576"/>
        <w:ind w:left="709"/>
        <w:contextualSpacing/>
        <w:jc w:val="both"/>
        <w:rPr>
          <w:rFonts w:ascii="Times New Roman" w:hAnsi="Times New Roman"/>
          <w:sz w:val="24"/>
          <w:szCs w:val="24"/>
        </w:rPr>
      </w:pPr>
      <w:r w:rsidRPr="00EA4245">
        <w:rPr>
          <w:rFonts w:ascii="Times New Roman" w:hAnsi="Times New Roman"/>
          <w:sz w:val="24"/>
          <w:szCs w:val="24"/>
        </w:rPr>
        <w:t>The proposed study will explore the impact of personal-professional issues, socio-cultural dem</w:t>
      </w:r>
      <w:r w:rsidRPr="00EA4245">
        <w:rPr>
          <w:rFonts w:ascii="Times New Roman" w:hAnsi="Times New Roman"/>
          <w:sz w:val="24"/>
          <w:szCs w:val="24"/>
        </w:rPr>
        <w:t>ands, external stress, and gender discrimination on work-life balance (WLB) in female physicians.</w:t>
      </w:r>
    </w:p>
    <w:p w:rsidR="00500BEC" w:rsidRPr="00EA4245" w:rsidRDefault="00500BEC" w:rsidP="00EA4245">
      <w:pPr>
        <w:pStyle w:val="ListParagraph"/>
        <w:spacing w:beforeLines="240" w:before="576" w:afterLines="240" w:after="576"/>
        <w:ind w:left="709"/>
        <w:contextualSpacing/>
        <w:jc w:val="both"/>
        <w:rPr>
          <w:rFonts w:ascii="Times New Roman" w:hAnsi="Times New Roman"/>
          <w:sz w:val="24"/>
          <w:szCs w:val="24"/>
        </w:rPr>
      </w:pPr>
    </w:p>
    <w:p w:rsidR="00500BEC" w:rsidRPr="00EA4245" w:rsidRDefault="00547D22" w:rsidP="00EA4245">
      <w:pPr>
        <w:pStyle w:val="ListParagraph"/>
        <w:numPr>
          <w:ilvl w:val="0"/>
          <w:numId w:val="2"/>
        </w:numPr>
        <w:spacing w:beforeLines="240" w:before="576" w:afterLines="240" w:after="576"/>
        <w:ind w:left="709"/>
        <w:contextualSpacing/>
        <w:jc w:val="both"/>
        <w:rPr>
          <w:rFonts w:ascii="Times New Roman" w:hAnsi="Times New Roman"/>
          <w:sz w:val="24"/>
          <w:szCs w:val="24"/>
        </w:rPr>
      </w:pPr>
      <w:r w:rsidRPr="00EA4245">
        <w:rPr>
          <w:rFonts w:ascii="Times New Roman" w:hAnsi="Times New Roman"/>
          <w:sz w:val="24"/>
          <w:szCs w:val="24"/>
        </w:rPr>
        <w:t>It attempts to theorize the concept of WLB as an intermediating process, which connects antecedents to both affective, continuance, and normative commitment.</w:t>
      </w:r>
    </w:p>
    <w:p w:rsidR="00500BEC" w:rsidRPr="00EA4245" w:rsidRDefault="00500BEC" w:rsidP="00EA4245">
      <w:pPr>
        <w:pStyle w:val="ListParagraph"/>
        <w:spacing w:beforeLines="240" w:before="576" w:afterLines="240" w:after="576"/>
        <w:ind w:left="709"/>
        <w:contextualSpacing/>
        <w:jc w:val="both"/>
        <w:rPr>
          <w:rFonts w:ascii="Times New Roman" w:hAnsi="Times New Roman"/>
          <w:sz w:val="24"/>
          <w:szCs w:val="24"/>
        </w:rPr>
      </w:pPr>
    </w:p>
    <w:p w:rsidR="00500BEC" w:rsidRPr="00EA4245" w:rsidRDefault="00547D22" w:rsidP="00EA4245">
      <w:pPr>
        <w:pStyle w:val="ListParagraph"/>
        <w:numPr>
          <w:ilvl w:val="0"/>
          <w:numId w:val="2"/>
        </w:numPr>
        <w:spacing w:beforeLines="240" w:before="576" w:afterLines="240" w:after="576"/>
        <w:ind w:left="709"/>
        <w:contextualSpacing/>
        <w:jc w:val="both"/>
        <w:rPr>
          <w:rFonts w:ascii="Times New Roman" w:hAnsi="Times New Roman"/>
          <w:sz w:val="24"/>
          <w:szCs w:val="24"/>
        </w:rPr>
      </w:pPr>
      <w:r w:rsidRPr="00EA4245">
        <w:rPr>
          <w:rFonts w:ascii="Times New Roman" w:hAnsi="Times New Roman"/>
          <w:sz w:val="24"/>
          <w:szCs w:val="24"/>
        </w:rPr>
        <w:t>The research also determines the moderating effect of marital status on the relationship between WLB and occupational commitment (OC).</w:t>
      </w:r>
    </w:p>
    <w:p w:rsidR="00500BEC" w:rsidRPr="00EA4245" w:rsidRDefault="00500BEC" w:rsidP="00EA4245">
      <w:pPr>
        <w:pStyle w:val="ListParagraph"/>
        <w:spacing w:beforeLines="240" w:before="576" w:afterLines="240" w:after="576"/>
        <w:ind w:left="709"/>
        <w:contextualSpacing/>
        <w:jc w:val="both"/>
        <w:rPr>
          <w:rFonts w:ascii="Times New Roman" w:hAnsi="Times New Roman"/>
          <w:sz w:val="24"/>
          <w:szCs w:val="24"/>
        </w:rPr>
      </w:pPr>
    </w:p>
    <w:p w:rsidR="00500BEC" w:rsidRPr="00EA4245" w:rsidRDefault="00547D22" w:rsidP="00EA4245">
      <w:pPr>
        <w:pStyle w:val="ListParagraph"/>
        <w:numPr>
          <w:ilvl w:val="0"/>
          <w:numId w:val="2"/>
        </w:numPr>
        <w:spacing w:beforeLines="240" w:before="576" w:afterLines="240" w:after="576"/>
        <w:ind w:left="709"/>
        <w:contextualSpacing/>
        <w:jc w:val="both"/>
        <w:rPr>
          <w:rFonts w:ascii="Times New Roman" w:hAnsi="Times New Roman"/>
          <w:sz w:val="24"/>
          <w:szCs w:val="24"/>
        </w:rPr>
      </w:pPr>
      <w:r w:rsidRPr="00EA4245">
        <w:rPr>
          <w:rFonts w:ascii="Times New Roman" w:hAnsi="Times New Roman"/>
          <w:sz w:val="24"/>
          <w:szCs w:val="24"/>
        </w:rPr>
        <w:t>Lastly, the research comes up with testable propositions which can be empirically tested in future research.</w:t>
      </w:r>
    </w:p>
    <w:p w:rsidR="00500BEC" w:rsidRPr="00EA4245" w:rsidRDefault="00500BEC" w:rsidP="00EA4245">
      <w:pPr>
        <w:pStyle w:val="ListParagraph"/>
        <w:spacing w:beforeLines="240" w:before="576" w:afterLines="240" w:after="576"/>
        <w:contextualSpacing/>
        <w:jc w:val="both"/>
        <w:rPr>
          <w:rFonts w:ascii="Times New Roman" w:hAnsi="Times New Roman"/>
          <w:sz w:val="24"/>
          <w:szCs w:val="24"/>
        </w:rPr>
      </w:pPr>
    </w:p>
    <w:p w:rsidR="00500BEC" w:rsidRPr="00EA4245" w:rsidRDefault="00547D22" w:rsidP="00CD0EFA">
      <w:pPr>
        <w:pStyle w:val="Standard"/>
        <w:spacing w:beforeLines="240" w:before="576" w:afterLines="240" w:after="576"/>
        <w:contextualSpacing/>
        <w:jc w:val="both"/>
        <w:rPr>
          <w:rFonts w:ascii="Times New Roman" w:hAnsi="Times New Roman" w:cs="Times New Roman"/>
          <w:b/>
        </w:rPr>
      </w:pPr>
      <w:r w:rsidRPr="00EA4245">
        <w:rPr>
          <w:rFonts w:ascii="Times New Roman" w:hAnsi="Times New Roman" w:cs="Times New Roman"/>
          <w:b/>
        </w:rPr>
        <w:t>Research</w:t>
      </w:r>
      <w:r w:rsidR="00CD0EFA">
        <w:rPr>
          <w:rFonts w:ascii="Times New Roman" w:hAnsi="Times New Roman" w:cs="Times New Roman"/>
          <w:b/>
        </w:rPr>
        <w:t xml:space="preserve"> question </w:t>
      </w:r>
    </w:p>
    <w:p w:rsidR="00500BEC" w:rsidRPr="00EA4245" w:rsidRDefault="00500BEC" w:rsidP="00EA4245">
      <w:pPr>
        <w:pStyle w:val="Standard"/>
        <w:spacing w:beforeLines="240" w:before="576" w:afterLines="240" w:after="576"/>
        <w:ind w:left="720"/>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How are Work-Life Balance and Organizational Commitment among female physicians affected by contextual, personal-professional, and gender-based antecedents, and how is marital status a moderator of this relationship?</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CD0EFA" w:rsidRDefault="00CD0EFA" w:rsidP="00CD0EFA">
      <w:pPr>
        <w:pStyle w:val="Standard"/>
        <w:spacing w:beforeLines="240" w:before="576" w:afterLines="240" w:after="576"/>
        <w:contextualSpacing/>
        <w:jc w:val="both"/>
        <w:rPr>
          <w:rFonts w:ascii="Times New Roman" w:hAnsi="Times New Roman" w:cs="Times New Roman"/>
          <w:b/>
          <w:sz w:val="28"/>
          <w:szCs w:val="28"/>
        </w:rPr>
      </w:pPr>
      <w:r w:rsidRPr="00CD0EFA">
        <w:rPr>
          <w:rFonts w:ascii="Times New Roman" w:hAnsi="Times New Roman" w:cs="Times New Roman"/>
          <w:b/>
          <w:sz w:val="28"/>
          <w:szCs w:val="28"/>
        </w:rPr>
        <w:t>CONCEPTUAL FRAMEWORK</w:t>
      </w:r>
    </w:p>
    <w:p w:rsidR="00500BEC" w:rsidRPr="00EA4245" w:rsidRDefault="00500BEC" w:rsidP="00EA4245">
      <w:pPr>
        <w:pStyle w:val="Standard"/>
        <w:spacing w:beforeLines="240" w:before="576" w:afterLines="240" w:after="576"/>
        <w:ind w:left="720"/>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conceptual framework is indicated in Figure 1. There are four antecedent variables, namely, (i) Personal and Professional Factors, (ii) Socio-Cultural Elements, (iii) External Stressors, and (iv) Gender Discrimination, which are abstracted as direct pr</w:t>
      </w:r>
      <w:r w:rsidRPr="00EA4245">
        <w:rPr>
          <w:rFonts w:ascii="Times New Roman" w:hAnsi="Times New Roman" w:cs="Times New Roman"/>
        </w:rPr>
        <w:t>edictors of Work-Life Balance (WLB). WLB is hypothesized to serve as a mediating variable that impacts the three levels of Organizational Commitment (OC). The moderating variable that is theorized to mute or enhance the WLB-OC relationship is marital statu</w:t>
      </w:r>
      <w:r w:rsidRPr="00EA4245">
        <w:rPr>
          <w:rFonts w:ascii="Times New Roman" w:hAnsi="Times New Roman" w:cs="Times New Roman"/>
        </w:rPr>
        <w:t>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structure provides the ground for a multi-theoretical investigation based on tested theories of organizational behavior. The next sections expound on how five theoretical perspectives shape each of these concepts: Spillover Theory, Social Exchange</w:t>
      </w:r>
      <w:r w:rsidRPr="00EA4245">
        <w:rPr>
          <w:rFonts w:ascii="Times New Roman" w:hAnsi="Times New Roman" w:cs="Times New Roman"/>
        </w:rPr>
        <w:t xml:space="preserve"> Theory, Conservation of Resources Theory, the Job Demands–Resources Model, and Self-Determination Theory.</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center"/>
        <w:rPr>
          <w:rFonts w:ascii="Times New Roman" w:hAnsi="Times New Roman" w:cs="Times New Roman"/>
          <w:b/>
          <w:i/>
          <w:iCs/>
        </w:rPr>
      </w:pPr>
      <w:r w:rsidRPr="00EA4245">
        <w:rPr>
          <w:rFonts w:ascii="Times New Roman" w:hAnsi="Times New Roman" w:cs="Times New Roman"/>
          <w:noProof/>
          <w:lang w:eastAsia="en-US" w:bidi="ar-SA"/>
        </w:rPr>
        <w:drawing>
          <wp:inline distT="0" distB="0" distL="0" distR="0">
            <wp:extent cx="5923915" cy="3597275"/>
            <wp:effectExtent l="0" t="0" r="61" b="2652"/>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7">
                      <a:lum/>
                    </a:blip>
                    <a:srcRect/>
                    <a:stretch>
                      <a:fillRect/>
                    </a:stretch>
                  </pic:blipFill>
                  <pic:spPr>
                    <a:xfrm>
                      <a:off x="0" y="0"/>
                      <a:ext cx="5924489" cy="3597798"/>
                    </a:xfrm>
                    <a:prstGeom prst="rect">
                      <a:avLst/>
                    </a:prstGeom>
                    <a:noFill/>
                    <a:ln>
                      <a:noFill/>
                      <a:prstDash val="solid"/>
                    </a:ln>
                  </pic:spPr>
                </pic:pic>
              </a:graphicData>
            </a:graphic>
          </wp:inline>
        </w:drawing>
      </w:r>
      <w:r w:rsidRPr="00EA4245">
        <w:rPr>
          <w:rFonts w:ascii="Times New Roman" w:hAnsi="Times New Roman" w:cs="Times New Roman"/>
        </w:rPr>
        <w:t xml:space="preserve"> </w:t>
      </w:r>
      <w:bookmarkStart w:id="0" w:name="_Ref205061766"/>
      <w:bookmarkStart w:id="1" w:name="_Ref205061761"/>
      <w:r w:rsidRPr="00EA4245">
        <w:rPr>
          <w:rFonts w:ascii="Times New Roman" w:hAnsi="Times New Roman" w:cs="Times New Roman"/>
          <w:b/>
          <w:i/>
          <w:iCs/>
        </w:rPr>
        <w:t>Figure 1. Conceptual Framework Linking Antecedents, Work–Life Balance, and Organizational Commitment (Source: Author’s compilation)</w:t>
      </w:r>
    </w:p>
    <w:p w:rsidR="00500BEC" w:rsidRPr="00EA4245" w:rsidRDefault="00500BEC" w:rsidP="00EA4245">
      <w:pPr>
        <w:pStyle w:val="Standard"/>
        <w:spacing w:beforeLines="240" w:before="576" w:afterLines="240" w:after="576"/>
        <w:contextualSpacing/>
        <w:jc w:val="center"/>
        <w:rPr>
          <w:rFonts w:ascii="Times New Roman" w:hAnsi="Times New Roman" w:cs="Times New Roman"/>
          <w:b/>
          <w:i/>
          <w:iCs/>
        </w:rPr>
      </w:pP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A237B9" w:rsidP="00EA4245">
      <w:pPr>
        <w:pStyle w:val="Standard"/>
        <w:spacing w:beforeLines="240" w:before="576" w:afterLines="240" w:after="576"/>
        <w:contextualSpacing/>
        <w:rPr>
          <w:rFonts w:ascii="Times New Roman" w:hAnsi="Times New Roman" w:cs="Times New Roman"/>
        </w:rPr>
      </w:pPr>
      <w:r w:rsidRPr="00EA4245">
        <w:rPr>
          <w:rFonts w:ascii="Times New Roman" w:hAnsi="Times New Roman" w:cs="Times New Roman"/>
          <w:b/>
        </w:rPr>
        <w:t>THEORETICAL BACKGROUND AND PATH ANALYSIS</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subsection clarifies how each one of the five root theories underpins various elements of the conceptual framework. Combined, they shed light on how various antecedents contribute to Work-Life Balance (WLB) an</w:t>
      </w:r>
      <w:r w:rsidRPr="00EA4245">
        <w:rPr>
          <w:rFonts w:ascii="Times New Roman" w:hAnsi="Times New Roman" w:cs="Times New Roman"/>
        </w:rPr>
        <w:t>d, in turn, Organizational Commitment (OC). Multi-theoretical alignment is imperative in resolving the addressed research gap, meeting stated goals, and responding to the guiding research question.</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A237B9" w:rsidP="00EA4245">
      <w:pPr>
        <w:pStyle w:val="Standard"/>
        <w:spacing w:beforeLines="240" w:before="576" w:afterLines="240" w:after="576"/>
        <w:contextualSpacing/>
        <w:rPr>
          <w:rFonts w:ascii="Times New Roman" w:hAnsi="Times New Roman" w:cs="Times New Roman"/>
        </w:rPr>
      </w:pPr>
      <w:r w:rsidRPr="00EA4245">
        <w:rPr>
          <w:rFonts w:ascii="Times New Roman" w:hAnsi="Times New Roman" w:cs="Times New Roman"/>
          <w:b/>
        </w:rPr>
        <w:t>Spillover theory</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Spillover Theory argues that exper</w:t>
      </w:r>
      <w:r w:rsidRPr="00EA4245">
        <w:rPr>
          <w:rFonts w:ascii="Times New Roman" w:hAnsi="Times New Roman" w:cs="Times New Roman"/>
        </w:rPr>
        <w:t xml:space="preserve">iences, moods, and needs in one area of life—e.g., work or family—have the potential to affect performance in another </w:t>
      </w:r>
      <w:r w:rsidRPr="00EA4245">
        <w:rPr>
          <w:rFonts w:ascii="Times New Roman" w:eastAsia="Times New Roman" w:hAnsi="Times New Roman" w:cs="Times New Roman"/>
          <w:color w:val="000000"/>
        </w:rPr>
        <w:t>(Edwards &amp; Rothbard, 2000).</w:t>
      </w:r>
      <w:r w:rsidRPr="00EA4245">
        <w:rPr>
          <w:rFonts w:ascii="Times New Roman" w:hAnsi="Times New Roman" w:cs="Times New Roman"/>
        </w:rPr>
        <w:t xml:space="preserve"> The crossover can be both beneficial and </w:t>
      </w:r>
      <w:r w:rsidRPr="00EA4245">
        <w:rPr>
          <w:rFonts w:ascii="Times New Roman" w:hAnsi="Times New Roman" w:cs="Times New Roman"/>
        </w:rPr>
        <w:lastRenderedPageBreak/>
        <w:t>detrimental, affecting mood, behavior, and levels of energy. In femal</w:t>
      </w:r>
      <w:r w:rsidRPr="00EA4245">
        <w:rPr>
          <w:rFonts w:ascii="Times New Roman" w:hAnsi="Times New Roman" w:cs="Times New Roman"/>
        </w:rPr>
        <w:t>e physicians, long working hours, high emotional labor demands, and clinical workload tend to create adverse spillover into home life, interfering with Work-Life Balance (WLB) and lowering Organizational Commitment (OC). Current views on spillover also emp</w:t>
      </w:r>
      <w:r w:rsidRPr="00EA4245">
        <w:rPr>
          <w:rFonts w:ascii="Times New Roman" w:hAnsi="Times New Roman" w:cs="Times New Roman"/>
        </w:rPr>
        <w:t xml:space="preserve">hasize the possibility of positive interactions between domains, for example, increased self-efficacy in the home environment as a result of professional achievement </w:t>
      </w:r>
      <w:r w:rsidRPr="00EA4245">
        <w:rPr>
          <w:rFonts w:ascii="Times New Roman" w:hAnsi="Times New Roman" w:cs="Times New Roman"/>
          <w:color w:val="000000"/>
        </w:rPr>
        <w:t>(Wayne et al., 2007)</w:t>
      </w:r>
      <w:r w:rsidRPr="00EA4245">
        <w:rPr>
          <w:rFonts w:ascii="Times New Roman" w:hAnsi="Times New Roman" w:cs="Times New Roman"/>
        </w:rPr>
        <w:t>. Spillover theory is, therefore, a rich framework for appreciating ho</w:t>
      </w:r>
      <w:r w:rsidRPr="00EA4245">
        <w:rPr>
          <w:rFonts w:ascii="Times New Roman" w:hAnsi="Times New Roman" w:cs="Times New Roman"/>
        </w:rPr>
        <w:t>w work experiences—particularly in high-demand occupations—spill over into the broader life satisfaction and level of commitment.</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A237B9" w:rsidP="00EA4245">
      <w:pPr>
        <w:pStyle w:val="Standard"/>
        <w:spacing w:beforeLines="240" w:before="576" w:afterLines="240" w:after="576"/>
        <w:contextualSpacing/>
        <w:rPr>
          <w:rFonts w:ascii="Times New Roman" w:hAnsi="Times New Roman" w:cs="Times New Roman"/>
        </w:rPr>
      </w:pPr>
      <w:r w:rsidRPr="00EA4245">
        <w:rPr>
          <w:rFonts w:ascii="Times New Roman" w:hAnsi="Times New Roman" w:cs="Times New Roman"/>
          <w:b/>
        </w:rPr>
        <w:t xml:space="preserve"> Social exchange theory (set)</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Social Exchange Theory (SET) offers a starting-point perspective to explore the mutual dyna</w:t>
      </w:r>
      <w:r w:rsidRPr="00EA4245">
        <w:rPr>
          <w:rFonts w:ascii="Times New Roman" w:hAnsi="Times New Roman" w:cs="Times New Roman"/>
        </w:rPr>
        <w:t xml:space="preserve">mics of employees and organizations. It suggests that the quality of the employee–organization relationship is established by perceived fairness, mutual obligations, and resource exchange </w:t>
      </w:r>
      <w:r w:rsidRPr="00EA4245">
        <w:rPr>
          <w:rFonts w:ascii="Times New Roman" w:hAnsi="Times New Roman" w:cs="Times New Roman"/>
          <w:color w:val="000000"/>
        </w:rPr>
        <w:t>(Blau, 1986</w:t>
      </w:r>
      <w:r w:rsidRPr="00EA4245">
        <w:rPr>
          <w:rFonts w:ascii="Times New Roman" w:hAnsi="Times New Roman" w:cs="Times New Roman"/>
        </w:rPr>
        <w:t xml:space="preserve">; </w:t>
      </w:r>
      <w:r w:rsidRPr="00EA4245">
        <w:rPr>
          <w:rFonts w:ascii="Times New Roman" w:eastAsia="Times New Roman" w:hAnsi="Times New Roman" w:cs="Times New Roman"/>
          <w:color w:val="000000"/>
        </w:rPr>
        <w:t xml:space="preserve">Cropanzano &amp; Mitchell, 2005). </w:t>
      </w:r>
      <w:r w:rsidRPr="00EA4245">
        <w:rPr>
          <w:rFonts w:ascii="Times New Roman" w:hAnsi="Times New Roman" w:cs="Times New Roman"/>
        </w:rPr>
        <w:t>SET posits the support of</w:t>
      </w:r>
      <w:r w:rsidRPr="00EA4245">
        <w:rPr>
          <w:rFonts w:ascii="Times New Roman" w:hAnsi="Times New Roman" w:cs="Times New Roman"/>
        </w:rPr>
        <w:t xml:space="preserve"> personal and professional variables to WLB by implying that while organizations show support—through policies, flexibility, or affective resources—employees respond with higher affective commitment and loyalty. On the other hand, the lack of the same in o</w:t>
      </w:r>
      <w:r w:rsidRPr="00EA4245">
        <w:rPr>
          <w:rFonts w:ascii="Times New Roman" w:hAnsi="Times New Roman" w:cs="Times New Roman"/>
        </w:rPr>
        <w:t>rganizations that have environments of gender discrimination can contribute to the breakdown of psychological contracts and reduce WLB and OC. In the case of female doctors, SET assists in understanding how socio-cultural forces and workplace routines cros</w:t>
      </w:r>
      <w:r w:rsidRPr="00EA4245">
        <w:rPr>
          <w:rFonts w:ascii="Times New Roman" w:hAnsi="Times New Roman" w:cs="Times New Roman"/>
        </w:rPr>
        <w:t>s-interact to establish impressions of support or injustice, eventually determining their work-life integration and organizational devotion.</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47D22" w:rsidP="00EA4245">
      <w:pPr>
        <w:pStyle w:val="Standard"/>
        <w:spacing w:beforeLines="240" w:before="576" w:afterLines="240" w:after="576"/>
        <w:contextualSpacing/>
        <w:rPr>
          <w:rFonts w:ascii="Times New Roman" w:hAnsi="Times New Roman" w:cs="Times New Roman"/>
        </w:rPr>
      </w:pPr>
      <w:r w:rsidRPr="00EA4245">
        <w:rPr>
          <w:rFonts w:ascii="Times New Roman" w:hAnsi="Times New Roman" w:cs="Times New Roman"/>
          <w:b/>
        </w:rPr>
        <w:t>Conservation of Resources (COR) Theory</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Conservation of Resources (COR) Theory proposes that people are driven</w:t>
      </w:r>
      <w:r w:rsidRPr="00EA4245">
        <w:rPr>
          <w:rFonts w:ascii="Times New Roman" w:hAnsi="Times New Roman" w:cs="Times New Roman"/>
        </w:rPr>
        <w:t xml:space="preserve"> to attain, maintain, and defend precious resources like time, energy, and psychological strength </w:t>
      </w:r>
      <w:r w:rsidRPr="00EA4245">
        <w:rPr>
          <w:rFonts w:ascii="Times New Roman" w:hAnsi="Times New Roman" w:cs="Times New Roman"/>
          <w:color w:val="000000"/>
        </w:rPr>
        <w:t>(Hobfoll, 1989)</w:t>
      </w:r>
      <w:r w:rsidRPr="00EA4245">
        <w:rPr>
          <w:rFonts w:ascii="Times New Roman" w:hAnsi="Times New Roman" w:cs="Times New Roman"/>
        </w:rPr>
        <w:t xml:space="preserve"> As these resources are diminished—because of overload roles, discrimination, or hostile work environments—stress is caused, resulting in compr</w:t>
      </w:r>
      <w:r w:rsidRPr="00EA4245">
        <w:rPr>
          <w:rFonts w:ascii="Times New Roman" w:hAnsi="Times New Roman" w:cs="Times New Roman"/>
        </w:rPr>
        <w:t xml:space="preserve">omised WLB and lowered OC. In the case of women physicians, COR Theory accounts for why constant demands and gendered expectations drain critical psychological and physical resources. </w:t>
      </w:r>
      <w:r w:rsidRPr="00EA4245">
        <w:rPr>
          <w:rFonts w:ascii="Times New Roman" w:hAnsi="Times New Roman" w:cs="Times New Roman"/>
          <w:color w:val="000000"/>
        </w:rPr>
        <w:t>(Hobfoll et al., 2018)</w:t>
      </w:r>
      <w:r w:rsidRPr="00EA4245">
        <w:rPr>
          <w:rFonts w:ascii="Times New Roman" w:hAnsi="Times New Roman" w:cs="Times New Roman"/>
        </w:rPr>
        <w:t xml:space="preserve"> also highlight that whenever resource loss is gre</w:t>
      </w:r>
      <w:r w:rsidRPr="00EA4245">
        <w:rPr>
          <w:rFonts w:ascii="Times New Roman" w:hAnsi="Times New Roman" w:cs="Times New Roman"/>
        </w:rPr>
        <w:t>ater than resource gain, the strain intensifies—particularly in organizational cultures without support structures. COR Theory thereby confirms the mediating function of WLB between resource-consuming antecedents and organizational outcomes.</w:t>
      </w: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500BEC" w:rsidP="00EA4245">
      <w:pPr>
        <w:pStyle w:val="Standard"/>
        <w:spacing w:beforeLines="240" w:before="576" w:afterLines="240" w:after="576"/>
        <w:contextualSpacing/>
        <w:rPr>
          <w:rFonts w:ascii="Times New Roman" w:hAnsi="Times New Roman" w:cs="Times New Roman"/>
        </w:rPr>
      </w:pPr>
    </w:p>
    <w:p w:rsidR="00500BEC" w:rsidRPr="00EA4245" w:rsidRDefault="00A237B9" w:rsidP="00EA4245">
      <w:pPr>
        <w:pStyle w:val="Standard"/>
        <w:spacing w:beforeLines="240" w:before="576" w:afterLines="240" w:after="576"/>
        <w:contextualSpacing/>
        <w:rPr>
          <w:rFonts w:ascii="Times New Roman" w:hAnsi="Times New Roman" w:cs="Times New Roman"/>
        </w:rPr>
      </w:pPr>
      <w:r w:rsidRPr="00EA4245">
        <w:rPr>
          <w:rFonts w:ascii="Times New Roman" w:hAnsi="Times New Roman" w:cs="Times New Roman"/>
          <w:b/>
        </w:rPr>
        <w:t>Job demands–resources (jd-r) model</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The JD-R Model offers a dynamic approach to explaining employee well-being by contrasting job requirements as demands and resources </w:t>
      </w:r>
      <w:r w:rsidRPr="00EA4245">
        <w:rPr>
          <w:rFonts w:ascii="Times New Roman" w:hAnsi="Times New Roman" w:cs="Times New Roman"/>
          <w:color w:val="000000"/>
        </w:rPr>
        <w:t>(Demerouti et al., 2001)</w:t>
      </w:r>
      <w:r w:rsidRPr="00EA4245">
        <w:rPr>
          <w:rFonts w:ascii="Times New Roman" w:hAnsi="Times New Roman" w:cs="Times New Roman"/>
        </w:rPr>
        <w:t>. Job demands, for example, long working hours, night shifts, and emotio</w:t>
      </w:r>
      <w:r w:rsidRPr="00EA4245">
        <w:rPr>
          <w:rFonts w:ascii="Times New Roman" w:hAnsi="Times New Roman" w:cs="Times New Roman"/>
        </w:rPr>
        <w:t>nal exhaustion, may drain personal resources, while job resources, such as autonomy, managerial support, and flexibility in terms of work schedules, act as buffer factors. In women healthcare workers, the mismatch between excessive job demands and few reso</w:t>
      </w:r>
      <w:r w:rsidRPr="00EA4245">
        <w:rPr>
          <w:rFonts w:ascii="Times New Roman" w:hAnsi="Times New Roman" w:cs="Times New Roman"/>
        </w:rPr>
        <w:t xml:space="preserve">urces tends to enhance WLB issues and lower OC. </w:t>
      </w:r>
      <w:r w:rsidRPr="00EA4245">
        <w:rPr>
          <w:rFonts w:ascii="Times New Roman" w:eastAsia="Times New Roman" w:hAnsi="Times New Roman" w:cs="Times New Roman"/>
          <w:color w:val="000000"/>
        </w:rPr>
        <w:t>(Bakker &amp; Demerouti, 2017)</w:t>
      </w:r>
      <w:r w:rsidRPr="00EA4245">
        <w:rPr>
          <w:rFonts w:ascii="Times New Roman" w:hAnsi="Times New Roman" w:cs="Times New Roman"/>
        </w:rPr>
        <w:t xml:space="preserve"> generalized the JD-R model by adding personal resources (e.g., resilience, self-efficacy) and examining how the interaction between demands and resources predicts burnout and engage</w:t>
      </w:r>
      <w:r w:rsidRPr="00EA4245">
        <w:rPr>
          <w:rFonts w:ascii="Times New Roman" w:hAnsi="Times New Roman" w:cs="Times New Roman"/>
        </w:rPr>
        <w:t>ment. WLB features as a major mechanism by which organizational antecedents influence employee commitment and retention, especially in high-stakes, gendered careers such as medicine.</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A237B9"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Self-determination theory (sdt)</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Self-Determination Theory (SDT) asserts that humans perform best when their intrinsic psychological needs for autonomy, competence, and relatedness are fulfilled </w:t>
      </w:r>
      <w:r w:rsidRPr="00EA4245">
        <w:rPr>
          <w:rFonts w:ascii="Times New Roman" w:eastAsia="Times New Roman" w:hAnsi="Times New Roman" w:cs="Times New Roman"/>
          <w:color w:val="000000"/>
        </w:rPr>
        <w:t>(Deci &amp; Ryan, 2000)</w:t>
      </w:r>
      <w:r w:rsidRPr="00EA4245">
        <w:rPr>
          <w:rFonts w:ascii="Times New Roman" w:hAnsi="Times New Roman" w:cs="Times New Roman"/>
          <w:color w:val="000000"/>
        </w:rPr>
        <w:t>.</w:t>
      </w:r>
      <w:r w:rsidRPr="00EA4245">
        <w:rPr>
          <w:rFonts w:ascii="Times New Roman" w:hAnsi="Times New Roman" w:cs="Times New Roman"/>
        </w:rPr>
        <w:t xml:space="preserve"> In health care environments, structural barriers like inflexible scheduli</w:t>
      </w:r>
      <w:r w:rsidRPr="00EA4245">
        <w:rPr>
          <w:rFonts w:ascii="Times New Roman" w:hAnsi="Times New Roman" w:cs="Times New Roman"/>
        </w:rPr>
        <w:t xml:space="preserve">ng, hierarchical control, or gender exclusion can undermine these needs, leading to lower motivation, burnout, and decreased organizational attachment. </w:t>
      </w:r>
      <w:r w:rsidRPr="00EA4245">
        <w:rPr>
          <w:rFonts w:ascii="Times New Roman" w:hAnsi="Times New Roman" w:cs="Times New Roman"/>
          <w:color w:val="000000"/>
        </w:rPr>
        <w:t>(Van den Broeck et al., 2016)</w:t>
      </w:r>
      <w:r w:rsidRPr="00EA4245">
        <w:rPr>
          <w:rFonts w:ascii="Times New Roman" w:hAnsi="Times New Roman" w:cs="Times New Roman"/>
        </w:rPr>
        <w:t xml:space="preserve"> note the way that fulfilling these needs in the workplace increases intrin</w:t>
      </w:r>
      <w:r w:rsidRPr="00EA4245">
        <w:rPr>
          <w:rFonts w:ascii="Times New Roman" w:hAnsi="Times New Roman" w:cs="Times New Roman"/>
        </w:rPr>
        <w:t xml:space="preserve">sic motivation and organizational commitment, and their </w:t>
      </w:r>
      <w:r w:rsidRPr="00EA4245">
        <w:rPr>
          <w:rFonts w:ascii="Times New Roman" w:hAnsi="Times New Roman" w:cs="Times New Roman"/>
        </w:rPr>
        <w:lastRenderedPageBreak/>
        <w:t>frustration as resulting in disengagement and work-life imbalance. For female physicians balancing professional and family roles, SDT accounts for the way in which the fulfillment—or suppression—of th</w:t>
      </w:r>
      <w:r w:rsidRPr="00EA4245">
        <w:rPr>
          <w:rFonts w:ascii="Times New Roman" w:hAnsi="Times New Roman" w:cs="Times New Roman"/>
        </w:rPr>
        <w:t>ese needs directly affects their well-being, WLB, and long-term organizational commitment.</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Style w:val="StrongEmphasis"/>
          <w:rFonts w:ascii="Times New Roman" w:hAnsi="Times New Roman"/>
        </w:rPr>
        <w:t>Multi-theoretical Integration</w:t>
      </w:r>
    </w:p>
    <w:p w:rsidR="00500BEC" w:rsidRPr="00EA4245" w:rsidRDefault="00547D22" w:rsidP="00EA4245">
      <w:p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kern w:val="0"/>
          <w:lang w:eastAsia="en-US" w:bidi="ar-SA"/>
        </w:rPr>
        <w:t xml:space="preserve">Rather than treating theories in isolation, this study consolidates their explanatory logic to avoid redundancy and enhance </w:t>
      </w:r>
      <w:r w:rsidRPr="00EA4245">
        <w:rPr>
          <w:rFonts w:ascii="Times New Roman" w:eastAsia="Times New Roman" w:hAnsi="Times New Roman" w:cs="Times New Roman"/>
          <w:kern w:val="0"/>
          <w:lang w:eastAsia="en-US" w:bidi="ar-SA"/>
        </w:rPr>
        <w:t>coherence.</w:t>
      </w:r>
    </w:p>
    <w:p w:rsidR="00500BEC" w:rsidRPr="00EA4245" w:rsidRDefault="00547D22" w:rsidP="00EA4245">
      <w:pPr>
        <w:numPr>
          <w:ilvl w:val="0"/>
          <w:numId w:val="3"/>
        </w:num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Spillover Theory</w:t>
      </w:r>
      <w:r w:rsidRPr="00EA4245">
        <w:rPr>
          <w:rFonts w:ascii="Times New Roman" w:eastAsia="Times New Roman" w:hAnsi="Times New Roman" w:cs="Times New Roman"/>
          <w:kern w:val="0"/>
          <w:lang w:eastAsia="en-US" w:bidi="ar-SA"/>
        </w:rPr>
        <w:t xml:space="preserve"> explains how emotional and behavioral experiences transfer between work and family domains, intensifying role conflict among female doctors.</w:t>
      </w:r>
    </w:p>
    <w:p w:rsidR="00500BEC" w:rsidRPr="00EA4245" w:rsidRDefault="00547D22" w:rsidP="00EA4245">
      <w:pPr>
        <w:numPr>
          <w:ilvl w:val="0"/>
          <w:numId w:val="3"/>
        </w:num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Social Exchange Theory (SET)</w:t>
      </w:r>
      <w:r w:rsidRPr="00EA4245">
        <w:rPr>
          <w:rFonts w:ascii="Times New Roman" w:eastAsia="Times New Roman" w:hAnsi="Times New Roman" w:cs="Times New Roman"/>
          <w:kern w:val="0"/>
          <w:lang w:eastAsia="en-US" w:bidi="ar-SA"/>
        </w:rPr>
        <w:t xml:space="preserve"> accounts for reciprocal dynamics between organizational su</w:t>
      </w:r>
      <w:r w:rsidRPr="00EA4245">
        <w:rPr>
          <w:rFonts w:ascii="Times New Roman" w:eastAsia="Times New Roman" w:hAnsi="Times New Roman" w:cs="Times New Roman"/>
          <w:kern w:val="0"/>
          <w:lang w:eastAsia="en-US" w:bidi="ar-SA"/>
        </w:rPr>
        <w:t>pport and employee commitment, highlighting the role of fairness and inclusion.</w:t>
      </w:r>
    </w:p>
    <w:p w:rsidR="00500BEC" w:rsidRPr="00EA4245" w:rsidRDefault="00547D22" w:rsidP="00EA4245">
      <w:pPr>
        <w:numPr>
          <w:ilvl w:val="0"/>
          <w:numId w:val="3"/>
        </w:num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Conservation of Resources (COR) Theory</w:t>
      </w:r>
      <w:r w:rsidRPr="00EA4245">
        <w:rPr>
          <w:rFonts w:ascii="Times New Roman" w:eastAsia="Times New Roman" w:hAnsi="Times New Roman" w:cs="Times New Roman"/>
          <w:kern w:val="0"/>
          <w:lang w:eastAsia="en-US" w:bidi="ar-SA"/>
        </w:rPr>
        <w:t xml:space="preserve"> frames stress as a consequence of resource depletion arising from excessive demands, discrimination, and external shocks.</w:t>
      </w:r>
    </w:p>
    <w:p w:rsidR="00500BEC" w:rsidRPr="00EA4245" w:rsidRDefault="00547D22" w:rsidP="00EA4245">
      <w:pPr>
        <w:numPr>
          <w:ilvl w:val="0"/>
          <w:numId w:val="3"/>
        </w:num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Job Demands–Res</w:t>
      </w:r>
      <w:r w:rsidRPr="00EA4245">
        <w:rPr>
          <w:rFonts w:ascii="Times New Roman" w:eastAsia="Times New Roman" w:hAnsi="Times New Roman" w:cs="Times New Roman"/>
          <w:b/>
          <w:bCs/>
          <w:kern w:val="0"/>
          <w:lang w:eastAsia="en-US" w:bidi="ar-SA"/>
        </w:rPr>
        <w:t>ources (JD–R) Model</w:t>
      </w:r>
      <w:r w:rsidRPr="00EA4245">
        <w:rPr>
          <w:rFonts w:ascii="Times New Roman" w:eastAsia="Times New Roman" w:hAnsi="Times New Roman" w:cs="Times New Roman"/>
          <w:kern w:val="0"/>
          <w:lang w:eastAsia="en-US" w:bidi="ar-SA"/>
        </w:rPr>
        <w:t xml:space="preserve"> provides a structural lens to examine how high demands and insufficient resources undermine WLB and engagement.</w:t>
      </w:r>
    </w:p>
    <w:p w:rsidR="00500BEC" w:rsidRPr="00EA4245" w:rsidRDefault="00547D22" w:rsidP="00EA4245">
      <w:pPr>
        <w:numPr>
          <w:ilvl w:val="0"/>
          <w:numId w:val="3"/>
        </w:num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Self-Determination Theory (SDT)</w:t>
      </w:r>
      <w:r w:rsidRPr="00EA4245">
        <w:rPr>
          <w:rFonts w:ascii="Times New Roman" w:eastAsia="Times New Roman" w:hAnsi="Times New Roman" w:cs="Times New Roman"/>
          <w:kern w:val="0"/>
          <w:lang w:eastAsia="en-US" w:bidi="ar-SA"/>
        </w:rPr>
        <w:t xml:space="preserve"> adds a motivational dimension, emphasizing autonomy, competence, and relatedness as prerequi</w:t>
      </w:r>
      <w:r w:rsidRPr="00EA4245">
        <w:rPr>
          <w:rFonts w:ascii="Times New Roman" w:eastAsia="Times New Roman" w:hAnsi="Times New Roman" w:cs="Times New Roman"/>
          <w:kern w:val="0"/>
          <w:lang w:eastAsia="en-US" w:bidi="ar-SA"/>
        </w:rPr>
        <w:t>sites for sustainable commitment.</w:t>
      </w:r>
    </w:p>
    <w:p w:rsidR="00500BEC" w:rsidRPr="00EA4245" w:rsidRDefault="00547D22" w:rsidP="00EA4245">
      <w:p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kern w:val="0"/>
          <w:lang w:eastAsia="en-US" w:bidi="ar-SA"/>
        </w:rPr>
        <w:t xml:space="preserve">Together, these theories justify WLB as a central psychological and structural mechanism translating antecedents into organizational outcomes. </w:t>
      </w:r>
      <w:r w:rsidRPr="00EA4245">
        <w:rPr>
          <w:rStyle w:val="Strong"/>
          <w:rFonts w:ascii="Times New Roman" w:hAnsi="Times New Roman" w:cs="Times New Roman"/>
        </w:rPr>
        <w:t>Table 1</w:t>
      </w:r>
      <w:r w:rsidRPr="00EA4245">
        <w:rPr>
          <w:rFonts w:ascii="Times New Roman" w:hAnsi="Times New Roman" w:cs="Times New Roman"/>
        </w:rPr>
        <w:t xml:space="preserve"> summarizes how each theory aligns with specific constructs in the model</w:t>
      </w:r>
      <w:r w:rsidRPr="00EA4245">
        <w:rPr>
          <w:rFonts w:ascii="Times New Roman" w:hAnsi="Times New Roman" w:cs="Times New Roman"/>
        </w:rPr>
        <w:t>.</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tbl>
      <w:tblPr>
        <w:tblW w:w="9407" w:type="dxa"/>
        <w:tblLayout w:type="fixed"/>
        <w:tblCellMar>
          <w:left w:w="10" w:type="dxa"/>
          <w:right w:w="10" w:type="dxa"/>
        </w:tblCellMar>
        <w:tblLook w:val="04A0" w:firstRow="1" w:lastRow="0" w:firstColumn="1" w:lastColumn="0" w:noHBand="0" w:noVBand="1"/>
      </w:tblPr>
      <w:tblGrid>
        <w:gridCol w:w="1899"/>
        <w:gridCol w:w="2176"/>
        <w:gridCol w:w="2141"/>
        <w:gridCol w:w="3191"/>
      </w:tblGrid>
      <w:tr w:rsidR="00500BEC" w:rsidRPr="00EA4245" w:rsidTr="006F7F48">
        <w:trPr>
          <w:trHeight w:val="837"/>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rPr>
              <w:t>Theory</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rPr>
              <w:t>Key Conceptual Focus</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rPr>
              <w:t>Related Constructs</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rPr>
              <w:t>Role in the Model</w:t>
            </w:r>
          </w:p>
        </w:tc>
      </w:tr>
      <w:tr w:rsidR="00500BEC" w:rsidRPr="00EA4245" w:rsidTr="006F7F48">
        <w:trPr>
          <w:trHeight w:val="1922"/>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Cs/>
                <w:i/>
              </w:rPr>
              <w:t>Spillover Theory</w:t>
            </w:r>
            <w:r w:rsidRPr="00EA4245">
              <w:rPr>
                <w:rFonts w:ascii="Times New Roman" w:hAnsi="Times New Roman" w:cs="Times New Roman"/>
                <w:b/>
                <w:bCs/>
                <w:i/>
              </w:rPr>
              <w:t xml:space="preserve">    </w:t>
            </w:r>
            <w:r w:rsidRPr="00EA4245">
              <w:rPr>
                <w:rFonts w:ascii="Times New Roman" w:hAnsi="Times New Roman" w:cs="Times New Roman"/>
                <w:b/>
                <w:bCs/>
                <w:color w:val="000000"/>
              </w:rPr>
              <w:t>(Edwards &amp; Rothbard, 2000;Grzywacz &amp; Marks, 2000)</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Emotional and behavioral transfer between work and family domains</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Personal &amp; Professional Factors → WLB</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 xml:space="preserve">Explains how </w:t>
            </w:r>
            <w:r w:rsidRPr="00EA4245">
              <w:rPr>
                <w:rFonts w:ascii="Times New Roman" w:hAnsi="Times New Roman" w:cs="Times New Roman"/>
              </w:rPr>
              <w:t>work-related demands and emotions spill over into the personal domain, influencing WLB, particularly in dual-role situations</w:t>
            </w:r>
          </w:p>
        </w:tc>
      </w:tr>
      <w:tr w:rsidR="00500BEC" w:rsidRPr="00EA4245" w:rsidTr="006F7F48">
        <w:trPr>
          <w:trHeight w:val="2182"/>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Cs/>
                <w:i/>
              </w:rPr>
              <w:t>Social Exchange Theory (SET)</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color w:val="000000"/>
              </w:rPr>
              <w:t>(Blau, 1986;</w:t>
            </w:r>
            <w:r w:rsidRPr="00EA4245">
              <w:rPr>
                <w:rFonts w:ascii="Times New Roman" w:hAnsi="Times New Roman" w:cs="Times New Roman"/>
                <w:b/>
                <w:bCs/>
                <w:color w:val="000000"/>
              </w:rPr>
              <w:t>Cropanzano &amp; Mitchell, 2005)</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Reciprocity in employer–employee relationships</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Socio-Cultural Elements → WLB → OC</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Demonstrates how perceived organizational support or discrimination affects employee loyalty and commitment through WLB</w:t>
            </w:r>
          </w:p>
        </w:tc>
      </w:tr>
      <w:tr w:rsidR="00500BEC" w:rsidRPr="00EA4245" w:rsidTr="006F7F48">
        <w:trPr>
          <w:trHeight w:val="1922"/>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Cs/>
                <w:i/>
              </w:rPr>
              <w:t>Conservation of Resources (COR)</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color w:val="000000"/>
              </w:rPr>
              <w:t>(Hobfoll, 1989;Hobfoll et al., 2018)</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 xml:space="preserve">Resource preservation and </w:t>
            </w:r>
            <w:r w:rsidRPr="00EA4245">
              <w:rPr>
                <w:rFonts w:ascii="Times New Roman" w:hAnsi="Times New Roman" w:cs="Times New Roman"/>
              </w:rPr>
              <w:t>stress response</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External Stressors, Gender Discrimination → WLB</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Provides a stress-based explanation of how resource loss leads to poor WLB and ultimately reduced OC</w:t>
            </w:r>
          </w:p>
        </w:tc>
      </w:tr>
      <w:tr w:rsidR="00500BEC" w:rsidRPr="00EA4245" w:rsidTr="006F7F48">
        <w:trPr>
          <w:trHeight w:val="2465"/>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Cs/>
                <w:i/>
              </w:rPr>
              <w:lastRenderedPageBreak/>
              <w:t>Job Demands–Resources (JD-R)</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color w:val="000000"/>
              </w:rPr>
              <w:t>(Demerouti et al., 2001;</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color w:val="000000"/>
              </w:rPr>
              <w:t>Bakker &amp; Demerouti, 2017)</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 xml:space="preserve">Balance </w:t>
            </w:r>
            <w:r w:rsidRPr="00EA4245">
              <w:rPr>
                <w:rFonts w:ascii="Times New Roman" w:hAnsi="Times New Roman" w:cs="Times New Roman"/>
              </w:rPr>
              <w:t>between job demands and available resources</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All antecedents → WLB → OC</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Offers a flexible model to analyze how work demands and resources jointly affect WLB and commitment</w:t>
            </w:r>
          </w:p>
        </w:tc>
      </w:tr>
      <w:tr w:rsidR="00500BEC" w:rsidRPr="00EA4245" w:rsidTr="006F7F48">
        <w:trPr>
          <w:trHeight w:val="2465"/>
        </w:trPr>
        <w:tc>
          <w:tcPr>
            <w:tcW w:w="1899"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Cs/>
                <w:i/>
              </w:rPr>
              <w:t>Self-Determination Theory (SDT)</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color w:val="000000"/>
              </w:rPr>
              <w:t>(Deci &amp; Ryan, 2000;</w:t>
            </w:r>
          </w:p>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b/>
                <w:bCs/>
                <w:i/>
                <w:color w:val="000000"/>
              </w:rPr>
              <w:t>Van den Broeck et al., 2016)</w:t>
            </w:r>
          </w:p>
        </w:tc>
        <w:tc>
          <w:tcPr>
            <w:tcW w:w="217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Psychological needs of autonomy, competence, and relatedness</w:t>
            </w:r>
          </w:p>
        </w:tc>
        <w:tc>
          <w:tcPr>
            <w:tcW w:w="2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Socio-Cultural Elements, Gender Discrimination → WLB → OC</w:t>
            </w:r>
          </w:p>
        </w:tc>
        <w:tc>
          <w:tcPr>
            <w:tcW w:w="319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top w:w="0" w:type="dxa"/>
              <w:left w:w="108" w:type="dxa"/>
              <w:bottom w:w="0" w:type="dxa"/>
              <w:right w:w="108" w:type="dxa"/>
            </w:tcMar>
            <w:vAlign w:val="center"/>
          </w:tcPr>
          <w:p w:rsidR="00500BEC" w:rsidRPr="00EA4245" w:rsidRDefault="00547D22" w:rsidP="00EA4245">
            <w:pPr>
              <w:pStyle w:val="Standard"/>
              <w:spacing w:beforeLines="240" w:before="576" w:afterLines="240" w:after="576"/>
              <w:contextualSpacing/>
              <w:jc w:val="center"/>
              <w:rPr>
                <w:rFonts w:ascii="Times New Roman" w:hAnsi="Times New Roman" w:cs="Times New Roman"/>
              </w:rPr>
            </w:pPr>
            <w:r w:rsidRPr="00EA4245">
              <w:rPr>
                <w:rFonts w:ascii="Times New Roman" w:hAnsi="Times New Roman" w:cs="Times New Roman"/>
              </w:rPr>
              <w:t>Explains how unmet needs erode intrinsic motivation, WLB, and OC</w:t>
            </w:r>
          </w:p>
          <w:p w:rsidR="00500BEC" w:rsidRPr="00EA4245" w:rsidRDefault="00500BEC" w:rsidP="00EA4245">
            <w:pPr>
              <w:pStyle w:val="Standard"/>
              <w:spacing w:beforeLines="240" w:before="576" w:afterLines="240" w:after="576"/>
              <w:contextualSpacing/>
              <w:jc w:val="center"/>
              <w:rPr>
                <w:rFonts w:ascii="Times New Roman" w:hAnsi="Times New Roman" w:cs="Times New Roman"/>
              </w:rPr>
            </w:pPr>
          </w:p>
        </w:tc>
      </w:tr>
      <w:tr w:rsidR="00500BEC" w:rsidRPr="00EA4245" w:rsidTr="006F7F48">
        <w:trPr>
          <w:trHeight w:val="570"/>
        </w:trPr>
        <w:tc>
          <w:tcPr>
            <w:tcW w:w="9407" w:type="dxa"/>
            <w:gridSpan w:val="4"/>
            <w:tcBorders>
              <w:top w:val="double" w:sz="4" w:space="0" w:color="000000" w:themeColor="text1"/>
            </w:tcBorders>
            <w:shd w:val="clear" w:color="auto" w:fill="auto"/>
            <w:tcMar>
              <w:top w:w="0" w:type="dxa"/>
              <w:left w:w="108" w:type="dxa"/>
              <w:bottom w:w="0" w:type="dxa"/>
              <w:right w:w="108" w:type="dxa"/>
            </w:tcMar>
            <w:vAlign w:val="center"/>
          </w:tcPr>
          <w:p w:rsidR="00500BEC" w:rsidRPr="00EA4245" w:rsidRDefault="006F7F48" w:rsidP="006F7F48">
            <w:pPr>
              <w:pStyle w:val="Standard"/>
              <w:spacing w:beforeLines="240" w:before="576" w:afterLines="240" w:after="576"/>
              <w:contextualSpacing/>
              <w:jc w:val="center"/>
              <w:rPr>
                <w:rFonts w:ascii="Times New Roman" w:hAnsi="Times New Roman" w:cs="Times New Roman"/>
              </w:rPr>
            </w:pPr>
            <w:bookmarkStart w:id="2" w:name="_Ref205301863"/>
            <w:r w:rsidRPr="00EA4245">
              <w:rPr>
                <w:rFonts w:ascii="Times New Roman" w:hAnsi="Times New Roman" w:cs="Times New Roman"/>
                <w:noProof/>
                <w:lang w:eastAsia="en-US" w:bidi="ar-SA"/>
              </w:rPr>
              <w:drawing>
                <wp:anchor distT="0" distB="0" distL="114300" distR="114300" simplePos="0" relativeHeight="251658240" behindDoc="0" locked="0" layoutInCell="1" allowOverlap="1">
                  <wp:simplePos x="0" y="0"/>
                  <wp:positionH relativeFrom="margin">
                    <wp:posOffset>530225</wp:posOffset>
                  </wp:positionH>
                  <wp:positionV relativeFrom="margin">
                    <wp:posOffset>895350</wp:posOffset>
                  </wp:positionV>
                  <wp:extent cx="6119495" cy="3059430"/>
                  <wp:effectExtent l="0" t="0" r="0" b="7620"/>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2" name="Image2"/>
                          <pic:cNvPicPr/>
                        </pic:nvPicPr>
                        <pic:blipFill>
                          <a:blip r:embed="rId8">
                            <a:lum/>
                            <a:extLst>
                              <a:ext uri="{28A0092B-C50C-407E-A947-70E740481C1C}">
                                <a14:useLocalDpi xmlns:a14="http://schemas.microsoft.com/office/drawing/2010/main" val="0"/>
                              </a:ext>
                            </a:extLst>
                          </a:blip>
                          <a:srcRect/>
                          <a:stretch>
                            <a:fillRect/>
                          </a:stretch>
                        </pic:blipFill>
                        <pic:spPr>
                          <a:xfrm>
                            <a:off x="0" y="0"/>
                            <a:ext cx="6119495" cy="305943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sidR="00547D22" w:rsidRPr="00EA4245">
              <w:rPr>
                <w:rFonts w:ascii="Times New Roman" w:hAnsi="Times New Roman" w:cs="Times New Roman"/>
                <w:b/>
                <w:bCs/>
                <w:i/>
              </w:rPr>
              <w:t xml:space="preserve">Table 1: Theoretical Foundations and Construct Mapping (Source: </w:t>
            </w:r>
            <w:r w:rsidR="00547D22" w:rsidRPr="00EA4245">
              <w:rPr>
                <w:rFonts w:ascii="Times New Roman" w:hAnsi="Times New Roman" w:cs="Times New Roman"/>
                <w:b/>
                <w:bCs/>
                <w:i/>
              </w:rPr>
              <w:t>Author’s compilation)</w:t>
            </w:r>
          </w:p>
        </w:tc>
        <w:bookmarkStart w:id="3" w:name="_GoBack"/>
        <w:bookmarkEnd w:id="3"/>
      </w:tr>
    </w:tbl>
    <w:p w:rsidR="00500BEC" w:rsidRDefault="00547D22" w:rsidP="00EA4245">
      <w:pPr>
        <w:pStyle w:val="Standard"/>
        <w:spacing w:beforeLines="240" w:before="576" w:afterLines="240" w:after="576"/>
        <w:contextualSpacing/>
        <w:jc w:val="center"/>
        <w:rPr>
          <w:rFonts w:ascii="Times New Roman" w:hAnsi="Times New Roman" w:cs="Times New Roman"/>
          <w:b/>
          <w:bCs/>
          <w:i/>
        </w:rPr>
      </w:pPr>
      <w:bookmarkStart w:id="4" w:name="_Ref205123597"/>
      <w:r w:rsidRPr="00EA4245">
        <w:rPr>
          <w:rFonts w:ascii="Times New Roman" w:hAnsi="Times New Roman" w:cs="Times New Roman"/>
          <w:b/>
          <w:bCs/>
          <w:i/>
        </w:rPr>
        <w:t>Figure 2. Integrated Theoretical Path Model (Source: Author’s compilation)</w:t>
      </w:r>
    </w:p>
    <w:p w:rsidR="006F7F48" w:rsidRPr="00EA4245" w:rsidRDefault="006F7F48" w:rsidP="00EA4245">
      <w:pPr>
        <w:pStyle w:val="Standard"/>
        <w:spacing w:beforeLines="240" w:before="576" w:afterLines="240" w:after="576"/>
        <w:contextualSpacing/>
        <w:jc w:val="center"/>
        <w:rPr>
          <w:rFonts w:ascii="Times New Roman" w:hAnsi="Times New Roman" w:cs="Times New Roman"/>
          <w:b/>
          <w:bCs/>
          <w:i/>
        </w:rPr>
      </w:pPr>
    </w:p>
    <w:p w:rsidR="00500BEC" w:rsidRDefault="00500BEC" w:rsidP="00EA4245">
      <w:pPr>
        <w:pStyle w:val="Standard"/>
        <w:spacing w:beforeLines="240" w:before="576" w:afterLines="240" w:after="576"/>
        <w:contextualSpacing/>
        <w:jc w:val="center"/>
        <w:rPr>
          <w:rFonts w:ascii="Times New Roman" w:hAnsi="Times New Roman" w:cs="Times New Roman"/>
          <w:b/>
          <w:bCs/>
          <w:i/>
        </w:rPr>
      </w:pPr>
    </w:p>
    <w:p w:rsidR="00F7687B" w:rsidRDefault="00F7687B" w:rsidP="00EA4245">
      <w:pPr>
        <w:pStyle w:val="Standard"/>
        <w:spacing w:beforeLines="240" w:before="576" w:afterLines="240" w:after="576"/>
        <w:contextualSpacing/>
        <w:jc w:val="center"/>
        <w:rPr>
          <w:rFonts w:ascii="Times New Roman" w:hAnsi="Times New Roman" w:cs="Times New Roman"/>
          <w:b/>
          <w:bCs/>
          <w:i/>
        </w:rPr>
      </w:pPr>
    </w:p>
    <w:p w:rsidR="00F7687B" w:rsidRDefault="00F7687B" w:rsidP="00EA4245">
      <w:pPr>
        <w:pStyle w:val="Standard"/>
        <w:spacing w:beforeLines="240" w:before="576" w:afterLines="240" w:after="576"/>
        <w:contextualSpacing/>
        <w:jc w:val="center"/>
        <w:rPr>
          <w:rFonts w:ascii="Times New Roman" w:hAnsi="Times New Roman" w:cs="Times New Roman"/>
          <w:b/>
          <w:bCs/>
          <w:i/>
        </w:rPr>
      </w:pPr>
    </w:p>
    <w:p w:rsidR="00F7687B" w:rsidRDefault="00F7687B" w:rsidP="00EA4245">
      <w:pPr>
        <w:pStyle w:val="Standard"/>
        <w:spacing w:beforeLines="240" w:before="576" w:afterLines="240" w:after="576"/>
        <w:contextualSpacing/>
        <w:jc w:val="center"/>
        <w:rPr>
          <w:rFonts w:ascii="Times New Roman" w:hAnsi="Times New Roman" w:cs="Times New Roman"/>
          <w:b/>
          <w:bCs/>
          <w:i/>
        </w:rPr>
      </w:pPr>
    </w:p>
    <w:p w:rsidR="00F7687B" w:rsidRPr="00EA4245" w:rsidRDefault="00F7687B" w:rsidP="00EA4245">
      <w:pPr>
        <w:pStyle w:val="Standard"/>
        <w:spacing w:beforeLines="240" w:before="576" w:afterLines="240" w:after="576"/>
        <w:contextualSpacing/>
        <w:jc w:val="center"/>
        <w:rPr>
          <w:rFonts w:ascii="Times New Roman" w:hAnsi="Times New Roman" w:cs="Times New Roman"/>
          <w:b/>
          <w:bCs/>
          <w:i/>
        </w:rPr>
      </w:pPr>
    </w:p>
    <w:p w:rsidR="00500BEC" w:rsidRPr="00EA4245" w:rsidRDefault="00A237B9"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lastRenderedPageBreak/>
        <w:t>Marital status as moderator</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Marital status intensifies non-work demands and role expectations, particularly for women in collectivist cultures. Across</w:t>
      </w:r>
      <w:r w:rsidRPr="00EA4245">
        <w:rPr>
          <w:rFonts w:ascii="Times New Roman" w:hAnsi="Times New Roman" w:cs="Times New Roman"/>
        </w:rPr>
        <w:t xml:space="preserve"> theories, marital status shapes spillover intensity, resource depletion, and the effectiveness of job resources, thereby moderating the WLB–OC relationship.</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 xml:space="preserve"> PROPOSITION DEVELOPMENT</w:t>
      </w:r>
    </w:p>
    <w:p w:rsidR="00500BEC" w:rsidRPr="00EA4245" w:rsidRDefault="00547D22" w:rsidP="00EA4245">
      <w:pPr>
        <w:suppressAutoHyphens w:val="0"/>
        <w:autoSpaceDN/>
        <w:spacing w:beforeLines="240" w:before="576" w:afterLines="240" w:after="57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kern w:val="0"/>
          <w:lang w:eastAsia="en-US" w:bidi="ar-SA"/>
        </w:rPr>
        <w:t xml:space="preserve">Consistent with IMRAD conventions for conceptual papers, theoretical </w:t>
      </w:r>
      <w:r w:rsidRPr="00EA4245">
        <w:rPr>
          <w:rFonts w:ascii="Times New Roman" w:eastAsia="Times New Roman" w:hAnsi="Times New Roman" w:cs="Times New Roman"/>
          <w:kern w:val="0"/>
          <w:lang w:eastAsia="en-US" w:bidi="ar-SA"/>
        </w:rPr>
        <w:t>outputs are presented as propositions.</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P1:</w:t>
      </w:r>
      <w:r w:rsidRPr="00EA4245">
        <w:rPr>
          <w:rFonts w:ascii="Times New Roman" w:eastAsia="Times New Roman" w:hAnsi="Times New Roman" w:cs="Times New Roman"/>
          <w:kern w:val="0"/>
          <w:lang w:eastAsia="en-US" w:bidi="ar-SA"/>
        </w:rPr>
        <w:t xml:space="preserve"> Personal and professional factors negatively influence Work–Life Balance among female doctors.</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P2:</w:t>
      </w:r>
      <w:r w:rsidRPr="00EA4245">
        <w:rPr>
          <w:rFonts w:ascii="Times New Roman" w:eastAsia="Times New Roman" w:hAnsi="Times New Roman" w:cs="Times New Roman"/>
          <w:kern w:val="0"/>
          <w:lang w:eastAsia="en-US" w:bidi="ar-SA"/>
        </w:rPr>
        <w:t xml:space="preserve"> Socio-cultural expectations and gender role norms negatively influence Work–Life Balance.</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P3:</w:t>
      </w:r>
      <w:r w:rsidRPr="00EA4245">
        <w:rPr>
          <w:rFonts w:ascii="Times New Roman" w:eastAsia="Times New Roman" w:hAnsi="Times New Roman" w:cs="Times New Roman"/>
          <w:kern w:val="0"/>
          <w:lang w:eastAsia="en-US" w:bidi="ar-SA"/>
        </w:rPr>
        <w:t xml:space="preserve"> External stressors (e.g., crises, emergencies) negatively influence Work–Life Balance.</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P4:</w:t>
      </w:r>
      <w:r w:rsidRPr="00EA4245">
        <w:rPr>
          <w:rFonts w:ascii="Times New Roman" w:eastAsia="Times New Roman" w:hAnsi="Times New Roman" w:cs="Times New Roman"/>
          <w:kern w:val="0"/>
          <w:lang w:eastAsia="en-US" w:bidi="ar-SA"/>
        </w:rPr>
        <w:t xml:space="preserve"> Gender discrimination negatively influences Work–Life Balance.</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P5:</w:t>
      </w:r>
      <w:r w:rsidRPr="00EA4245">
        <w:rPr>
          <w:rFonts w:ascii="Times New Roman" w:eastAsia="Times New Roman" w:hAnsi="Times New Roman" w:cs="Times New Roman"/>
          <w:kern w:val="0"/>
          <w:lang w:eastAsia="en-US" w:bidi="ar-SA"/>
        </w:rPr>
        <w:t xml:space="preserve"> Work–Life Balance positively influences affective, continuance, and normative commitment.</w:t>
      </w:r>
    </w:p>
    <w:p w:rsidR="00500BEC" w:rsidRPr="00EA4245" w:rsidRDefault="00547D22" w:rsidP="00EA4245">
      <w:pPr>
        <w:suppressAutoHyphens w:val="0"/>
        <w:autoSpaceDN/>
        <w:spacing w:beforeLines="240" w:before="576" w:afterLines="240" w:after="576"/>
        <w:ind w:left="426"/>
        <w:contextualSpacing/>
        <w:textAlignment w:val="auto"/>
        <w:rPr>
          <w:rFonts w:ascii="Times New Roman" w:eastAsia="Times New Roman" w:hAnsi="Times New Roman" w:cs="Times New Roman"/>
          <w:kern w:val="0"/>
          <w:lang w:eastAsia="en-US" w:bidi="ar-SA"/>
        </w:rPr>
      </w:pPr>
      <w:r w:rsidRPr="00EA4245">
        <w:rPr>
          <w:rFonts w:ascii="Times New Roman" w:eastAsia="Times New Roman" w:hAnsi="Times New Roman" w:cs="Times New Roman"/>
          <w:b/>
          <w:bCs/>
          <w:kern w:val="0"/>
          <w:lang w:eastAsia="en-US" w:bidi="ar-SA"/>
        </w:rPr>
        <w:t>P6:</w:t>
      </w:r>
      <w:r w:rsidRPr="00EA4245">
        <w:rPr>
          <w:rFonts w:ascii="Times New Roman" w:eastAsia="Times New Roman" w:hAnsi="Times New Roman" w:cs="Times New Roman"/>
          <w:kern w:val="0"/>
          <w:lang w:eastAsia="en-US" w:bidi="ar-SA"/>
        </w:rPr>
        <w:t xml:space="preserve"> Mar</w:t>
      </w:r>
      <w:r w:rsidRPr="00EA4245">
        <w:rPr>
          <w:rFonts w:ascii="Times New Roman" w:eastAsia="Times New Roman" w:hAnsi="Times New Roman" w:cs="Times New Roman"/>
          <w:kern w:val="0"/>
          <w:lang w:eastAsia="en-US" w:bidi="ar-SA"/>
        </w:rPr>
        <w:t>ital status moderates the relationship between Work–Life Balance and Organizational Commitment, such that the relationship is stronger for married female doctors.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bCs/>
        </w:rPr>
        <w:t>DISCUSSION AND IMPLICATIONS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section places the suggested multi-theory framework and</w:t>
      </w:r>
      <w:r w:rsidRPr="00EA4245">
        <w:rPr>
          <w:rFonts w:ascii="Times New Roman" w:hAnsi="Times New Roman" w:cs="Times New Roman"/>
        </w:rPr>
        <w:t xml:space="preserve"> related propositions within the context of current literature and sets out its theory development, managerial practice, and public policy contribution.</w:t>
      </w:r>
    </w:p>
    <w:p w:rsidR="00500BEC" w:rsidRPr="00EA4245" w:rsidRDefault="00500BEC" w:rsidP="00EA4245">
      <w:pPr>
        <w:pStyle w:val="Standard"/>
        <w:spacing w:beforeLines="240" w:before="576" w:afterLines="240" w:after="576"/>
        <w:contextualSpacing/>
        <w:jc w:val="both"/>
        <w:rPr>
          <w:rFonts w:ascii="Times New Roman" w:hAnsi="Times New Roman" w:cs="Times New Roman"/>
          <w:b/>
        </w:rPr>
      </w:pPr>
    </w:p>
    <w:p w:rsidR="00500BEC" w:rsidRPr="00EA4245" w:rsidRDefault="005A510D" w:rsidP="00EA4245">
      <w:pPr>
        <w:pStyle w:val="Standard"/>
        <w:spacing w:beforeLines="240" w:before="576" w:afterLines="240" w:after="576"/>
        <w:contextualSpacing/>
        <w:jc w:val="both"/>
        <w:rPr>
          <w:rFonts w:ascii="Times New Roman" w:hAnsi="Times New Roman" w:cs="Times New Roman"/>
          <w:b/>
        </w:rPr>
      </w:pPr>
      <w:r w:rsidRPr="00EA4245">
        <w:rPr>
          <w:rFonts w:ascii="Times New Roman" w:hAnsi="Times New Roman" w:cs="Times New Roman"/>
          <w:b/>
        </w:rPr>
        <w:t>Contribution to theory (human resource development perspective)</w:t>
      </w: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research offers some unique t</w:t>
      </w:r>
      <w:r w:rsidRPr="00EA4245">
        <w:rPr>
          <w:rFonts w:ascii="Times New Roman" w:hAnsi="Times New Roman" w:cs="Times New Roman"/>
        </w:rPr>
        <w:t>heoretical contributions to scholarly literature on HRD and management.</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numPr>
          <w:ilvl w:val="0"/>
          <w:numId w:val="4"/>
        </w:numPr>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Theoretical progress of WLB as a process of development, instead of work-life balance as an effect or personal coping challenge, this framework views WLB as a mediating variable where</w:t>
      </w:r>
      <w:r w:rsidRPr="00EA4245">
        <w:rPr>
          <w:rFonts w:ascii="Times New Roman" w:hAnsi="Times New Roman" w:cs="Times New Roman"/>
        </w:rPr>
        <w:t xml:space="preserve"> structural, socio-cultural and organizational factors determine employee commitment. This re-thinking brings WLB closer to the HRD issues of sustainable capability building and workforce sustainability.</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numPr>
          <w:ilvl w:val="0"/>
          <w:numId w:val="4"/>
        </w:numPr>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Synthesizing disaggregated theoretical traditions: </w:t>
      </w:r>
      <w:r w:rsidRPr="00EA4245">
        <w:rPr>
          <w:rFonts w:ascii="Times New Roman" w:hAnsi="Times New Roman" w:cs="Times New Roman"/>
        </w:rPr>
        <w:t>The synthesis of Spillover Theory, Social Exchange Theory, Conservation of Resources Theory, the JD -R model and Self-Determination Theory allows the study to surpass single-theory explanations, which prevail in previous WLB-OC studies. The integrated fram</w:t>
      </w:r>
      <w:r w:rsidRPr="00EA4245">
        <w:rPr>
          <w:rFonts w:ascii="Times New Roman" w:hAnsi="Times New Roman" w:cs="Times New Roman"/>
        </w:rPr>
        <w:t>ework explains how the dynamics of stress, reciprocity, motivation and resources work together to provide a more detailed explanatory model to the HRD scholars.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numPr>
          <w:ilvl w:val="0"/>
          <w:numId w:val="4"/>
        </w:numPr>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Gendering organizational commitment theory: The theory clearly connects WLB to the affective, </w:t>
      </w:r>
      <w:r w:rsidRPr="00EA4245">
        <w:rPr>
          <w:rFonts w:ascii="Times New Roman" w:hAnsi="Times New Roman" w:cs="Times New Roman"/>
        </w:rPr>
        <w:t>continuance and normative commitment showing how gendered and socio-cultural demands selectively influence the form of commitment. This applies the commitment theory to under-theorised healthcare and female professional settings.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numPr>
          <w:ilvl w:val="0"/>
          <w:numId w:val="4"/>
        </w:numPr>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Bringing in marital statu</w:t>
      </w:r>
      <w:r w:rsidRPr="00EA4245">
        <w:rPr>
          <w:rFonts w:ascii="Times New Roman" w:hAnsi="Times New Roman" w:cs="Times New Roman"/>
        </w:rPr>
        <w:t>s as a boundary condition: Theorising marital status as a moderator, the study addresses the call to have context-sensitive models of HRD. It illuminates how family-role set ups mediate the developmental and commitment effects, thus contributing to the COR</w:t>
      </w:r>
      <w:r w:rsidRPr="00EA4245">
        <w:rPr>
          <w:rFonts w:ascii="Times New Roman" w:hAnsi="Times New Roman" w:cs="Times New Roman"/>
        </w:rPr>
        <w:t xml:space="preserve"> and JD-R approaches into the HRD studies.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Managerial and practical implications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results of this study provide practical recommendations for hospital administrators, human resource managers, and policy makers in healthcare institutions:</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Instituti</w:t>
      </w:r>
      <w:r w:rsidRPr="00EA4245">
        <w:rPr>
          <w:rFonts w:ascii="Times New Roman" w:hAnsi="Times New Roman" w:cs="Times New Roman"/>
        </w:rPr>
        <w:t>ons must implement family-friendly policies, including flexible work schedules, telecommuting possibilities, and on-site childcare centers, to mitigate work-family conflict and enable WLB.</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Sensitization programs and anti-discrimination training for manager</w:t>
      </w:r>
      <w:r w:rsidRPr="00EA4245">
        <w:rPr>
          <w:rFonts w:ascii="Times New Roman" w:hAnsi="Times New Roman" w:cs="Times New Roman"/>
        </w:rPr>
        <w:t>s are necessary to encourage inclusive workplace environments and ensure equal career opportunities for female physicians.</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 xml:space="preserve">Tailored interventions that address the marital and family situation of women doctors will contribute to the reduction of stress and </w:t>
      </w:r>
      <w:r w:rsidRPr="00EA4245">
        <w:rPr>
          <w:rFonts w:ascii="Times New Roman" w:hAnsi="Times New Roman" w:cs="Times New Roman"/>
        </w:rPr>
        <w:t>increased long-term attachment to the organization.</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Ladies' specific dual-role burdens must be identified as central to the development of supportive and retention-oriented HR practices.</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Policy implications</w:t>
      </w: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study identifies a number of key policy</w:t>
      </w:r>
      <w:r w:rsidRPr="00EA4245">
        <w:rPr>
          <w:rFonts w:ascii="Times New Roman" w:hAnsi="Times New Roman" w:cs="Times New Roman"/>
        </w:rPr>
        <w:t>-level priorities:</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Regulatory bodies and healthcare institutions must actively implement gender equity frameworks and enforce anti-discrimination legislation in both recruitment and career advancement processes.</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 xml:space="preserve">National and regional healthcare regulators </w:t>
      </w:r>
      <w:r w:rsidRPr="00EA4245">
        <w:rPr>
          <w:rFonts w:ascii="Times New Roman" w:hAnsi="Times New Roman" w:cs="Times New Roman"/>
        </w:rPr>
        <w:t>should mandate structured work-life balance and well-being programs in all healthcare settings, especially where gender disparities persist.</w:t>
      </w:r>
    </w:p>
    <w:p w:rsidR="00500BEC" w:rsidRPr="00EA4245" w:rsidRDefault="00547D22" w:rsidP="00EA4245">
      <w:pPr>
        <w:pStyle w:val="Standard"/>
        <w:numPr>
          <w:ilvl w:val="0"/>
          <w:numId w:val="5"/>
        </w:numPr>
        <w:spacing w:beforeLines="240" w:before="576" w:afterLines="240" w:after="576"/>
        <w:ind w:left="0" w:firstLine="449"/>
        <w:contextualSpacing/>
        <w:jc w:val="both"/>
        <w:rPr>
          <w:rFonts w:ascii="Times New Roman" w:hAnsi="Times New Roman" w:cs="Times New Roman"/>
        </w:rPr>
      </w:pPr>
      <w:r w:rsidRPr="00EA4245">
        <w:rPr>
          <w:rFonts w:ascii="Times New Roman" w:hAnsi="Times New Roman" w:cs="Times New Roman"/>
        </w:rPr>
        <w:t>Policy tools need to acknowledge the double burdens of work and family imposed on women medical practitioners and i</w:t>
      </w:r>
      <w:r w:rsidRPr="00EA4245">
        <w:rPr>
          <w:rFonts w:ascii="Times New Roman" w:hAnsi="Times New Roman" w:cs="Times New Roman"/>
        </w:rPr>
        <w:t>nstitutionalize specific support systems to lower attrition and enhance professional satisfaction.</w:t>
      </w:r>
    </w:p>
    <w:p w:rsidR="00500BEC" w:rsidRPr="00EA4245" w:rsidRDefault="00547D22" w:rsidP="00EA4245">
      <w:pPr>
        <w:pStyle w:val="Standard"/>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These are aligned with </w:t>
      </w:r>
      <w:r w:rsidRPr="00EA4245">
        <w:rPr>
          <w:rFonts w:ascii="Times New Roman" w:hAnsi="Times New Roman" w:cs="Times New Roman"/>
          <w:color w:val="000000"/>
        </w:rPr>
        <w:t xml:space="preserve">(Boniol et al., 2019) </w:t>
      </w:r>
      <w:r w:rsidRPr="00EA4245">
        <w:rPr>
          <w:rFonts w:ascii="Times New Roman" w:hAnsi="Times New Roman" w:cs="Times New Roman"/>
        </w:rPr>
        <w:t xml:space="preserve">WHO guidance on maximizing gender equity in the health workforce and the role of institutional accountability to lead change. </w:t>
      </w:r>
      <w:r w:rsidRPr="00EA4245">
        <w:rPr>
          <w:rFonts w:ascii="Times New Roman" w:hAnsi="Times New Roman" w:cs="Times New Roman"/>
          <w:color w:val="000000"/>
        </w:rPr>
        <w:t>(Gupta, 2019)</w:t>
      </w:r>
      <w:r w:rsidRPr="00EA4245">
        <w:rPr>
          <w:rFonts w:ascii="Times New Roman" w:hAnsi="Times New Roman" w:cs="Times New Roman"/>
        </w:rPr>
        <w:t xml:space="preserve"> supports the importance of evidence-based policies that facilitate gender-balanced planning and organizational cultu</w:t>
      </w:r>
      <w:r w:rsidRPr="00EA4245">
        <w:rPr>
          <w:rFonts w:ascii="Times New Roman" w:hAnsi="Times New Roman" w:cs="Times New Roman"/>
        </w:rPr>
        <w:t>re supporting worker well-being and inclusive participation.</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b/>
        </w:rPr>
      </w:pPr>
    </w:p>
    <w:p w:rsidR="00500BEC" w:rsidRPr="00EA4245" w:rsidRDefault="005A510D"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LIMITATIONS AND FUTURE RESEARCH DIRECTIONS</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Though this conceptual paper provides a new multi-theoretical model, it too has various limitations that indicate directions for future research.</w:t>
      </w:r>
    </w:p>
    <w:p w:rsidR="005A510D" w:rsidRDefault="005A510D"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Scope and conceptual boundaries</w:t>
      </w: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 xml:space="preserve">This paper offers a conceptual, theory-based model that has yet to be empirically tested. Thus, the hypothesized relationships and propositions rested on grounded theoretical foundations and current literature but need </w:t>
      </w:r>
      <w:r w:rsidRPr="00EA4245">
        <w:rPr>
          <w:rFonts w:ascii="Times New Roman" w:hAnsi="Times New Roman" w:cs="Times New Roman"/>
        </w:rPr>
        <w:t>to be tested through quantitative or qualitative research in the future. The strength of the model is its multi-theory integration; however, the same complexity comes with limitations in scope.</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study's context-specific nature—specifically, female doct</w:t>
      </w:r>
      <w:r w:rsidRPr="00EA4245">
        <w:rPr>
          <w:rFonts w:ascii="Times New Roman" w:hAnsi="Times New Roman" w:cs="Times New Roman"/>
        </w:rPr>
        <w:t>ors practicing in private hospitals in India—could restrict the framework's generalizability across other professional groups, the public healthcare sector, or other cultural contexts. Furthermore, the model focuses on four of the most important antecedent</w:t>
      </w:r>
      <w:r w:rsidRPr="00EA4245">
        <w:rPr>
          <w:rFonts w:ascii="Times New Roman" w:hAnsi="Times New Roman" w:cs="Times New Roman"/>
        </w:rPr>
        <w:t>s and one moderation variable (marital status), but does not include possibly influential factors such as organizational culture, leadership style, job satisfaction, and psychological well-being. These untested variables provide future directions for exten</w:t>
      </w:r>
      <w:r w:rsidRPr="00EA4245">
        <w:rPr>
          <w:rFonts w:ascii="Times New Roman" w:hAnsi="Times New Roman" w:cs="Times New Roman"/>
        </w:rPr>
        <w:t>ding the framework and sharpening its predictive power</w:t>
      </w:r>
    </w:p>
    <w:p w:rsidR="005A510D" w:rsidRDefault="005A510D"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Future research directions</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Subsequent studies should test the multi-theoretical model empirically using quantitative, qualitative, or mixed-methods methods. Quantitative research utilizing struct</w:t>
      </w:r>
      <w:r w:rsidRPr="00EA4245">
        <w:rPr>
          <w:rFonts w:ascii="Times New Roman" w:hAnsi="Times New Roman" w:cs="Times New Roman"/>
        </w:rPr>
        <w:t>ural equation modeling (SEM) can confirm the predicted paths of the antecedents to mediators to outcomes, while qualitative methods like interviews or case studies might yield rich contextual insights into the lived experiences of female doctors. Longitudi</w:t>
      </w:r>
      <w:r w:rsidRPr="00EA4245">
        <w:rPr>
          <w:rFonts w:ascii="Times New Roman" w:hAnsi="Times New Roman" w:cs="Times New Roman"/>
        </w:rPr>
        <w:t xml:space="preserve">nal designs are particularly indicated to ascertain how work-life balance and organizational commitment change with time as a reaction to shifts </w:t>
      </w:r>
      <w:r w:rsidRPr="00EA4245">
        <w:rPr>
          <w:rFonts w:ascii="Times New Roman" w:hAnsi="Times New Roman" w:cs="Times New Roman"/>
        </w:rPr>
        <w:lastRenderedPageBreak/>
        <w:t>in professional requirements, personal life situations, or organizational support systems. Longitudinal studies</w:t>
      </w:r>
      <w:r w:rsidRPr="00EA4245">
        <w:rPr>
          <w:rFonts w:ascii="Times New Roman" w:hAnsi="Times New Roman" w:cs="Times New Roman"/>
        </w:rPr>
        <w:t xml:space="preserve"> would also enable observation of causal relations and temporal processes which might be missed in cross-sectional studies.</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Moreover, broadening the theoretical basis by bringing in complementary theories like Role Theory, Boundary Theory, or Equity Theor</w:t>
      </w:r>
      <w:r w:rsidRPr="00EA4245">
        <w:rPr>
          <w:rFonts w:ascii="Times New Roman" w:hAnsi="Times New Roman" w:cs="Times New Roman"/>
        </w:rPr>
        <w:t>y could further increase the model's explanatory capability. Further research could also include more moderators (e.g., organizational culture, leadership styles) and mediators (e.g., job satisfaction, psychological resilience) to provide a more in-depth u</w:t>
      </w:r>
      <w:r w:rsidRPr="00EA4245">
        <w:rPr>
          <w:rFonts w:ascii="Times New Roman" w:hAnsi="Times New Roman" w:cs="Times New Roman"/>
        </w:rPr>
        <w:t>nderstanding of the determinants affecting WLB and OC.</w:t>
      </w:r>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A510D"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b/>
        </w:rPr>
        <w:t>CONCLUSION</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This research develops an integrated multi-theoretical framework for explaining the antecedents and outcomes of Work-Life Balance (WLB) and its impact on Organizational Commitment (OC)</w:t>
      </w:r>
      <w:r w:rsidRPr="00EA4245">
        <w:rPr>
          <w:rFonts w:ascii="Times New Roman" w:hAnsi="Times New Roman" w:cs="Times New Roman"/>
        </w:rPr>
        <w:t xml:space="preserve"> among female doctors in private hospitals. By synthesizing five dominant organizational behavior theories—Spillover Theory, Social Exchange Theory, Conservation of Resources (COR) Theory, Job Demands–Resources (JD-R) Theory, and Self-Determination Theory </w:t>
      </w:r>
      <w:r w:rsidRPr="00EA4245">
        <w:rPr>
          <w:rFonts w:ascii="Times New Roman" w:hAnsi="Times New Roman" w:cs="Times New Roman"/>
        </w:rPr>
        <w:t>(SDT)—this framework fills a major void in the prior literature, which mostly used disconnected or single-theory approaches.</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research places WLB as a mediating variable within the center of influence by personal and career factors, socio-cultural norm</w:t>
      </w:r>
      <w:r w:rsidRPr="00EA4245">
        <w:rPr>
          <w:rFonts w:ascii="Times New Roman" w:hAnsi="Times New Roman" w:cs="Times New Roman"/>
        </w:rPr>
        <w:t xml:space="preserve">s, external pressures, and gender discrimination. Marital status is also placed as a moderating factor that determines the intensity of the WLB-OC relationship. Notably, </w:t>
      </w:r>
      <w:r w:rsidRPr="00EA4245">
        <w:rPr>
          <w:rFonts w:ascii="Times New Roman" w:hAnsi="Times New Roman" w:cs="Times New Roman"/>
          <w:b/>
          <w:i/>
        </w:rPr>
        <w:t>this research presents a new, multi-theoretical framework specific to the intersection</w:t>
      </w:r>
      <w:r w:rsidRPr="00EA4245">
        <w:rPr>
          <w:rFonts w:ascii="Times New Roman" w:hAnsi="Times New Roman" w:cs="Times New Roman"/>
          <w:b/>
          <w:i/>
        </w:rPr>
        <w:t>al contexts of women physicians in private hospitals—a space primarily neglected in prevailing literature</w:t>
      </w:r>
      <w:r w:rsidRPr="00EA4245">
        <w:rPr>
          <w:rFonts w:ascii="Times New Roman" w:hAnsi="Times New Roman" w:cs="Times New Roman"/>
        </w:rPr>
        <w:t>. The theoretical combination provides useful insights for academics, practitioners, and policymakers aiming to mitigate the distinct challenges encoun</w:t>
      </w:r>
      <w:r w:rsidRPr="00EA4245">
        <w:rPr>
          <w:rFonts w:ascii="Times New Roman" w:hAnsi="Times New Roman" w:cs="Times New Roman"/>
        </w:rPr>
        <w:t>tered by women professionals in medicine.</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EA4245" w:rsidRDefault="00547D22" w:rsidP="00EA4245">
      <w:pPr>
        <w:pStyle w:val="Standard"/>
        <w:keepNext/>
        <w:spacing w:beforeLines="240" w:before="576" w:afterLines="240" w:after="576"/>
        <w:contextualSpacing/>
        <w:jc w:val="both"/>
        <w:rPr>
          <w:rFonts w:ascii="Times New Roman" w:hAnsi="Times New Roman" w:cs="Times New Roman"/>
        </w:rPr>
      </w:pPr>
      <w:r w:rsidRPr="00EA4245">
        <w:rPr>
          <w:rFonts w:ascii="Times New Roman" w:hAnsi="Times New Roman" w:cs="Times New Roman"/>
        </w:rPr>
        <w:t>The hypotheses developed throughout this paper lay strong groundwork for future empirical confirmation and theoretical expansion. Through the presentation of a comprehensive and context-sensitive model, this resea</w:t>
      </w:r>
      <w:r w:rsidRPr="00EA4245">
        <w:rPr>
          <w:rFonts w:ascii="Times New Roman" w:hAnsi="Times New Roman" w:cs="Times New Roman"/>
        </w:rPr>
        <w:t>rch helps to further develop theory as well as inform the creation of more just, inclusive, and sustainable healthcare work environments.</w:t>
      </w:r>
    </w:p>
    <w:p w:rsidR="00500BEC" w:rsidRPr="00EA4245" w:rsidRDefault="00500BEC" w:rsidP="00EA4245">
      <w:pPr>
        <w:pStyle w:val="Standard"/>
        <w:keepNext/>
        <w:spacing w:beforeLines="240" w:before="576" w:afterLines="240" w:after="576"/>
        <w:contextualSpacing/>
        <w:jc w:val="both"/>
        <w:rPr>
          <w:rFonts w:ascii="Times New Roman" w:hAnsi="Times New Roman" w:cs="Times New Roman"/>
        </w:rPr>
      </w:pPr>
    </w:p>
    <w:p w:rsidR="00500BEC" w:rsidRPr="005A510D" w:rsidRDefault="005A510D" w:rsidP="00EA4245">
      <w:pPr>
        <w:pStyle w:val="Standard"/>
        <w:keepNext/>
        <w:spacing w:beforeLines="240" w:before="576" w:afterLines="240" w:after="576"/>
        <w:contextualSpacing/>
        <w:jc w:val="both"/>
        <w:rPr>
          <w:rFonts w:ascii="Times New Roman" w:hAnsi="Times New Roman" w:cs="Times New Roman"/>
          <w:b/>
        </w:rPr>
      </w:pPr>
      <w:r w:rsidRPr="00EA4245">
        <w:rPr>
          <w:rFonts w:ascii="Times New Roman" w:hAnsi="Times New Roman" w:cs="Times New Roman"/>
          <w:b/>
        </w:rPr>
        <w:t>REFERENCES</w:t>
      </w:r>
    </w:p>
    <w:bookmarkEnd w:id="0"/>
    <w:bookmarkEnd w:id="1"/>
    <w:bookmarkEnd w:id="2"/>
    <w:bookmarkEnd w:id="4"/>
    <w:p w:rsidR="00500BEC" w:rsidRPr="00EA4245" w:rsidRDefault="00547D22" w:rsidP="00EA4245">
      <w:pPr>
        <w:pStyle w:val="NormalWeb"/>
        <w:spacing w:beforeLines="240" w:before="576" w:afterLines="240" w:after="576"/>
        <w:contextualSpacing/>
        <w:jc w:val="both"/>
        <w:rPr>
          <w:rFonts w:ascii="Times New Roman" w:eastAsia="Times New Roman" w:hAnsi="Times New Roman"/>
          <w:kern w:val="0"/>
        </w:rPr>
      </w:pPr>
      <w:r w:rsidRPr="00EA4245">
        <w:rPr>
          <w:rFonts w:ascii="Times New Roman" w:hAnsi="Times New Roman"/>
        </w:rPr>
        <w:t>Allen, T. D., Herst, D. E. L., Bruck, C. S., &amp; Sutton, M. (2000). Consequences associated with work-to-fa</w:t>
      </w:r>
      <w:r w:rsidRPr="00EA4245">
        <w:rPr>
          <w:rFonts w:ascii="Times New Roman" w:hAnsi="Times New Roman"/>
        </w:rPr>
        <w:t xml:space="preserve">mily conflict: A review and agenda for future research. </w:t>
      </w:r>
      <w:r w:rsidRPr="00EA4245">
        <w:rPr>
          <w:rStyle w:val="Emphasis"/>
          <w:rFonts w:ascii="Times New Roman" w:hAnsi="Times New Roman"/>
        </w:rPr>
        <w:t>Journal of Occupational Health Psychology, 5</w:t>
      </w:r>
      <w:r w:rsidRPr="00EA4245">
        <w:rPr>
          <w:rFonts w:ascii="Times New Roman" w:hAnsi="Times New Roman"/>
        </w:rPr>
        <w:t>(2), 278–308. https://doi.org/10.1037/1076-8998.5.2.278</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Bakker, A. B., &amp; Demerouti, E. (2017). Job demands–resources theory: Taking stock and looking forwar</w:t>
      </w:r>
      <w:r w:rsidRPr="00EA4245">
        <w:rPr>
          <w:rFonts w:ascii="Times New Roman" w:hAnsi="Times New Roman"/>
        </w:rPr>
        <w:t xml:space="preserve">d. </w:t>
      </w:r>
      <w:r w:rsidRPr="00EA4245">
        <w:rPr>
          <w:rStyle w:val="Emphasis"/>
          <w:rFonts w:ascii="Times New Roman" w:hAnsi="Times New Roman"/>
        </w:rPr>
        <w:t>Journal of Occupational Health Psychology, 22</w:t>
      </w:r>
      <w:r w:rsidRPr="00EA4245">
        <w:rPr>
          <w:rFonts w:ascii="Times New Roman" w:hAnsi="Times New Roman"/>
        </w:rPr>
        <w:t xml:space="preserve">(3), 273–285. </w:t>
      </w:r>
      <w:hyperlink r:id="rId9" w:tgtFrame="_new" w:history="1">
        <w:r w:rsidRPr="00EA4245">
          <w:rPr>
            <w:rStyle w:val="Hyperlink"/>
            <w:rFonts w:ascii="Times New Roman" w:hAnsi="Times New Roman"/>
          </w:rPr>
          <w:t>https://doi.org/10.1037/ocp0000056</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Blau, P. M. (1986). </w:t>
      </w:r>
      <w:r w:rsidRPr="00EA4245">
        <w:rPr>
          <w:rStyle w:val="Emphasis"/>
          <w:rFonts w:ascii="Times New Roman" w:hAnsi="Times New Roman"/>
        </w:rPr>
        <w:t>Exchange and power in social life</w:t>
      </w:r>
      <w:r w:rsidRPr="00EA4245">
        <w:rPr>
          <w:rFonts w:ascii="Times New Roman" w:hAnsi="Times New Roman"/>
        </w:rPr>
        <w:t xml:space="preserve"> (2nd ed.). Transaction Publishers.</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Boniol, M</w:t>
      </w:r>
      <w:r w:rsidRPr="00EA4245">
        <w:rPr>
          <w:rFonts w:ascii="Times New Roman" w:hAnsi="Times New Roman"/>
        </w:rPr>
        <w:t xml:space="preserve">., McIsaac, M., Xu, L., Wuliji, T., Diallo, K., &amp; Campbell, J. (2019). </w:t>
      </w:r>
      <w:r w:rsidRPr="00EA4245">
        <w:rPr>
          <w:rStyle w:val="Emphasis"/>
          <w:rFonts w:ascii="Times New Roman" w:hAnsi="Times New Roman"/>
        </w:rPr>
        <w:t>Gender equity in the health workforce: Analysis of 104 countries</w:t>
      </w:r>
      <w:r w:rsidRPr="00EA4245">
        <w:rPr>
          <w:rFonts w:ascii="Times New Roman" w:hAnsi="Times New Roman"/>
        </w:rPr>
        <w:t>. World Health Organization. https://apps.who.int/iris/handle/10665/311314</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Cropanzano, R., &amp; Mitchell, M. S. (2005). Soci</w:t>
      </w:r>
      <w:r w:rsidRPr="00EA4245">
        <w:rPr>
          <w:rFonts w:ascii="Times New Roman" w:hAnsi="Times New Roman"/>
        </w:rPr>
        <w:t xml:space="preserve">al exchange theory: An interdisciplinary review. </w:t>
      </w:r>
      <w:r w:rsidRPr="00EA4245">
        <w:rPr>
          <w:rStyle w:val="Emphasis"/>
          <w:rFonts w:ascii="Times New Roman" w:hAnsi="Times New Roman"/>
        </w:rPr>
        <w:t>Journal of Management, 31</w:t>
      </w:r>
      <w:r w:rsidRPr="00EA4245">
        <w:rPr>
          <w:rFonts w:ascii="Times New Roman" w:hAnsi="Times New Roman"/>
        </w:rPr>
        <w:t xml:space="preserve">(6), 874–900. </w:t>
      </w:r>
      <w:hyperlink r:id="rId10" w:tgtFrame="_new" w:history="1">
        <w:r w:rsidRPr="00EA4245">
          <w:rPr>
            <w:rStyle w:val="Hyperlink"/>
            <w:rFonts w:ascii="Times New Roman" w:hAnsi="Times New Roman"/>
          </w:rPr>
          <w:t>https://doi.org/10.1177/0149206305279602</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Deci, E. L., &amp; Ryan, R. M. (2000). The “what” and “why” of goal pursuits: Human needs and the self-determination of behavior. </w:t>
      </w:r>
      <w:r w:rsidRPr="00EA4245">
        <w:rPr>
          <w:rStyle w:val="Emphasis"/>
          <w:rFonts w:ascii="Times New Roman" w:hAnsi="Times New Roman"/>
        </w:rPr>
        <w:t>Psychological Inquiry, 11</w:t>
      </w:r>
      <w:r w:rsidRPr="00EA4245">
        <w:rPr>
          <w:rFonts w:ascii="Times New Roman" w:hAnsi="Times New Roman"/>
        </w:rPr>
        <w:t xml:space="preserve">(4), 227–268. </w:t>
      </w:r>
      <w:hyperlink r:id="rId11" w:tgtFrame="_new" w:history="1">
        <w:r w:rsidRPr="00EA4245">
          <w:rPr>
            <w:rStyle w:val="Hyperlink"/>
            <w:rFonts w:ascii="Times New Roman" w:hAnsi="Times New Roman"/>
          </w:rPr>
          <w:t>https://doi.org/10.1207/</w:t>
        </w:r>
        <w:r w:rsidRPr="00EA4245">
          <w:rPr>
            <w:rStyle w:val="Hyperlink"/>
            <w:rFonts w:ascii="Times New Roman" w:hAnsi="Times New Roman"/>
          </w:rPr>
          <w:t>S15327965PLI1104_01</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Demerouti, E., Nachreiner, F., Bakker, A. B., &amp; Schaufeli, W. B. (2001). The job demands–resources model of burnout. </w:t>
      </w:r>
      <w:r w:rsidRPr="00EA4245">
        <w:rPr>
          <w:rStyle w:val="Emphasis"/>
          <w:rFonts w:ascii="Times New Roman" w:hAnsi="Times New Roman"/>
        </w:rPr>
        <w:t>Journal of Applied Psychology, 86</w:t>
      </w:r>
      <w:r w:rsidRPr="00EA4245">
        <w:rPr>
          <w:rFonts w:ascii="Times New Roman" w:hAnsi="Times New Roman"/>
        </w:rPr>
        <w:t xml:space="preserve">(3), 499–512. </w:t>
      </w:r>
      <w:hyperlink r:id="rId12" w:tgtFrame="_new" w:history="1">
        <w:r w:rsidRPr="00EA4245">
          <w:rPr>
            <w:rStyle w:val="Hyperlink"/>
            <w:rFonts w:ascii="Times New Roman" w:hAnsi="Times New Roman"/>
          </w:rPr>
          <w:t>https://doi.org/10.1037/0021-9010.86.3.499</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Edwards, J. R., &amp; Rothbard, N. P. (2000). Mechanisms linking work and family: Clarifying the relationship between work and family constructs. </w:t>
      </w:r>
      <w:r w:rsidRPr="00EA4245">
        <w:rPr>
          <w:rStyle w:val="Emphasis"/>
          <w:rFonts w:ascii="Times New Roman" w:hAnsi="Times New Roman"/>
        </w:rPr>
        <w:t>Academy of Management Review, 25</w:t>
      </w:r>
      <w:r w:rsidRPr="00EA4245">
        <w:rPr>
          <w:rFonts w:ascii="Times New Roman" w:hAnsi="Times New Roman"/>
        </w:rPr>
        <w:t>(1), 178–199. https://doi.org/10.546</w:t>
      </w:r>
      <w:r w:rsidRPr="00EA4245">
        <w:rPr>
          <w:rFonts w:ascii="Times New Roman" w:hAnsi="Times New Roman"/>
        </w:rPr>
        <w:t>5/amr.2000.2791609</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lastRenderedPageBreak/>
        <w:t xml:space="preserve">Greenhaus, J. H., &amp; Allen, T. D. (2011). Work–family balance: A review and extension of the literature. In J. C. Quick &amp; L. E. Tetrick (Eds.), </w:t>
      </w:r>
      <w:r w:rsidRPr="00EA4245">
        <w:rPr>
          <w:rStyle w:val="Emphasis"/>
          <w:rFonts w:ascii="Times New Roman" w:hAnsi="Times New Roman"/>
        </w:rPr>
        <w:t>Handbook of occupational health psychology</w:t>
      </w:r>
      <w:r w:rsidRPr="00EA4245">
        <w:rPr>
          <w:rFonts w:ascii="Times New Roman" w:hAnsi="Times New Roman"/>
        </w:rPr>
        <w:t xml:space="preserve"> (2nd ed., pp. 165–183). American Psychological Asso</w:t>
      </w:r>
      <w:r w:rsidRPr="00EA4245">
        <w:rPr>
          <w:rFonts w:ascii="Times New Roman" w:hAnsi="Times New Roman"/>
        </w:rPr>
        <w:t>ciation. https://doi.org/10.1037/12116-007</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Grzywacz, J. G., &amp; Marks, N. F. (2000). Reconceptualizing the work–family interface: An ecological perspective on the correlates of positive and negative spillover between work and family. </w:t>
      </w:r>
      <w:r w:rsidRPr="00EA4245">
        <w:rPr>
          <w:rStyle w:val="Emphasis"/>
          <w:rFonts w:ascii="Times New Roman" w:hAnsi="Times New Roman"/>
        </w:rPr>
        <w:t xml:space="preserve">Journal of Occupational </w:t>
      </w:r>
      <w:r w:rsidRPr="00EA4245">
        <w:rPr>
          <w:rStyle w:val="Emphasis"/>
          <w:rFonts w:ascii="Times New Roman" w:hAnsi="Times New Roman"/>
        </w:rPr>
        <w:t>Health Psychology, 5</w:t>
      </w:r>
      <w:r w:rsidRPr="00EA4245">
        <w:rPr>
          <w:rFonts w:ascii="Times New Roman" w:hAnsi="Times New Roman"/>
        </w:rPr>
        <w:t xml:space="preserve">(1), 111–126. </w:t>
      </w:r>
      <w:hyperlink r:id="rId13" w:tgtFrame="_new" w:history="1">
        <w:r w:rsidRPr="00EA4245">
          <w:rPr>
            <w:rStyle w:val="Hyperlink"/>
            <w:rFonts w:ascii="Times New Roman" w:hAnsi="Times New Roman"/>
          </w:rPr>
          <w:t>https://doi.org/10.1037/1076-8998.5.1.111</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Gupta, N. (2019). Research to support evidence-informed decisions on optimizing gender equity in health workforc</w:t>
      </w:r>
      <w:r w:rsidRPr="00EA4245">
        <w:rPr>
          <w:rFonts w:ascii="Times New Roman" w:hAnsi="Times New Roman"/>
        </w:rPr>
        <w:t xml:space="preserve">e policy and planning. </w:t>
      </w:r>
      <w:r w:rsidRPr="00EA4245">
        <w:rPr>
          <w:rStyle w:val="Emphasis"/>
          <w:rFonts w:ascii="Times New Roman" w:hAnsi="Times New Roman"/>
        </w:rPr>
        <w:t>Human Resources for Health, 17</w:t>
      </w:r>
      <w:r w:rsidRPr="00EA4245">
        <w:rPr>
          <w:rFonts w:ascii="Times New Roman" w:hAnsi="Times New Roman"/>
        </w:rPr>
        <w:t xml:space="preserve">(1), Article 38. </w:t>
      </w:r>
      <w:hyperlink r:id="rId14" w:tgtFrame="_new" w:history="1">
        <w:r w:rsidRPr="00EA4245">
          <w:rPr>
            <w:rStyle w:val="Hyperlink"/>
            <w:rFonts w:ascii="Times New Roman" w:hAnsi="Times New Roman"/>
          </w:rPr>
          <w:t>https://doi.org/10.1186/s12960-019-0380-6</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Haar, J. M., Russo, M., Suñe, A., &amp; Ollier-Malaterre, A. (2014). Outcomes of</w:t>
      </w:r>
      <w:r w:rsidRPr="00EA4245">
        <w:rPr>
          <w:rFonts w:ascii="Times New Roman" w:hAnsi="Times New Roman"/>
        </w:rPr>
        <w:t xml:space="preserve"> work–life balance on job satisfaction, life satisfaction and mental health: A study across seven cultures. </w:t>
      </w:r>
      <w:r w:rsidRPr="00EA4245">
        <w:rPr>
          <w:rStyle w:val="Emphasis"/>
          <w:rFonts w:ascii="Times New Roman" w:hAnsi="Times New Roman"/>
        </w:rPr>
        <w:t>Journal of Vocational Behavior, 85</w:t>
      </w:r>
      <w:r w:rsidRPr="00EA4245">
        <w:rPr>
          <w:rFonts w:ascii="Times New Roman" w:hAnsi="Times New Roman"/>
        </w:rPr>
        <w:t>(3), 361–373. https://doi.org/10.1016/j.jvb.2014.08.006</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Hobfoll, S. E. (1989). Conservation of resources: A new at</w:t>
      </w:r>
      <w:r w:rsidRPr="00EA4245">
        <w:rPr>
          <w:rFonts w:ascii="Times New Roman" w:hAnsi="Times New Roman"/>
        </w:rPr>
        <w:t xml:space="preserve">tempt at conceptualizing stress. </w:t>
      </w:r>
      <w:r w:rsidRPr="00EA4245">
        <w:rPr>
          <w:rStyle w:val="Emphasis"/>
          <w:rFonts w:ascii="Times New Roman" w:hAnsi="Times New Roman"/>
        </w:rPr>
        <w:t>American Psychologist, 44</w:t>
      </w:r>
      <w:r w:rsidRPr="00EA4245">
        <w:rPr>
          <w:rFonts w:ascii="Times New Roman" w:hAnsi="Times New Roman"/>
        </w:rPr>
        <w:t xml:space="preserve">(3), 513–524. </w:t>
      </w:r>
      <w:hyperlink r:id="rId15" w:tgtFrame="_new" w:history="1">
        <w:r w:rsidRPr="00EA4245">
          <w:rPr>
            <w:rStyle w:val="Hyperlink"/>
            <w:rFonts w:ascii="Times New Roman" w:hAnsi="Times New Roman"/>
          </w:rPr>
          <w:t>https://doi.org/10.1037/0003-066X.44.3.513</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Hobfoll, S. E., Halbesleben, J., Neveu, J.-P., &amp; Westman, M. (2018). Con</w:t>
      </w:r>
      <w:r w:rsidRPr="00EA4245">
        <w:rPr>
          <w:rFonts w:ascii="Times New Roman" w:hAnsi="Times New Roman"/>
        </w:rPr>
        <w:t xml:space="preserve">servation of resources in the organizational context: The reality of resources and their consequences. </w:t>
      </w:r>
      <w:r w:rsidRPr="00EA4245">
        <w:rPr>
          <w:rStyle w:val="Emphasis"/>
          <w:rFonts w:ascii="Times New Roman" w:hAnsi="Times New Roman"/>
        </w:rPr>
        <w:t>Annual Review of Organizational Psychology and Organizational Behavior, 5</w:t>
      </w:r>
      <w:r w:rsidRPr="00EA4245">
        <w:rPr>
          <w:rFonts w:ascii="Times New Roman" w:hAnsi="Times New Roman"/>
        </w:rPr>
        <w:t xml:space="preserve">, 103–128. </w:t>
      </w:r>
      <w:hyperlink r:id="rId16" w:tgtFrame="_new" w:history="1">
        <w:r w:rsidRPr="00EA4245">
          <w:rPr>
            <w:rStyle w:val="Hyperlink"/>
            <w:rFonts w:ascii="Times New Roman" w:hAnsi="Times New Roman"/>
          </w:rPr>
          <w:t>https://doi.org/10.1146/annurev-orgpsych-032117-104640</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Kossek, E. E., &amp; Ozeki, C. (1998). Work–family conflict, policies, and the job–life satisfaction relationship: A review and directions for organizational behavior–human resources research. </w:t>
      </w:r>
      <w:r w:rsidRPr="00EA4245">
        <w:rPr>
          <w:rStyle w:val="Emphasis"/>
          <w:rFonts w:ascii="Times New Roman" w:hAnsi="Times New Roman"/>
        </w:rPr>
        <w:t>Journal of Applied Psychology, 83</w:t>
      </w:r>
      <w:r w:rsidRPr="00EA4245">
        <w:rPr>
          <w:rFonts w:ascii="Times New Roman" w:hAnsi="Times New Roman"/>
        </w:rPr>
        <w:t>(2), 139–149. https://doi.org/10.1037/0021-9010.83.2.139</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McMillan, H. S., Morris, M. L., &amp; Atchley, E. K. (2011). Constructs of the work/life interface: A synthesis of the literature and introduction of the concept of work/</w:t>
      </w:r>
      <w:r w:rsidRPr="00EA4245">
        <w:rPr>
          <w:rFonts w:ascii="Times New Roman" w:hAnsi="Times New Roman"/>
        </w:rPr>
        <w:t xml:space="preserve">life harmony. </w:t>
      </w:r>
      <w:r w:rsidRPr="00EA4245">
        <w:rPr>
          <w:rStyle w:val="Emphasis"/>
          <w:rFonts w:ascii="Times New Roman" w:hAnsi="Times New Roman"/>
        </w:rPr>
        <w:t>Human Resource Development Review, 10</w:t>
      </w:r>
      <w:r w:rsidRPr="00EA4245">
        <w:rPr>
          <w:rFonts w:ascii="Times New Roman" w:hAnsi="Times New Roman"/>
        </w:rPr>
        <w:t xml:space="preserve">(1), 6–25. </w:t>
      </w:r>
      <w:hyperlink r:id="rId17" w:tgtFrame="_new" w:history="1">
        <w:r w:rsidRPr="00EA4245">
          <w:rPr>
            <w:rStyle w:val="Hyperlink"/>
            <w:rFonts w:ascii="Times New Roman" w:hAnsi="Times New Roman"/>
          </w:rPr>
          <w:t>https://doi.org/10.1177/1534484310384958</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Meyer, J. P., &amp; Allen, N. J. (1991). A three-component conceptualization of organizati</w:t>
      </w:r>
      <w:r w:rsidRPr="00EA4245">
        <w:rPr>
          <w:rFonts w:ascii="Times New Roman" w:hAnsi="Times New Roman"/>
        </w:rPr>
        <w:t xml:space="preserve">onal commitment. </w:t>
      </w:r>
      <w:r w:rsidRPr="00EA4245">
        <w:rPr>
          <w:rStyle w:val="Emphasis"/>
          <w:rFonts w:ascii="Times New Roman" w:hAnsi="Times New Roman"/>
        </w:rPr>
        <w:t>Human Resource Management Review, 1</w:t>
      </w:r>
      <w:r w:rsidRPr="00EA4245">
        <w:rPr>
          <w:rFonts w:ascii="Times New Roman" w:hAnsi="Times New Roman"/>
        </w:rPr>
        <w:t>(1), 61–89. https://doi.org/10.1016/1053-4822(91)90011-Z</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Mowday, R. T., Steers, R. M., &amp; Porter, L. W. (1979). The measurement of organizational commitment. </w:t>
      </w:r>
      <w:r w:rsidRPr="00EA4245">
        <w:rPr>
          <w:rStyle w:val="Emphasis"/>
          <w:rFonts w:ascii="Times New Roman" w:hAnsi="Times New Roman"/>
        </w:rPr>
        <w:t>Journal of Vocational Behavior, 14</w:t>
      </w:r>
      <w:r w:rsidRPr="00EA4245">
        <w:rPr>
          <w:rFonts w:ascii="Times New Roman" w:hAnsi="Times New Roman"/>
        </w:rPr>
        <w:t>(2), 224–247.</w:t>
      </w:r>
      <w:r w:rsidRPr="00EA4245">
        <w:rPr>
          <w:rFonts w:ascii="Times New Roman" w:hAnsi="Times New Roman"/>
        </w:rPr>
        <w:t xml:space="preserve"> https://doi.org/10.1016/0001-8791(79)90072-1</w:t>
      </w:r>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Rhoades, L., &amp; Eisenberger, R. (2002). Perceived organizational support: A review of the literature. </w:t>
      </w:r>
      <w:r w:rsidRPr="00EA4245">
        <w:rPr>
          <w:rStyle w:val="Emphasis"/>
          <w:rFonts w:ascii="Times New Roman" w:hAnsi="Times New Roman"/>
        </w:rPr>
        <w:t>Journal of Applied Psychology, 87</w:t>
      </w:r>
      <w:r w:rsidRPr="00EA4245">
        <w:rPr>
          <w:rFonts w:ascii="Times New Roman" w:hAnsi="Times New Roman"/>
        </w:rPr>
        <w:t xml:space="preserve">(4), 698–714. </w:t>
      </w:r>
      <w:hyperlink r:id="rId18" w:tgtFrame="_new" w:history="1">
        <w:r w:rsidRPr="00EA4245">
          <w:rPr>
            <w:rStyle w:val="Hyperlink"/>
            <w:rFonts w:ascii="Times New Roman" w:hAnsi="Times New Roman"/>
          </w:rPr>
          <w:t>https://doi.org/10.1037/0021-9010.87.4.698</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Van den Broeck, A., Ferris, D. L., Chang, C. H., &amp; Rosen, C. C. (2016). A review of self-determination theory’s basic psychological needs at work. </w:t>
      </w:r>
      <w:r w:rsidRPr="00EA4245">
        <w:rPr>
          <w:rStyle w:val="Emphasis"/>
          <w:rFonts w:ascii="Times New Roman" w:hAnsi="Times New Roman"/>
        </w:rPr>
        <w:t>Journal of Management, 42</w:t>
      </w:r>
      <w:r w:rsidRPr="00EA4245">
        <w:rPr>
          <w:rFonts w:ascii="Times New Roman" w:hAnsi="Times New Roman"/>
        </w:rPr>
        <w:t xml:space="preserve">(5), 1195–1229. </w:t>
      </w:r>
      <w:hyperlink r:id="rId19" w:tgtFrame="_new" w:history="1">
        <w:r w:rsidRPr="00EA4245">
          <w:rPr>
            <w:rStyle w:val="Hyperlink"/>
            <w:rFonts w:ascii="Times New Roman" w:hAnsi="Times New Roman"/>
          </w:rPr>
          <w:t>https://doi.org/10.1177/0149206316632058</w:t>
        </w:r>
      </w:hyperlink>
    </w:p>
    <w:p w:rsidR="00500BEC" w:rsidRPr="00EA4245" w:rsidRDefault="00547D22" w:rsidP="00EA4245">
      <w:pPr>
        <w:pStyle w:val="NormalWeb"/>
        <w:spacing w:beforeLines="240" w:before="576" w:afterLines="240" w:after="576"/>
        <w:contextualSpacing/>
        <w:jc w:val="both"/>
        <w:rPr>
          <w:rFonts w:ascii="Times New Roman" w:hAnsi="Times New Roman"/>
        </w:rPr>
      </w:pPr>
      <w:r w:rsidRPr="00EA4245">
        <w:rPr>
          <w:rFonts w:ascii="Times New Roman" w:hAnsi="Times New Roman"/>
        </w:rPr>
        <w:t xml:space="preserve">Wayne, J. H., Grzywacz, J. G., Carlson, D. S., &amp; Kacmar, K. M. (2007). Work–family facilitation: A theoretical explanation and model of primary antecedents and consequences. </w:t>
      </w:r>
      <w:r w:rsidRPr="00EA4245">
        <w:rPr>
          <w:rStyle w:val="Emphasis"/>
          <w:rFonts w:ascii="Times New Roman" w:hAnsi="Times New Roman"/>
        </w:rPr>
        <w:t>Human Resource Management Review, 17</w:t>
      </w:r>
      <w:r w:rsidRPr="00EA4245">
        <w:rPr>
          <w:rFonts w:ascii="Times New Roman" w:hAnsi="Times New Roman"/>
        </w:rPr>
        <w:t xml:space="preserve">(1), 63–76. </w:t>
      </w:r>
      <w:hyperlink r:id="rId20" w:tgtFrame="_new" w:history="1">
        <w:r w:rsidRPr="00EA4245">
          <w:rPr>
            <w:rStyle w:val="Hyperlink"/>
            <w:rFonts w:ascii="Times New Roman" w:hAnsi="Times New Roman"/>
          </w:rPr>
          <w:t>https://doi.org/10.1016/j.hrmr.2007.01.002</w:t>
        </w:r>
      </w:hyperlink>
    </w:p>
    <w:p w:rsidR="00500BEC" w:rsidRPr="00EA4245" w:rsidRDefault="00500BEC" w:rsidP="00EA4245">
      <w:pPr>
        <w:pStyle w:val="Standard"/>
        <w:spacing w:beforeLines="240" w:before="576" w:afterLines="240" w:after="576"/>
        <w:contextualSpacing/>
        <w:jc w:val="both"/>
        <w:rPr>
          <w:rFonts w:ascii="Times New Roman" w:hAnsi="Times New Roman" w:cs="Times New Roman"/>
        </w:rPr>
      </w:pPr>
    </w:p>
    <w:sectPr w:rsidR="00500BEC" w:rsidRPr="00EA4245" w:rsidSect="00EA4245">
      <w:pgSz w:w="12240" w:h="15840"/>
      <w:pgMar w:top="1083" w:right="607" w:bottom="607" w:left="6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D22" w:rsidRDefault="00547D22">
      <w:r>
        <w:separator/>
      </w:r>
    </w:p>
  </w:endnote>
  <w:endnote w:type="continuationSeparator" w:id="0">
    <w:p w:rsidR="00547D22" w:rsidRDefault="0054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D22" w:rsidRDefault="00547D22">
      <w:r>
        <w:separator/>
      </w:r>
    </w:p>
  </w:footnote>
  <w:footnote w:type="continuationSeparator" w:id="0">
    <w:p w:rsidR="00547D22" w:rsidRDefault="0054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1CE"/>
    <w:multiLevelType w:val="multilevel"/>
    <w:tmpl w:val="039471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39172FB"/>
    <w:multiLevelType w:val="multilevel"/>
    <w:tmpl w:val="339172FB"/>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8A53690"/>
    <w:multiLevelType w:val="multilevel"/>
    <w:tmpl w:val="48A536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D8D2278"/>
    <w:multiLevelType w:val="multilevel"/>
    <w:tmpl w:val="5D8D2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4D5CA1"/>
    <w:multiLevelType w:val="multilevel"/>
    <w:tmpl w:val="7C4D5CA1"/>
    <w:lvl w:ilvl="0">
      <w:start w:val="1"/>
      <w:numFmt w:val="bullet"/>
      <w:lvlText w:val=""/>
      <w:lvlJc w:val="left"/>
      <w:pPr>
        <w:ind w:left="1440" w:hanging="360"/>
      </w:pPr>
      <w:rPr>
        <w:rFonts w:ascii="Wingdings" w:hAnsi="Wingdings"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AwMzM1trAwNDM0NTJQ0lEKTi0uzszPAykwqgUAnwzf0iwAAAA="/>
  </w:docVars>
  <w:rsids>
    <w:rsidRoot w:val="00A04C34"/>
    <w:rsid w:val="000263B1"/>
    <w:rsid w:val="000644B9"/>
    <w:rsid w:val="00066535"/>
    <w:rsid w:val="00101A85"/>
    <w:rsid w:val="00180AEE"/>
    <w:rsid w:val="001B2AF8"/>
    <w:rsid w:val="001E289E"/>
    <w:rsid w:val="001F4780"/>
    <w:rsid w:val="00206E27"/>
    <w:rsid w:val="002233E0"/>
    <w:rsid w:val="00240EB1"/>
    <w:rsid w:val="00276305"/>
    <w:rsid w:val="002C76AC"/>
    <w:rsid w:val="002D785F"/>
    <w:rsid w:val="00326C61"/>
    <w:rsid w:val="00330571"/>
    <w:rsid w:val="003E7C5F"/>
    <w:rsid w:val="00420AF8"/>
    <w:rsid w:val="004977A3"/>
    <w:rsid w:val="00500BEC"/>
    <w:rsid w:val="00514C31"/>
    <w:rsid w:val="00547D22"/>
    <w:rsid w:val="00584FF3"/>
    <w:rsid w:val="005932DB"/>
    <w:rsid w:val="005A510D"/>
    <w:rsid w:val="005A6FA0"/>
    <w:rsid w:val="005E6A96"/>
    <w:rsid w:val="00607BA8"/>
    <w:rsid w:val="006774AD"/>
    <w:rsid w:val="006F70A0"/>
    <w:rsid w:val="006F7F48"/>
    <w:rsid w:val="00712C47"/>
    <w:rsid w:val="00754D6D"/>
    <w:rsid w:val="007C27B4"/>
    <w:rsid w:val="007D5CFA"/>
    <w:rsid w:val="00831FF5"/>
    <w:rsid w:val="00893670"/>
    <w:rsid w:val="008D5A53"/>
    <w:rsid w:val="009443ED"/>
    <w:rsid w:val="009D62DB"/>
    <w:rsid w:val="009E6E6B"/>
    <w:rsid w:val="009F4DC1"/>
    <w:rsid w:val="00A04C34"/>
    <w:rsid w:val="00A05548"/>
    <w:rsid w:val="00A237B9"/>
    <w:rsid w:val="00AA5746"/>
    <w:rsid w:val="00B27404"/>
    <w:rsid w:val="00B73007"/>
    <w:rsid w:val="00BA3ADB"/>
    <w:rsid w:val="00BC5C06"/>
    <w:rsid w:val="00BE5AA8"/>
    <w:rsid w:val="00C77EA8"/>
    <w:rsid w:val="00C81BB2"/>
    <w:rsid w:val="00CD070A"/>
    <w:rsid w:val="00CD0EFA"/>
    <w:rsid w:val="00DB2918"/>
    <w:rsid w:val="00E06913"/>
    <w:rsid w:val="00E35900"/>
    <w:rsid w:val="00EA4245"/>
    <w:rsid w:val="00EB6C1E"/>
    <w:rsid w:val="00EC3896"/>
    <w:rsid w:val="00EE5CE3"/>
    <w:rsid w:val="00EE7A8E"/>
    <w:rsid w:val="00F7687B"/>
    <w:rsid w:val="00F83935"/>
    <w:rsid w:val="7B4A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29C7"/>
  <w15:docId w15:val="{D4C7C646-85F7-4309-B919-9D846528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Heading3">
    <w:name w:val="heading 3"/>
    <w:basedOn w:val="Normal"/>
    <w:link w:val="Heading3Char"/>
    <w:uiPriority w:val="9"/>
    <w:qFormat/>
    <w:pPr>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563C1"/>
      <w:u w:val="single"/>
    </w:rPr>
  </w:style>
  <w:style w:type="paragraph" w:styleId="NormalWeb">
    <w:name w:val="Normal (Web)"/>
    <w:basedOn w:val="Standard"/>
    <w:uiPriority w:val="99"/>
    <w:qFormat/>
    <w:pPr>
      <w:spacing w:before="100" w:after="100"/>
      <w:textAlignment w:val="auto"/>
    </w:pPr>
    <w:rPr>
      <w:rFonts w:cs="Times New Roman"/>
      <w:lang w:eastAsia="en-US" w:bidi="ar-SA"/>
    </w:r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character" w:styleId="Strong">
    <w:name w:val="Strong"/>
    <w:basedOn w:val="DefaultParagraphFont"/>
    <w:uiPriority w:val="22"/>
    <w:qFormat/>
    <w:rPr>
      <w:b/>
      <w:bCs/>
    </w:rPr>
  </w:style>
  <w:style w:type="paragraph" w:styleId="ListParagraph">
    <w:name w:val="List Paragraph"/>
    <w:basedOn w:val="Standard"/>
    <w:qFormat/>
    <w:pPr>
      <w:ind w:left="720"/>
      <w:textAlignment w:val="auto"/>
    </w:pPr>
    <w:rPr>
      <w:rFonts w:ascii="Calibri" w:eastAsia="Calibri" w:hAnsi="Calibri" w:cs="Times New Roman"/>
      <w:sz w:val="22"/>
      <w:szCs w:val="22"/>
      <w:lang w:eastAsia="en-US" w:bidi="ar-SA"/>
    </w:rPr>
  </w:style>
  <w:style w:type="character" w:customStyle="1" w:styleId="StrongEmphasis">
    <w:name w:val="Strong Emphasis"/>
    <w:qFormat/>
    <w:rPr>
      <w:b/>
      <w:bCs/>
    </w:rPr>
  </w:style>
  <w:style w:type="character" w:customStyle="1" w:styleId="Internetlink">
    <w:name w:val="Internet link"/>
    <w:qFormat/>
    <w:rPr>
      <w:color w:val="000080"/>
      <w:u w:val="single"/>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A4245"/>
    <w:pPr>
      <w:tabs>
        <w:tab w:val="center" w:pos="4680"/>
        <w:tab w:val="right" w:pos="9360"/>
      </w:tabs>
    </w:pPr>
    <w:rPr>
      <w:szCs w:val="21"/>
    </w:rPr>
  </w:style>
  <w:style w:type="character" w:customStyle="1" w:styleId="HeaderChar">
    <w:name w:val="Header Char"/>
    <w:basedOn w:val="DefaultParagraphFont"/>
    <w:link w:val="Header"/>
    <w:uiPriority w:val="99"/>
    <w:rsid w:val="00EA4245"/>
    <w:rPr>
      <w:rFonts w:ascii="Liberation Serif" w:eastAsia="NSimSun" w:hAnsi="Liberation Serif" w:cs="Mangal"/>
      <w:kern w:val="3"/>
      <w:sz w:val="24"/>
      <w:szCs w:val="21"/>
      <w:lang w:eastAsia="zh-CN" w:bidi="hi-IN"/>
    </w:rPr>
  </w:style>
  <w:style w:type="paragraph" w:styleId="Footer">
    <w:name w:val="footer"/>
    <w:basedOn w:val="Normal"/>
    <w:link w:val="FooterChar"/>
    <w:uiPriority w:val="99"/>
    <w:unhideWhenUsed/>
    <w:rsid w:val="00EA4245"/>
    <w:pPr>
      <w:tabs>
        <w:tab w:val="center" w:pos="4680"/>
        <w:tab w:val="right" w:pos="9360"/>
      </w:tabs>
    </w:pPr>
    <w:rPr>
      <w:szCs w:val="21"/>
    </w:rPr>
  </w:style>
  <w:style w:type="character" w:customStyle="1" w:styleId="FooterChar">
    <w:name w:val="Footer Char"/>
    <w:basedOn w:val="DefaultParagraphFont"/>
    <w:link w:val="Footer"/>
    <w:uiPriority w:val="99"/>
    <w:rsid w:val="00EA4245"/>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7/1076-8998.5.1.111" TargetMode="External"/><Relationship Id="rId18" Type="http://schemas.openxmlformats.org/officeDocument/2006/relationships/hyperlink" Target="https://doi.org/10.1037/0021-9010.87.4.69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37/0021-9010.86.3.499" TargetMode="External"/><Relationship Id="rId17" Type="http://schemas.openxmlformats.org/officeDocument/2006/relationships/hyperlink" Target="https://doi.org/10.1177/1534484310384958" TargetMode="External"/><Relationship Id="rId2" Type="http://schemas.openxmlformats.org/officeDocument/2006/relationships/styles" Target="styles.xml"/><Relationship Id="rId16" Type="http://schemas.openxmlformats.org/officeDocument/2006/relationships/hyperlink" Target="https://doi.org/10.1146/annurev-orgpsych-032117-104640" TargetMode="External"/><Relationship Id="rId20" Type="http://schemas.openxmlformats.org/officeDocument/2006/relationships/hyperlink" Target="https://doi.org/10.1016/j.hrmr.2007.01.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965PLI1104_01" TargetMode="External"/><Relationship Id="rId5" Type="http://schemas.openxmlformats.org/officeDocument/2006/relationships/footnotes" Target="footnotes.xml"/><Relationship Id="rId15" Type="http://schemas.openxmlformats.org/officeDocument/2006/relationships/hyperlink" Target="https://doi.org/10.1037/0003-066X.44.3.513" TargetMode="External"/><Relationship Id="rId10" Type="http://schemas.openxmlformats.org/officeDocument/2006/relationships/hyperlink" Target="https://doi.org/10.1177/0149206305279602" TargetMode="External"/><Relationship Id="rId19" Type="http://schemas.openxmlformats.org/officeDocument/2006/relationships/hyperlink" Target="https://doi.org/10.1177/0149206316632058" TargetMode="External"/><Relationship Id="rId4" Type="http://schemas.openxmlformats.org/officeDocument/2006/relationships/webSettings" Target="webSettings.xml"/><Relationship Id="rId9" Type="http://schemas.openxmlformats.org/officeDocument/2006/relationships/hyperlink" Target="https://doi.org/10.1037/ocp0000056" TargetMode="External"/><Relationship Id="rId14" Type="http://schemas.openxmlformats.org/officeDocument/2006/relationships/hyperlink" Target="https://doi.org/10.1186/s12960-019-038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hepzhibahroselin92@outlook.com</dc:creator>
  <cp:lastModifiedBy>hepzhibahroselin92@outlook.com</cp:lastModifiedBy>
  <cp:revision>49</cp:revision>
  <dcterms:created xsi:type="dcterms:W3CDTF">2026-01-06T06:52:00Z</dcterms:created>
  <dcterms:modified xsi:type="dcterms:W3CDTF">2026-06-09T10:08:00Z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819218f6-c0ae-4a08-978d-73aea5e97d99</vt:lpwstr>
  </property>
  <property fmtid="{D5CDD505-2E9C-101B-9397-08002B2CF9AE}" pid="3" name="KSOTemplateDocerSaveRecord">
    <vt:lpwstr>eyJoZGlkIjoiMmVhYjIwYTFkMDUyN2RmOGI2OTNiMWRjYmY5MjBlYTUiLCJ1c2VySWQiOiI1Njc0Mjg1OTYwNjIifQ==</vt:lpwstr>
  </property>
  <property fmtid="{D5CDD505-2E9C-101B-9397-08002B2CF9AE}" pid="4" name="KSOProductBuildVer">
    <vt:lpwstr>1033-12.1.0.26372</vt:lpwstr>
  </property>
  <property fmtid="{D5CDD505-2E9C-101B-9397-08002B2CF9AE}" pid="5" name="ICV">
    <vt:lpwstr>7B93634FA3094BED91900FE3E7C1E73E_12</vt:lpwstr>
  </property>
</Properties>
</file>