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C95A" w14:textId="468AFC09" w:rsidR="00120F02" w:rsidRDefault="00E15598" w:rsidP="00761F48">
      <w:pPr>
        <w:spacing w:line="240" w:lineRule="auto"/>
        <w:jc w:val="center"/>
        <w:rPr>
          <w:rFonts w:ascii="Times New Roman" w:hAnsi="Times New Roman" w:cs="Times New Roman"/>
          <w:b/>
          <w:bCs/>
          <w:sz w:val="36"/>
          <w:szCs w:val="36"/>
        </w:rPr>
      </w:pPr>
      <w:r w:rsidRPr="00E15598">
        <w:rPr>
          <w:rFonts w:ascii="Times New Roman" w:hAnsi="Times New Roman" w:cs="Times New Roman"/>
          <w:b/>
          <w:bCs/>
          <w:sz w:val="36"/>
          <w:szCs w:val="36"/>
        </w:rPr>
        <w:t>The Effect of Mobile Learning Quality on User Satisfaction: Evidence from Malaysian Research Students</w:t>
      </w:r>
    </w:p>
    <w:p w14:paraId="606B4C1D" w14:textId="404F0419" w:rsidR="00E15598" w:rsidRPr="00AB1824" w:rsidRDefault="00E15598" w:rsidP="00317C85">
      <w:pPr>
        <w:spacing w:after="0" w:line="240" w:lineRule="auto"/>
        <w:jc w:val="center"/>
        <w:rPr>
          <w:rFonts w:ascii="Times New Roman" w:hAnsi="Times New Roman" w:cs="Times New Roman"/>
          <w:b/>
          <w:bCs/>
          <w:sz w:val="24"/>
          <w:szCs w:val="24"/>
        </w:rPr>
      </w:pPr>
      <w:r w:rsidRPr="00AB1824">
        <w:rPr>
          <w:rFonts w:ascii="Times New Roman" w:hAnsi="Times New Roman" w:cs="Times New Roman"/>
          <w:b/>
          <w:bCs/>
          <w:sz w:val="24"/>
          <w:szCs w:val="24"/>
        </w:rPr>
        <w:t>Suryani Che Din</w:t>
      </w:r>
      <w:r w:rsidR="003F5C2D" w:rsidRPr="003F5C2D">
        <w:rPr>
          <w:rFonts w:ascii="Times New Roman" w:hAnsi="Times New Roman" w:cs="Times New Roman"/>
          <w:b/>
          <w:bCs/>
          <w:sz w:val="24"/>
          <w:szCs w:val="24"/>
          <w:vertAlign w:val="superscript"/>
        </w:rPr>
        <w:t>1</w:t>
      </w:r>
      <w:r w:rsidR="00FA5CBE">
        <w:rPr>
          <w:rFonts w:ascii="Times New Roman" w:hAnsi="Times New Roman" w:cs="Times New Roman"/>
          <w:b/>
          <w:bCs/>
          <w:sz w:val="24"/>
          <w:szCs w:val="24"/>
          <w:vertAlign w:val="superscript"/>
        </w:rPr>
        <w:t>*</w:t>
      </w:r>
      <w:r w:rsidRPr="00AB1824">
        <w:rPr>
          <w:rFonts w:ascii="Times New Roman" w:hAnsi="Times New Roman" w:cs="Times New Roman"/>
          <w:b/>
          <w:bCs/>
          <w:sz w:val="24"/>
          <w:szCs w:val="24"/>
        </w:rPr>
        <w:t>, Nazura Mohamed Sayuti</w:t>
      </w:r>
      <w:r w:rsidR="003F5C2D" w:rsidRPr="003F5C2D">
        <w:rPr>
          <w:rFonts w:ascii="Times New Roman" w:hAnsi="Times New Roman" w:cs="Times New Roman"/>
          <w:b/>
          <w:bCs/>
          <w:sz w:val="24"/>
          <w:szCs w:val="24"/>
          <w:vertAlign w:val="superscript"/>
        </w:rPr>
        <w:t>2</w:t>
      </w:r>
      <w:r w:rsidRPr="00AB1824">
        <w:rPr>
          <w:rFonts w:ascii="Times New Roman" w:hAnsi="Times New Roman" w:cs="Times New Roman"/>
          <w:b/>
          <w:bCs/>
          <w:sz w:val="24"/>
          <w:szCs w:val="24"/>
        </w:rPr>
        <w:t>, Melissa Shahrom</w:t>
      </w:r>
      <w:r w:rsidR="003F5C2D" w:rsidRPr="003F5C2D">
        <w:rPr>
          <w:rFonts w:ascii="Times New Roman" w:hAnsi="Times New Roman" w:cs="Times New Roman"/>
          <w:b/>
          <w:bCs/>
          <w:sz w:val="24"/>
          <w:szCs w:val="24"/>
          <w:vertAlign w:val="superscript"/>
        </w:rPr>
        <w:t>3</w:t>
      </w:r>
    </w:p>
    <w:p w14:paraId="7F0CC765" w14:textId="2B9A9948" w:rsidR="00E15598" w:rsidRDefault="00E15598" w:rsidP="00317C85">
      <w:pPr>
        <w:spacing w:after="0" w:line="240" w:lineRule="auto"/>
        <w:jc w:val="center"/>
        <w:rPr>
          <w:rFonts w:ascii="Times New Roman" w:hAnsi="Times New Roman" w:cs="Times New Roman"/>
          <w:b/>
          <w:bCs/>
          <w:sz w:val="24"/>
          <w:szCs w:val="24"/>
        </w:rPr>
      </w:pPr>
      <w:r w:rsidRPr="00AB1824">
        <w:rPr>
          <w:rFonts w:ascii="Times New Roman" w:hAnsi="Times New Roman" w:cs="Times New Roman"/>
          <w:b/>
          <w:bCs/>
          <w:sz w:val="24"/>
          <w:szCs w:val="24"/>
        </w:rPr>
        <w:t>Faculty of Business and Management, Universiti Teknologi MARA, Selangor, Malaysia</w:t>
      </w:r>
    </w:p>
    <w:p w14:paraId="36E24A1D" w14:textId="77777777" w:rsidR="00FA5CBE" w:rsidRDefault="00FA5CBE" w:rsidP="00317C85">
      <w:pPr>
        <w:spacing w:after="0" w:line="240" w:lineRule="auto"/>
        <w:jc w:val="center"/>
        <w:rPr>
          <w:rFonts w:ascii="Times New Roman" w:hAnsi="Times New Roman" w:cs="Times New Roman"/>
          <w:b/>
          <w:bCs/>
          <w:sz w:val="24"/>
          <w:szCs w:val="24"/>
        </w:rPr>
      </w:pPr>
    </w:p>
    <w:p w14:paraId="5B95FE3C" w14:textId="599C3CCF" w:rsidR="00FA5CBE" w:rsidRPr="00FA5CBE" w:rsidRDefault="00FA5CBE" w:rsidP="00317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*Corresponding </w:t>
      </w:r>
      <w:r w:rsidR="00843F57">
        <w:rPr>
          <w:rFonts w:ascii="Times New Roman" w:hAnsi="Times New Roman" w:cs="Times New Roman"/>
          <w:sz w:val="24"/>
          <w:szCs w:val="24"/>
        </w:rPr>
        <w:t>A</w:t>
      </w:r>
      <w:r>
        <w:rPr>
          <w:rFonts w:ascii="Times New Roman" w:hAnsi="Times New Roman" w:cs="Times New Roman"/>
          <w:sz w:val="24"/>
          <w:szCs w:val="24"/>
        </w:rPr>
        <w:t>uthor</w:t>
      </w:r>
    </w:p>
    <w:p w14:paraId="5D60DBF7" w14:textId="77777777" w:rsidR="00317C85" w:rsidRDefault="00317C85" w:rsidP="00317C85">
      <w:pPr>
        <w:spacing w:after="0" w:line="240" w:lineRule="auto"/>
        <w:jc w:val="center"/>
        <w:rPr>
          <w:rFonts w:ascii="Times New Roman" w:hAnsi="Times New Roman" w:cs="Times New Roman"/>
          <w:sz w:val="24"/>
          <w:szCs w:val="24"/>
        </w:rPr>
      </w:pPr>
    </w:p>
    <w:p w14:paraId="5064D086" w14:textId="77777777" w:rsidR="009B2AA6" w:rsidRDefault="009B2AA6" w:rsidP="00761F48">
      <w:pPr>
        <w:spacing w:line="240" w:lineRule="auto"/>
        <w:jc w:val="both"/>
        <w:rPr>
          <w:rFonts w:ascii="Times New Roman" w:hAnsi="Times New Roman" w:cs="Times New Roman"/>
          <w:b/>
          <w:bCs/>
          <w:sz w:val="28"/>
          <w:szCs w:val="28"/>
        </w:rPr>
      </w:pPr>
    </w:p>
    <w:p w14:paraId="4185DF20" w14:textId="7BC1AF08" w:rsidR="00E15598" w:rsidRDefault="00E15598" w:rsidP="00761F48">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1F3B8299" w14:textId="77777777" w:rsidR="001445B8" w:rsidRDefault="001445B8" w:rsidP="00761F48">
      <w:pPr>
        <w:spacing w:line="240" w:lineRule="auto"/>
        <w:jc w:val="both"/>
        <w:rPr>
          <w:rFonts w:ascii="Times New Roman" w:hAnsi="Times New Roman" w:cs="Times New Roman"/>
          <w:b/>
          <w:bCs/>
          <w:sz w:val="24"/>
          <w:szCs w:val="24"/>
        </w:rPr>
      </w:pPr>
      <w:r w:rsidRPr="001445B8">
        <w:rPr>
          <w:rFonts w:ascii="Times New Roman" w:hAnsi="Times New Roman" w:cs="Times New Roman"/>
          <w:sz w:val="24"/>
          <w:szCs w:val="24"/>
        </w:rPr>
        <w:t>The increasing adoption of mobile learning and artificial intelligence (AI)-enabled technologies has transformed teaching, learning, and research practices in higher education. As research students increasingly rely on mobile learning platforms to support literature searching, academic writing, collaboration, and knowledge development, ensuring the quality of these digital learning environments has become essential. This study examines the effect of mobile learning quality on user satisfaction among Malaysian research students based on the Information Systems Success Model (ISSM). Specifically, the study investigates the influence of system quality, information quality, and service quality on user satisfaction. A quantitative cross-sectional research design was employed, and data were collected through an online questionnaire from 249 research students enrolled in Malaysian higher education institutions. The data were analysed using the Statistical Package for the Social Sciences (SPSS), including descriptive statistics, reliability analysis, Pearson correlation, and multiple regression analysis. The findings revealed that all three dimensions of mobile learning quality significantly and positively influenced user satisfaction. Among the predictors, information quality emerged as the strongest determinant of user satisfaction, followed by service quality and system quality. The regression model explained 61.9% of the variance in user satisfaction, indicating that mobile learning quality plays a substantial role in shaping research students' learning experiences. The findings support the Information Systems Success Model and extend its application to the context of Malaysian research students. The study contributes to the growing literature on mobile learning by providing empirical evidence on the importance of delivering reliable systems, high-quality academic information, and responsive support services within AI-enabled mobile learning environments. The findings also provide practical implications for higher education institutions, educators, system developers, and policymakers seeking to enhance mobile learning quality and improve students' satisfaction in an increasingly digital learning landscape.</w:t>
      </w:r>
      <w:r w:rsidRPr="001445B8">
        <w:rPr>
          <w:rFonts w:ascii="Times New Roman" w:hAnsi="Times New Roman" w:cs="Times New Roman"/>
          <w:b/>
          <w:bCs/>
          <w:sz w:val="24"/>
          <w:szCs w:val="24"/>
        </w:rPr>
        <w:t xml:space="preserve"> </w:t>
      </w:r>
    </w:p>
    <w:p w14:paraId="43D73530" w14:textId="21949AA9" w:rsidR="00E15598" w:rsidRDefault="003F5C2D" w:rsidP="00761F4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r w:rsidR="00E15598" w:rsidRPr="00E15598">
        <w:rPr>
          <w:rFonts w:ascii="Times New Roman" w:hAnsi="Times New Roman" w:cs="Times New Roman"/>
          <w:b/>
          <w:bCs/>
          <w:sz w:val="24"/>
          <w:szCs w:val="24"/>
        </w:rPr>
        <w:t>:</w:t>
      </w:r>
      <w:r w:rsidR="00873143">
        <w:rPr>
          <w:rFonts w:ascii="Times New Roman" w:hAnsi="Times New Roman" w:cs="Times New Roman"/>
          <w:b/>
          <w:bCs/>
          <w:sz w:val="24"/>
          <w:szCs w:val="24"/>
        </w:rPr>
        <w:t xml:space="preserve"> </w:t>
      </w:r>
      <w:r w:rsidR="00E15598" w:rsidRPr="00451F5F">
        <w:rPr>
          <w:rFonts w:ascii="Times New Roman" w:hAnsi="Times New Roman" w:cs="Times New Roman"/>
          <w:sz w:val="24"/>
          <w:szCs w:val="24"/>
        </w:rPr>
        <w:t>Mobile Learning Quality, User Satisfaction</w:t>
      </w:r>
      <w:r w:rsidR="00873143" w:rsidRPr="00451F5F">
        <w:rPr>
          <w:rFonts w:ascii="Times New Roman" w:hAnsi="Times New Roman" w:cs="Times New Roman"/>
          <w:sz w:val="24"/>
          <w:szCs w:val="24"/>
        </w:rPr>
        <w:t xml:space="preserve">, Information Quality, System Quality, Service </w:t>
      </w:r>
      <w:r w:rsidR="00873143" w:rsidRPr="00451F5F">
        <w:rPr>
          <w:rFonts w:ascii="Times New Roman" w:hAnsi="Times New Roman" w:cs="Times New Roman"/>
          <w:sz w:val="24"/>
          <w:szCs w:val="24"/>
        </w:rPr>
        <w:tab/>
        <w:t xml:space="preserve">     </w:t>
      </w:r>
      <w:r w:rsidR="00451F5F">
        <w:rPr>
          <w:rFonts w:ascii="Times New Roman" w:hAnsi="Times New Roman" w:cs="Times New Roman"/>
          <w:sz w:val="24"/>
          <w:szCs w:val="24"/>
        </w:rPr>
        <w:tab/>
        <w:t xml:space="preserve">        </w:t>
      </w:r>
      <w:r w:rsidR="00873143" w:rsidRPr="00451F5F">
        <w:rPr>
          <w:rFonts w:ascii="Times New Roman" w:hAnsi="Times New Roman" w:cs="Times New Roman"/>
          <w:sz w:val="24"/>
          <w:szCs w:val="24"/>
        </w:rPr>
        <w:t>Quality</w:t>
      </w:r>
      <w:r w:rsidR="00417D03" w:rsidRPr="00451F5F">
        <w:rPr>
          <w:rFonts w:ascii="Times New Roman" w:hAnsi="Times New Roman" w:cs="Times New Roman"/>
          <w:sz w:val="24"/>
          <w:szCs w:val="24"/>
        </w:rPr>
        <w:t>,</w:t>
      </w:r>
      <w:r w:rsidR="00417D03" w:rsidRPr="00451F5F">
        <w:t xml:space="preserve"> </w:t>
      </w:r>
      <w:r w:rsidR="00417D03" w:rsidRPr="00451F5F">
        <w:rPr>
          <w:rFonts w:ascii="Times New Roman" w:hAnsi="Times New Roman" w:cs="Times New Roman"/>
          <w:sz w:val="24"/>
          <w:szCs w:val="24"/>
        </w:rPr>
        <w:t>Information Systems Success Model</w:t>
      </w:r>
      <w:r w:rsidR="00451F5F">
        <w:rPr>
          <w:rFonts w:ascii="Times New Roman" w:hAnsi="Times New Roman" w:cs="Times New Roman"/>
          <w:sz w:val="24"/>
          <w:szCs w:val="24"/>
        </w:rPr>
        <w:t>,</w:t>
      </w:r>
      <w:r w:rsidR="00417D03" w:rsidRPr="00451F5F">
        <w:rPr>
          <w:rFonts w:ascii="Times New Roman" w:hAnsi="Times New Roman" w:cs="Times New Roman"/>
          <w:sz w:val="24"/>
          <w:szCs w:val="24"/>
        </w:rPr>
        <w:t xml:space="preserve"> Artificial </w:t>
      </w:r>
      <w:r w:rsidR="00451F5F">
        <w:rPr>
          <w:rFonts w:ascii="Times New Roman" w:hAnsi="Times New Roman" w:cs="Times New Roman"/>
          <w:sz w:val="24"/>
          <w:szCs w:val="24"/>
        </w:rPr>
        <w:t>Intelligence</w:t>
      </w:r>
    </w:p>
    <w:p w14:paraId="25BB78AF" w14:textId="77777777" w:rsidR="00480B96" w:rsidRDefault="00480B96" w:rsidP="00480B96">
      <w:pPr>
        <w:spacing w:after="0" w:line="240" w:lineRule="auto"/>
        <w:jc w:val="both"/>
        <w:rPr>
          <w:rFonts w:ascii="Times New Roman" w:hAnsi="Times New Roman" w:cs="Times New Roman"/>
          <w:b/>
          <w:bCs/>
          <w:sz w:val="28"/>
          <w:szCs w:val="28"/>
        </w:rPr>
      </w:pPr>
    </w:p>
    <w:p w14:paraId="1EC4FC56" w14:textId="574C5090" w:rsidR="00E15598" w:rsidRPr="00873143" w:rsidRDefault="00E15598" w:rsidP="00761F48">
      <w:pPr>
        <w:spacing w:line="240" w:lineRule="auto"/>
        <w:jc w:val="both"/>
        <w:rPr>
          <w:rFonts w:ascii="Times New Roman" w:hAnsi="Times New Roman" w:cs="Times New Roman"/>
          <w:b/>
          <w:bCs/>
          <w:sz w:val="28"/>
          <w:szCs w:val="28"/>
        </w:rPr>
      </w:pPr>
      <w:r w:rsidRPr="00873143">
        <w:rPr>
          <w:rFonts w:ascii="Times New Roman" w:hAnsi="Times New Roman" w:cs="Times New Roman"/>
          <w:b/>
          <w:bCs/>
          <w:sz w:val="28"/>
          <w:szCs w:val="28"/>
        </w:rPr>
        <w:t>INTRODUCTION</w:t>
      </w:r>
    </w:p>
    <w:p w14:paraId="0535D9B9" w14:textId="3615BEB0" w:rsidR="00E15598" w:rsidRPr="00E15598" w:rsidRDefault="00E15598" w:rsidP="00CA6AA9">
      <w:pPr>
        <w:spacing w:before="240" w:after="240" w:line="240" w:lineRule="auto"/>
        <w:jc w:val="both"/>
        <w:rPr>
          <w:rFonts w:ascii="Times New Roman" w:hAnsi="Times New Roman" w:cs="Times New Roman"/>
          <w:sz w:val="24"/>
          <w:szCs w:val="24"/>
        </w:rPr>
      </w:pPr>
      <w:r w:rsidRPr="00E15598">
        <w:rPr>
          <w:rFonts w:ascii="Times New Roman" w:hAnsi="Times New Roman" w:cs="Times New Roman"/>
          <w:sz w:val="24"/>
          <w:szCs w:val="24"/>
        </w:rPr>
        <w:t xml:space="preserve">The rapid advancement of digital technologies has significantly transformed teaching and learning practices in higher education. Mobile learning, commonly known as m-learning, enables students to access learning resources anytime and anywhere through mobile devices such as smartphones, tablets, and laptops </w:t>
      </w:r>
      <w:r w:rsidR="00480B96">
        <w:rPr>
          <w:rFonts w:ascii="Times New Roman" w:hAnsi="Times New Roman" w:cs="Times New Roman"/>
          <w:sz w:val="24"/>
          <w:szCs w:val="24"/>
        </w:rPr>
        <w:t>(Crompton &amp; Burke, 2018; Al Emran, Elsherif, &amp; Shaalan, 2020)</w:t>
      </w:r>
      <w:r w:rsidRPr="00E15598">
        <w:rPr>
          <w:rFonts w:ascii="Times New Roman" w:hAnsi="Times New Roman" w:cs="Times New Roman"/>
          <w:sz w:val="24"/>
          <w:szCs w:val="24"/>
        </w:rPr>
        <w:t xml:space="preserve">. This learning approach supports flexibility, self-paced learning, and continuous access to academic materials, making it increasingly relevant for research students who </w:t>
      </w:r>
      <w:r w:rsidR="002F68A3">
        <w:rPr>
          <w:rFonts w:ascii="Times New Roman" w:hAnsi="Times New Roman" w:cs="Times New Roman"/>
          <w:sz w:val="24"/>
          <w:szCs w:val="24"/>
        </w:rPr>
        <w:t>rely</w:t>
      </w:r>
      <w:r w:rsidRPr="00E15598">
        <w:rPr>
          <w:rFonts w:ascii="Times New Roman" w:hAnsi="Times New Roman" w:cs="Times New Roman"/>
          <w:sz w:val="24"/>
          <w:szCs w:val="24"/>
        </w:rPr>
        <w:t xml:space="preserve"> on digital platforms to support their academic and research activities.</w:t>
      </w:r>
    </w:p>
    <w:p w14:paraId="7DEE444D" w14:textId="022A5284" w:rsidR="00E15598" w:rsidRPr="00E15598" w:rsidRDefault="00E15598" w:rsidP="00CA6AA9">
      <w:pPr>
        <w:spacing w:before="240" w:after="240" w:line="240" w:lineRule="auto"/>
        <w:jc w:val="both"/>
        <w:rPr>
          <w:rFonts w:ascii="Times New Roman" w:hAnsi="Times New Roman" w:cs="Times New Roman"/>
          <w:sz w:val="24"/>
          <w:szCs w:val="24"/>
        </w:rPr>
      </w:pPr>
      <w:r w:rsidRPr="00E15598">
        <w:rPr>
          <w:rFonts w:ascii="Times New Roman" w:hAnsi="Times New Roman" w:cs="Times New Roman"/>
          <w:sz w:val="24"/>
          <w:szCs w:val="24"/>
        </w:rPr>
        <w:t xml:space="preserve">The emergence of artificial intelligence (AI)-enabled tools has further expanded the role of mobile learning in higher education. Research students now frequently use digital and AI-supported tools to search for information, organize academic tasks, improve writing, and support knowledge development. As mobile learning environments become more integrated with intelligent technologies, the quality of these systems becomes an important factor in </w:t>
      </w:r>
      <w:r w:rsidR="002F68A3">
        <w:rPr>
          <w:rFonts w:ascii="Times New Roman" w:hAnsi="Times New Roman" w:cs="Times New Roman"/>
          <w:sz w:val="24"/>
          <w:szCs w:val="24"/>
        </w:rPr>
        <w:t>shaping</w:t>
      </w:r>
      <w:r w:rsidRPr="00E15598">
        <w:rPr>
          <w:rFonts w:ascii="Times New Roman" w:hAnsi="Times New Roman" w:cs="Times New Roman"/>
          <w:sz w:val="24"/>
          <w:szCs w:val="24"/>
        </w:rPr>
        <w:t xml:space="preserve"> students’ learning experiences and satisfaction </w:t>
      </w:r>
      <w:r w:rsidR="00480B96">
        <w:rPr>
          <w:rFonts w:ascii="Times New Roman" w:hAnsi="Times New Roman" w:cs="Times New Roman"/>
          <w:sz w:val="24"/>
          <w:szCs w:val="24"/>
        </w:rPr>
        <w:t>(Naveed, Muhammad &amp; Qureshi, 2023; Rahman, Ahmad, &amp; Alias, 2023)</w:t>
      </w:r>
      <w:r w:rsidRPr="00E15598">
        <w:rPr>
          <w:rFonts w:ascii="Times New Roman" w:hAnsi="Times New Roman" w:cs="Times New Roman"/>
          <w:sz w:val="24"/>
          <w:szCs w:val="24"/>
        </w:rPr>
        <w:t>.</w:t>
      </w:r>
    </w:p>
    <w:p w14:paraId="38BF43B8" w14:textId="01264CE3" w:rsidR="00E15598" w:rsidRPr="00E15598" w:rsidRDefault="00E15598" w:rsidP="00CA6AA9">
      <w:pPr>
        <w:spacing w:before="240" w:after="240" w:line="240" w:lineRule="auto"/>
        <w:jc w:val="both"/>
        <w:rPr>
          <w:rFonts w:ascii="Times New Roman" w:hAnsi="Times New Roman" w:cs="Times New Roman"/>
          <w:sz w:val="24"/>
          <w:szCs w:val="24"/>
        </w:rPr>
      </w:pPr>
      <w:r w:rsidRPr="00E15598">
        <w:rPr>
          <w:rFonts w:ascii="Times New Roman" w:hAnsi="Times New Roman" w:cs="Times New Roman"/>
          <w:sz w:val="24"/>
          <w:szCs w:val="24"/>
        </w:rPr>
        <w:lastRenderedPageBreak/>
        <w:t xml:space="preserve">Mobile learning quality is commonly associated with three major dimensions: system quality, information quality, and service quality. These dimensions are consistent with the Information Systems Success Model, which explains that the success of an information system can be assessed through the quality of the system, the quality of information provided, and the quality of services offered to users </w:t>
      </w:r>
      <w:r w:rsidR="00480B96">
        <w:rPr>
          <w:rFonts w:ascii="Times New Roman" w:hAnsi="Times New Roman" w:cs="Times New Roman"/>
          <w:sz w:val="24"/>
          <w:szCs w:val="24"/>
        </w:rPr>
        <w:t>(De</w:t>
      </w:r>
      <w:r w:rsidR="00626454">
        <w:rPr>
          <w:rFonts w:ascii="Times New Roman" w:hAnsi="Times New Roman" w:cs="Times New Roman"/>
          <w:sz w:val="24"/>
          <w:szCs w:val="24"/>
        </w:rPr>
        <w:t>L</w:t>
      </w:r>
      <w:r w:rsidR="00480B96">
        <w:rPr>
          <w:rFonts w:ascii="Times New Roman" w:hAnsi="Times New Roman" w:cs="Times New Roman"/>
          <w:sz w:val="24"/>
          <w:szCs w:val="24"/>
        </w:rPr>
        <w:t>one &amp; McLean, 1992; De</w:t>
      </w:r>
      <w:r w:rsidR="00626454">
        <w:rPr>
          <w:rFonts w:ascii="Times New Roman" w:hAnsi="Times New Roman" w:cs="Times New Roman"/>
          <w:sz w:val="24"/>
          <w:szCs w:val="24"/>
        </w:rPr>
        <w:t>L</w:t>
      </w:r>
      <w:r w:rsidR="00480B96">
        <w:rPr>
          <w:rFonts w:ascii="Times New Roman" w:hAnsi="Times New Roman" w:cs="Times New Roman"/>
          <w:sz w:val="24"/>
          <w:szCs w:val="24"/>
        </w:rPr>
        <w:t>one &amp; McLean, 2003)</w:t>
      </w:r>
      <w:r w:rsidRPr="00E15598">
        <w:rPr>
          <w:rFonts w:ascii="Times New Roman" w:hAnsi="Times New Roman" w:cs="Times New Roman"/>
          <w:sz w:val="24"/>
          <w:szCs w:val="24"/>
        </w:rPr>
        <w:t>. In the context of mobile learning, system quality refers to the reliability, usability, accessibility, and technical performance of the platform, while information quality concerns the accuracy, relevance, timeliness, and usefulness of learning content. Service quality refers to the responsiveness, support, and assistance provided to users when using the system.</w:t>
      </w:r>
    </w:p>
    <w:p w14:paraId="1C95CC87" w14:textId="37B935A8" w:rsidR="00E15598" w:rsidRPr="00E15598" w:rsidRDefault="00E15598" w:rsidP="00CA6AA9">
      <w:pPr>
        <w:spacing w:before="240" w:after="240" w:line="240" w:lineRule="auto"/>
        <w:jc w:val="both"/>
        <w:rPr>
          <w:rFonts w:ascii="Times New Roman" w:hAnsi="Times New Roman" w:cs="Times New Roman"/>
          <w:sz w:val="24"/>
          <w:szCs w:val="24"/>
        </w:rPr>
      </w:pPr>
      <w:r w:rsidRPr="00E15598">
        <w:rPr>
          <w:rFonts w:ascii="Times New Roman" w:hAnsi="Times New Roman" w:cs="Times New Roman"/>
          <w:sz w:val="24"/>
          <w:szCs w:val="24"/>
        </w:rPr>
        <w:t>User satisfaction is also recognized as an important indicator of system success. Students who perceive mobile learning systems as reliable, easy to use, and capable of providing relevant learning content are more likely to report higher satisfaction levels</w:t>
      </w:r>
      <w:r w:rsidR="00480B96">
        <w:rPr>
          <w:rFonts w:ascii="Times New Roman" w:hAnsi="Times New Roman" w:cs="Times New Roman"/>
          <w:sz w:val="24"/>
          <w:szCs w:val="24"/>
        </w:rPr>
        <w:t xml:space="preserve"> (Al-Fraihat, Joy, &amp; Sinclair, 2020; Chaka &amp; Govender, 2020)</w:t>
      </w:r>
      <w:r w:rsidRPr="00E15598">
        <w:rPr>
          <w:rFonts w:ascii="Times New Roman" w:hAnsi="Times New Roman" w:cs="Times New Roman"/>
          <w:sz w:val="24"/>
          <w:szCs w:val="24"/>
        </w:rPr>
        <w:t>. Conversely, poor system performance, limited access to quality information, and inadequate support may reduce students’ satisfaction and affect their learning experience. Therefore, understanding the effect of mobile learning quality on user satisfaction is important for higher education institutions that aim to improve digital learning environments.</w:t>
      </w:r>
    </w:p>
    <w:p w14:paraId="39D412FC" w14:textId="77777777" w:rsidR="00E15598" w:rsidRPr="00E15598" w:rsidRDefault="00E15598" w:rsidP="00CA6AA9">
      <w:pPr>
        <w:spacing w:before="240" w:after="240" w:line="240" w:lineRule="auto"/>
        <w:jc w:val="both"/>
        <w:rPr>
          <w:rFonts w:ascii="Times New Roman" w:hAnsi="Times New Roman" w:cs="Times New Roman"/>
          <w:sz w:val="24"/>
          <w:szCs w:val="24"/>
        </w:rPr>
      </w:pPr>
      <w:r w:rsidRPr="00E15598">
        <w:rPr>
          <w:rFonts w:ascii="Times New Roman" w:hAnsi="Times New Roman" w:cs="Times New Roman"/>
          <w:sz w:val="24"/>
          <w:szCs w:val="24"/>
        </w:rPr>
        <w:t xml:space="preserve">Although previous studies have examined mobile learning adoption, cloud-based learning, and e-learning system success, there is still a need for further empirical evidence on how mobile learning quality influences user satisfaction among Malaysian research students. Earlier work has proposed a conceptual framework for assessing the quality of mobile learning through cloud-based records management among students, highlighting the importance of system usability, data accessibility, content quality, and student satisfaction. However, empirical validation remains necessary to further examine the relationship between mobile learning quality and user satisfaction in the Malaysian higher education context. </w:t>
      </w:r>
    </w:p>
    <w:p w14:paraId="0FC4B44B" w14:textId="68594FCC" w:rsidR="003F5C2D" w:rsidRDefault="007C504E" w:rsidP="007C504E">
      <w:pPr>
        <w:spacing w:before="240" w:after="240" w:line="240" w:lineRule="auto"/>
        <w:jc w:val="both"/>
        <w:rPr>
          <w:rFonts w:ascii="Times New Roman" w:hAnsi="Times New Roman" w:cs="Times New Roman"/>
          <w:sz w:val="24"/>
          <w:szCs w:val="24"/>
        </w:rPr>
      </w:pPr>
      <w:r w:rsidRPr="007C504E">
        <w:rPr>
          <w:rFonts w:ascii="Times New Roman" w:hAnsi="Times New Roman" w:cs="Times New Roman"/>
          <w:sz w:val="24"/>
          <w:szCs w:val="24"/>
        </w:rPr>
        <w:t xml:space="preserve">Accordingly, this study </w:t>
      </w:r>
      <w:r w:rsidR="00F929FF">
        <w:rPr>
          <w:rFonts w:ascii="Times New Roman" w:hAnsi="Times New Roman" w:cs="Times New Roman"/>
          <w:sz w:val="24"/>
          <w:szCs w:val="24"/>
        </w:rPr>
        <w:t xml:space="preserve">empirically </w:t>
      </w:r>
      <w:r w:rsidRPr="007C504E">
        <w:rPr>
          <w:rFonts w:ascii="Times New Roman" w:hAnsi="Times New Roman" w:cs="Times New Roman"/>
          <w:sz w:val="24"/>
          <w:szCs w:val="24"/>
        </w:rPr>
        <w:t>investigates the effect of mobile learning quality on user satisfaction among Malaysian research students. Guided by the Information Systems Success Model (DeLone &amp; McLean, 2003), the study conceptualizes mobile learning quality through three dimensions: system quality, information quality, and service quality. By empirically examining the relationship between these dimensions and user satisfaction, this study contributes to a better understanding of how the quality of mobile learning environments influences students' learning experiences within the context of Malaysian higher education.</w:t>
      </w:r>
    </w:p>
    <w:p w14:paraId="239D53A9" w14:textId="23C56B7D" w:rsidR="00B72466" w:rsidRDefault="00B72466" w:rsidP="007C504E">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Problem Statement</w:t>
      </w:r>
    </w:p>
    <w:p w14:paraId="3554677C" w14:textId="77777777" w:rsidR="000D6786" w:rsidRPr="000D6786" w:rsidRDefault="000D6786" w:rsidP="000D6786">
      <w:pPr>
        <w:spacing w:before="240" w:after="240" w:line="240" w:lineRule="auto"/>
        <w:jc w:val="both"/>
        <w:rPr>
          <w:rFonts w:ascii="Times New Roman" w:hAnsi="Times New Roman" w:cs="Times New Roman"/>
          <w:sz w:val="24"/>
          <w:szCs w:val="24"/>
        </w:rPr>
      </w:pPr>
      <w:r w:rsidRPr="000D6786">
        <w:rPr>
          <w:rFonts w:ascii="Times New Roman" w:hAnsi="Times New Roman" w:cs="Times New Roman"/>
          <w:sz w:val="24"/>
          <w:szCs w:val="24"/>
        </w:rPr>
        <w:t>The rapid adoption of mobile learning and AI-enabled technologies has transformed the way higher education institutions support teaching, learning, and research activities. Research students increasingly rely on mobile learning platforms to access scholarly resources, communicate with supervisors, collaborate with peers, and utilize AI-supported tools for academic writing, information retrieval, and knowledge development. As these technologies become integral to research and learning processes, ensuring the quality of mobile learning systems has become increasingly important. High-quality mobile learning systems are expected to provide reliable system performance, accurate and relevant information, and responsive support services that enhance students' learning experiences and overall satisfaction. Previous studies have consistently reported that system quality, information quality, and service quality are important determinants of information systems success and user satisfaction (DeLone &amp; McLean, 2003; Al-Fraihat et al., 2020). However, much of the existing literature has primarily emphasized technology adoption, acceptance, or continuance intention rather than examining how these quality dimensions directly influence user satisfaction within mobile learning environments.</w:t>
      </w:r>
    </w:p>
    <w:p w14:paraId="0212D76B" w14:textId="77777777" w:rsidR="000D6786" w:rsidRDefault="000D6786" w:rsidP="000D6786">
      <w:pPr>
        <w:spacing w:before="240" w:after="240" w:line="240" w:lineRule="auto"/>
        <w:jc w:val="both"/>
        <w:rPr>
          <w:rFonts w:ascii="Times New Roman" w:hAnsi="Times New Roman" w:cs="Times New Roman"/>
          <w:sz w:val="24"/>
          <w:szCs w:val="24"/>
        </w:rPr>
      </w:pPr>
      <w:r w:rsidRPr="000D6786">
        <w:rPr>
          <w:rFonts w:ascii="Times New Roman" w:hAnsi="Times New Roman" w:cs="Times New Roman"/>
          <w:sz w:val="24"/>
          <w:szCs w:val="24"/>
        </w:rPr>
        <w:t xml:space="preserve">Furthermore, empirical evidence remains limited regarding the relationship between mobile learning quality and user satisfaction among Malaysian research students. Although studies have investigated mobile learning across various educational settings, most have focused on undergraduate populations, general higher education users, or e-learning systems without specifically addressing the unique learning needs of research students. Unlike general students, research students depend extensively on mobile learning technologies to support independent research, academic collaboration, and continuous knowledge acquisition. Consequently, understanding the factors that contribute to their satisfaction is essential for improving the effectiveness of mobile learning environments. The lack of empirical evidence in the Malaysian higher education context highlights the need for </w:t>
      </w:r>
      <w:r w:rsidRPr="000D6786">
        <w:rPr>
          <w:rFonts w:ascii="Times New Roman" w:hAnsi="Times New Roman" w:cs="Times New Roman"/>
          <w:sz w:val="24"/>
          <w:szCs w:val="24"/>
        </w:rPr>
        <w:lastRenderedPageBreak/>
        <w:t>further investigation. Therefore, this study examines the effect of mobile learning quality, represented by system quality, information quality, and service quality, on user satisfaction among Malaysian research students, thereby contributing empirical evidence to the growing body of mobile learning research.</w:t>
      </w:r>
    </w:p>
    <w:p w14:paraId="25B41EEC" w14:textId="762E9857" w:rsidR="008F3379" w:rsidRDefault="008F3379" w:rsidP="000D6786">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Objectives</w:t>
      </w:r>
    </w:p>
    <w:p w14:paraId="588145B7" w14:textId="412A3238" w:rsidR="002D4EFA" w:rsidRDefault="002D4EFA" w:rsidP="000D6786">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to achieve two primary objectives through empirical investigation: </w:t>
      </w:r>
    </w:p>
    <w:p w14:paraId="15E8C687" w14:textId="1E14E297" w:rsidR="00D57F3B" w:rsidRPr="00D57F3B" w:rsidRDefault="00D57F3B" w:rsidP="00D57F3B">
      <w:pPr>
        <w:pStyle w:val="ListParagraph"/>
        <w:numPr>
          <w:ilvl w:val="0"/>
          <w:numId w:val="2"/>
        </w:numPr>
        <w:spacing w:before="240" w:after="240" w:line="240" w:lineRule="auto"/>
        <w:jc w:val="both"/>
        <w:rPr>
          <w:rFonts w:ascii="Times New Roman" w:hAnsi="Times New Roman" w:cs="Times New Roman"/>
          <w:sz w:val="24"/>
          <w:szCs w:val="24"/>
        </w:rPr>
      </w:pPr>
      <w:r w:rsidRPr="00D57F3B">
        <w:rPr>
          <w:rFonts w:ascii="Times New Roman" w:hAnsi="Times New Roman" w:cs="Times New Roman"/>
          <w:sz w:val="24"/>
          <w:szCs w:val="24"/>
        </w:rPr>
        <w:t xml:space="preserve">To examine the effect of mobile learning quality on user satisfaction among Malaysian research students. </w:t>
      </w:r>
    </w:p>
    <w:p w14:paraId="3813445C" w14:textId="4BBC67D9" w:rsidR="002D4EFA" w:rsidRPr="00D57F3B" w:rsidRDefault="00D57F3B" w:rsidP="00D57F3B">
      <w:pPr>
        <w:pStyle w:val="ListParagraph"/>
        <w:numPr>
          <w:ilvl w:val="0"/>
          <w:numId w:val="2"/>
        </w:numPr>
        <w:spacing w:before="240" w:after="240" w:line="240" w:lineRule="auto"/>
        <w:jc w:val="both"/>
        <w:rPr>
          <w:rFonts w:ascii="Times New Roman" w:hAnsi="Times New Roman" w:cs="Times New Roman"/>
          <w:sz w:val="24"/>
          <w:szCs w:val="24"/>
        </w:rPr>
      </w:pPr>
      <w:r w:rsidRPr="00D57F3B">
        <w:rPr>
          <w:rFonts w:ascii="Times New Roman" w:hAnsi="Times New Roman" w:cs="Times New Roman"/>
          <w:sz w:val="24"/>
          <w:szCs w:val="24"/>
        </w:rPr>
        <w:t>To determine the effect of each mobile learning quality dimension, namely system quality, information quality, and service quality, on user satisfaction among Malaysian research students.</w:t>
      </w:r>
    </w:p>
    <w:p w14:paraId="5C91C3C7" w14:textId="0AB799A4" w:rsidR="00961B47" w:rsidRDefault="00372283" w:rsidP="007C504E">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LITERATURE REVIEW</w:t>
      </w:r>
    </w:p>
    <w:p w14:paraId="1CF7F9FE" w14:textId="2FB88D7E" w:rsidR="00372283" w:rsidRDefault="00482368" w:rsidP="007C504E">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Mobile Learning in Higher Education</w:t>
      </w:r>
    </w:p>
    <w:p w14:paraId="4EA1AA20" w14:textId="77777777" w:rsidR="00E40299" w:rsidRPr="00E40299" w:rsidRDefault="00E40299" w:rsidP="00E40299">
      <w:pPr>
        <w:spacing w:before="240" w:after="240" w:line="240" w:lineRule="auto"/>
        <w:jc w:val="both"/>
        <w:rPr>
          <w:rFonts w:ascii="Times New Roman" w:hAnsi="Times New Roman" w:cs="Times New Roman"/>
          <w:sz w:val="24"/>
          <w:szCs w:val="24"/>
        </w:rPr>
      </w:pPr>
      <w:r w:rsidRPr="00E40299">
        <w:rPr>
          <w:rFonts w:ascii="Times New Roman" w:hAnsi="Times New Roman" w:cs="Times New Roman"/>
          <w:sz w:val="24"/>
          <w:szCs w:val="24"/>
        </w:rPr>
        <w:t>Mobile learning, or m-learning, has become an important component of higher education as digital technologies continue to reshape teaching, learning, and research practices. Unlike conventional classroom-based learning, mobile learning enables students to access educational resources, communicate with instructors and peers, and participate in learning activities regardless of time and location through mobile devices such as smartphones, tablets, and laptops (Crompton &amp; Burke, 2018; Sung, Chang, &amp; Liu, 2016). The flexibility and accessibility offered by mobile learning support independent learning, collaborative engagement, and continuous knowledge acquisition among university students.</w:t>
      </w:r>
    </w:p>
    <w:p w14:paraId="2B087DA5" w14:textId="77777777" w:rsidR="00E40299" w:rsidRPr="00E40299" w:rsidRDefault="00E40299" w:rsidP="00E40299">
      <w:pPr>
        <w:spacing w:before="240" w:after="240" w:line="240" w:lineRule="auto"/>
        <w:jc w:val="both"/>
        <w:rPr>
          <w:rFonts w:ascii="Times New Roman" w:hAnsi="Times New Roman" w:cs="Times New Roman"/>
          <w:sz w:val="24"/>
          <w:szCs w:val="24"/>
        </w:rPr>
      </w:pPr>
      <w:r w:rsidRPr="00E40299">
        <w:rPr>
          <w:rFonts w:ascii="Times New Roman" w:hAnsi="Times New Roman" w:cs="Times New Roman"/>
          <w:sz w:val="24"/>
          <w:szCs w:val="24"/>
        </w:rPr>
        <w:t>The rapid development of wireless communication technologies, cloud computing, learning management systems, digital libraries, and mobile applications has further accelerated the adoption of mobile learning across higher education institutions. Previous systematic reviews have shown that mobile learning research in higher education has expanded significantly, with increasing attention given to learning achievement, engagement, collaboration, and user experience (Crompton &amp; Burke, 2018; Fu &amp; Hwang, 2018; Naveed et al., 2023). Similarly, Sophonhiranrak (2021) highlighted that mobile learning is influenced by factors such as learner readiness, learning design, system accessibility, and institutional support, indicating that the success of mobile learning depends not only on technology availability but also on how effectively it supports learning needs.</w:t>
      </w:r>
    </w:p>
    <w:p w14:paraId="7FC8EB9E" w14:textId="36336A9E" w:rsidR="00E40299" w:rsidRPr="00E40299" w:rsidRDefault="00E40299" w:rsidP="00E40299">
      <w:pPr>
        <w:spacing w:before="240" w:after="240" w:line="240" w:lineRule="auto"/>
        <w:jc w:val="both"/>
        <w:rPr>
          <w:rFonts w:ascii="Times New Roman" w:hAnsi="Times New Roman" w:cs="Times New Roman"/>
          <w:sz w:val="24"/>
          <w:szCs w:val="24"/>
        </w:rPr>
      </w:pPr>
      <w:r w:rsidRPr="00E40299">
        <w:rPr>
          <w:rFonts w:ascii="Times New Roman" w:hAnsi="Times New Roman" w:cs="Times New Roman"/>
          <w:sz w:val="24"/>
          <w:szCs w:val="24"/>
        </w:rPr>
        <w:t xml:space="preserve">More recently, the integration of artificial intelligence (AI)-enabled tools has further expanded the role of mobile learning in higher education. AI-supported applications, including intelligent writing assistants, generative AI tools, personalized learning systems, and academic support platforms, have created new opportunities for students to retrieve information, generate ideas, improve writing, and support knowledge development. Studies on generative AI in education suggest that such tools can enhance productivity, support personalized learning, and assist students in complex academic tasks, although their use also requires digital literacy, ethical awareness, and critical evaluation of information quality (Dwivedi et al., 2023; Kasneci et al., 2023). Therefore, mobile learning is no longer limited to content </w:t>
      </w:r>
      <w:r w:rsidR="00CA6AA9" w:rsidRPr="00E40299">
        <w:rPr>
          <w:rFonts w:ascii="Times New Roman" w:hAnsi="Times New Roman" w:cs="Times New Roman"/>
          <w:sz w:val="24"/>
          <w:szCs w:val="24"/>
        </w:rPr>
        <w:t>access but</w:t>
      </w:r>
      <w:r w:rsidRPr="00E40299">
        <w:rPr>
          <w:rFonts w:ascii="Times New Roman" w:hAnsi="Times New Roman" w:cs="Times New Roman"/>
          <w:sz w:val="24"/>
          <w:szCs w:val="24"/>
        </w:rPr>
        <w:t xml:space="preserve"> increasingly functions as part of a broader digital learning ecosystem that supports academic and research activities.</w:t>
      </w:r>
    </w:p>
    <w:p w14:paraId="5A0413F1" w14:textId="77777777" w:rsidR="00E40299" w:rsidRPr="00E40299" w:rsidRDefault="00E40299" w:rsidP="00E40299">
      <w:pPr>
        <w:spacing w:before="240" w:after="240" w:line="240" w:lineRule="auto"/>
        <w:jc w:val="both"/>
        <w:rPr>
          <w:rFonts w:ascii="Times New Roman" w:hAnsi="Times New Roman" w:cs="Times New Roman"/>
          <w:sz w:val="24"/>
          <w:szCs w:val="24"/>
        </w:rPr>
      </w:pPr>
      <w:r w:rsidRPr="00E40299">
        <w:rPr>
          <w:rFonts w:ascii="Times New Roman" w:hAnsi="Times New Roman" w:cs="Times New Roman"/>
          <w:sz w:val="24"/>
          <w:szCs w:val="24"/>
        </w:rPr>
        <w:t>For research students, mobile learning plays an even more significant role because their learning extends beyond formal classroom instruction. Research students frequently rely on mobile technologies to search scholarly databases, review literature, communicate with supervisors, collaborate with research teams, organize references, and access AI-assisted tools that facilitate academic writing and knowledge synthesis. The flexibility provided by mobile learning enables research activities to be conducted across different environments while maintaining continuous access to digital academic resources. Consequently, mobile learning has become an integral platform that supports research productivity, lifelong learning, and knowledge development within higher education institutions.</w:t>
      </w:r>
    </w:p>
    <w:p w14:paraId="697DF504" w14:textId="77777777" w:rsidR="00E40299" w:rsidRPr="00E40299" w:rsidRDefault="00E40299" w:rsidP="00E40299">
      <w:pPr>
        <w:spacing w:before="240" w:after="240" w:line="240" w:lineRule="auto"/>
        <w:jc w:val="both"/>
        <w:rPr>
          <w:rFonts w:ascii="Times New Roman" w:hAnsi="Times New Roman" w:cs="Times New Roman"/>
          <w:sz w:val="24"/>
          <w:szCs w:val="24"/>
        </w:rPr>
      </w:pPr>
      <w:r w:rsidRPr="00E40299">
        <w:rPr>
          <w:rFonts w:ascii="Times New Roman" w:hAnsi="Times New Roman" w:cs="Times New Roman"/>
          <w:sz w:val="24"/>
          <w:szCs w:val="24"/>
        </w:rPr>
        <w:t xml:space="preserve">Despite its growing importance, the effectiveness of mobile learning depends not only on its availability but also on the quality of the learning environment provided. Students are more likely to benefit from mobile learning when the system is reliable, the information provided is accurate and relevant, and adequate technical and user </w:t>
      </w:r>
      <w:r w:rsidRPr="00E40299">
        <w:rPr>
          <w:rFonts w:ascii="Times New Roman" w:hAnsi="Times New Roman" w:cs="Times New Roman"/>
          <w:sz w:val="24"/>
          <w:szCs w:val="24"/>
        </w:rPr>
        <w:lastRenderedPageBreak/>
        <w:t>support is available. Prior studies have shown that mobile and digital learning environments are most effective when they enhance learning performance, support engagement, and provide meaningful learning experiences (Sung et al., 2016; Crompton &amp; Burke, 2018; Naveed et al., 2023). Therefore, evaluating the quality of mobile learning systems has become increasingly important for higher education institutions seeking to improve students’ learning experiences and satisfaction.</w:t>
      </w:r>
    </w:p>
    <w:p w14:paraId="334789D4" w14:textId="6914B904" w:rsidR="00E40299" w:rsidRDefault="002C5709" w:rsidP="007C504E">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Mobile Learning Quality</w:t>
      </w:r>
    </w:p>
    <w:p w14:paraId="4CD05151" w14:textId="5BE14A92" w:rsidR="002C5709" w:rsidRPr="002C5709" w:rsidRDefault="002C5709" w:rsidP="002C5709">
      <w:pPr>
        <w:spacing w:before="240" w:after="240" w:line="240" w:lineRule="auto"/>
        <w:jc w:val="both"/>
        <w:rPr>
          <w:rFonts w:ascii="Times New Roman" w:hAnsi="Times New Roman" w:cs="Times New Roman"/>
          <w:sz w:val="24"/>
          <w:szCs w:val="24"/>
        </w:rPr>
      </w:pPr>
      <w:r w:rsidRPr="002C5709">
        <w:rPr>
          <w:rFonts w:ascii="Times New Roman" w:hAnsi="Times New Roman" w:cs="Times New Roman"/>
          <w:sz w:val="24"/>
          <w:szCs w:val="24"/>
        </w:rPr>
        <w:t xml:space="preserve">Mobile learning quality has become a critical factor in determining the effectiveness of digital learning environments in higher education. While advances in mobile technologies have increased the accessibility and flexibility of learning, the success of mobile learning depends largely on the quality of the system and the learning experience it provides. Universities increasingly integrate mobile applications, cloud-based platforms, and AI-enabled learning technologies into teaching and research activities, </w:t>
      </w:r>
      <w:r w:rsidR="00135057">
        <w:rPr>
          <w:rFonts w:ascii="Times New Roman" w:hAnsi="Times New Roman" w:cs="Times New Roman"/>
          <w:sz w:val="24"/>
          <w:szCs w:val="24"/>
        </w:rPr>
        <w:t xml:space="preserve">making the </w:t>
      </w:r>
      <w:r>
        <w:rPr>
          <w:rFonts w:ascii="Times New Roman" w:hAnsi="Times New Roman" w:cs="Times New Roman"/>
          <w:sz w:val="24"/>
          <w:szCs w:val="24"/>
        </w:rPr>
        <w:t>evaluat</w:t>
      </w:r>
      <w:r w:rsidR="00135057">
        <w:rPr>
          <w:rFonts w:ascii="Times New Roman" w:hAnsi="Times New Roman" w:cs="Times New Roman"/>
          <w:sz w:val="24"/>
          <w:szCs w:val="24"/>
        </w:rPr>
        <w:t>ion of</w:t>
      </w:r>
      <w:r w:rsidRPr="002C5709">
        <w:rPr>
          <w:rFonts w:ascii="Times New Roman" w:hAnsi="Times New Roman" w:cs="Times New Roman"/>
          <w:sz w:val="24"/>
          <w:szCs w:val="24"/>
        </w:rPr>
        <w:t xml:space="preserve"> mobile learning quality an important area of educational and information systems research. A high-quality mobile learning environment enables students to access reliable information, interact effectively with learning platforms, and receive adequate support throughout their learning process (Al-Fraihat et al., 2020; Naveed et al., 2023; Sophonhiranrak, 2021).</w:t>
      </w:r>
    </w:p>
    <w:p w14:paraId="6ECC605F" w14:textId="77777777" w:rsidR="002C5709" w:rsidRPr="002C5709" w:rsidRDefault="002C5709" w:rsidP="002C5709">
      <w:pPr>
        <w:spacing w:before="240" w:after="240" w:line="240" w:lineRule="auto"/>
        <w:jc w:val="both"/>
        <w:rPr>
          <w:rFonts w:ascii="Times New Roman" w:hAnsi="Times New Roman" w:cs="Times New Roman"/>
          <w:sz w:val="24"/>
          <w:szCs w:val="24"/>
        </w:rPr>
      </w:pPr>
      <w:r w:rsidRPr="002C5709">
        <w:rPr>
          <w:rFonts w:ascii="Times New Roman" w:hAnsi="Times New Roman" w:cs="Times New Roman"/>
          <w:sz w:val="24"/>
          <w:szCs w:val="24"/>
        </w:rPr>
        <w:t>One of the most widely accepted theoretical frameworks for evaluating information system quality is the Information Systems Success Model (ISSM) proposed by DeLone and McLean (1992) and subsequently updated by DeLone and McLean (2003). The updated model identifies system quality, information quality, and service quality as three fundamental dimensions influencing user satisfaction and overall information system success. Over the past two decades, the model has been extensively applied to evaluate information systems, e-learning platforms, learning management systems, and mobile learning environments because of its ability to explain users' perceptions and experiences with digital technologies (Petter, DeLone, &amp; McLean, 2008; Urbach &amp; Müller, 2012). Recent studies continue to confirm the relevance of the ISSM in assessing digital learning quality within higher education settings (Almaiah &amp; Alismaiel, 2019; Al-Fraihat et al., 2020).</w:t>
      </w:r>
    </w:p>
    <w:p w14:paraId="319A1572" w14:textId="77777777" w:rsidR="002C5709" w:rsidRPr="002C5709" w:rsidRDefault="002C5709" w:rsidP="002C5709">
      <w:pPr>
        <w:spacing w:before="240" w:after="240" w:line="240" w:lineRule="auto"/>
        <w:jc w:val="both"/>
        <w:rPr>
          <w:rFonts w:ascii="Times New Roman" w:hAnsi="Times New Roman" w:cs="Times New Roman"/>
          <w:sz w:val="24"/>
          <w:szCs w:val="24"/>
        </w:rPr>
      </w:pPr>
      <w:r w:rsidRPr="002C5709">
        <w:rPr>
          <w:rFonts w:ascii="Times New Roman" w:hAnsi="Times New Roman" w:cs="Times New Roman"/>
          <w:sz w:val="24"/>
          <w:szCs w:val="24"/>
        </w:rPr>
        <w:t>Within the ISSM framework, system quality refers to the technical characteristics of a mobile learning platform, including reliability, usability, accessibility, response time, ease of navigation, and overall system performance. Information quality refers to the quality of learning content, encompassing its accuracy, relevance, completeness, timeliness, and usefulness in supporting learning and research activities. Service quality, meanwhile, reflects the effectiveness of technical support and assistance provided to users, including responsiveness, reliability, and the ability to resolve users' problems efficiently (DeLone &amp; McLean, 2003; Petter et al., 2008). Together, these three dimensions determine users' perceptions of mobile learning quality and contribute to positive learning experiences.</w:t>
      </w:r>
    </w:p>
    <w:p w14:paraId="16DB9B29" w14:textId="77777777" w:rsidR="002C5709" w:rsidRDefault="002C5709" w:rsidP="002C5709">
      <w:pPr>
        <w:spacing w:before="240" w:after="240" w:line="240" w:lineRule="auto"/>
        <w:jc w:val="both"/>
        <w:rPr>
          <w:rFonts w:ascii="Times New Roman" w:hAnsi="Times New Roman" w:cs="Times New Roman"/>
          <w:sz w:val="24"/>
          <w:szCs w:val="24"/>
        </w:rPr>
      </w:pPr>
      <w:r w:rsidRPr="002C5709">
        <w:rPr>
          <w:rFonts w:ascii="Times New Roman" w:hAnsi="Times New Roman" w:cs="Times New Roman"/>
          <w:sz w:val="24"/>
          <w:szCs w:val="24"/>
        </w:rPr>
        <w:t xml:space="preserve">Previous empirical studies have consistently reported positive relationships between mobile learning quality and user satisfaction. Almaiah and Alismaiel (2019) demonstrated that system quality, information quality, and service quality significantly influence students' satisfaction with mobile learning systems in higher education. Likewise, Al-Fraihat et al. (2020) concluded that high-quality digital learning environments improve user satisfaction and overall information system success. Similar findings have also been reported in studies examining e-learning and mobile learning systems across higher education institutions, suggesting that learners are more satisfied when digital platforms provide reliable system performance, relevant information, and responsive support services (Cidral, Oliveira, Di Felice, &amp; Aparicio, 2018; Aparicio, Bacao, &amp; Oliveira, 2017). </w:t>
      </w:r>
    </w:p>
    <w:p w14:paraId="7F3596D8" w14:textId="1D711912" w:rsidR="002C5709" w:rsidRPr="002C5709" w:rsidRDefault="002C5709" w:rsidP="002C5709">
      <w:pPr>
        <w:spacing w:before="240" w:after="240" w:line="240" w:lineRule="auto"/>
        <w:jc w:val="both"/>
        <w:rPr>
          <w:rFonts w:ascii="Times New Roman" w:hAnsi="Times New Roman" w:cs="Times New Roman"/>
          <w:sz w:val="24"/>
          <w:szCs w:val="24"/>
        </w:rPr>
      </w:pPr>
      <w:r w:rsidRPr="002C5709">
        <w:rPr>
          <w:rFonts w:ascii="Times New Roman" w:hAnsi="Times New Roman" w:cs="Times New Roman"/>
          <w:sz w:val="24"/>
          <w:szCs w:val="24"/>
        </w:rPr>
        <w:t>Despite these consistent findings, empirical evidence focusing specifically on Malaysian research students remains limited. Given that research students rely extensively on mobile learning technologies to support literature searching, academic writing, collaboration, and knowledge creation, further empirical investigation is required to better understand how mobile learning quality influences their satisfaction within the Malaysian higher education context.</w:t>
      </w:r>
    </w:p>
    <w:p w14:paraId="11D9C4E2" w14:textId="77777777" w:rsidR="002C5709" w:rsidRDefault="002C5709" w:rsidP="007C504E">
      <w:pPr>
        <w:spacing w:before="240" w:after="240" w:line="240" w:lineRule="auto"/>
        <w:jc w:val="both"/>
        <w:rPr>
          <w:rFonts w:ascii="Times New Roman" w:hAnsi="Times New Roman" w:cs="Times New Roman"/>
          <w:b/>
          <w:bCs/>
          <w:sz w:val="24"/>
          <w:szCs w:val="24"/>
        </w:rPr>
      </w:pPr>
    </w:p>
    <w:p w14:paraId="5B6B10E4" w14:textId="77777777" w:rsidR="00CF4FE6" w:rsidRDefault="00CF4FE6" w:rsidP="0033709C">
      <w:pPr>
        <w:spacing w:before="240" w:after="240" w:line="240" w:lineRule="auto"/>
        <w:jc w:val="both"/>
        <w:rPr>
          <w:rFonts w:ascii="Times New Roman" w:hAnsi="Times New Roman" w:cs="Times New Roman"/>
          <w:b/>
          <w:bCs/>
          <w:sz w:val="24"/>
          <w:szCs w:val="24"/>
        </w:rPr>
      </w:pPr>
    </w:p>
    <w:p w14:paraId="509D5E86" w14:textId="1B1A4F90" w:rsidR="001F5B0B" w:rsidRPr="00834245" w:rsidRDefault="001F5B0B" w:rsidP="0033709C">
      <w:pPr>
        <w:spacing w:before="240" w:after="240" w:line="240" w:lineRule="auto"/>
        <w:jc w:val="both"/>
        <w:rPr>
          <w:rFonts w:ascii="Times New Roman" w:hAnsi="Times New Roman" w:cs="Times New Roman"/>
          <w:b/>
          <w:bCs/>
          <w:sz w:val="24"/>
          <w:szCs w:val="24"/>
        </w:rPr>
      </w:pPr>
      <w:r w:rsidRPr="00834245">
        <w:rPr>
          <w:rFonts w:ascii="Times New Roman" w:hAnsi="Times New Roman" w:cs="Times New Roman"/>
          <w:b/>
          <w:bCs/>
          <w:sz w:val="24"/>
          <w:szCs w:val="24"/>
        </w:rPr>
        <w:lastRenderedPageBreak/>
        <w:t>Relationship between Mobile Learning Quality and User Satisfaction</w:t>
      </w:r>
    </w:p>
    <w:p w14:paraId="2FAD838B" w14:textId="77777777" w:rsidR="00F90499" w:rsidRPr="00F90499" w:rsidRDefault="00F90499" w:rsidP="00F90499">
      <w:pPr>
        <w:spacing w:before="240" w:after="240" w:line="240" w:lineRule="auto"/>
        <w:jc w:val="both"/>
        <w:rPr>
          <w:rFonts w:ascii="Times New Roman" w:hAnsi="Times New Roman" w:cs="Times New Roman"/>
          <w:sz w:val="24"/>
          <w:szCs w:val="24"/>
        </w:rPr>
      </w:pPr>
      <w:r w:rsidRPr="00F90499">
        <w:rPr>
          <w:rFonts w:ascii="Times New Roman" w:hAnsi="Times New Roman" w:cs="Times New Roman"/>
          <w:sz w:val="24"/>
          <w:szCs w:val="24"/>
        </w:rPr>
        <w:t>The relationship between mobile learning quality and user satisfaction has been extensively examined within information systems, e-learning, and educational technology research. The Information Systems Success Model (ISSM) developed by DeLone and McLean (2003) posits that user satisfaction is primarily influenced by three quality dimensions: system quality, information quality, and service quality. According to the model, users are more likely to experience higher satisfaction when digital learning systems provide reliable system performance, accurate and relevant information, and responsive support services. Owing to its comprehensive framework, the ISSM has become one of the most widely adopted theoretical models for evaluating the success of e-learning, learning management systems, and mobile learning environments (Petter, DeLone, &amp; McLean, 2008; Urbach &amp; Müller, 2012).</w:t>
      </w:r>
    </w:p>
    <w:p w14:paraId="2E9C33F4" w14:textId="77777777" w:rsidR="00F90499" w:rsidRPr="00F90499" w:rsidRDefault="00F90499" w:rsidP="00F90499">
      <w:pPr>
        <w:spacing w:before="240" w:after="240" w:line="240" w:lineRule="auto"/>
        <w:jc w:val="both"/>
        <w:rPr>
          <w:rFonts w:ascii="Times New Roman" w:hAnsi="Times New Roman" w:cs="Times New Roman"/>
          <w:sz w:val="24"/>
          <w:szCs w:val="24"/>
        </w:rPr>
      </w:pPr>
      <w:r w:rsidRPr="00F90499">
        <w:rPr>
          <w:rFonts w:ascii="Times New Roman" w:hAnsi="Times New Roman" w:cs="Times New Roman"/>
          <w:sz w:val="24"/>
          <w:szCs w:val="24"/>
        </w:rPr>
        <w:t>A growing body of empirical evidence consistently demonstrates that mobile learning quality positively influences user satisfaction. Almaiah and Alismaiel (2019) reported that system quality, information quality, and service quality significantly enhanced students' satisfaction with mobile learning systems in higher education. Likewise, Al-Fraihat et al. (2020) found that these quality dimensions were among the strongest predictors of user satisfaction and overall e-learning success. Similar findings have been reported by Cidral et al. (2018) and Aparicio, Bacao, and Oliveira (2017), who concluded that students are more satisfied when digital learning platforms provide reliable system functionality, high-quality learning content, and effective technical support. Collectively, these studies suggest that user satisfaction is not determined by technological infrastructure alone but also by the overall quality of information and services supporting the learning process.</w:t>
      </w:r>
    </w:p>
    <w:p w14:paraId="3981E3EB" w14:textId="77777777" w:rsidR="00F90499" w:rsidRPr="00F90499" w:rsidRDefault="00F90499" w:rsidP="00F90499">
      <w:pPr>
        <w:spacing w:before="240" w:after="240" w:line="240" w:lineRule="auto"/>
        <w:jc w:val="both"/>
        <w:rPr>
          <w:rFonts w:ascii="Times New Roman" w:hAnsi="Times New Roman" w:cs="Times New Roman"/>
          <w:sz w:val="24"/>
          <w:szCs w:val="24"/>
        </w:rPr>
      </w:pPr>
      <w:r w:rsidRPr="00F90499">
        <w:rPr>
          <w:rFonts w:ascii="Times New Roman" w:hAnsi="Times New Roman" w:cs="Times New Roman"/>
          <w:sz w:val="24"/>
          <w:szCs w:val="24"/>
        </w:rPr>
        <w:t>Recent developments in artificial intelligence, cloud computing, and mobile technologies have further transformed students' expectations of digital learning environments. AI-enabled learning applications, intelligent tutoring systems, and generative AI tools increasingly support academic writing, information retrieval, personalized learning, and knowledge creation. Consequently, research students expect mobile learning platforms not only to provide stable technical performance but also to deliver accurate, timely, and trustworthy academic information together with responsive user support. Recent studies have suggested that the successful integration of AI into higher education depends heavily on the quality, reliability, and usability of digital learning environments that facilitate effective learning experiences (Dwivedi et al., 2023; Kasneci et al., 2023; Tlili et al., 2023).</w:t>
      </w:r>
    </w:p>
    <w:p w14:paraId="471184C3" w14:textId="77777777" w:rsidR="00F90499" w:rsidRPr="00F90499" w:rsidRDefault="00F90499" w:rsidP="00F90499">
      <w:pPr>
        <w:spacing w:before="240" w:after="240" w:line="240" w:lineRule="auto"/>
        <w:jc w:val="both"/>
        <w:rPr>
          <w:rFonts w:ascii="Times New Roman" w:hAnsi="Times New Roman" w:cs="Times New Roman"/>
          <w:sz w:val="24"/>
          <w:szCs w:val="24"/>
        </w:rPr>
      </w:pPr>
      <w:r w:rsidRPr="00F90499">
        <w:rPr>
          <w:rFonts w:ascii="Times New Roman" w:hAnsi="Times New Roman" w:cs="Times New Roman"/>
          <w:sz w:val="24"/>
          <w:szCs w:val="24"/>
        </w:rPr>
        <w:t>Despite the growing body of international literature, empirical evidence examining the relationship between mobile learning quality and user satisfaction among Malaysian research students remains limited. Most previous studies have concentrated on technology acceptance, behavioural intention, or general university students, with relatively few investigations focusing specifically on research students whose academic activities depend extensively on mobile learning technologies throughout the research process. Given the increasing reliance on AI-supported mobile learning for literature searching, academic writing, collaboration, and knowledge development, further empirical investigation is warranted. Accordingly, the present study examines the effects of system quality, information quality, and service quality on user satisfaction among Malaysian research students.</w:t>
      </w:r>
    </w:p>
    <w:p w14:paraId="036B4C76" w14:textId="56881634" w:rsidR="006432C3" w:rsidRPr="00AD08E4" w:rsidRDefault="006432C3" w:rsidP="006432C3">
      <w:pPr>
        <w:spacing w:before="240" w:after="240" w:line="240" w:lineRule="auto"/>
        <w:jc w:val="both"/>
        <w:rPr>
          <w:rFonts w:ascii="Times New Roman" w:hAnsi="Times New Roman" w:cs="Times New Roman"/>
          <w:b/>
          <w:bCs/>
          <w:sz w:val="24"/>
          <w:szCs w:val="24"/>
        </w:rPr>
      </w:pPr>
      <w:r w:rsidRPr="00AD08E4">
        <w:rPr>
          <w:rFonts w:ascii="Times New Roman" w:hAnsi="Times New Roman" w:cs="Times New Roman"/>
          <w:b/>
          <w:bCs/>
          <w:sz w:val="24"/>
          <w:szCs w:val="24"/>
        </w:rPr>
        <w:t>Research Framework and Hypotheses</w:t>
      </w:r>
    </w:p>
    <w:p w14:paraId="4503D6FA" w14:textId="6A086666" w:rsidR="00CC6618" w:rsidRDefault="00CC6618" w:rsidP="00CC6618">
      <w:pPr>
        <w:spacing w:after="0" w:line="240" w:lineRule="auto"/>
        <w:jc w:val="both"/>
        <w:rPr>
          <w:rFonts w:ascii="Times New Roman" w:hAnsi="Times New Roman" w:cs="Times New Roman"/>
          <w:sz w:val="24"/>
          <w:szCs w:val="24"/>
        </w:rPr>
      </w:pPr>
      <w:r w:rsidRPr="00CC6618">
        <w:rPr>
          <w:rFonts w:ascii="Times New Roman" w:hAnsi="Times New Roman" w:cs="Times New Roman"/>
          <w:sz w:val="24"/>
          <w:szCs w:val="24"/>
        </w:rPr>
        <w:t>The present study adopts the Information Systems Success Model (DeLone &amp; McLean, 2003) as the underlying theoretical framework to examine the effect of mobile learning quality on user satisfaction among Malaysian research students. Consistent with the model, mobile learning quality is conceptualized through three dimensions: system quality, information quality, and service quality. These dimensions are proposed to positively influence user satisfaction with mobile learning systems. Based on the literature reviewed, the research framework is presented in Figure 1.</w:t>
      </w:r>
      <w:r w:rsidR="00CA6AA9">
        <w:rPr>
          <w:rFonts w:ascii="Times New Roman" w:hAnsi="Times New Roman" w:cs="Times New Roman"/>
          <w:sz w:val="24"/>
          <w:szCs w:val="24"/>
        </w:rPr>
        <w:t xml:space="preserve"> </w:t>
      </w:r>
      <w:r w:rsidRPr="00CC6618">
        <w:rPr>
          <w:rFonts w:ascii="Times New Roman" w:hAnsi="Times New Roman" w:cs="Times New Roman"/>
          <w:sz w:val="24"/>
          <w:szCs w:val="24"/>
        </w:rPr>
        <w:t>Accordingly, the following hypotheses are proposed:</w:t>
      </w:r>
    </w:p>
    <w:p w14:paraId="7EB29137" w14:textId="77777777" w:rsidR="00CC6618" w:rsidRPr="00CC6618" w:rsidRDefault="00CC6618" w:rsidP="00CC6618">
      <w:pPr>
        <w:spacing w:after="0" w:line="240" w:lineRule="auto"/>
        <w:jc w:val="both"/>
        <w:rPr>
          <w:rFonts w:ascii="Times New Roman" w:hAnsi="Times New Roman" w:cs="Times New Roman"/>
          <w:sz w:val="24"/>
          <w:szCs w:val="24"/>
        </w:rPr>
      </w:pPr>
    </w:p>
    <w:p w14:paraId="3F5B0D63" w14:textId="77777777" w:rsidR="00CC6618" w:rsidRPr="00CC6618" w:rsidRDefault="00CC6618" w:rsidP="00CC6618">
      <w:pPr>
        <w:spacing w:after="0" w:line="240" w:lineRule="auto"/>
        <w:jc w:val="both"/>
        <w:rPr>
          <w:rFonts w:ascii="Times New Roman" w:hAnsi="Times New Roman" w:cs="Times New Roman"/>
          <w:sz w:val="24"/>
          <w:szCs w:val="24"/>
        </w:rPr>
      </w:pPr>
      <w:r w:rsidRPr="00CC6618">
        <w:rPr>
          <w:rFonts w:ascii="Times New Roman" w:hAnsi="Times New Roman" w:cs="Times New Roman"/>
          <w:sz w:val="24"/>
          <w:szCs w:val="24"/>
        </w:rPr>
        <w:t>H1: System quality has a positive effect on user satisfaction among Malaysian research students.</w:t>
      </w:r>
    </w:p>
    <w:p w14:paraId="231D5D44" w14:textId="77777777" w:rsidR="00CC6618" w:rsidRPr="00CC6618" w:rsidRDefault="00CC6618" w:rsidP="00CC6618">
      <w:pPr>
        <w:spacing w:after="0" w:line="240" w:lineRule="auto"/>
        <w:jc w:val="both"/>
        <w:rPr>
          <w:rFonts w:ascii="Times New Roman" w:hAnsi="Times New Roman" w:cs="Times New Roman"/>
          <w:sz w:val="24"/>
          <w:szCs w:val="24"/>
        </w:rPr>
      </w:pPr>
      <w:r w:rsidRPr="00CC6618">
        <w:rPr>
          <w:rFonts w:ascii="Times New Roman" w:hAnsi="Times New Roman" w:cs="Times New Roman"/>
          <w:sz w:val="24"/>
          <w:szCs w:val="24"/>
        </w:rPr>
        <w:t>H2: Information quality has a positive effect on user satisfaction among Malaysian research students.</w:t>
      </w:r>
    </w:p>
    <w:p w14:paraId="388FCC6D" w14:textId="77777777" w:rsidR="00CC6618" w:rsidRPr="00CC6618" w:rsidRDefault="00CC6618" w:rsidP="00CC6618">
      <w:pPr>
        <w:spacing w:after="0" w:line="240" w:lineRule="auto"/>
        <w:jc w:val="both"/>
        <w:rPr>
          <w:rFonts w:ascii="Times New Roman" w:hAnsi="Times New Roman" w:cs="Times New Roman"/>
          <w:sz w:val="24"/>
          <w:szCs w:val="24"/>
        </w:rPr>
      </w:pPr>
      <w:r w:rsidRPr="00CC6618">
        <w:rPr>
          <w:rFonts w:ascii="Times New Roman" w:hAnsi="Times New Roman" w:cs="Times New Roman"/>
          <w:sz w:val="24"/>
          <w:szCs w:val="24"/>
        </w:rPr>
        <w:t>H3: Service quality has a positive effect on user satisfaction among Malaysian research students.</w:t>
      </w:r>
    </w:p>
    <w:p w14:paraId="168E0F62" w14:textId="77777777" w:rsidR="00CC6618" w:rsidRDefault="00CC6618" w:rsidP="0005160E">
      <w:pPr>
        <w:spacing w:after="0" w:line="240" w:lineRule="auto"/>
        <w:jc w:val="both"/>
        <w:rPr>
          <w:rFonts w:ascii="Times New Roman" w:hAnsi="Times New Roman" w:cs="Times New Roman"/>
          <w:b/>
          <w:bCs/>
          <w:sz w:val="24"/>
          <w:szCs w:val="24"/>
        </w:rPr>
      </w:pPr>
    </w:p>
    <w:p w14:paraId="6BC10B67" w14:textId="2379E68A" w:rsidR="0005160E" w:rsidRDefault="0005160E" w:rsidP="000516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Figure 1. Conceptual Framework</w:t>
      </w:r>
    </w:p>
    <w:p w14:paraId="1BEB7D5C" w14:textId="53C8CE59" w:rsidR="00A75E68" w:rsidRDefault="00A04BD4" w:rsidP="0009650B">
      <w:pPr>
        <w:spacing w:before="240" w:after="240" w:line="240" w:lineRule="auto"/>
        <w:jc w:val="center"/>
        <w:rPr>
          <w:rFonts w:ascii="Times New Roman" w:hAnsi="Times New Roman" w:cs="Times New Roman"/>
          <w:b/>
          <w:bCs/>
          <w:sz w:val="24"/>
          <w:szCs w:val="24"/>
        </w:rPr>
      </w:pPr>
      <w:r w:rsidRPr="00A04BD4">
        <w:rPr>
          <w:rFonts w:ascii="Times New Roman" w:hAnsi="Times New Roman" w:cs="Times New Roman"/>
          <w:b/>
          <w:bCs/>
          <w:sz w:val="24"/>
          <w:szCs w:val="24"/>
        </w:rPr>
        <w:drawing>
          <wp:inline distT="0" distB="0" distL="0" distR="0" wp14:anchorId="59A1160E" wp14:editId="6A8E63E7">
            <wp:extent cx="6789420" cy="4634230"/>
            <wp:effectExtent l="0" t="0" r="0" b="0"/>
            <wp:docPr id="2666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1458" name=""/>
                    <pic:cNvPicPr/>
                  </pic:nvPicPr>
                  <pic:blipFill>
                    <a:blip r:embed="rId7"/>
                    <a:stretch>
                      <a:fillRect/>
                    </a:stretch>
                  </pic:blipFill>
                  <pic:spPr>
                    <a:xfrm>
                      <a:off x="0" y="0"/>
                      <a:ext cx="6789420" cy="4634230"/>
                    </a:xfrm>
                    <a:prstGeom prst="rect">
                      <a:avLst/>
                    </a:prstGeom>
                  </pic:spPr>
                </pic:pic>
              </a:graphicData>
            </a:graphic>
          </wp:inline>
        </w:drawing>
      </w:r>
    </w:p>
    <w:p w14:paraId="06A093A1" w14:textId="5F06F99B" w:rsidR="003F5C2D" w:rsidRDefault="003F5C2D" w:rsidP="003F5C2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30A087B4" w14:textId="77777777" w:rsidR="002B40E5" w:rsidRDefault="002B40E5" w:rsidP="003F5C2D">
      <w:pPr>
        <w:spacing w:after="0" w:line="240" w:lineRule="auto"/>
        <w:jc w:val="both"/>
        <w:rPr>
          <w:rFonts w:ascii="Times New Roman" w:hAnsi="Times New Roman" w:cs="Times New Roman"/>
          <w:b/>
          <w:bCs/>
          <w:sz w:val="28"/>
          <w:szCs w:val="28"/>
        </w:rPr>
      </w:pPr>
    </w:p>
    <w:p w14:paraId="5948EB19" w14:textId="38CD669D" w:rsidR="002B40E5" w:rsidRPr="002B40E5" w:rsidRDefault="002B40E5" w:rsidP="002B40E5">
      <w:pPr>
        <w:spacing w:after="0" w:line="240" w:lineRule="auto"/>
        <w:jc w:val="both"/>
        <w:rPr>
          <w:rFonts w:ascii="Times New Roman" w:hAnsi="Times New Roman" w:cs="Times New Roman"/>
          <w:sz w:val="24"/>
          <w:szCs w:val="24"/>
        </w:rPr>
      </w:pPr>
      <w:r w:rsidRPr="002B40E5">
        <w:rPr>
          <w:rFonts w:ascii="Times New Roman" w:hAnsi="Times New Roman" w:cs="Times New Roman"/>
          <w:sz w:val="24"/>
          <w:szCs w:val="24"/>
        </w:rPr>
        <w:t xml:space="preserve">This study employed a quantitative, cross-sectional research design to examine the effect of mobile learning quality on user satisfaction among Malaysian research students. Data were collected through a structured online questionnaire distributed to research students enrolled in Malaysian higher education institutions. A total of 249 valid responses were obtained and used for data analysis. The questionnaire consisted of two sections. The first section gathered respondents' demographic information, while the second measured the study constructs: system quality, information quality, service quality, and user satisfaction. All measurement items were adapted from established studies to ensure content validity and relevance to the mobile learning context. Responses were measured using a seven-point Likert scale ranging from 1 (Strongly Disagree) to </w:t>
      </w:r>
      <w:r w:rsidR="006404AD">
        <w:rPr>
          <w:rFonts w:ascii="Times New Roman" w:hAnsi="Times New Roman" w:cs="Times New Roman"/>
          <w:sz w:val="24"/>
          <w:szCs w:val="24"/>
        </w:rPr>
        <w:t>5</w:t>
      </w:r>
      <w:r w:rsidRPr="002B40E5">
        <w:rPr>
          <w:rFonts w:ascii="Times New Roman" w:hAnsi="Times New Roman" w:cs="Times New Roman"/>
          <w:sz w:val="24"/>
          <w:szCs w:val="24"/>
        </w:rPr>
        <w:t xml:space="preserve"> (Strongly Agree).</w:t>
      </w:r>
    </w:p>
    <w:p w14:paraId="3C11D139" w14:textId="77777777" w:rsidR="000C3347" w:rsidRDefault="000C3347" w:rsidP="002B40E5">
      <w:pPr>
        <w:spacing w:after="0" w:line="240" w:lineRule="auto"/>
        <w:jc w:val="both"/>
        <w:rPr>
          <w:rFonts w:ascii="Times New Roman" w:hAnsi="Times New Roman" w:cs="Times New Roman"/>
          <w:sz w:val="24"/>
          <w:szCs w:val="24"/>
        </w:rPr>
      </w:pPr>
    </w:p>
    <w:p w14:paraId="5D70069B" w14:textId="5DF2862A" w:rsidR="002B40E5" w:rsidRPr="002B40E5" w:rsidRDefault="002B40E5" w:rsidP="002B40E5">
      <w:pPr>
        <w:spacing w:after="0" w:line="240" w:lineRule="auto"/>
        <w:jc w:val="both"/>
        <w:rPr>
          <w:rFonts w:ascii="Times New Roman" w:hAnsi="Times New Roman" w:cs="Times New Roman"/>
          <w:sz w:val="24"/>
          <w:szCs w:val="24"/>
        </w:rPr>
      </w:pPr>
      <w:r w:rsidRPr="002B40E5">
        <w:rPr>
          <w:rFonts w:ascii="Times New Roman" w:hAnsi="Times New Roman" w:cs="Times New Roman"/>
          <w:sz w:val="24"/>
          <w:szCs w:val="24"/>
        </w:rPr>
        <w:t>The collected data were analysed using the Statistical Package for the Social Sciences (SPSS). Descriptive statistics were employed to summarise the respondents' demographic characteristics, while Cronbach's alpha was used to assess the internal consistency of the measurement scales. Pearson correlation analysis was conducted to examine the relationships among the study variables, followed by multiple regression analysis to determine the effects of system quality, information quality, and service quality on user satisfaction. The measurement constructs</w:t>
      </w:r>
      <w:r w:rsidR="00FA5765">
        <w:rPr>
          <w:rFonts w:ascii="Times New Roman" w:hAnsi="Times New Roman" w:cs="Times New Roman"/>
          <w:sz w:val="24"/>
          <w:szCs w:val="24"/>
        </w:rPr>
        <w:t xml:space="preserve"> adapted from</w:t>
      </w:r>
      <w:r w:rsidR="005062CD">
        <w:rPr>
          <w:rFonts w:ascii="Times New Roman" w:hAnsi="Times New Roman" w:cs="Times New Roman"/>
          <w:sz w:val="24"/>
          <w:szCs w:val="24"/>
        </w:rPr>
        <w:t xml:space="preserve"> </w:t>
      </w:r>
      <w:r w:rsidR="005062CD" w:rsidRPr="005062CD">
        <w:rPr>
          <w:rFonts w:ascii="Times New Roman" w:hAnsi="Times New Roman" w:cs="Times New Roman"/>
          <w:sz w:val="24"/>
          <w:szCs w:val="24"/>
        </w:rPr>
        <w:t>DeLone &amp; McLean (2003); Almaiah &amp; Alismaiel (2019</w:t>
      </w:r>
      <w:r w:rsidR="005062CD">
        <w:rPr>
          <w:rFonts w:ascii="Times New Roman" w:hAnsi="Times New Roman" w:cs="Times New Roman"/>
          <w:sz w:val="24"/>
          <w:szCs w:val="24"/>
        </w:rPr>
        <w:t xml:space="preserve">) and </w:t>
      </w:r>
      <w:r w:rsidR="005062CD" w:rsidRPr="005062CD">
        <w:rPr>
          <w:rFonts w:ascii="Times New Roman" w:hAnsi="Times New Roman" w:cs="Times New Roman"/>
          <w:sz w:val="24"/>
          <w:szCs w:val="24"/>
        </w:rPr>
        <w:t>Al-Fraihat et al. (2020)</w:t>
      </w:r>
      <w:r w:rsidRPr="002B40E5">
        <w:rPr>
          <w:rFonts w:ascii="Times New Roman" w:hAnsi="Times New Roman" w:cs="Times New Roman"/>
          <w:sz w:val="24"/>
          <w:szCs w:val="24"/>
        </w:rPr>
        <w:t>.</w:t>
      </w:r>
    </w:p>
    <w:p w14:paraId="4A4FA93B" w14:textId="77777777" w:rsidR="002B40E5" w:rsidRDefault="002B40E5" w:rsidP="003F5C2D">
      <w:pPr>
        <w:spacing w:after="0" w:line="240" w:lineRule="auto"/>
        <w:jc w:val="both"/>
        <w:rPr>
          <w:rFonts w:ascii="Times New Roman" w:hAnsi="Times New Roman" w:cs="Times New Roman"/>
          <w:b/>
          <w:bCs/>
          <w:sz w:val="28"/>
          <w:szCs w:val="28"/>
        </w:rPr>
      </w:pPr>
    </w:p>
    <w:p w14:paraId="4F00D1F9" w14:textId="77777777" w:rsidR="00135057" w:rsidRDefault="00135057" w:rsidP="003F5C2D">
      <w:pPr>
        <w:spacing w:after="0" w:line="240" w:lineRule="auto"/>
        <w:jc w:val="both"/>
        <w:rPr>
          <w:rFonts w:ascii="Times New Roman" w:hAnsi="Times New Roman" w:cs="Times New Roman"/>
          <w:b/>
          <w:bCs/>
          <w:sz w:val="28"/>
          <w:szCs w:val="28"/>
        </w:rPr>
      </w:pPr>
    </w:p>
    <w:p w14:paraId="02AEEB8F" w14:textId="77777777" w:rsidR="00135057" w:rsidRDefault="00135057" w:rsidP="003F5C2D">
      <w:pPr>
        <w:spacing w:after="0" w:line="240" w:lineRule="auto"/>
        <w:jc w:val="both"/>
        <w:rPr>
          <w:rFonts w:ascii="Times New Roman" w:hAnsi="Times New Roman" w:cs="Times New Roman"/>
          <w:b/>
          <w:bCs/>
          <w:sz w:val="28"/>
          <w:szCs w:val="28"/>
        </w:rPr>
      </w:pPr>
    </w:p>
    <w:p w14:paraId="1847C96B" w14:textId="77777777" w:rsidR="00135057" w:rsidRDefault="00135057" w:rsidP="003F5C2D">
      <w:pPr>
        <w:spacing w:after="0" w:line="240" w:lineRule="auto"/>
        <w:jc w:val="both"/>
        <w:rPr>
          <w:rFonts w:ascii="Times New Roman" w:hAnsi="Times New Roman" w:cs="Times New Roman"/>
          <w:b/>
          <w:bCs/>
          <w:sz w:val="28"/>
          <w:szCs w:val="28"/>
        </w:rPr>
      </w:pPr>
    </w:p>
    <w:p w14:paraId="39D49D39" w14:textId="77777777" w:rsidR="00CF4FE6" w:rsidRDefault="00CF4FE6" w:rsidP="003F5C2D">
      <w:pPr>
        <w:spacing w:after="0" w:line="240" w:lineRule="auto"/>
        <w:jc w:val="both"/>
        <w:rPr>
          <w:rFonts w:ascii="Times New Roman" w:hAnsi="Times New Roman" w:cs="Times New Roman"/>
          <w:b/>
          <w:bCs/>
          <w:sz w:val="28"/>
          <w:szCs w:val="28"/>
        </w:rPr>
      </w:pPr>
    </w:p>
    <w:p w14:paraId="1F2A8178" w14:textId="77777777" w:rsidR="00CF4FE6" w:rsidRDefault="00CF4FE6" w:rsidP="003F5C2D">
      <w:pPr>
        <w:spacing w:after="0" w:line="240" w:lineRule="auto"/>
        <w:jc w:val="both"/>
        <w:rPr>
          <w:rFonts w:ascii="Times New Roman" w:hAnsi="Times New Roman" w:cs="Times New Roman"/>
          <w:b/>
          <w:bCs/>
          <w:sz w:val="28"/>
          <w:szCs w:val="28"/>
        </w:rPr>
      </w:pPr>
    </w:p>
    <w:p w14:paraId="5F6AFAD3" w14:textId="2CA05D5D" w:rsidR="003F5C2D" w:rsidRDefault="003F5C2D" w:rsidP="003F5C2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RESULTS</w:t>
      </w:r>
    </w:p>
    <w:p w14:paraId="318449D9" w14:textId="77777777" w:rsidR="00A85594" w:rsidRDefault="00A85594" w:rsidP="003F5C2D">
      <w:pPr>
        <w:spacing w:after="0" w:line="240" w:lineRule="auto"/>
        <w:jc w:val="both"/>
        <w:rPr>
          <w:rFonts w:ascii="Times New Roman" w:hAnsi="Times New Roman" w:cs="Times New Roman"/>
          <w:b/>
          <w:bCs/>
          <w:sz w:val="24"/>
          <w:szCs w:val="24"/>
        </w:rPr>
      </w:pPr>
    </w:p>
    <w:p w14:paraId="17743E66" w14:textId="4A5B742A" w:rsidR="00A85594" w:rsidRPr="00A85594" w:rsidRDefault="00A85594" w:rsidP="003F5C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Respondent Profile</w:t>
      </w:r>
    </w:p>
    <w:p w14:paraId="2370A5E3" w14:textId="45B1DD5E" w:rsidR="00A85594" w:rsidRPr="00A85594" w:rsidRDefault="00A85594" w:rsidP="00A85594">
      <w:pPr>
        <w:spacing w:before="240" w:after="240" w:line="240" w:lineRule="auto"/>
        <w:jc w:val="both"/>
        <w:rPr>
          <w:rFonts w:ascii="Times New Roman" w:hAnsi="Times New Roman" w:cs="Times New Roman"/>
          <w:sz w:val="24"/>
          <w:szCs w:val="24"/>
        </w:rPr>
      </w:pPr>
      <w:r w:rsidRPr="00A85594">
        <w:rPr>
          <w:rFonts w:ascii="Times New Roman" w:hAnsi="Times New Roman" w:cs="Times New Roman"/>
          <w:sz w:val="24"/>
          <w:szCs w:val="24"/>
        </w:rPr>
        <w:t xml:space="preserve">The demographic profile of the respondents is presented in Table </w:t>
      </w:r>
      <w:r w:rsidRPr="00A85594">
        <w:rPr>
          <w:rFonts w:ascii="Times New Roman" w:hAnsi="Times New Roman" w:cs="Times New Roman"/>
          <w:sz w:val="24"/>
          <w:szCs w:val="24"/>
        </w:rPr>
        <w:t>1</w:t>
      </w:r>
      <w:r w:rsidRPr="00A85594">
        <w:rPr>
          <w:rFonts w:ascii="Times New Roman" w:hAnsi="Times New Roman" w:cs="Times New Roman"/>
          <w:sz w:val="24"/>
          <w:szCs w:val="24"/>
        </w:rPr>
        <w:t xml:space="preserve">. Of the 249 research students who participated in the study, 184 (73.9%) were female, while 65 (26.1%) were male, indicating that female respondents constituted </w:t>
      </w:r>
      <w:r w:rsidRPr="00A85594">
        <w:rPr>
          <w:rFonts w:ascii="Times New Roman" w:hAnsi="Times New Roman" w:cs="Times New Roman"/>
          <w:sz w:val="24"/>
          <w:szCs w:val="24"/>
        </w:rPr>
        <w:t>most of</w:t>
      </w:r>
      <w:r w:rsidRPr="00A85594">
        <w:rPr>
          <w:rFonts w:ascii="Times New Roman" w:hAnsi="Times New Roman" w:cs="Times New Roman"/>
          <w:sz w:val="24"/>
          <w:szCs w:val="24"/>
        </w:rPr>
        <w:t xml:space="preserve"> the sample. In terms of age, most respondents were between 21 and 25 years old (64.3%), followed by those aged 26–30 years (13.7%). Respondents aged 41 years and above accounted for 10.0%, whereas those in the 31–35 years and 36–40 years age groups each represented 6.0% of the sample.</w:t>
      </w:r>
    </w:p>
    <w:p w14:paraId="3398C14B" w14:textId="53863D2F" w:rsidR="00A85594" w:rsidRPr="00A85594" w:rsidRDefault="00A85594" w:rsidP="00A85594">
      <w:pPr>
        <w:spacing w:before="240" w:after="240" w:line="240" w:lineRule="auto"/>
        <w:jc w:val="both"/>
        <w:rPr>
          <w:rFonts w:ascii="Times New Roman" w:hAnsi="Times New Roman" w:cs="Times New Roman"/>
          <w:sz w:val="24"/>
          <w:szCs w:val="24"/>
        </w:rPr>
      </w:pPr>
      <w:r w:rsidRPr="00A85594">
        <w:rPr>
          <w:rFonts w:ascii="Times New Roman" w:hAnsi="Times New Roman" w:cs="Times New Roman"/>
          <w:sz w:val="24"/>
          <w:szCs w:val="24"/>
        </w:rPr>
        <w:t>Regarding the frequency of AI tools usage, 47.4% of the respondents reported using AI tools daily, while 31.7% used them weekly. In addition, 17.3% indicated that they used AI tools occasionally, and only 3.6% reported rare usage.</w:t>
      </w:r>
      <w:r w:rsidRPr="00A85594">
        <w:rPr>
          <w:rFonts w:ascii="Times New Roman" w:hAnsi="Times New Roman" w:cs="Times New Roman"/>
          <w:sz w:val="24"/>
          <w:szCs w:val="24"/>
        </w:rPr>
        <w:t xml:space="preserve"> </w:t>
      </w:r>
      <w:r w:rsidRPr="00A85594">
        <w:rPr>
          <w:rFonts w:ascii="Times New Roman" w:hAnsi="Times New Roman" w:cs="Times New Roman"/>
          <w:sz w:val="24"/>
          <w:szCs w:val="24"/>
        </w:rPr>
        <w:t>These findings indicate that the respondents were active users of AI-supported mobile learning technologies, supporting the suitability of the sample for investigating the relationship between mobile learning quality and user satisfaction</w:t>
      </w:r>
      <w:r>
        <w:rPr>
          <w:rFonts w:ascii="Times New Roman" w:hAnsi="Times New Roman" w:cs="Times New Roman"/>
          <w:sz w:val="24"/>
          <w:szCs w:val="24"/>
        </w:rPr>
        <w:t>.</w:t>
      </w:r>
    </w:p>
    <w:p w14:paraId="1D7CA900" w14:textId="77777777" w:rsidR="00A85594" w:rsidRPr="00A85594" w:rsidRDefault="00A85594" w:rsidP="003F5C2D">
      <w:pPr>
        <w:spacing w:after="0" w:line="240" w:lineRule="auto"/>
        <w:jc w:val="both"/>
        <w:rPr>
          <w:rFonts w:ascii="Times New Roman" w:hAnsi="Times New Roman" w:cs="Times New Roman"/>
          <w:sz w:val="24"/>
          <w:szCs w:val="24"/>
        </w:rPr>
      </w:pPr>
    </w:p>
    <w:p w14:paraId="46C34E13" w14:textId="345326D7" w:rsidR="00E959F3" w:rsidRPr="00875A18" w:rsidRDefault="00E959F3" w:rsidP="00E959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135057">
        <w:rPr>
          <w:rFonts w:ascii="Times New Roman" w:hAnsi="Times New Roman" w:cs="Times New Roman"/>
          <w:b/>
          <w:bCs/>
          <w:sz w:val="24"/>
          <w:szCs w:val="24"/>
        </w:rPr>
        <w:t>Demographic Profile of Respondents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2562"/>
        <w:gridCol w:w="2068"/>
        <w:gridCol w:w="2247"/>
      </w:tblGrid>
      <w:tr w:rsidR="0019711C" w:rsidRPr="0019711C" w14:paraId="6573E104" w14:textId="77777777" w:rsidTr="00CA6AA9">
        <w:tc>
          <w:tcPr>
            <w:tcW w:w="1784" w:type="pct"/>
            <w:tcBorders>
              <w:top w:val="single" w:sz="4" w:space="0" w:color="auto"/>
              <w:bottom w:val="single" w:sz="4" w:space="0" w:color="auto"/>
            </w:tcBorders>
            <w:hideMark/>
          </w:tcPr>
          <w:p w14:paraId="468DA45F" w14:textId="77777777" w:rsidR="0019711C" w:rsidRPr="0019711C" w:rsidRDefault="0019711C" w:rsidP="0019711C">
            <w:pPr>
              <w:jc w:val="center"/>
              <w:rPr>
                <w:rFonts w:ascii="Times New Roman" w:hAnsi="Times New Roman" w:cs="Times New Roman"/>
                <w:b/>
                <w:bCs/>
                <w:sz w:val="24"/>
                <w:szCs w:val="24"/>
              </w:rPr>
            </w:pPr>
            <w:r w:rsidRPr="0019711C">
              <w:rPr>
                <w:rFonts w:ascii="Times New Roman" w:hAnsi="Times New Roman" w:cs="Times New Roman"/>
                <w:b/>
                <w:bCs/>
                <w:sz w:val="24"/>
                <w:szCs w:val="24"/>
              </w:rPr>
              <w:t>Characteristic</w:t>
            </w:r>
          </w:p>
        </w:tc>
        <w:tc>
          <w:tcPr>
            <w:tcW w:w="1198" w:type="pct"/>
            <w:tcBorders>
              <w:top w:val="single" w:sz="4" w:space="0" w:color="auto"/>
              <w:bottom w:val="single" w:sz="4" w:space="0" w:color="auto"/>
            </w:tcBorders>
            <w:hideMark/>
          </w:tcPr>
          <w:p w14:paraId="42E7B6CA" w14:textId="77777777" w:rsidR="0019711C" w:rsidRPr="0019711C" w:rsidRDefault="0019711C" w:rsidP="0019711C">
            <w:pPr>
              <w:jc w:val="center"/>
              <w:rPr>
                <w:rFonts w:ascii="Times New Roman" w:hAnsi="Times New Roman" w:cs="Times New Roman"/>
                <w:b/>
                <w:bCs/>
                <w:sz w:val="24"/>
                <w:szCs w:val="24"/>
              </w:rPr>
            </w:pPr>
            <w:r w:rsidRPr="0019711C">
              <w:rPr>
                <w:rFonts w:ascii="Times New Roman" w:hAnsi="Times New Roman" w:cs="Times New Roman"/>
                <w:b/>
                <w:bCs/>
                <w:sz w:val="24"/>
                <w:szCs w:val="24"/>
              </w:rPr>
              <w:t>Category</w:t>
            </w:r>
          </w:p>
        </w:tc>
        <w:tc>
          <w:tcPr>
            <w:tcW w:w="967" w:type="pct"/>
            <w:tcBorders>
              <w:top w:val="single" w:sz="4" w:space="0" w:color="auto"/>
              <w:bottom w:val="single" w:sz="4" w:space="0" w:color="auto"/>
            </w:tcBorders>
            <w:hideMark/>
          </w:tcPr>
          <w:p w14:paraId="4E5C3AE6" w14:textId="77777777" w:rsidR="0019711C" w:rsidRPr="0019711C" w:rsidRDefault="0019711C" w:rsidP="0019711C">
            <w:pPr>
              <w:jc w:val="center"/>
              <w:rPr>
                <w:rFonts w:ascii="Times New Roman" w:hAnsi="Times New Roman" w:cs="Times New Roman"/>
                <w:b/>
                <w:bCs/>
                <w:sz w:val="24"/>
                <w:szCs w:val="24"/>
              </w:rPr>
            </w:pPr>
            <w:r w:rsidRPr="0019711C">
              <w:rPr>
                <w:rFonts w:ascii="Times New Roman" w:hAnsi="Times New Roman" w:cs="Times New Roman"/>
                <w:b/>
                <w:bCs/>
                <w:sz w:val="24"/>
                <w:szCs w:val="24"/>
              </w:rPr>
              <w:t>Frequency (n)</w:t>
            </w:r>
          </w:p>
        </w:tc>
        <w:tc>
          <w:tcPr>
            <w:tcW w:w="1051" w:type="pct"/>
            <w:tcBorders>
              <w:top w:val="single" w:sz="4" w:space="0" w:color="auto"/>
              <w:bottom w:val="single" w:sz="4" w:space="0" w:color="auto"/>
            </w:tcBorders>
            <w:hideMark/>
          </w:tcPr>
          <w:p w14:paraId="434C6963" w14:textId="77777777" w:rsidR="0019711C" w:rsidRPr="0019711C" w:rsidRDefault="0019711C" w:rsidP="0019711C">
            <w:pPr>
              <w:jc w:val="center"/>
              <w:rPr>
                <w:rFonts w:ascii="Times New Roman" w:hAnsi="Times New Roman" w:cs="Times New Roman"/>
                <w:b/>
                <w:bCs/>
                <w:sz w:val="24"/>
                <w:szCs w:val="24"/>
              </w:rPr>
            </w:pPr>
            <w:r w:rsidRPr="0019711C">
              <w:rPr>
                <w:rFonts w:ascii="Times New Roman" w:hAnsi="Times New Roman" w:cs="Times New Roman"/>
                <w:b/>
                <w:bCs/>
                <w:sz w:val="24"/>
                <w:szCs w:val="24"/>
              </w:rPr>
              <w:t>Percentage (%)</w:t>
            </w:r>
          </w:p>
        </w:tc>
      </w:tr>
      <w:tr w:rsidR="0019711C" w:rsidRPr="0019711C" w14:paraId="64FFD99D" w14:textId="77777777" w:rsidTr="00CA6AA9">
        <w:tc>
          <w:tcPr>
            <w:tcW w:w="1784" w:type="pct"/>
            <w:tcBorders>
              <w:top w:val="single" w:sz="4" w:space="0" w:color="auto"/>
            </w:tcBorders>
            <w:hideMark/>
          </w:tcPr>
          <w:p w14:paraId="298C3F6E"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Gender</w:t>
            </w:r>
          </w:p>
        </w:tc>
        <w:tc>
          <w:tcPr>
            <w:tcW w:w="1198" w:type="pct"/>
            <w:tcBorders>
              <w:top w:val="single" w:sz="4" w:space="0" w:color="auto"/>
            </w:tcBorders>
            <w:hideMark/>
          </w:tcPr>
          <w:p w14:paraId="046A24CC"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Male</w:t>
            </w:r>
          </w:p>
        </w:tc>
        <w:tc>
          <w:tcPr>
            <w:tcW w:w="967" w:type="pct"/>
            <w:tcBorders>
              <w:top w:val="single" w:sz="4" w:space="0" w:color="auto"/>
            </w:tcBorders>
            <w:hideMark/>
          </w:tcPr>
          <w:p w14:paraId="771264AC"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65</w:t>
            </w:r>
          </w:p>
        </w:tc>
        <w:tc>
          <w:tcPr>
            <w:tcW w:w="1051" w:type="pct"/>
            <w:tcBorders>
              <w:top w:val="single" w:sz="4" w:space="0" w:color="auto"/>
            </w:tcBorders>
            <w:hideMark/>
          </w:tcPr>
          <w:p w14:paraId="17AD0E07"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26.1</w:t>
            </w:r>
          </w:p>
        </w:tc>
      </w:tr>
      <w:tr w:rsidR="0019711C" w:rsidRPr="0019711C" w14:paraId="0EF34F39" w14:textId="77777777" w:rsidTr="00CA6AA9">
        <w:tc>
          <w:tcPr>
            <w:tcW w:w="1784" w:type="pct"/>
            <w:tcBorders>
              <w:bottom w:val="single" w:sz="4" w:space="0" w:color="auto"/>
            </w:tcBorders>
            <w:hideMark/>
          </w:tcPr>
          <w:p w14:paraId="464C4948" w14:textId="77777777" w:rsidR="0019711C" w:rsidRPr="0019711C" w:rsidRDefault="0019711C" w:rsidP="0019711C">
            <w:pPr>
              <w:jc w:val="both"/>
              <w:rPr>
                <w:rFonts w:ascii="Times New Roman" w:hAnsi="Times New Roman" w:cs="Times New Roman"/>
                <w:sz w:val="24"/>
                <w:szCs w:val="24"/>
              </w:rPr>
            </w:pPr>
          </w:p>
        </w:tc>
        <w:tc>
          <w:tcPr>
            <w:tcW w:w="1198" w:type="pct"/>
            <w:tcBorders>
              <w:bottom w:val="single" w:sz="4" w:space="0" w:color="auto"/>
            </w:tcBorders>
            <w:hideMark/>
          </w:tcPr>
          <w:p w14:paraId="77A4228C"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Female</w:t>
            </w:r>
          </w:p>
        </w:tc>
        <w:tc>
          <w:tcPr>
            <w:tcW w:w="967" w:type="pct"/>
            <w:tcBorders>
              <w:bottom w:val="single" w:sz="4" w:space="0" w:color="auto"/>
            </w:tcBorders>
            <w:hideMark/>
          </w:tcPr>
          <w:p w14:paraId="6ECE5B6E"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184</w:t>
            </w:r>
          </w:p>
        </w:tc>
        <w:tc>
          <w:tcPr>
            <w:tcW w:w="1051" w:type="pct"/>
            <w:tcBorders>
              <w:bottom w:val="single" w:sz="4" w:space="0" w:color="auto"/>
            </w:tcBorders>
            <w:hideMark/>
          </w:tcPr>
          <w:p w14:paraId="7D966D7D"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73.9</w:t>
            </w:r>
          </w:p>
        </w:tc>
      </w:tr>
      <w:tr w:rsidR="0019711C" w:rsidRPr="0019711C" w14:paraId="70589C74" w14:textId="77777777" w:rsidTr="00CA6AA9">
        <w:tc>
          <w:tcPr>
            <w:tcW w:w="1784" w:type="pct"/>
            <w:tcBorders>
              <w:top w:val="single" w:sz="4" w:space="0" w:color="auto"/>
              <w:bottom w:val="nil"/>
            </w:tcBorders>
            <w:hideMark/>
          </w:tcPr>
          <w:p w14:paraId="2732E618"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Age Group</w:t>
            </w:r>
          </w:p>
        </w:tc>
        <w:tc>
          <w:tcPr>
            <w:tcW w:w="1198" w:type="pct"/>
            <w:tcBorders>
              <w:top w:val="single" w:sz="4" w:space="0" w:color="auto"/>
              <w:bottom w:val="nil"/>
            </w:tcBorders>
            <w:hideMark/>
          </w:tcPr>
          <w:p w14:paraId="66B1FCE2"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21–25 years</w:t>
            </w:r>
          </w:p>
        </w:tc>
        <w:tc>
          <w:tcPr>
            <w:tcW w:w="967" w:type="pct"/>
            <w:tcBorders>
              <w:top w:val="single" w:sz="4" w:space="0" w:color="auto"/>
              <w:bottom w:val="nil"/>
            </w:tcBorders>
            <w:hideMark/>
          </w:tcPr>
          <w:p w14:paraId="553F65F5"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160</w:t>
            </w:r>
          </w:p>
        </w:tc>
        <w:tc>
          <w:tcPr>
            <w:tcW w:w="1051" w:type="pct"/>
            <w:tcBorders>
              <w:top w:val="single" w:sz="4" w:space="0" w:color="auto"/>
              <w:bottom w:val="nil"/>
            </w:tcBorders>
            <w:hideMark/>
          </w:tcPr>
          <w:p w14:paraId="7C374B81"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64.3</w:t>
            </w:r>
          </w:p>
        </w:tc>
      </w:tr>
      <w:tr w:rsidR="0019711C" w:rsidRPr="0019711C" w14:paraId="1757B1A8" w14:textId="77777777" w:rsidTr="00CA6AA9">
        <w:tc>
          <w:tcPr>
            <w:tcW w:w="1784" w:type="pct"/>
            <w:tcBorders>
              <w:top w:val="nil"/>
            </w:tcBorders>
            <w:hideMark/>
          </w:tcPr>
          <w:p w14:paraId="12771371" w14:textId="77777777" w:rsidR="0019711C" w:rsidRPr="0019711C" w:rsidRDefault="0019711C" w:rsidP="0019711C">
            <w:pPr>
              <w:jc w:val="both"/>
              <w:rPr>
                <w:rFonts w:ascii="Times New Roman" w:hAnsi="Times New Roman" w:cs="Times New Roman"/>
                <w:sz w:val="24"/>
                <w:szCs w:val="24"/>
              </w:rPr>
            </w:pPr>
          </w:p>
        </w:tc>
        <w:tc>
          <w:tcPr>
            <w:tcW w:w="1198" w:type="pct"/>
            <w:tcBorders>
              <w:top w:val="nil"/>
            </w:tcBorders>
            <w:hideMark/>
          </w:tcPr>
          <w:p w14:paraId="7D318EEB"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26–30 years</w:t>
            </w:r>
          </w:p>
        </w:tc>
        <w:tc>
          <w:tcPr>
            <w:tcW w:w="967" w:type="pct"/>
            <w:tcBorders>
              <w:top w:val="nil"/>
            </w:tcBorders>
            <w:hideMark/>
          </w:tcPr>
          <w:p w14:paraId="7144C867"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34</w:t>
            </w:r>
          </w:p>
        </w:tc>
        <w:tc>
          <w:tcPr>
            <w:tcW w:w="1051" w:type="pct"/>
            <w:tcBorders>
              <w:top w:val="nil"/>
            </w:tcBorders>
            <w:hideMark/>
          </w:tcPr>
          <w:p w14:paraId="76C8FB25"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13.7</w:t>
            </w:r>
          </w:p>
        </w:tc>
      </w:tr>
      <w:tr w:rsidR="0019711C" w:rsidRPr="0019711C" w14:paraId="3E7C665B" w14:textId="77777777" w:rsidTr="00CA6AA9">
        <w:tc>
          <w:tcPr>
            <w:tcW w:w="1784" w:type="pct"/>
            <w:hideMark/>
          </w:tcPr>
          <w:p w14:paraId="1A472D36" w14:textId="77777777" w:rsidR="0019711C" w:rsidRPr="0019711C" w:rsidRDefault="0019711C" w:rsidP="0019711C">
            <w:pPr>
              <w:jc w:val="both"/>
              <w:rPr>
                <w:rFonts w:ascii="Times New Roman" w:hAnsi="Times New Roman" w:cs="Times New Roman"/>
                <w:sz w:val="24"/>
                <w:szCs w:val="24"/>
              </w:rPr>
            </w:pPr>
          </w:p>
        </w:tc>
        <w:tc>
          <w:tcPr>
            <w:tcW w:w="1198" w:type="pct"/>
            <w:hideMark/>
          </w:tcPr>
          <w:p w14:paraId="379E266B"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31–35 years</w:t>
            </w:r>
          </w:p>
        </w:tc>
        <w:tc>
          <w:tcPr>
            <w:tcW w:w="967" w:type="pct"/>
            <w:hideMark/>
          </w:tcPr>
          <w:p w14:paraId="49349A62"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15</w:t>
            </w:r>
          </w:p>
        </w:tc>
        <w:tc>
          <w:tcPr>
            <w:tcW w:w="1051" w:type="pct"/>
            <w:hideMark/>
          </w:tcPr>
          <w:p w14:paraId="02136E55"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6.0</w:t>
            </w:r>
          </w:p>
        </w:tc>
      </w:tr>
      <w:tr w:rsidR="0019711C" w:rsidRPr="0019711C" w14:paraId="330FB980" w14:textId="77777777" w:rsidTr="00CA6AA9">
        <w:tc>
          <w:tcPr>
            <w:tcW w:w="1784" w:type="pct"/>
            <w:hideMark/>
          </w:tcPr>
          <w:p w14:paraId="456F82BC" w14:textId="77777777" w:rsidR="0019711C" w:rsidRPr="0019711C" w:rsidRDefault="0019711C" w:rsidP="0019711C">
            <w:pPr>
              <w:jc w:val="both"/>
              <w:rPr>
                <w:rFonts w:ascii="Times New Roman" w:hAnsi="Times New Roman" w:cs="Times New Roman"/>
                <w:sz w:val="24"/>
                <w:szCs w:val="24"/>
              </w:rPr>
            </w:pPr>
          </w:p>
        </w:tc>
        <w:tc>
          <w:tcPr>
            <w:tcW w:w="1198" w:type="pct"/>
            <w:hideMark/>
          </w:tcPr>
          <w:p w14:paraId="61F73053"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36–40 years</w:t>
            </w:r>
          </w:p>
        </w:tc>
        <w:tc>
          <w:tcPr>
            <w:tcW w:w="967" w:type="pct"/>
            <w:hideMark/>
          </w:tcPr>
          <w:p w14:paraId="6305CBAC"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15</w:t>
            </w:r>
          </w:p>
        </w:tc>
        <w:tc>
          <w:tcPr>
            <w:tcW w:w="1051" w:type="pct"/>
            <w:hideMark/>
          </w:tcPr>
          <w:p w14:paraId="7063786C"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6.0</w:t>
            </w:r>
          </w:p>
        </w:tc>
      </w:tr>
      <w:tr w:rsidR="0019711C" w:rsidRPr="0019711C" w14:paraId="23E4F256" w14:textId="77777777" w:rsidTr="00CA6AA9">
        <w:tc>
          <w:tcPr>
            <w:tcW w:w="1784" w:type="pct"/>
            <w:tcBorders>
              <w:bottom w:val="single" w:sz="4" w:space="0" w:color="auto"/>
            </w:tcBorders>
            <w:hideMark/>
          </w:tcPr>
          <w:p w14:paraId="7D4C3D7C" w14:textId="77777777" w:rsidR="0019711C" w:rsidRPr="0019711C" w:rsidRDefault="0019711C" w:rsidP="0019711C">
            <w:pPr>
              <w:jc w:val="both"/>
              <w:rPr>
                <w:rFonts w:ascii="Times New Roman" w:hAnsi="Times New Roman" w:cs="Times New Roman"/>
                <w:sz w:val="24"/>
                <w:szCs w:val="24"/>
              </w:rPr>
            </w:pPr>
          </w:p>
        </w:tc>
        <w:tc>
          <w:tcPr>
            <w:tcW w:w="1198" w:type="pct"/>
            <w:tcBorders>
              <w:bottom w:val="single" w:sz="4" w:space="0" w:color="auto"/>
            </w:tcBorders>
            <w:hideMark/>
          </w:tcPr>
          <w:p w14:paraId="70DFC404"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41 years and above</w:t>
            </w:r>
          </w:p>
        </w:tc>
        <w:tc>
          <w:tcPr>
            <w:tcW w:w="967" w:type="pct"/>
            <w:tcBorders>
              <w:bottom w:val="single" w:sz="4" w:space="0" w:color="auto"/>
            </w:tcBorders>
            <w:hideMark/>
          </w:tcPr>
          <w:p w14:paraId="536FC4F7"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25</w:t>
            </w:r>
          </w:p>
        </w:tc>
        <w:tc>
          <w:tcPr>
            <w:tcW w:w="1051" w:type="pct"/>
            <w:tcBorders>
              <w:bottom w:val="single" w:sz="4" w:space="0" w:color="auto"/>
            </w:tcBorders>
            <w:hideMark/>
          </w:tcPr>
          <w:p w14:paraId="01E406C9"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10.0</w:t>
            </w:r>
          </w:p>
        </w:tc>
      </w:tr>
      <w:tr w:rsidR="0019711C" w:rsidRPr="0019711C" w14:paraId="5B117782" w14:textId="77777777" w:rsidTr="00CA6AA9">
        <w:tc>
          <w:tcPr>
            <w:tcW w:w="1784" w:type="pct"/>
            <w:tcBorders>
              <w:top w:val="single" w:sz="4" w:space="0" w:color="auto"/>
              <w:bottom w:val="nil"/>
            </w:tcBorders>
            <w:hideMark/>
          </w:tcPr>
          <w:p w14:paraId="21319241"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Frequency of AI Tools Usage</w:t>
            </w:r>
          </w:p>
        </w:tc>
        <w:tc>
          <w:tcPr>
            <w:tcW w:w="1198" w:type="pct"/>
            <w:tcBorders>
              <w:top w:val="single" w:sz="4" w:space="0" w:color="auto"/>
              <w:bottom w:val="nil"/>
            </w:tcBorders>
            <w:hideMark/>
          </w:tcPr>
          <w:p w14:paraId="05C49D43"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Daily</w:t>
            </w:r>
          </w:p>
        </w:tc>
        <w:tc>
          <w:tcPr>
            <w:tcW w:w="967" w:type="pct"/>
            <w:tcBorders>
              <w:top w:val="single" w:sz="4" w:space="0" w:color="auto"/>
              <w:bottom w:val="nil"/>
            </w:tcBorders>
            <w:hideMark/>
          </w:tcPr>
          <w:p w14:paraId="62D1B80E"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118</w:t>
            </w:r>
          </w:p>
        </w:tc>
        <w:tc>
          <w:tcPr>
            <w:tcW w:w="1051" w:type="pct"/>
            <w:tcBorders>
              <w:top w:val="single" w:sz="4" w:space="0" w:color="auto"/>
              <w:bottom w:val="nil"/>
            </w:tcBorders>
            <w:hideMark/>
          </w:tcPr>
          <w:p w14:paraId="228ECB14"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47.4</w:t>
            </w:r>
          </w:p>
        </w:tc>
      </w:tr>
      <w:tr w:rsidR="0019711C" w:rsidRPr="0019711C" w14:paraId="4FF2C992" w14:textId="77777777" w:rsidTr="00CA6AA9">
        <w:tc>
          <w:tcPr>
            <w:tcW w:w="1784" w:type="pct"/>
            <w:tcBorders>
              <w:top w:val="nil"/>
            </w:tcBorders>
            <w:hideMark/>
          </w:tcPr>
          <w:p w14:paraId="4822ADBD" w14:textId="77777777" w:rsidR="0019711C" w:rsidRPr="0019711C" w:rsidRDefault="0019711C" w:rsidP="0019711C">
            <w:pPr>
              <w:jc w:val="both"/>
              <w:rPr>
                <w:rFonts w:ascii="Times New Roman" w:hAnsi="Times New Roman" w:cs="Times New Roman"/>
                <w:sz w:val="24"/>
                <w:szCs w:val="24"/>
              </w:rPr>
            </w:pPr>
          </w:p>
        </w:tc>
        <w:tc>
          <w:tcPr>
            <w:tcW w:w="1198" w:type="pct"/>
            <w:tcBorders>
              <w:top w:val="nil"/>
            </w:tcBorders>
            <w:hideMark/>
          </w:tcPr>
          <w:p w14:paraId="756FFAA2"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Weekly</w:t>
            </w:r>
          </w:p>
        </w:tc>
        <w:tc>
          <w:tcPr>
            <w:tcW w:w="967" w:type="pct"/>
            <w:tcBorders>
              <w:top w:val="nil"/>
            </w:tcBorders>
            <w:hideMark/>
          </w:tcPr>
          <w:p w14:paraId="63EF03EC"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79</w:t>
            </w:r>
          </w:p>
        </w:tc>
        <w:tc>
          <w:tcPr>
            <w:tcW w:w="1051" w:type="pct"/>
            <w:tcBorders>
              <w:top w:val="nil"/>
            </w:tcBorders>
            <w:hideMark/>
          </w:tcPr>
          <w:p w14:paraId="6376644D"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31.7</w:t>
            </w:r>
          </w:p>
        </w:tc>
      </w:tr>
      <w:tr w:rsidR="0019711C" w:rsidRPr="0019711C" w14:paraId="6618D164" w14:textId="77777777" w:rsidTr="00CA6AA9">
        <w:tc>
          <w:tcPr>
            <w:tcW w:w="1784" w:type="pct"/>
            <w:hideMark/>
          </w:tcPr>
          <w:p w14:paraId="302BB996" w14:textId="77777777" w:rsidR="0019711C" w:rsidRPr="0019711C" w:rsidRDefault="0019711C" w:rsidP="0019711C">
            <w:pPr>
              <w:jc w:val="both"/>
              <w:rPr>
                <w:rFonts w:ascii="Times New Roman" w:hAnsi="Times New Roman" w:cs="Times New Roman"/>
                <w:sz w:val="24"/>
                <w:szCs w:val="24"/>
              </w:rPr>
            </w:pPr>
          </w:p>
        </w:tc>
        <w:tc>
          <w:tcPr>
            <w:tcW w:w="1198" w:type="pct"/>
            <w:hideMark/>
          </w:tcPr>
          <w:p w14:paraId="187B7747"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Occasionally</w:t>
            </w:r>
          </w:p>
        </w:tc>
        <w:tc>
          <w:tcPr>
            <w:tcW w:w="967" w:type="pct"/>
            <w:hideMark/>
          </w:tcPr>
          <w:p w14:paraId="539B92B8"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43</w:t>
            </w:r>
          </w:p>
        </w:tc>
        <w:tc>
          <w:tcPr>
            <w:tcW w:w="1051" w:type="pct"/>
            <w:hideMark/>
          </w:tcPr>
          <w:p w14:paraId="125871F7"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17.3</w:t>
            </w:r>
          </w:p>
        </w:tc>
      </w:tr>
      <w:tr w:rsidR="0019711C" w:rsidRPr="0019711C" w14:paraId="29B4859B" w14:textId="77777777" w:rsidTr="00CA6AA9">
        <w:tc>
          <w:tcPr>
            <w:tcW w:w="1784" w:type="pct"/>
            <w:hideMark/>
          </w:tcPr>
          <w:p w14:paraId="6125E02A" w14:textId="77777777" w:rsidR="0019711C" w:rsidRPr="0019711C" w:rsidRDefault="0019711C" w:rsidP="0019711C">
            <w:pPr>
              <w:jc w:val="both"/>
              <w:rPr>
                <w:rFonts w:ascii="Times New Roman" w:hAnsi="Times New Roman" w:cs="Times New Roman"/>
                <w:sz w:val="24"/>
                <w:szCs w:val="24"/>
              </w:rPr>
            </w:pPr>
          </w:p>
        </w:tc>
        <w:tc>
          <w:tcPr>
            <w:tcW w:w="1198" w:type="pct"/>
            <w:hideMark/>
          </w:tcPr>
          <w:p w14:paraId="0515883F" w14:textId="77777777" w:rsidR="0019711C" w:rsidRPr="0019711C" w:rsidRDefault="0019711C" w:rsidP="0019711C">
            <w:pPr>
              <w:jc w:val="both"/>
              <w:rPr>
                <w:rFonts w:ascii="Times New Roman" w:hAnsi="Times New Roman" w:cs="Times New Roman"/>
                <w:sz w:val="24"/>
                <w:szCs w:val="24"/>
              </w:rPr>
            </w:pPr>
            <w:r w:rsidRPr="0019711C">
              <w:rPr>
                <w:rFonts w:ascii="Times New Roman" w:hAnsi="Times New Roman" w:cs="Times New Roman"/>
                <w:sz w:val="24"/>
                <w:szCs w:val="24"/>
              </w:rPr>
              <w:t>Rarely</w:t>
            </w:r>
          </w:p>
        </w:tc>
        <w:tc>
          <w:tcPr>
            <w:tcW w:w="967" w:type="pct"/>
            <w:hideMark/>
          </w:tcPr>
          <w:p w14:paraId="26189C53"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9</w:t>
            </w:r>
          </w:p>
        </w:tc>
        <w:tc>
          <w:tcPr>
            <w:tcW w:w="1051" w:type="pct"/>
            <w:hideMark/>
          </w:tcPr>
          <w:p w14:paraId="1931E1EA" w14:textId="77777777" w:rsidR="0019711C" w:rsidRPr="0019711C" w:rsidRDefault="0019711C" w:rsidP="00765574">
            <w:pPr>
              <w:jc w:val="center"/>
              <w:rPr>
                <w:rFonts w:ascii="Times New Roman" w:hAnsi="Times New Roman" w:cs="Times New Roman"/>
                <w:sz w:val="24"/>
                <w:szCs w:val="24"/>
              </w:rPr>
            </w:pPr>
            <w:r w:rsidRPr="0019711C">
              <w:rPr>
                <w:rFonts w:ascii="Times New Roman" w:hAnsi="Times New Roman" w:cs="Times New Roman"/>
                <w:sz w:val="24"/>
                <w:szCs w:val="24"/>
              </w:rPr>
              <w:t>3.6</w:t>
            </w:r>
          </w:p>
        </w:tc>
      </w:tr>
    </w:tbl>
    <w:p w14:paraId="7FCA264C" w14:textId="77777777" w:rsidR="00FF0176" w:rsidRDefault="00FF0176" w:rsidP="003F5C2D">
      <w:pPr>
        <w:spacing w:after="0" w:line="240" w:lineRule="auto"/>
        <w:jc w:val="both"/>
        <w:rPr>
          <w:rFonts w:ascii="Times New Roman" w:hAnsi="Times New Roman" w:cs="Times New Roman"/>
          <w:b/>
          <w:bCs/>
          <w:sz w:val="24"/>
          <w:szCs w:val="24"/>
        </w:rPr>
      </w:pPr>
    </w:p>
    <w:p w14:paraId="3524259A" w14:textId="5689CEAA" w:rsidR="00E959F3" w:rsidRDefault="00FF0176" w:rsidP="003F5C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Reliability Analysis</w:t>
      </w:r>
    </w:p>
    <w:p w14:paraId="2002965D" w14:textId="77777777" w:rsidR="0071738B" w:rsidRDefault="0071738B" w:rsidP="003F5C2D">
      <w:pPr>
        <w:spacing w:after="0" w:line="240" w:lineRule="auto"/>
        <w:jc w:val="both"/>
        <w:rPr>
          <w:rFonts w:ascii="Times New Roman" w:hAnsi="Times New Roman" w:cs="Times New Roman"/>
          <w:sz w:val="24"/>
          <w:szCs w:val="24"/>
        </w:rPr>
      </w:pPr>
    </w:p>
    <w:p w14:paraId="52E35083" w14:textId="267351F1" w:rsidR="0071738B" w:rsidRPr="0071738B" w:rsidRDefault="0071738B" w:rsidP="003F5C2D">
      <w:pPr>
        <w:spacing w:after="0" w:line="240" w:lineRule="auto"/>
        <w:jc w:val="both"/>
        <w:rPr>
          <w:rFonts w:ascii="Times New Roman" w:hAnsi="Times New Roman" w:cs="Times New Roman"/>
          <w:sz w:val="24"/>
          <w:szCs w:val="24"/>
        </w:rPr>
      </w:pPr>
      <w:r w:rsidRPr="0071738B">
        <w:rPr>
          <w:rFonts w:ascii="Times New Roman" w:hAnsi="Times New Roman" w:cs="Times New Roman"/>
          <w:sz w:val="24"/>
          <w:szCs w:val="24"/>
        </w:rPr>
        <w:t xml:space="preserve">The internal consistency of the measurement scales was assessed using Cronbach's alpha, and the results are presented in Table </w:t>
      </w:r>
      <w:r>
        <w:rPr>
          <w:rFonts w:ascii="Times New Roman" w:hAnsi="Times New Roman" w:cs="Times New Roman"/>
          <w:sz w:val="24"/>
          <w:szCs w:val="24"/>
        </w:rPr>
        <w:t>2</w:t>
      </w:r>
      <w:r w:rsidR="007E546F">
        <w:rPr>
          <w:rFonts w:ascii="Times New Roman" w:hAnsi="Times New Roman" w:cs="Times New Roman"/>
          <w:sz w:val="24"/>
          <w:szCs w:val="24"/>
        </w:rPr>
        <w:t xml:space="preserve"> below</w:t>
      </w:r>
      <w:r w:rsidRPr="0071738B">
        <w:rPr>
          <w:rFonts w:ascii="Times New Roman" w:hAnsi="Times New Roman" w:cs="Times New Roman"/>
          <w:sz w:val="24"/>
          <w:szCs w:val="24"/>
        </w:rPr>
        <w:t>. The Cronbach's alpha coefficients ranged from 0.829 to 0.949, indicating good to excellent internal consistency for all constructs. Specifically, System Quality recorded a Cronbach's alpha of 0.829, Information Quality achieved 0.893, Service Quality obtained 0.861, while User Satisfaction demonstrated the highest reliability with a coefficient of 0.949. According to Hair et al. (2019), Cronbach's alpha values exceeding 0.70 indicate acceptable reliability, whereas values above 0.80 reflect good internal consistency. Therefore, all measurement constructs were considered reliable and suitable for subsequent statistical analyses.</w:t>
      </w:r>
    </w:p>
    <w:p w14:paraId="5209A19C" w14:textId="77777777" w:rsidR="00FF0176" w:rsidRDefault="00FF0176" w:rsidP="003F5C2D">
      <w:pPr>
        <w:spacing w:after="0" w:line="240" w:lineRule="auto"/>
        <w:jc w:val="both"/>
        <w:rPr>
          <w:rFonts w:ascii="Times New Roman" w:hAnsi="Times New Roman" w:cs="Times New Roman"/>
          <w:b/>
          <w:bCs/>
          <w:sz w:val="24"/>
          <w:szCs w:val="24"/>
        </w:rPr>
      </w:pPr>
    </w:p>
    <w:p w14:paraId="14A62F96" w14:textId="0714B7F4" w:rsidR="0071738B" w:rsidRDefault="0071738B" w:rsidP="0071738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t>2</w:t>
      </w:r>
      <w:r>
        <w:rPr>
          <w:rFonts w:ascii="Times New Roman" w:hAnsi="Times New Roman" w:cs="Times New Roman"/>
          <w:b/>
          <w:bCs/>
          <w:sz w:val="24"/>
          <w:szCs w:val="24"/>
        </w:rPr>
        <w:t>. Re</w:t>
      </w:r>
      <w:r>
        <w:rPr>
          <w:rFonts w:ascii="Times New Roman" w:hAnsi="Times New Roman" w:cs="Times New Roman"/>
          <w:b/>
          <w:bCs/>
          <w:sz w:val="24"/>
          <w:szCs w:val="24"/>
        </w:rPr>
        <w:t xml:space="preserve">liability </w:t>
      </w:r>
      <w:r w:rsidR="00267E26">
        <w:rPr>
          <w:rFonts w:ascii="Times New Roman" w:hAnsi="Times New Roman" w:cs="Times New Roman"/>
          <w:b/>
          <w:bCs/>
          <w:sz w:val="24"/>
          <w:szCs w:val="24"/>
        </w:rPr>
        <w:t>Assessment of Measurement Construct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2664"/>
        <w:gridCol w:w="2836"/>
        <w:gridCol w:w="2284"/>
      </w:tblGrid>
      <w:tr w:rsidR="007E546F" w:rsidRPr="007E546F" w14:paraId="31C4ADE7" w14:textId="77777777" w:rsidTr="00CA6AA9">
        <w:tc>
          <w:tcPr>
            <w:tcW w:w="1360" w:type="pct"/>
            <w:tcBorders>
              <w:top w:val="single" w:sz="4" w:space="0" w:color="auto"/>
              <w:bottom w:val="single" w:sz="4" w:space="0" w:color="auto"/>
            </w:tcBorders>
            <w:hideMark/>
          </w:tcPr>
          <w:p w14:paraId="1C1321A2" w14:textId="77777777" w:rsidR="007E546F" w:rsidRPr="007E546F" w:rsidRDefault="007E546F" w:rsidP="007E546F">
            <w:pPr>
              <w:jc w:val="center"/>
              <w:rPr>
                <w:rFonts w:ascii="Times New Roman" w:hAnsi="Times New Roman" w:cs="Times New Roman"/>
                <w:b/>
                <w:bCs/>
                <w:sz w:val="24"/>
                <w:szCs w:val="24"/>
              </w:rPr>
            </w:pPr>
            <w:r w:rsidRPr="007E546F">
              <w:rPr>
                <w:rFonts w:ascii="Times New Roman" w:hAnsi="Times New Roman" w:cs="Times New Roman"/>
                <w:b/>
                <w:bCs/>
                <w:sz w:val="24"/>
                <w:szCs w:val="24"/>
              </w:rPr>
              <w:t>Construct</w:t>
            </w:r>
          </w:p>
        </w:tc>
        <w:tc>
          <w:tcPr>
            <w:tcW w:w="1246" w:type="pct"/>
            <w:tcBorders>
              <w:top w:val="single" w:sz="4" w:space="0" w:color="auto"/>
              <w:bottom w:val="single" w:sz="4" w:space="0" w:color="auto"/>
            </w:tcBorders>
            <w:hideMark/>
          </w:tcPr>
          <w:p w14:paraId="24FE1407" w14:textId="77777777" w:rsidR="007E546F" w:rsidRPr="007E546F" w:rsidRDefault="007E546F" w:rsidP="007E546F">
            <w:pPr>
              <w:jc w:val="center"/>
              <w:rPr>
                <w:rFonts w:ascii="Times New Roman" w:hAnsi="Times New Roman" w:cs="Times New Roman"/>
                <w:b/>
                <w:bCs/>
                <w:sz w:val="24"/>
                <w:szCs w:val="24"/>
              </w:rPr>
            </w:pPr>
            <w:r w:rsidRPr="007E546F">
              <w:rPr>
                <w:rFonts w:ascii="Times New Roman" w:hAnsi="Times New Roman" w:cs="Times New Roman"/>
                <w:b/>
                <w:bCs/>
                <w:sz w:val="24"/>
                <w:szCs w:val="24"/>
              </w:rPr>
              <w:t>Number of Items</w:t>
            </w:r>
          </w:p>
        </w:tc>
        <w:tc>
          <w:tcPr>
            <w:tcW w:w="1326" w:type="pct"/>
            <w:tcBorders>
              <w:top w:val="single" w:sz="4" w:space="0" w:color="auto"/>
              <w:bottom w:val="single" w:sz="4" w:space="0" w:color="auto"/>
            </w:tcBorders>
            <w:hideMark/>
          </w:tcPr>
          <w:p w14:paraId="425311A8" w14:textId="77777777" w:rsidR="007E546F" w:rsidRPr="007E546F" w:rsidRDefault="007E546F" w:rsidP="007E546F">
            <w:pPr>
              <w:jc w:val="center"/>
              <w:rPr>
                <w:rFonts w:ascii="Times New Roman" w:hAnsi="Times New Roman" w:cs="Times New Roman"/>
                <w:b/>
                <w:bCs/>
                <w:sz w:val="24"/>
                <w:szCs w:val="24"/>
              </w:rPr>
            </w:pPr>
            <w:r w:rsidRPr="007E546F">
              <w:rPr>
                <w:rFonts w:ascii="Times New Roman" w:hAnsi="Times New Roman" w:cs="Times New Roman"/>
                <w:b/>
                <w:bCs/>
                <w:sz w:val="24"/>
                <w:szCs w:val="24"/>
              </w:rPr>
              <w:t>Cronbach's Alpha</w:t>
            </w:r>
          </w:p>
        </w:tc>
        <w:tc>
          <w:tcPr>
            <w:tcW w:w="1068" w:type="pct"/>
            <w:tcBorders>
              <w:top w:val="single" w:sz="4" w:space="0" w:color="auto"/>
              <w:bottom w:val="single" w:sz="4" w:space="0" w:color="auto"/>
            </w:tcBorders>
            <w:hideMark/>
          </w:tcPr>
          <w:p w14:paraId="07D92DF4" w14:textId="77777777" w:rsidR="007E546F" w:rsidRPr="007E546F" w:rsidRDefault="007E546F" w:rsidP="007E546F">
            <w:pPr>
              <w:jc w:val="center"/>
              <w:rPr>
                <w:rFonts w:ascii="Times New Roman" w:hAnsi="Times New Roman" w:cs="Times New Roman"/>
                <w:b/>
                <w:bCs/>
                <w:sz w:val="24"/>
                <w:szCs w:val="24"/>
              </w:rPr>
            </w:pPr>
            <w:r w:rsidRPr="007E546F">
              <w:rPr>
                <w:rFonts w:ascii="Times New Roman" w:hAnsi="Times New Roman" w:cs="Times New Roman"/>
                <w:b/>
                <w:bCs/>
                <w:sz w:val="24"/>
                <w:szCs w:val="24"/>
              </w:rPr>
              <w:t>Interpretation</w:t>
            </w:r>
          </w:p>
        </w:tc>
      </w:tr>
      <w:tr w:rsidR="007E546F" w:rsidRPr="007E546F" w14:paraId="15A1FCD3" w14:textId="77777777" w:rsidTr="00CA6AA9">
        <w:tc>
          <w:tcPr>
            <w:tcW w:w="1360" w:type="pct"/>
            <w:tcBorders>
              <w:top w:val="single" w:sz="4" w:space="0" w:color="auto"/>
            </w:tcBorders>
            <w:hideMark/>
          </w:tcPr>
          <w:p w14:paraId="61503C99" w14:textId="77777777" w:rsidR="007E546F" w:rsidRPr="007E546F" w:rsidRDefault="007E546F" w:rsidP="007E546F">
            <w:pPr>
              <w:jc w:val="both"/>
              <w:rPr>
                <w:rFonts w:ascii="Times New Roman" w:hAnsi="Times New Roman" w:cs="Times New Roman"/>
                <w:sz w:val="24"/>
                <w:szCs w:val="24"/>
              </w:rPr>
            </w:pPr>
            <w:r w:rsidRPr="007E546F">
              <w:rPr>
                <w:rFonts w:ascii="Times New Roman" w:hAnsi="Times New Roman" w:cs="Times New Roman"/>
                <w:sz w:val="24"/>
                <w:szCs w:val="24"/>
              </w:rPr>
              <w:t>System Quality</w:t>
            </w:r>
          </w:p>
        </w:tc>
        <w:tc>
          <w:tcPr>
            <w:tcW w:w="1246" w:type="pct"/>
            <w:tcBorders>
              <w:top w:val="single" w:sz="4" w:space="0" w:color="auto"/>
            </w:tcBorders>
            <w:hideMark/>
          </w:tcPr>
          <w:p w14:paraId="5E31B6EF"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9</w:t>
            </w:r>
          </w:p>
        </w:tc>
        <w:tc>
          <w:tcPr>
            <w:tcW w:w="1326" w:type="pct"/>
            <w:tcBorders>
              <w:top w:val="single" w:sz="4" w:space="0" w:color="auto"/>
            </w:tcBorders>
            <w:hideMark/>
          </w:tcPr>
          <w:p w14:paraId="3443EA9B"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0.829</w:t>
            </w:r>
          </w:p>
        </w:tc>
        <w:tc>
          <w:tcPr>
            <w:tcW w:w="1068" w:type="pct"/>
            <w:tcBorders>
              <w:top w:val="single" w:sz="4" w:space="0" w:color="auto"/>
            </w:tcBorders>
            <w:hideMark/>
          </w:tcPr>
          <w:p w14:paraId="2C8C18D9"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Good</w:t>
            </w:r>
          </w:p>
        </w:tc>
      </w:tr>
      <w:tr w:rsidR="007E546F" w:rsidRPr="007E546F" w14:paraId="739B8FD0" w14:textId="77777777" w:rsidTr="00CA6AA9">
        <w:tc>
          <w:tcPr>
            <w:tcW w:w="1360" w:type="pct"/>
            <w:hideMark/>
          </w:tcPr>
          <w:p w14:paraId="026CE2C7" w14:textId="77777777" w:rsidR="007E546F" w:rsidRPr="007E546F" w:rsidRDefault="007E546F" w:rsidP="007E546F">
            <w:pPr>
              <w:jc w:val="both"/>
              <w:rPr>
                <w:rFonts w:ascii="Times New Roman" w:hAnsi="Times New Roman" w:cs="Times New Roman"/>
                <w:sz w:val="24"/>
                <w:szCs w:val="24"/>
              </w:rPr>
            </w:pPr>
            <w:r w:rsidRPr="007E546F">
              <w:rPr>
                <w:rFonts w:ascii="Times New Roman" w:hAnsi="Times New Roman" w:cs="Times New Roman"/>
                <w:sz w:val="24"/>
                <w:szCs w:val="24"/>
              </w:rPr>
              <w:t>Information Quality</w:t>
            </w:r>
          </w:p>
        </w:tc>
        <w:tc>
          <w:tcPr>
            <w:tcW w:w="1246" w:type="pct"/>
            <w:hideMark/>
          </w:tcPr>
          <w:p w14:paraId="2644A1A5"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8</w:t>
            </w:r>
          </w:p>
        </w:tc>
        <w:tc>
          <w:tcPr>
            <w:tcW w:w="1326" w:type="pct"/>
            <w:hideMark/>
          </w:tcPr>
          <w:p w14:paraId="31F9F702"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0.893</w:t>
            </w:r>
          </w:p>
        </w:tc>
        <w:tc>
          <w:tcPr>
            <w:tcW w:w="1068" w:type="pct"/>
            <w:hideMark/>
          </w:tcPr>
          <w:p w14:paraId="5D85DDD1"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Good</w:t>
            </w:r>
          </w:p>
        </w:tc>
      </w:tr>
      <w:tr w:rsidR="007E546F" w:rsidRPr="007E546F" w14:paraId="4ABFA7E3" w14:textId="77777777" w:rsidTr="00CA6AA9">
        <w:tc>
          <w:tcPr>
            <w:tcW w:w="1360" w:type="pct"/>
            <w:hideMark/>
          </w:tcPr>
          <w:p w14:paraId="31E90631" w14:textId="77777777" w:rsidR="007E546F" w:rsidRPr="007E546F" w:rsidRDefault="007E546F" w:rsidP="007E546F">
            <w:pPr>
              <w:jc w:val="both"/>
              <w:rPr>
                <w:rFonts w:ascii="Times New Roman" w:hAnsi="Times New Roman" w:cs="Times New Roman"/>
                <w:sz w:val="24"/>
                <w:szCs w:val="24"/>
              </w:rPr>
            </w:pPr>
            <w:r w:rsidRPr="007E546F">
              <w:rPr>
                <w:rFonts w:ascii="Times New Roman" w:hAnsi="Times New Roman" w:cs="Times New Roman"/>
                <w:sz w:val="24"/>
                <w:szCs w:val="24"/>
              </w:rPr>
              <w:t>Service Quality</w:t>
            </w:r>
          </w:p>
        </w:tc>
        <w:tc>
          <w:tcPr>
            <w:tcW w:w="1246" w:type="pct"/>
            <w:hideMark/>
          </w:tcPr>
          <w:p w14:paraId="539F415E"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6</w:t>
            </w:r>
          </w:p>
        </w:tc>
        <w:tc>
          <w:tcPr>
            <w:tcW w:w="1326" w:type="pct"/>
            <w:hideMark/>
          </w:tcPr>
          <w:p w14:paraId="1F9B9C80"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0.861</w:t>
            </w:r>
          </w:p>
        </w:tc>
        <w:tc>
          <w:tcPr>
            <w:tcW w:w="1068" w:type="pct"/>
            <w:hideMark/>
          </w:tcPr>
          <w:p w14:paraId="2FCF9CD0"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Good</w:t>
            </w:r>
          </w:p>
        </w:tc>
      </w:tr>
      <w:tr w:rsidR="007E546F" w:rsidRPr="007E546F" w14:paraId="2761A43E" w14:textId="77777777" w:rsidTr="00CA6AA9">
        <w:tc>
          <w:tcPr>
            <w:tcW w:w="1360" w:type="pct"/>
            <w:tcBorders>
              <w:bottom w:val="single" w:sz="4" w:space="0" w:color="auto"/>
            </w:tcBorders>
            <w:hideMark/>
          </w:tcPr>
          <w:p w14:paraId="35987E84" w14:textId="77777777" w:rsidR="007E546F" w:rsidRPr="007E546F" w:rsidRDefault="007E546F" w:rsidP="007E546F">
            <w:pPr>
              <w:jc w:val="both"/>
              <w:rPr>
                <w:rFonts w:ascii="Times New Roman" w:hAnsi="Times New Roman" w:cs="Times New Roman"/>
                <w:sz w:val="24"/>
                <w:szCs w:val="24"/>
              </w:rPr>
            </w:pPr>
            <w:r w:rsidRPr="007E546F">
              <w:rPr>
                <w:rFonts w:ascii="Times New Roman" w:hAnsi="Times New Roman" w:cs="Times New Roman"/>
                <w:sz w:val="24"/>
                <w:szCs w:val="24"/>
              </w:rPr>
              <w:t>User Satisfaction</w:t>
            </w:r>
          </w:p>
        </w:tc>
        <w:tc>
          <w:tcPr>
            <w:tcW w:w="1246" w:type="pct"/>
            <w:tcBorders>
              <w:bottom w:val="single" w:sz="4" w:space="0" w:color="auto"/>
            </w:tcBorders>
            <w:hideMark/>
          </w:tcPr>
          <w:p w14:paraId="363A59A2"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7</w:t>
            </w:r>
          </w:p>
        </w:tc>
        <w:tc>
          <w:tcPr>
            <w:tcW w:w="1326" w:type="pct"/>
            <w:tcBorders>
              <w:bottom w:val="single" w:sz="4" w:space="0" w:color="auto"/>
            </w:tcBorders>
            <w:hideMark/>
          </w:tcPr>
          <w:p w14:paraId="778D60DC"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0.949</w:t>
            </w:r>
          </w:p>
        </w:tc>
        <w:tc>
          <w:tcPr>
            <w:tcW w:w="1068" w:type="pct"/>
            <w:tcBorders>
              <w:bottom w:val="single" w:sz="4" w:space="0" w:color="auto"/>
            </w:tcBorders>
            <w:hideMark/>
          </w:tcPr>
          <w:p w14:paraId="05C9BCEE" w14:textId="77777777" w:rsidR="007E546F" w:rsidRPr="007E546F" w:rsidRDefault="007E546F" w:rsidP="007E546F">
            <w:pPr>
              <w:jc w:val="center"/>
              <w:rPr>
                <w:rFonts w:ascii="Times New Roman" w:hAnsi="Times New Roman" w:cs="Times New Roman"/>
                <w:sz w:val="24"/>
                <w:szCs w:val="24"/>
              </w:rPr>
            </w:pPr>
            <w:r w:rsidRPr="007E546F">
              <w:rPr>
                <w:rFonts w:ascii="Times New Roman" w:hAnsi="Times New Roman" w:cs="Times New Roman"/>
                <w:sz w:val="24"/>
                <w:szCs w:val="24"/>
              </w:rPr>
              <w:t>Excellent</w:t>
            </w:r>
          </w:p>
        </w:tc>
      </w:tr>
    </w:tbl>
    <w:p w14:paraId="0EE92ED6" w14:textId="77777777" w:rsidR="007E546F" w:rsidRPr="00875A18" w:rsidRDefault="007E546F" w:rsidP="0071738B">
      <w:pPr>
        <w:spacing w:after="0" w:line="240" w:lineRule="auto"/>
        <w:jc w:val="both"/>
        <w:rPr>
          <w:rFonts w:ascii="Times New Roman" w:hAnsi="Times New Roman" w:cs="Times New Roman"/>
          <w:b/>
          <w:bCs/>
          <w:sz w:val="24"/>
          <w:szCs w:val="24"/>
        </w:rPr>
      </w:pPr>
    </w:p>
    <w:p w14:paraId="5239F62E" w14:textId="7B1FDB4E" w:rsidR="0071738B" w:rsidRDefault="008757C8" w:rsidP="003F5C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Correlation Analysis</w:t>
      </w:r>
    </w:p>
    <w:p w14:paraId="7862C59A" w14:textId="77777777" w:rsidR="00C16E35" w:rsidRDefault="00C16E35" w:rsidP="00C16E35">
      <w:pPr>
        <w:spacing w:after="0" w:line="240" w:lineRule="auto"/>
        <w:jc w:val="both"/>
        <w:rPr>
          <w:rFonts w:ascii="Times New Roman" w:hAnsi="Times New Roman" w:cs="Times New Roman"/>
          <w:sz w:val="24"/>
          <w:szCs w:val="24"/>
        </w:rPr>
      </w:pPr>
    </w:p>
    <w:p w14:paraId="49AAB853" w14:textId="1EE83DCF" w:rsidR="00C16E35" w:rsidRPr="00C16E35" w:rsidRDefault="00C16E35" w:rsidP="00C16E35">
      <w:pPr>
        <w:spacing w:after="0" w:line="240" w:lineRule="auto"/>
        <w:jc w:val="both"/>
        <w:rPr>
          <w:rFonts w:ascii="Times New Roman" w:hAnsi="Times New Roman" w:cs="Times New Roman"/>
          <w:sz w:val="24"/>
          <w:szCs w:val="24"/>
        </w:rPr>
      </w:pPr>
      <w:r w:rsidRPr="00C16E35">
        <w:rPr>
          <w:rFonts w:ascii="Times New Roman" w:hAnsi="Times New Roman" w:cs="Times New Roman"/>
          <w:sz w:val="24"/>
          <w:szCs w:val="24"/>
        </w:rPr>
        <w:t xml:space="preserve">Table </w:t>
      </w:r>
      <w:r w:rsidR="00D93BB0">
        <w:rPr>
          <w:rFonts w:ascii="Times New Roman" w:hAnsi="Times New Roman" w:cs="Times New Roman"/>
          <w:sz w:val="24"/>
          <w:szCs w:val="24"/>
        </w:rPr>
        <w:t>3</w:t>
      </w:r>
      <w:r w:rsidRPr="00C16E35">
        <w:rPr>
          <w:rFonts w:ascii="Times New Roman" w:hAnsi="Times New Roman" w:cs="Times New Roman"/>
          <w:sz w:val="24"/>
          <w:szCs w:val="24"/>
        </w:rPr>
        <w:t xml:space="preserve"> presents the descriptive statistics and Pearson correlation coefficients for the study variables. The mean scores ranged from 3.865 to 4.122, indicating that respondents generally reported favourable perceptions of </w:t>
      </w:r>
      <w:r w:rsidRPr="00C16E35">
        <w:rPr>
          <w:rFonts w:ascii="Times New Roman" w:hAnsi="Times New Roman" w:cs="Times New Roman"/>
          <w:sz w:val="24"/>
          <w:szCs w:val="24"/>
        </w:rPr>
        <w:lastRenderedPageBreak/>
        <w:t>mobile learning quality and user satisfaction. Among the four constructs, User Satisfaction recorded the highest mean score (M = 4.122, SD = 0.705), while Information Quality had the lowest mean (M = 3.865, SD = 0.629).</w:t>
      </w:r>
    </w:p>
    <w:p w14:paraId="356E1D59" w14:textId="77777777" w:rsidR="00C16E35" w:rsidRDefault="00C16E35" w:rsidP="00C16E35">
      <w:pPr>
        <w:spacing w:before="240" w:after="240" w:line="240" w:lineRule="auto"/>
        <w:jc w:val="both"/>
        <w:rPr>
          <w:rFonts w:ascii="Times New Roman" w:hAnsi="Times New Roman" w:cs="Times New Roman"/>
          <w:sz w:val="24"/>
          <w:szCs w:val="24"/>
        </w:rPr>
      </w:pPr>
      <w:r w:rsidRPr="00C16E35">
        <w:rPr>
          <w:rFonts w:ascii="Times New Roman" w:hAnsi="Times New Roman" w:cs="Times New Roman"/>
          <w:sz w:val="24"/>
          <w:szCs w:val="24"/>
        </w:rPr>
        <w:t>The Pearson correlation analysis revealed that all three dimensions of mobile learning quality were positively and significantly correlated with user satisfaction (p &lt; 0.001). Information Quality exhibited the strongest relationship with user satisfaction (r = 0.754), followed by Service Quality (r = 0.712) and System Quality (r = 0.664). These findings indicate that higher perceptions of system quality, information quality, and service quality are associated with higher levels of user satisfaction among Malaysian research students. The significant positive correlations provide preliminary support for the proposed hypotheses and justify the use of multiple regression analysis to further examine these relationships.</w:t>
      </w:r>
    </w:p>
    <w:p w14:paraId="2BABFE20" w14:textId="416D53A3" w:rsidR="00D93BB0" w:rsidRDefault="00D93BB0" w:rsidP="00D93BB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t>3</w:t>
      </w:r>
      <w:r>
        <w:rPr>
          <w:rFonts w:ascii="Times New Roman" w:hAnsi="Times New Roman" w:cs="Times New Roman"/>
          <w:b/>
          <w:bCs/>
          <w:sz w:val="24"/>
          <w:szCs w:val="24"/>
        </w:rPr>
        <w:t xml:space="preserve">. </w:t>
      </w:r>
      <w:r w:rsidR="00785E8B">
        <w:rPr>
          <w:rFonts w:ascii="Times New Roman" w:hAnsi="Times New Roman" w:cs="Times New Roman"/>
          <w:b/>
          <w:bCs/>
          <w:sz w:val="24"/>
          <w:szCs w:val="24"/>
        </w:rPr>
        <w:t xml:space="preserve">Descriptive </w:t>
      </w:r>
      <w:r w:rsidR="00420441">
        <w:rPr>
          <w:rFonts w:ascii="Times New Roman" w:hAnsi="Times New Roman" w:cs="Times New Roman"/>
          <w:b/>
          <w:bCs/>
          <w:sz w:val="24"/>
          <w:szCs w:val="24"/>
        </w:rPr>
        <w:t>Statistics</w:t>
      </w:r>
      <w:r w:rsidR="00785E8B">
        <w:rPr>
          <w:rFonts w:ascii="Times New Roman" w:hAnsi="Times New Roman" w:cs="Times New Roman"/>
          <w:b/>
          <w:bCs/>
          <w:sz w:val="24"/>
          <w:szCs w:val="24"/>
        </w:rPr>
        <w:t xml:space="preserve"> and Pearson Correlation Matrix</w:t>
      </w:r>
    </w:p>
    <w:p w14:paraId="00A371DD" w14:textId="77777777" w:rsidR="00420441" w:rsidRDefault="00420441" w:rsidP="00D93BB0">
      <w:pPr>
        <w:spacing w:after="0" w:line="240" w:lineRule="auto"/>
        <w:jc w:val="both"/>
        <w:rPr>
          <w:rFonts w:ascii="Times New Roman" w:hAnsi="Times New Roman" w:cs="Times New Roman"/>
          <w:b/>
          <w:bCs/>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1170"/>
        <w:gridCol w:w="1080"/>
        <w:gridCol w:w="1307"/>
        <w:gridCol w:w="1307"/>
        <w:gridCol w:w="1307"/>
        <w:gridCol w:w="336"/>
      </w:tblGrid>
      <w:tr w:rsidR="00D93BB0" w:rsidRPr="00D93BB0" w14:paraId="480F1C44" w14:textId="77777777" w:rsidTr="00420441">
        <w:tc>
          <w:tcPr>
            <w:tcW w:w="1880" w:type="pct"/>
            <w:tcBorders>
              <w:top w:val="single" w:sz="4" w:space="0" w:color="auto"/>
              <w:bottom w:val="single" w:sz="4" w:space="0" w:color="auto"/>
            </w:tcBorders>
            <w:hideMark/>
          </w:tcPr>
          <w:p w14:paraId="1511723E" w14:textId="77777777" w:rsidR="00D93BB0" w:rsidRPr="00D93BB0" w:rsidRDefault="00D93BB0" w:rsidP="00D93BB0">
            <w:pPr>
              <w:jc w:val="both"/>
              <w:rPr>
                <w:rFonts w:ascii="Times New Roman" w:hAnsi="Times New Roman" w:cs="Times New Roman"/>
                <w:b/>
                <w:bCs/>
                <w:sz w:val="24"/>
                <w:szCs w:val="24"/>
              </w:rPr>
            </w:pPr>
            <w:r w:rsidRPr="00D93BB0">
              <w:rPr>
                <w:rFonts w:ascii="Times New Roman" w:hAnsi="Times New Roman" w:cs="Times New Roman"/>
                <w:b/>
                <w:bCs/>
                <w:sz w:val="24"/>
                <w:szCs w:val="24"/>
              </w:rPr>
              <w:t>Variable</w:t>
            </w:r>
          </w:p>
        </w:tc>
        <w:tc>
          <w:tcPr>
            <w:tcW w:w="528" w:type="pct"/>
            <w:tcBorders>
              <w:top w:val="single" w:sz="4" w:space="0" w:color="auto"/>
              <w:bottom w:val="single" w:sz="4" w:space="0" w:color="auto"/>
            </w:tcBorders>
            <w:hideMark/>
          </w:tcPr>
          <w:p w14:paraId="59587D5A" w14:textId="77777777" w:rsidR="00D93BB0" w:rsidRPr="00D93BB0" w:rsidRDefault="00D93BB0" w:rsidP="00D93BB0">
            <w:pPr>
              <w:jc w:val="both"/>
              <w:rPr>
                <w:rFonts w:ascii="Times New Roman" w:hAnsi="Times New Roman" w:cs="Times New Roman"/>
                <w:b/>
                <w:bCs/>
                <w:sz w:val="24"/>
                <w:szCs w:val="24"/>
              </w:rPr>
            </w:pPr>
            <w:r w:rsidRPr="00D93BB0">
              <w:rPr>
                <w:rFonts w:ascii="Times New Roman" w:hAnsi="Times New Roman" w:cs="Times New Roman"/>
                <w:b/>
                <w:bCs/>
                <w:sz w:val="24"/>
                <w:szCs w:val="24"/>
              </w:rPr>
              <w:t>Mean</w:t>
            </w:r>
          </w:p>
        </w:tc>
        <w:tc>
          <w:tcPr>
            <w:tcW w:w="488" w:type="pct"/>
            <w:tcBorders>
              <w:top w:val="single" w:sz="4" w:space="0" w:color="auto"/>
              <w:bottom w:val="single" w:sz="4" w:space="0" w:color="auto"/>
            </w:tcBorders>
            <w:hideMark/>
          </w:tcPr>
          <w:p w14:paraId="32CDD4D1" w14:textId="77777777" w:rsidR="00D93BB0" w:rsidRPr="00D93BB0" w:rsidRDefault="00D93BB0" w:rsidP="00D93BB0">
            <w:pPr>
              <w:jc w:val="both"/>
              <w:rPr>
                <w:rFonts w:ascii="Times New Roman" w:hAnsi="Times New Roman" w:cs="Times New Roman"/>
                <w:b/>
                <w:bCs/>
                <w:sz w:val="24"/>
                <w:szCs w:val="24"/>
              </w:rPr>
            </w:pPr>
            <w:r w:rsidRPr="00D93BB0">
              <w:rPr>
                <w:rFonts w:ascii="Times New Roman" w:hAnsi="Times New Roman" w:cs="Times New Roman"/>
                <w:b/>
                <w:bCs/>
                <w:sz w:val="24"/>
                <w:szCs w:val="24"/>
              </w:rPr>
              <w:t>SD</w:t>
            </w:r>
          </w:p>
        </w:tc>
        <w:tc>
          <w:tcPr>
            <w:tcW w:w="590" w:type="pct"/>
            <w:tcBorders>
              <w:top w:val="single" w:sz="4" w:space="0" w:color="auto"/>
              <w:bottom w:val="single" w:sz="4" w:space="0" w:color="auto"/>
            </w:tcBorders>
            <w:hideMark/>
          </w:tcPr>
          <w:p w14:paraId="1D6A17B7" w14:textId="77777777" w:rsidR="00D93BB0" w:rsidRPr="00D93BB0" w:rsidRDefault="00D93BB0" w:rsidP="00D93BB0">
            <w:pPr>
              <w:jc w:val="both"/>
              <w:rPr>
                <w:rFonts w:ascii="Times New Roman" w:hAnsi="Times New Roman" w:cs="Times New Roman"/>
                <w:b/>
                <w:bCs/>
                <w:sz w:val="24"/>
                <w:szCs w:val="24"/>
              </w:rPr>
            </w:pPr>
            <w:r w:rsidRPr="00D93BB0">
              <w:rPr>
                <w:rFonts w:ascii="Times New Roman" w:hAnsi="Times New Roman" w:cs="Times New Roman"/>
                <w:b/>
                <w:bCs/>
                <w:sz w:val="24"/>
                <w:szCs w:val="24"/>
              </w:rPr>
              <w:t>1</w:t>
            </w:r>
          </w:p>
        </w:tc>
        <w:tc>
          <w:tcPr>
            <w:tcW w:w="590" w:type="pct"/>
            <w:tcBorders>
              <w:top w:val="single" w:sz="4" w:space="0" w:color="auto"/>
              <w:bottom w:val="single" w:sz="4" w:space="0" w:color="auto"/>
            </w:tcBorders>
            <w:hideMark/>
          </w:tcPr>
          <w:p w14:paraId="0A1C8D64" w14:textId="77777777" w:rsidR="00D93BB0" w:rsidRPr="00D93BB0" w:rsidRDefault="00D93BB0" w:rsidP="00D93BB0">
            <w:pPr>
              <w:jc w:val="both"/>
              <w:rPr>
                <w:rFonts w:ascii="Times New Roman" w:hAnsi="Times New Roman" w:cs="Times New Roman"/>
                <w:b/>
                <w:bCs/>
                <w:sz w:val="24"/>
                <w:szCs w:val="24"/>
              </w:rPr>
            </w:pPr>
            <w:r w:rsidRPr="00D93BB0">
              <w:rPr>
                <w:rFonts w:ascii="Times New Roman" w:hAnsi="Times New Roman" w:cs="Times New Roman"/>
                <w:b/>
                <w:bCs/>
                <w:sz w:val="24"/>
                <w:szCs w:val="24"/>
              </w:rPr>
              <w:t>2</w:t>
            </w:r>
          </w:p>
        </w:tc>
        <w:tc>
          <w:tcPr>
            <w:tcW w:w="590" w:type="pct"/>
            <w:tcBorders>
              <w:top w:val="single" w:sz="4" w:space="0" w:color="auto"/>
              <w:bottom w:val="single" w:sz="4" w:space="0" w:color="auto"/>
            </w:tcBorders>
            <w:hideMark/>
          </w:tcPr>
          <w:p w14:paraId="0468FADE" w14:textId="77777777" w:rsidR="00D93BB0" w:rsidRPr="00D93BB0" w:rsidRDefault="00D93BB0" w:rsidP="00D93BB0">
            <w:pPr>
              <w:jc w:val="both"/>
              <w:rPr>
                <w:rFonts w:ascii="Times New Roman" w:hAnsi="Times New Roman" w:cs="Times New Roman"/>
                <w:b/>
                <w:bCs/>
                <w:sz w:val="24"/>
                <w:szCs w:val="24"/>
              </w:rPr>
            </w:pPr>
            <w:r w:rsidRPr="00D93BB0">
              <w:rPr>
                <w:rFonts w:ascii="Times New Roman" w:hAnsi="Times New Roman" w:cs="Times New Roman"/>
                <w:b/>
                <w:bCs/>
                <w:sz w:val="24"/>
                <w:szCs w:val="24"/>
              </w:rPr>
              <w:t>3</w:t>
            </w:r>
          </w:p>
        </w:tc>
        <w:tc>
          <w:tcPr>
            <w:tcW w:w="128" w:type="pct"/>
            <w:tcBorders>
              <w:top w:val="single" w:sz="4" w:space="0" w:color="auto"/>
              <w:bottom w:val="single" w:sz="4" w:space="0" w:color="auto"/>
            </w:tcBorders>
            <w:hideMark/>
          </w:tcPr>
          <w:p w14:paraId="4A6CB957" w14:textId="77777777" w:rsidR="00D93BB0" w:rsidRPr="00D93BB0" w:rsidRDefault="00D93BB0" w:rsidP="00D93BB0">
            <w:pPr>
              <w:jc w:val="both"/>
              <w:rPr>
                <w:rFonts w:ascii="Times New Roman" w:hAnsi="Times New Roman" w:cs="Times New Roman"/>
                <w:b/>
                <w:bCs/>
                <w:sz w:val="24"/>
                <w:szCs w:val="24"/>
              </w:rPr>
            </w:pPr>
            <w:r w:rsidRPr="00D93BB0">
              <w:rPr>
                <w:rFonts w:ascii="Times New Roman" w:hAnsi="Times New Roman" w:cs="Times New Roman"/>
                <w:b/>
                <w:bCs/>
                <w:sz w:val="24"/>
                <w:szCs w:val="24"/>
              </w:rPr>
              <w:t>4</w:t>
            </w:r>
          </w:p>
        </w:tc>
      </w:tr>
      <w:tr w:rsidR="00D93BB0" w:rsidRPr="00D93BB0" w14:paraId="2AEDF32E" w14:textId="77777777" w:rsidTr="00420441">
        <w:tc>
          <w:tcPr>
            <w:tcW w:w="1880" w:type="pct"/>
            <w:tcBorders>
              <w:top w:val="single" w:sz="4" w:space="0" w:color="auto"/>
            </w:tcBorders>
            <w:hideMark/>
          </w:tcPr>
          <w:p w14:paraId="06BC387E"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1. System Quality</w:t>
            </w:r>
          </w:p>
        </w:tc>
        <w:tc>
          <w:tcPr>
            <w:tcW w:w="528" w:type="pct"/>
            <w:tcBorders>
              <w:top w:val="single" w:sz="4" w:space="0" w:color="auto"/>
            </w:tcBorders>
            <w:hideMark/>
          </w:tcPr>
          <w:p w14:paraId="7DD000CD"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4.087</w:t>
            </w:r>
          </w:p>
        </w:tc>
        <w:tc>
          <w:tcPr>
            <w:tcW w:w="488" w:type="pct"/>
            <w:tcBorders>
              <w:top w:val="single" w:sz="4" w:space="0" w:color="auto"/>
            </w:tcBorders>
            <w:hideMark/>
          </w:tcPr>
          <w:p w14:paraId="2FBBC02B"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0.574</w:t>
            </w:r>
          </w:p>
        </w:tc>
        <w:tc>
          <w:tcPr>
            <w:tcW w:w="590" w:type="pct"/>
            <w:tcBorders>
              <w:top w:val="single" w:sz="4" w:space="0" w:color="auto"/>
            </w:tcBorders>
            <w:hideMark/>
          </w:tcPr>
          <w:p w14:paraId="50C809A9"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1</w:t>
            </w:r>
          </w:p>
        </w:tc>
        <w:tc>
          <w:tcPr>
            <w:tcW w:w="590" w:type="pct"/>
            <w:tcBorders>
              <w:top w:val="single" w:sz="4" w:space="0" w:color="auto"/>
            </w:tcBorders>
            <w:hideMark/>
          </w:tcPr>
          <w:p w14:paraId="252782A5" w14:textId="77777777" w:rsidR="00D93BB0" w:rsidRPr="00D93BB0" w:rsidRDefault="00D93BB0" w:rsidP="00D93BB0">
            <w:pPr>
              <w:jc w:val="both"/>
              <w:rPr>
                <w:rFonts w:ascii="Times New Roman" w:hAnsi="Times New Roman" w:cs="Times New Roman"/>
                <w:sz w:val="24"/>
                <w:szCs w:val="24"/>
              </w:rPr>
            </w:pPr>
          </w:p>
        </w:tc>
        <w:tc>
          <w:tcPr>
            <w:tcW w:w="590" w:type="pct"/>
            <w:tcBorders>
              <w:top w:val="single" w:sz="4" w:space="0" w:color="auto"/>
            </w:tcBorders>
            <w:hideMark/>
          </w:tcPr>
          <w:p w14:paraId="77CBBD25" w14:textId="77777777" w:rsidR="00D93BB0" w:rsidRPr="00D93BB0" w:rsidRDefault="00D93BB0" w:rsidP="00D93BB0">
            <w:pPr>
              <w:jc w:val="both"/>
              <w:rPr>
                <w:rFonts w:ascii="Times New Roman" w:hAnsi="Times New Roman" w:cs="Times New Roman"/>
                <w:sz w:val="24"/>
                <w:szCs w:val="24"/>
              </w:rPr>
            </w:pPr>
          </w:p>
        </w:tc>
        <w:tc>
          <w:tcPr>
            <w:tcW w:w="128" w:type="pct"/>
            <w:tcBorders>
              <w:top w:val="single" w:sz="4" w:space="0" w:color="auto"/>
            </w:tcBorders>
            <w:hideMark/>
          </w:tcPr>
          <w:p w14:paraId="5E242009" w14:textId="77777777" w:rsidR="00D93BB0" w:rsidRPr="00D93BB0" w:rsidRDefault="00D93BB0" w:rsidP="00D93BB0">
            <w:pPr>
              <w:jc w:val="both"/>
              <w:rPr>
                <w:rFonts w:ascii="Times New Roman" w:hAnsi="Times New Roman" w:cs="Times New Roman"/>
                <w:sz w:val="24"/>
                <w:szCs w:val="24"/>
              </w:rPr>
            </w:pPr>
          </w:p>
        </w:tc>
      </w:tr>
      <w:tr w:rsidR="00D93BB0" w:rsidRPr="00D93BB0" w14:paraId="1F3AD2CE" w14:textId="77777777" w:rsidTr="00420441">
        <w:tc>
          <w:tcPr>
            <w:tcW w:w="1880" w:type="pct"/>
            <w:hideMark/>
          </w:tcPr>
          <w:p w14:paraId="0596F37F"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2. Information Quality</w:t>
            </w:r>
          </w:p>
        </w:tc>
        <w:tc>
          <w:tcPr>
            <w:tcW w:w="528" w:type="pct"/>
            <w:hideMark/>
          </w:tcPr>
          <w:p w14:paraId="0B080311"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3.865</w:t>
            </w:r>
          </w:p>
        </w:tc>
        <w:tc>
          <w:tcPr>
            <w:tcW w:w="488" w:type="pct"/>
            <w:hideMark/>
          </w:tcPr>
          <w:p w14:paraId="4D6A51EE"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0.629</w:t>
            </w:r>
          </w:p>
        </w:tc>
        <w:tc>
          <w:tcPr>
            <w:tcW w:w="590" w:type="pct"/>
            <w:hideMark/>
          </w:tcPr>
          <w:p w14:paraId="02D5FE7E"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.717**</w:t>
            </w:r>
          </w:p>
        </w:tc>
        <w:tc>
          <w:tcPr>
            <w:tcW w:w="590" w:type="pct"/>
            <w:hideMark/>
          </w:tcPr>
          <w:p w14:paraId="6690D1E2"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1</w:t>
            </w:r>
          </w:p>
        </w:tc>
        <w:tc>
          <w:tcPr>
            <w:tcW w:w="590" w:type="pct"/>
            <w:hideMark/>
          </w:tcPr>
          <w:p w14:paraId="5CD0A817" w14:textId="77777777" w:rsidR="00D93BB0" w:rsidRPr="00D93BB0" w:rsidRDefault="00D93BB0" w:rsidP="00D93BB0">
            <w:pPr>
              <w:jc w:val="both"/>
              <w:rPr>
                <w:rFonts w:ascii="Times New Roman" w:hAnsi="Times New Roman" w:cs="Times New Roman"/>
                <w:sz w:val="24"/>
                <w:szCs w:val="24"/>
              </w:rPr>
            </w:pPr>
          </w:p>
        </w:tc>
        <w:tc>
          <w:tcPr>
            <w:tcW w:w="128" w:type="pct"/>
            <w:hideMark/>
          </w:tcPr>
          <w:p w14:paraId="4BCD54CB" w14:textId="77777777" w:rsidR="00D93BB0" w:rsidRPr="00D93BB0" w:rsidRDefault="00D93BB0" w:rsidP="00D93BB0">
            <w:pPr>
              <w:jc w:val="both"/>
              <w:rPr>
                <w:rFonts w:ascii="Times New Roman" w:hAnsi="Times New Roman" w:cs="Times New Roman"/>
                <w:sz w:val="24"/>
                <w:szCs w:val="24"/>
              </w:rPr>
            </w:pPr>
          </w:p>
        </w:tc>
      </w:tr>
      <w:tr w:rsidR="00D93BB0" w:rsidRPr="00D93BB0" w14:paraId="1FE284E5" w14:textId="77777777" w:rsidTr="00420441">
        <w:tc>
          <w:tcPr>
            <w:tcW w:w="1880" w:type="pct"/>
            <w:hideMark/>
          </w:tcPr>
          <w:p w14:paraId="2EB5E142"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3. Service Quality</w:t>
            </w:r>
          </w:p>
        </w:tc>
        <w:tc>
          <w:tcPr>
            <w:tcW w:w="528" w:type="pct"/>
            <w:hideMark/>
          </w:tcPr>
          <w:p w14:paraId="128F7234"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3.898</w:t>
            </w:r>
          </w:p>
        </w:tc>
        <w:tc>
          <w:tcPr>
            <w:tcW w:w="488" w:type="pct"/>
            <w:hideMark/>
          </w:tcPr>
          <w:p w14:paraId="241CE479"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0.605</w:t>
            </w:r>
          </w:p>
        </w:tc>
        <w:tc>
          <w:tcPr>
            <w:tcW w:w="590" w:type="pct"/>
            <w:hideMark/>
          </w:tcPr>
          <w:p w14:paraId="0375B68D"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.708**</w:t>
            </w:r>
          </w:p>
        </w:tc>
        <w:tc>
          <w:tcPr>
            <w:tcW w:w="590" w:type="pct"/>
            <w:hideMark/>
          </w:tcPr>
          <w:p w14:paraId="55E8E25D"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.792**</w:t>
            </w:r>
          </w:p>
        </w:tc>
        <w:tc>
          <w:tcPr>
            <w:tcW w:w="590" w:type="pct"/>
            <w:hideMark/>
          </w:tcPr>
          <w:p w14:paraId="6240EAE4"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1</w:t>
            </w:r>
          </w:p>
        </w:tc>
        <w:tc>
          <w:tcPr>
            <w:tcW w:w="128" w:type="pct"/>
            <w:hideMark/>
          </w:tcPr>
          <w:p w14:paraId="6F801640" w14:textId="77777777" w:rsidR="00D93BB0" w:rsidRPr="00D93BB0" w:rsidRDefault="00D93BB0" w:rsidP="00D93BB0">
            <w:pPr>
              <w:jc w:val="both"/>
              <w:rPr>
                <w:rFonts w:ascii="Times New Roman" w:hAnsi="Times New Roman" w:cs="Times New Roman"/>
                <w:sz w:val="24"/>
                <w:szCs w:val="24"/>
              </w:rPr>
            </w:pPr>
          </w:p>
        </w:tc>
      </w:tr>
      <w:tr w:rsidR="00D93BB0" w:rsidRPr="00D93BB0" w14:paraId="38E59AE7" w14:textId="77777777" w:rsidTr="00420441">
        <w:tc>
          <w:tcPr>
            <w:tcW w:w="1880" w:type="pct"/>
            <w:hideMark/>
          </w:tcPr>
          <w:p w14:paraId="5011118B"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4. User Satisfaction</w:t>
            </w:r>
          </w:p>
        </w:tc>
        <w:tc>
          <w:tcPr>
            <w:tcW w:w="528" w:type="pct"/>
            <w:hideMark/>
          </w:tcPr>
          <w:p w14:paraId="39DADEDC"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4.122</w:t>
            </w:r>
          </w:p>
        </w:tc>
        <w:tc>
          <w:tcPr>
            <w:tcW w:w="488" w:type="pct"/>
            <w:hideMark/>
          </w:tcPr>
          <w:p w14:paraId="1CA45DD7"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0.705</w:t>
            </w:r>
          </w:p>
        </w:tc>
        <w:tc>
          <w:tcPr>
            <w:tcW w:w="590" w:type="pct"/>
            <w:hideMark/>
          </w:tcPr>
          <w:p w14:paraId="68B0B242"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.664**</w:t>
            </w:r>
          </w:p>
        </w:tc>
        <w:tc>
          <w:tcPr>
            <w:tcW w:w="590" w:type="pct"/>
            <w:hideMark/>
          </w:tcPr>
          <w:p w14:paraId="5DB36DCF"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.754**</w:t>
            </w:r>
          </w:p>
        </w:tc>
        <w:tc>
          <w:tcPr>
            <w:tcW w:w="590" w:type="pct"/>
            <w:hideMark/>
          </w:tcPr>
          <w:p w14:paraId="47888440"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.712**</w:t>
            </w:r>
          </w:p>
        </w:tc>
        <w:tc>
          <w:tcPr>
            <w:tcW w:w="128" w:type="pct"/>
            <w:hideMark/>
          </w:tcPr>
          <w:p w14:paraId="5B467439" w14:textId="77777777" w:rsidR="00D93BB0" w:rsidRPr="00D93BB0" w:rsidRDefault="00D93BB0" w:rsidP="00D93BB0">
            <w:pPr>
              <w:jc w:val="both"/>
              <w:rPr>
                <w:rFonts w:ascii="Times New Roman" w:hAnsi="Times New Roman" w:cs="Times New Roman"/>
                <w:sz w:val="24"/>
                <w:szCs w:val="24"/>
              </w:rPr>
            </w:pPr>
            <w:r w:rsidRPr="00D93BB0">
              <w:rPr>
                <w:rFonts w:ascii="Times New Roman" w:hAnsi="Times New Roman" w:cs="Times New Roman"/>
                <w:sz w:val="24"/>
                <w:szCs w:val="24"/>
              </w:rPr>
              <w:t>1</w:t>
            </w:r>
          </w:p>
        </w:tc>
      </w:tr>
    </w:tbl>
    <w:p w14:paraId="2FE065DA" w14:textId="77777777" w:rsidR="008757C8" w:rsidRDefault="008757C8" w:rsidP="003F5C2D">
      <w:pPr>
        <w:spacing w:after="0" w:line="240" w:lineRule="auto"/>
        <w:jc w:val="both"/>
        <w:rPr>
          <w:rFonts w:ascii="Times New Roman" w:hAnsi="Times New Roman" w:cs="Times New Roman"/>
          <w:sz w:val="24"/>
          <w:szCs w:val="24"/>
        </w:rPr>
      </w:pPr>
    </w:p>
    <w:p w14:paraId="03D60E69" w14:textId="1D76C747" w:rsidR="00C631E1" w:rsidRDefault="00C631E1" w:rsidP="003F5C2D">
      <w:pPr>
        <w:spacing w:after="0" w:line="240" w:lineRule="auto"/>
        <w:jc w:val="both"/>
        <w:rPr>
          <w:rFonts w:ascii="Times New Roman" w:hAnsi="Times New Roman" w:cs="Times New Roman"/>
          <w:b/>
          <w:bCs/>
          <w:sz w:val="24"/>
          <w:szCs w:val="24"/>
        </w:rPr>
      </w:pPr>
      <w:r w:rsidRPr="00C631E1">
        <w:rPr>
          <w:rFonts w:ascii="Times New Roman" w:hAnsi="Times New Roman" w:cs="Times New Roman"/>
          <w:b/>
          <w:bCs/>
          <w:sz w:val="24"/>
          <w:szCs w:val="24"/>
        </w:rPr>
        <w:t>Regression Analysis</w:t>
      </w:r>
    </w:p>
    <w:p w14:paraId="2AE1A8FB" w14:textId="77777777" w:rsidR="00920BFC" w:rsidRDefault="00920BFC" w:rsidP="003F5C2D">
      <w:pPr>
        <w:spacing w:after="0" w:line="240" w:lineRule="auto"/>
        <w:jc w:val="both"/>
        <w:rPr>
          <w:rFonts w:ascii="Times New Roman" w:hAnsi="Times New Roman" w:cs="Times New Roman"/>
          <w:b/>
          <w:bCs/>
          <w:sz w:val="24"/>
          <w:szCs w:val="24"/>
        </w:rPr>
      </w:pPr>
    </w:p>
    <w:p w14:paraId="65B7FB84" w14:textId="747A1B1C" w:rsidR="00BF2FD0" w:rsidRDefault="00BF2FD0" w:rsidP="003F5C2D">
      <w:pPr>
        <w:spacing w:after="0" w:line="240" w:lineRule="auto"/>
        <w:jc w:val="both"/>
        <w:rPr>
          <w:rFonts w:ascii="Times New Roman" w:hAnsi="Times New Roman" w:cs="Times New Roman"/>
          <w:sz w:val="24"/>
          <w:szCs w:val="24"/>
        </w:rPr>
      </w:pPr>
      <w:r w:rsidRPr="00BF2FD0">
        <w:rPr>
          <w:rFonts w:ascii="Times New Roman" w:hAnsi="Times New Roman" w:cs="Times New Roman"/>
          <w:sz w:val="24"/>
          <w:szCs w:val="24"/>
        </w:rPr>
        <w:t>Multiple regression analysis was conducted to examine the effects of system quality, information quality, and service quality on user satisfaction among Malaysian research students. The regression model was statistically significant (F = 132.678, p &lt; .001) and explained 61.9% of the variance in user satisfaction (R² = 0.619; Adjusted R² = 0.614). The Durbin–Watson statistic (1.967) indicated that the assumption of independent errors was satisfied. Information Quality emerged as the strongest predictor of user satisfaction (β = 0.434, p &lt; .001), followed by Service Quality (β = 0.237, p &lt; .001) and System Quality (β = 0.185, p = .002). All three predictors were statistically significant, supporting the proposed hypotheses.</w:t>
      </w:r>
    </w:p>
    <w:p w14:paraId="0DA59E15" w14:textId="77777777" w:rsidR="00BF2FD0" w:rsidRPr="00BF2FD0" w:rsidRDefault="00BF2FD0" w:rsidP="003F5C2D">
      <w:pPr>
        <w:spacing w:after="0" w:line="240" w:lineRule="auto"/>
        <w:jc w:val="both"/>
        <w:rPr>
          <w:rFonts w:ascii="Times New Roman" w:hAnsi="Times New Roman" w:cs="Times New Roman"/>
          <w:sz w:val="24"/>
          <w:szCs w:val="24"/>
        </w:rPr>
      </w:pPr>
    </w:p>
    <w:p w14:paraId="448C2BFC" w14:textId="39C08CAD" w:rsidR="00920BFC" w:rsidRDefault="00920BFC" w:rsidP="003F5C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 Regression Analysis</w:t>
      </w:r>
    </w:p>
    <w:p w14:paraId="4D73DA32" w14:textId="77777777" w:rsidR="00CA6AA9" w:rsidRPr="00C631E1" w:rsidRDefault="00CA6AA9" w:rsidP="003F5C2D">
      <w:pPr>
        <w:spacing w:after="0" w:line="240" w:lineRule="auto"/>
        <w:jc w:val="both"/>
        <w:rPr>
          <w:rFonts w:ascii="Times New Roman" w:hAnsi="Times New Roman" w:cs="Times New Roman"/>
          <w:b/>
          <w:bCs/>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1366"/>
        <w:gridCol w:w="1366"/>
        <w:gridCol w:w="1899"/>
        <w:gridCol w:w="1366"/>
      </w:tblGrid>
      <w:tr w:rsidR="00920BFC" w:rsidRPr="00920BFC" w14:paraId="24A0825E" w14:textId="77777777" w:rsidTr="00920BFC">
        <w:tc>
          <w:tcPr>
            <w:tcW w:w="2110" w:type="pct"/>
            <w:tcBorders>
              <w:top w:val="single" w:sz="4" w:space="0" w:color="auto"/>
              <w:bottom w:val="single" w:sz="4" w:space="0" w:color="auto"/>
            </w:tcBorders>
            <w:hideMark/>
          </w:tcPr>
          <w:p w14:paraId="04F68BA1" w14:textId="77777777" w:rsidR="00920BFC" w:rsidRPr="00920BFC" w:rsidRDefault="00920BFC" w:rsidP="00920BFC">
            <w:pPr>
              <w:jc w:val="both"/>
              <w:rPr>
                <w:rFonts w:ascii="Times New Roman" w:hAnsi="Times New Roman" w:cs="Times New Roman"/>
                <w:b/>
                <w:bCs/>
                <w:sz w:val="24"/>
                <w:szCs w:val="24"/>
              </w:rPr>
            </w:pPr>
            <w:r w:rsidRPr="00920BFC">
              <w:rPr>
                <w:rFonts w:ascii="Times New Roman" w:hAnsi="Times New Roman" w:cs="Times New Roman"/>
                <w:b/>
                <w:bCs/>
                <w:sz w:val="24"/>
                <w:szCs w:val="24"/>
              </w:rPr>
              <w:t>Predictor</w:t>
            </w:r>
          </w:p>
        </w:tc>
        <w:tc>
          <w:tcPr>
            <w:tcW w:w="614" w:type="pct"/>
            <w:tcBorders>
              <w:top w:val="single" w:sz="4" w:space="0" w:color="auto"/>
              <w:bottom w:val="single" w:sz="4" w:space="0" w:color="auto"/>
            </w:tcBorders>
            <w:hideMark/>
          </w:tcPr>
          <w:p w14:paraId="0157482E" w14:textId="77777777" w:rsidR="00920BFC" w:rsidRPr="00920BFC" w:rsidRDefault="00920BFC" w:rsidP="00920BFC">
            <w:pPr>
              <w:jc w:val="both"/>
              <w:rPr>
                <w:rFonts w:ascii="Times New Roman" w:hAnsi="Times New Roman" w:cs="Times New Roman"/>
                <w:b/>
                <w:bCs/>
                <w:sz w:val="24"/>
                <w:szCs w:val="24"/>
              </w:rPr>
            </w:pPr>
            <w:r w:rsidRPr="00920BFC">
              <w:rPr>
                <w:rFonts w:ascii="Times New Roman" w:hAnsi="Times New Roman" w:cs="Times New Roman"/>
                <w:b/>
                <w:bCs/>
                <w:sz w:val="24"/>
                <w:szCs w:val="24"/>
              </w:rPr>
              <w:t>β</w:t>
            </w:r>
          </w:p>
        </w:tc>
        <w:tc>
          <w:tcPr>
            <w:tcW w:w="614" w:type="pct"/>
            <w:tcBorders>
              <w:top w:val="single" w:sz="4" w:space="0" w:color="auto"/>
              <w:bottom w:val="single" w:sz="4" w:space="0" w:color="auto"/>
            </w:tcBorders>
            <w:hideMark/>
          </w:tcPr>
          <w:p w14:paraId="0C78B207" w14:textId="77777777" w:rsidR="00920BFC" w:rsidRPr="00920BFC" w:rsidRDefault="00920BFC" w:rsidP="00920BFC">
            <w:pPr>
              <w:jc w:val="both"/>
              <w:rPr>
                <w:rFonts w:ascii="Times New Roman" w:hAnsi="Times New Roman" w:cs="Times New Roman"/>
                <w:b/>
                <w:bCs/>
                <w:sz w:val="24"/>
                <w:szCs w:val="24"/>
              </w:rPr>
            </w:pPr>
            <w:r w:rsidRPr="00920BFC">
              <w:rPr>
                <w:rFonts w:ascii="Times New Roman" w:hAnsi="Times New Roman" w:cs="Times New Roman"/>
                <w:b/>
                <w:bCs/>
                <w:sz w:val="24"/>
                <w:szCs w:val="24"/>
              </w:rPr>
              <w:t>t</w:t>
            </w:r>
          </w:p>
        </w:tc>
        <w:tc>
          <w:tcPr>
            <w:tcW w:w="853" w:type="pct"/>
            <w:tcBorders>
              <w:top w:val="single" w:sz="4" w:space="0" w:color="auto"/>
              <w:bottom w:val="single" w:sz="4" w:space="0" w:color="auto"/>
            </w:tcBorders>
            <w:hideMark/>
          </w:tcPr>
          <w:p w14:paraId="0D527B8E" w14:textId="77777777" w:rsidR="00920BFC" w:rsidRPr="00920BFC" w:rsidRDefault="00920BFC" w:rsidP="00920BFC">
            <w:pPr>
              <w:jc w:val="both"/>
              <w:rPr>
                <w:rFonts w:ascii="Times New Roman" w:hAnsi="Times New Roman" w:cs="Times New Roman"/>
                <w:b/>
                <w:bCs/>
                <w:sz w:val="24"/>
                <w:szCs w:val="24"/>
              </w:rPr>
            </w:pPr>
            <w:r w:rsidRPr="00920BFC">
              <w:rPr>
                <w:rFonts w:ascii="Times New Roman" w:hAnsi="Times New Roman" w:cs="Times New Roman"/>
                <w:b/>
                <w:bCs/>
                <w:sz w:val="24"/>
                <w:szCs w:val="24"/>
              </w:rPr>
              <w:t>p-value</w:t>
            </w:r>
          </w:p>
        </w:tc>
        <w:tc>
          <w:tcPr>
            <w:tcW w:w="614" w:type="pct"/>
            <w:tcBorders>
              <w:top w:val="single" w:sz="4" w:space="0" w:color="auto"/>
              <w:bottom w:val="single" w:sz="4" w:space="0" w:color="auto"/>
            </w:tcBorders>
            <w:hideMark/>
          </w:tcPr>
          <w:p w14:paraId="305AC0BB" w14:textId="77777777" w:rsidR="00920BFC" w:rsidRPr="00920BFC" w:rsidRDefault="00920BFC" w:rsidP="00920BFC">
            <w:pPr>
              <w:jc w:val="both"/>
              <w:rPr>
                <w:rFonts w:ascii="Times New Roman" w:hAnsi="Times New Roman" w:cs="Times New Roman"/>
                <w:b/>
                <w:bCs/>
                <w:sz w:val="24"/>
                <w:szCs w:val="24"/>
              </w:rPr>
            </w:pPr>
            <w:r w:rsidRPr="00920BFC">
              <w:rPr>
                <w:rFonts w:ascii="Times New Roman" w:hAnsi="Times New Roman" w:cs="Times New Roman"/>
                <w:b/>
                <w:bCs/>
                <w:sz w:val="24"/>
                <w:szCs w:val="24"/>
              </w:rPr>
              <w:t>VIF</w:t>
            </w:r>
          </w:p>
        </w:tc>
      </w:tr>
      <w:tr w:rsidR="00920BFC" w:rsidRPr="00920BFC" w14:paraId="17870E10" w14:textId="77777777" w:rsidTr="00920BFC">
        <w:tc>
          <w:tcPr>
            <w:tcW w:w="2110" w:type="pct"/>
            <w:tcBorders>
              <w:top w:val="single" w:sz="4" w:space="0" w:color="auto"/>
            </w:tcBorders>
            <w:hideMark/>
          </w:tcPr>
          <w:p w14:paraId="3CB6035D"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System Quality</w:t>
            </w:r>
          </w:p>
        </w:tc>
        <w:tc>
          <w:tcPr>
            <w:tcW w:w="614" w:type="pct"/>
            <w:tcBorders>
              <w:top w:val="single" w:sz="4" w:space="0" w:color="auto"/>
            </w:tcBorders>
            <w:hideMark/>
          </w:tcPr>
          <w:p w14:paraId="2DABD340"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0.185</w:t>
            </w:r>
          </w:p>
        </w:tc>
        <w:tc>
          <w:tcPr>
            <w:tcW w:w="614" w:type="pct"/>
            <w:tcBorders>
              <w:top w:val="single" w:sz="4" w:space="0" w:color="auto"/>
            </w:tcBorders>
            <w:hideMark/>
          </w:tcPr>
          <w:p w14:paraId="33D412EC"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3.094</w:t>
            </w:r>
          </w:p>
        </w:tc>
        <w:tc>
          <w:tcPr>
            <w:tcW w:w="853" w:type="pct"/>
            <w:tcBorders>
              <w:top w:val="single" w:sz="4" w:space="0" w:color="auto"/>
            </w:tcBorders>
            <w:hideMark/>
          </w:tcPr>
          <w:p w14:paraId="69E6A4F3"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.002</w:t>
            </w:r>
          </w:p>
        </w:tc>
        <w:tc>
          <w:tcPr>
            <w:tcW w:w="614" w:type="pct"/>
            <w:tcBorders>
              <w:top w:val="single" w:sz="4" w:space="0" w:color="auto"/>
            </w:tcBorders>
            <w:hideMark/>
          </w:tcPr>
          <w:p w14:paraId="5052E77A"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2.309</w:t>
            </w:r>
          </w:p>
        </w:tc>
      </w:tr>
      <w:tr w:rsidR="00920BFC" w:rsidRPr="00920BFC" w14:paraId="79FAA31A" w14:textId="77777777" w:rsidTr="00920BFC">
        <w:tc>
          <w:tcPr>
            <w:tcW w:w="2110" w:type="pct"/>
            <w:hideMark/>
          </w:tcPr>
          <w:p w14:paraId="33332E04"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Information Quality</w:t>
            </w:r>
          </w:p>
        </w:tc>
        <w:tc>
          <w:tcPr>
            <w:tcW w:w="614" w:type="pct"/>
            <w:hideMark/>
          </w:tcPr>
          <w:p w14:paraId="4D791DC1"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b/>
                <w:bCs/>
                <w:sz w:val="24"/>
                <w:szCs w:val="24"/>
              </w:rPr>
              <w:t>0.434</w:t>
            </w:r>
          </w:p>
        </w:tc>
        <w:tc>
          <w:tcPr>
            <w:tcW w:w="614" w:type="pct"/>
            <w:hideMark/>
          </w:tcPr>
          <w:p w14:paraId="3A7747D6"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b/>
                <w:bCs/>
                <w:sz w:val="24"/>
                <w:szCs w:val="24"/>
              </w:rPr>
              <w:t>6.261</w:t>
            </w:r>
          </w:p>
        </w:tc>
        <w:tc>
          <w:tcPr>
            <w:tcW w:w="853" w:type="pct"/>
            <w:hideMark/>
          </w:tcPr>
          <w:p w14:paraId="0D0BA49A"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&lt; .001</w:t>
            </w:r>
          </w:p>
        </w:tc>
        <w:tc>
          <w:tcPr>
            <w:tcW w:w="614" w:type="pct"/>
            <w:hideMark/>
          </w:tcPr>
          <w:p w14:paraId="12B662D8"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3.084</w:t>
            </w:r>
          </w:p>
        </w:tc>
      </w:tr>
      <w:tr w:rsidR="00920BFC" w:rsidRPr="00920BFC" w14:paraId="322BE0A7" w14:textId="77777777" w:rsidTr="00920BFC">
        <w:tc>
          <w:tcPr>
            <w:tcW w:w="2110" w:type="pct"/>
            <w:hideMark/>
          </w:tcPr>
          <w:p w14:paraId="1F5003D9"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Service Quality</w:t>
            </w:r>
          </w:p>
        </w:tc>
        <w:tc>
          <w:tcPr>
            <w:tcW w:w="614" w:type="pct"/>
            <w:hideMark/>
          </w:tcPr>
          <w:p w14:paraId="5BB068C8"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0.237</w:t>
            </w:r>
          </w:p>
        </w:tc>
        <w:tc>
          <w:tcPr>
            <w:tcW w:w="614" w:type="pct"/>
            <w:hideMark/>
          </w:tcPr>
          <w:p w14:paraId="19B0AF67"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3.470</w:t>
            </w:r>
          </w:p>
        </w:tc>
        <w:tc>
          <w:tcPr>
            <w:tcW w:w="853" w:type="pct"/>
            <w:hideMark/>
          </w:tcPr>
          <w:p w14:paraId="2A45C7BA"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&lt; .001</w:t>
            </w:r>
          </w:p>
        </w:tc>
        <w:tc>
          <w:tcPr>
            <w:tcW w:w="614" w:type="pct"/>
            <w:hideMark/>
          </w:tcPr>
          <w:p w14:paraId="520C0515" w14:textId="77777777" w:rsidR="00920BFC" w:rsidRPr="00920BFC" w:rsidRDefault="00920BFC" w:rsidP="00920BFC">
            <w:pPr>
              <w:jc w:val="both"/>
              <w:rPr>
                <w:rFonts w:ascii="Times New Roman" w:hAnsi="Times New Roman" w:cs="Times New Roman"/>
                <w:sz w:val="24"/>
                <w:szCs w:val="24"/>
              </w:rPr>
            </w:pPr>
            <w:r w:rsidRPr="00920BFC">
              <w:rPr>
                <w:rFonts w:ascii="Times New Roman" w:hAnsi="Times New Roman" w:cs="Times New Roman"/>
                <w:sz w:val="24"/>
                <w:szCs w:val="24"/>
              </w:rPr>
              <w:t>3.004</w:t>
            </w:r>
          </w:p>
        </w:tc>
      </w:tr>
    </w:tbl>
    <w:p w14:paraId="3888E1A2" w14:textId="502A9F99" w:rsidR="00C631E1" w:rsidRPr="00920BFC" w:rsidRDefault="00920BFC" w:rsidP="003F5C2D">
      <w:pPr>
        <w:spacing w:after="0" w:line="240" w:lineRule="auto"/>
        <w:jc w:val="both"/>
        <w:rPr>
          <w:rFonts w:ascii="Times New Roman" w:hAnsi="Times New Roman" w:cs="Times New Roman"/>
          <w:i/>
          <w:iCs/>
          <w:sz w:val="24"/>
          <w:szCs w:val="24"/>
        </w:rPr>
      </w:pPr>
      <w:r w:rsidRPr="00920BFC">
        <w:rPr>
          <w:rFonts w:ascii="Times New Roman" w:hAnsi="Times New Roman" w:cs="Times New Roman"/>
          <w:i/>
          <w:iCs/>
          <w:sz w:val="24"/>
          <w:szCs w:val="24"/>
        </w:rPr>
        <w:t>Model Statistics: R = 0.787, R² = 0.619, Adjusted R² = 0.614, F = 132.678, p &lt; .001, Durbin–Watson = 1.967.</w:t>
      </w:r>
    </w:p>
    <w:p w14:paraId="72E79809" w14:textId="77777777" w:rsidR="00920BFC" w:rsidRDefault="00920BFC" w:rsidP="003F5C2D">
      <w:pPr>
        <w:spacing w:after="0" w:line="240" w:lineRule="auto"/>
        <w:jc w:val="both"/>
        <w:rPr>
          <w:rFonts w:ascii="Times New Roman" w:hAnsi="Times New Roman" w:cs="Times New Roman"/>
          <w:b/>
          <w:bCs/>
          <w:sz w:val="28"/>
          <w:szCs w:val="28"/>
        </w:rPr>
      </w:pPr>
    </w:p>
    <w:p w14:paraId="1F209D66" w14:textId="4CBC67D1" w:rsidR="003F5C2D" w:rsidRDefault="003F5C2D" w:rsidP="003F5C2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21845E91" w14:textId="77777777" w:rsidR="00CD6A39" w:rsidRDefault="00CD6A39" w:rsidP="00CD6A39">
      <w:pPr>
        <w:spacing w:after="0" w:line="240" w:lineRule="auto"/>
        <w:jc w:val="both"/>
        <w:rPr>
          <w:rFonts w:ascii="Times New Roman" w:hAnsi="Times New Roman" w:cs="Times New Roman"/>
          <w:sz w:val="24"/>
          <w:szCs w:val="24"/>
        </w:rPr>
      </w:pPr>
    </w:p>
    <w:p w14:paraId="65F562B2" w14:textId="1B1F797D" w:rsidR="00CD6A39" w:rsidRPr="00CD6A39" w:rsidRDefault="00CD6A39" w:rsidP="00CD6A39">
      <w:pPr>
        <w:spacing w:after="0" w:line="240" w:lineRule="auto"/>
        <w:jc w:val="both"/>
        <w:rPr>
          <w:rFonts w:ascii="Times New Roman" w:hAnsi="Times New Roman" w:cs="Times New Roman"/>
          <w:sz w:val="24"/>
          <w:szCs w:val="24"/>
        </w:rPr>
      </w:pPr>
      <w:r w:rsidRPr="00CD6A39">
        <w:rPr>
          <w:rFonts w:ascii="Times New Roman" w:hAnsi="Times New Roman" w:cs="Times New Roman"/>
          <w:sz w:val="24"/>
          <w:szCs w:val="24"/>
        </w:rPr>
        <w:t>The present study examined the effect of mobile learning quality on user satisfaction among Malaysian research students based on the Information Systems Success Model (DeLone &amp; McLean, 2003). The findings indicate that system quality, information quality, and service quality all have significant positive effects on user satisfaction. These results support the Information Systems Success Model, which proposes that users' satisfaction with an information system is influenced by the quality of the system, the information it provides, and the services that support its use. The regression model further demonstrated that the three dimensions of mobile learning quality collectively explained 61.9% of the variance in user satisfaction, indicating that mobile learning quality is an important determinant of students' satisfaction within higher education.</w:t>
      </w:r>
    </w:p>
    <w:p w14:paraId="445B32DE" w14:textId="77777777" w:rsidR="00CD6A39" w:rsidRDefault="00CD6A39" w:rsidP="00CD6A39">
      <w:pPr>
        <w:spacing w:after="0" w:line="240" w:lineRule="auto"/>
        <w:jc w:val="both"/>
        <w:rPr>
          <w:rFonts w:ascii="Times New Roman" w:hAnsi="Times New Roman" w:cs="Times New Roman"/>
          <w:sz w:val="24"/>
          <w:szCs w:val="24"/>
        </w:rPr>
      </w:pPr>
    </w:p>
    <w:p w14:paraId="11D83FAD" w14:textId="6E2CB651" w:rsidR="00CD6A39" w:rsidRPr="00CD6A39" w:rsidRDefault="00CD6A39" w:rsidP="00CD6A39">
      <w:pPr>
        <w:spacing w:after="0" w:line="240" w:lineRule="auto"/>
        <w:jc w:val="both"/>
        <w:rPr>
          <w:rFonts w:ascii="Times New Roman" w:hAnsi="Times New Roman" w:cs="Times New Roman"/>
          <w:sz w:val="24"/>
          <w:szCs w:val="24"/>
        </w:rPr>
      </w:pPr>
      <w:r w:rsidRPr="00CD6A39">
        <w:rPr>
          <w:rFonts w:ascii="Times New Roman" w:hAnsi="Times New Roman" w:cs="Times New Roman"/>
          <w:sz w:val="24"/>
          <w:szCs w:val="24"/>
        </w:rPr>
        <w:t xml:space="preserve">Among the three dimensions, information quality emerged as the strongest predictor of user satisfaction. This finding suggests that research students place greater importance on receiving accurate, relevant, reliable, and up-to-date information when using mobile learning platforms. Unlike undergraduate students, research students frequently engage in literature reviews, academic writing, information retrieval, and knowledge synthesis. Consequently, the quality of information provided through mobile learning systems plays a crucial role in supporting their academic and research activities. This finding is consistent with Almaiah and Alismaiel (2019), </w:t>
      </w:r>
      <w:r w:rsidRPr="00CD6A39">
        <w:rPr>
          <w:rFonts w:ascii="Times New Roman" w:hAnsi="Times New Roman" w:cs="Times New Roman"/>
          <w:sz w:val="24"/>
          <w:szCs w:val="24"/>
        </w:rPr>
        <w:lastRenderedPageBreak/>
        <w:t>who reported that information quality significantly enhances students' satisfaction with mobile learning systems. Similarly, Al-Fraihat et al. (2020) found that high-quality learning content contributes substantially to user satisfaction and the overall success of digital learning environments.</w:t>
      </w:r>
    </w:p>
    <w:p w14:paraId="20E43491" w14:textId="77777777" w:rsidR="00CD6A39" w:rsidRDefault="00CD6A39" w:rsidP="00CD6A39">
      <w:pPr>
        <w:spacing w:after="0" w:line="240" w:lineRule="auto"/>
        <w:jc w:val="both"/>
        <w:rPr>
          <w:rFonts w:ascii="Times New Roman" w:hAnsi="Times New Roman" w:cs="Times New Roman"/>
          <w:sz w:val="24"/>
          <w:szCs w:val="24"/>
        </w:rPr>
      </w:pPr>
    </w:p>
    <w:p w14:paraId="300F90BD" w14:textId="79BB48C9" w:rsidR="00CD6A39" w:rsidRPr="00CD6A39" w:rsidRDefault="00CD6A39" w:rsidP="00CD6A39">
      <w:pPr>
        <w:spacing w:after="0" w:line="240" w:lineRule="auto"/>
        <w:jc w:val="both"/>
        <w:rPr>
          <w:rFonts w:ascii="Times New Roman" w:hAnsi="Times New Roman" w:cs="Times New Roman"/>
          <w:sz w:val="24"/>
          <w:szCs w:val="24"/>
        </w:rPr>
      </w:pPr>
      <w:r w:rsidRPr="00CD6A39">
        <w:rPr>
          <w:rFonts w:ascii="Times New Roman" w:hAnsi="Times New Roman" w:cs="Times New Roman"/>
          <w:sz w:val="24"/>
          <w:szCs w:val="24"/>
        </w:rPr>
        <w:t>The findings also revealed that service quality positively influenced user satisfaction. This indicates that responsive technical support, reliable services, and timely assistance contribute to positive learning experiences among research students. As mobile learning increasingly incorporates cloud-based platforms and AI-enabled technologies, users expect efficient support services to ensure uninterrupted access to learning resources. This result is consistent with previous studies that identified service quality as an important factor influencing satisfaction with e-learning and mobile learning systems (Al-Fraihat et al., 2020; DeLone &amp; McLean, 2003).</w:t>
      </w:r>
    </w:p>
    <w:p w14:paraId="2FB54E98" w14:textId="77777777" w:rsidR="00CD6A39" w:rsidRDefault="00CD6A39" w:rsidP="00CD6A39">
      <w:pPr>
        <w:spacing w:after="0" w:line="240" w:lineRule="auto"/>
        <w:jc w:val="both"/>
        <w:rPr>
          <w:rFonts w:ascii="Times New Roman" w:hAnsi="Times New Roman" w:cs="Times New Roman"/>
          <w:sz w:val="24"/>
          <w:szCs w:val="24"/>
        </w:rPr>
      </w:pPr>
    </w:p>
    <w:p w14:paraId="603061AC" w14:textId="43274880" w:rsidR="00CD6A39" w:rsidRPr="00CD6A39" w:rsidRDefault="00CD6A39" w:rsidP="00CD6A39">
      <w:pPr>
        <w:spacing w:after="0" w:line="240" w:lineRule="auto"/>
        <w:jc w:val="both"/>
        <w:rPr>
          <w:rFonts w:ascii="Times New Roman" w:hAnsi="Times New Roman" w:cs="Times New Roman"/>
          <w:sz w:val="24"/>
          <w:szCs w:val="24"/>
        </w:rPr>
      </w:pPr>
      <w:r w:rsidRPr="00CD6A39">
        <w:rPr>
          <w:rFonts w:ascii="Times New Roman" w:hAnsi="Times New Roman" w:cs="Times New Roman"/>
          <w:sz w:val="24"/>
          <w:szCs w:val="24"/>
        </w:rPr>
        <w:t xml:space="preserve">Furthermore, system quality was found to have a significant positive effect on user satisfaction, although its influence was </w:t>
      </w:r>
      <w:r w:rsidRPr="00CD6A39">
        <w:rPr>
          <w:rFonts w:ascii="Times New Roman" w:hAnsi="Times New Roman" w:cs="Times New Roman"/>
          <w:sz w:val="24"/>
          <w:szCs w:val="24"/>
        </w:rPr>
        <w:t>smaller than</w:t>
      </w:r>
      <w:r w:rsidRPr="00CD6A39">
        <w:rPr>
          <w:rFonts w:ascii="Times New Roman" w:hAnsi="Times New Roman" w:cs="Times New Roman"/>
          <w:sz w:val="24"/>
          <w:szCs w:val="24"/>
        </w:rPr>
        <w:t xml:space="preserve"> information quality and service quality. This suggests that research students consider system stability, accessibility, usability, and ease of navigation to be essential prerequisites for effective mobile learning. However, once acceptable system performance has been achieved, the quality of academic information appears to become the primary factor shaping overall satisfaction. This finding supports the Information Systems Success Model and reinforces previous empirical evidence reported by Almaiah and Alismaiel (2019), who concluded that high-quality mobile learning systems improve students' learning experiences and satisfaction.</w:t>
      </w:r>
    </w:p>
    <w:p w14:paraId="28CF8C93" w14:textId="77777777" w:rsidR="00CD6A39" w:rsidRDefault="00CD6A39" w:rsidP="00CD6A39">
      <w:pPr>
        <w:spacing w:after="0" w:line="240" w:lineRule="auto"/>
        <w:jc w:val="both"/>
        <w:rPr>
          <w:rFonts w:ascii="Times New Roman" w:hAnsi="Times New Roman" w:cs="Times New Roman"/>
          <w:sz w:val="24"/>
          <w:szCs w:val="24"/>
        </w:rPr>
      </w:pPr>
    </w:p>
    <w:p w14:paraId="3B1FFA79" w14:textId="55152F97" w:rsidR="00CD6A39" w:rsidRPr="00CD6A39" w:rsidRDefault="00CD6A39" w:rsidP="00CD6A39">
      <w:pPr>
        <w:spacing w:after="0" w:line="240" w:lineRule="auto"/>
        <w:jc w:val="both"/>
        <w:rPr>
          <w:rFonts w:ascii="Times New Roman" w:hAnsi="Times New Roman" w:cs="Times New Roman"/>
          <w:sz w:val="24"/>
          <w:szCs w:val="24"/>
        </w:rPr>
      </w:pPr>
      <w:r w:rsidRPr="00CD6A39">
        <w:rPr>
          <w:rFonts w:ascii="Times New Roman" w:hAnsi="Times New Roman" w:cs="Times New Roman"/>
          <w:sz w:val="24"/>
          <w:szCs w:val="24"/>
        </w:rPr>
        <w:t>Overall, the findings demonstrate that enhancing mobile learning quality requires higher education institutions to focus not only on developing technically reliable systems but also on ensuring the availability of high-quality learning content and responsive support services. These improvements are particularly important for research students, whose academic activities depend heavily on continuous access to reliable digital information and mobile learning technologies.</w:t>
      </w:r>
    </w:p>
    <w:p w14:paraId="3FA4532C" w14:textId="77777777" w:rsidR="00CD6A39" w:rsidRPr="00CD6A39" w:rsidRDefault="00CD6A39" w:rsidP="003F5C2D">
      <w:pPr>
        <w:spacing w:after="0" w:line="240" w:lineRule="auto"/>
        <w:jc w:val="both"/>
        <w:rPr>
          <w:rFonts w:ascii="Times New Roman" w:hAnsi="Times New Roman" w:cs="Times New Roman"/>
          <w:sz w:val="24"/>
          <w:szCs w:val="24"/>
        </w:rPr>
      </w:pPr>
    </w:p>
    <w:p w14:paraId="7E7BF4A9" w14:textId="7349618C" w:rsidR="003F5C2D" w:rsidRDefault="003F5C2D" w:rsidP="003F5C2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r w:rsidR="00AF728E">
        <w:rPr>
          <w:rFonts w:ascii="Times New Roman" w:hAnsi="Times New Roman" w:cs="Times New Roman"/>
          <w:b/>
          <w:bCs/>
          <w:sz w:val="28"/>
          <w:szCs w:val="28"/>
        </w:rPr>
        <w:t xml:space="preserve"> AND FUTURE RESEARCH</w:t>
      </w:r>
    </w:p>
    <w:p w14:paraId="431AAE02" w14:textId="77777777" w:rsidR="00E67BB4" w:rsidRDefault="00E67BB4" w:rsidP="003F5C2D">
      <w:pPr>
        <w:spacing w:after="0" w:line="240" w:lineRule="auto"/>
        <w:jc w:val="both"/>
        <w:rPr>
          <w:rFonts w:ascii="Times New Roman" w:hAnsi="Times New Roman" w:cs="Times New Roman"/>
          <w:b/>
          <w:bCs/>
          <w:sz w:val="28"/>
          <w:szCs w:val="28"/>
        </w:rPr>
      </w:pPr>
    </w:p>
    <w:p w14:paraId="55915BE1" w14:textId="77777777" w:rsidR="00AD44FE" w:rsidRPr="00CA6AA9" w:rsidRDefault="00AD44FE" w:rsidP="00AD44FE">
      <w:pPr>
        <w:spacing w:after="0" w:line="240" w:lineRule="auto"/>
        <w:jc w:val="both"/>
        <w:rPr>
          <w:rFonts w:ascii="Times New Roman" w:hAnsi="Times New Roman" w:cs="Times New Roman"/>
          <w:sz w:val="24"/>
          <w:szCs w:val="24"/>
        </w:rPr>
      </w:pPr>
      <w:r w:rsidRPr="00CA6AA9">
        <w:rPr>
          <w:rFonts w:ascii="Times New Roman" w:hAnsi="Times New Roman" w:cs="Times New Roman"/>
          <w:sz w:val="24"/>
          <w:szCs w:val="24"/>
        </w:rPr>
        <w:t>This study examined the effect of mobile learning quality on user satisfaction among Malaysian research students based on the Information Systems Success Model (ISSM). The findings revealed that system quality, information quality, and service quality all have significant positive effects on user satisfaction, with information quality emerging as the strongest predictor. These findings reinforce the proposition of the ISSM that the quality of digital learning systems is a fundamental determinant of user satisfaction and highlight the importance of providing reliable mobile learning platforms, accurate academic information, and responsive support services to enhance students' learning experiences.</w:t>
      </w:r>
    </w:p>
    <w:p w14:paraId="4958FF34" w14:textId="77777777" w:rsidR="00AD44FE" w:rsidRPr="00CA6AA9" w:rsidRDefault="00AD44FE" w:rsidP="00AD44FE">
      <w:pPr>
        <w:spacing w:after="0" w:line="240" w:lineRule="auto"/>
        <w:jc w:val="both"/>
        <w:rPr>
          <w:rFonts w:ascii="Times New Roman" w:hAnsi="Times New Roman" w:cs="Times New Roman"/>
          <w:sz w:val="24"/>
          <w:szCs w:val="24"/>
        </w:rPr>
      </w:pPr>
    </w:p>
    <w:p w14:paraId="447EAC1E" w14:textId="3B3708CA" w:rsidR="00AD44FE" w:rsidRPr="00CA6AA9" w:rsidRDefault="00AD44FE" w:rsidP="00AD44FE">
      <w:pPr>
        <w:spacing w:after="0" w:line="240" w:lineRule="auto"/>
        <w:jc w:val="both"/>
        <w:rPr>
          <w:rFonts w:ascii="Times New Roman" w:hAnsi="Times New Roman" w:cs="Times New Roman"/>
          <w:sz w:val="24"/>
          <w:szCs w:val="24"/>
        </w:rPr>
      </w:pPr>
      <w:r w:rsidRPr="00CA6AA9">
        <w:rPr>
          <w:rFonts w:ascii="Times New Roman" w:hAnsi="Times New Roman" w:cs="Times New Roman"/>
          <w:sz w:val="24"/>
          <w:szCs w:val="24"/>
        </w:rPr>
        <w:t>The study contributes to the growing body of knowledge on mobile learning by extending the application of the ISSM to the context of Malaysian research students, a population that has received relatively limited empirical attention. The findings also provide practical implications for higher education institutions, educators, system developers, and policymakers by emphasizing the need to continuously improve the quality of mobile learning environments as universities increasingly integrate artificial intelligence (AI)-enabled technologies into teaching, learning, and research. Enhancing the quality of mobile learning systems is expected to support not only students' satisfaction but also their research productivity, knowledge acquisition, and lifelong learning.</w:t>
      </w:r>
    </w:p>
    <w:p w14:paraId="10290B54" w14:textId="77777777" w:rsidR="00AD44FE" w:rsidRPr="00CA6AA9" w:rsidRDefault="00AD44FE" w:rsidP="00AD44FE">
      <w:pPr>
        <w:spacing w:after="0" w:line="240" w:lineRule="auto"/>
        <w:jc w:val="both"/>
        <w:rPr>
          <w:rFonts w:ascii="Times New Roman" w:hAnsi="Times New Roman" w:cs="Times New Roman"/>
          <w:sz w:val="24"/>
          <w:szCs w:val="24"/>
        </w:rPr>
      </w:pPr>
    </w:p>
    <w:p w14:paraId="4A9DCB85" w14:textId="76435537" w:rsidR="00AD44FE" w:rsidRPr="00CA6AA9" w:rsidRDefault="00AD44FE" w:rsidP="00AD44FE">
      <w:pPr>
        <w:spacing w:after="0" w:line="240" w:lineRule="auto"/>
        <w:jc w:val="both"/>
        <w:rPr>
          <w:rFonts w:ascii="Times New Roman" w:hAnsi="Times New Roman" w:cs="Times New Roman"/>
          <w:sz w:val="24"/>
          <w:szCs w:val="24"/>
        </w:rPr>
      </w:pPr>
      <w:r w:rsidRPr="00CA6AA9">
        <w:rPr>
          <w:rFonts w:ascii="Times New Roman" w:hAnsi="Times New Roman" w:cs="Times New Roman"/>
          <w:sz w:val="24"/>
          <w:szCs w:val="24"/>
        </w:rPr>
        <w:t>Although the present study provides valuable empirical evidence, several opportunities remain for future research. Future studies may incorporate additional variables, such as AI readiness, digital literacy, trust in AI-enabled technologies, self-directed learning, or perceived usefulness, to develop a more comprehensive understanding of user satisfaction in mobile learning environments. In addition, comparative studies involving different student populations, higher education institutions, or cross-country settings would improve the generalisability of the findings. Future researchers are also encouraged to employ longitudinal designs or structural equation modelling to further examine the complex relationships among mobile learning quality dimensions and user satisfaction over time.</w:t>
      </w:r>
    </w:p>
    <w:p w14:paraId="141EB912" w14:textId="77777777" w:rsidR="00E67BB4" w:rsidRDefault="00E67BB4" w:rsidP="003F5C2D">
      <w:pPr>
        <w:spacing w:after="0" w:line="240" w:lineRule="auto"/>
        <w:jc w:val="both"/>
        <w:rPr>
          <w:rFonts w:ascii="Times New Roman" w:hAnsi="Times New Roman" w:cs="Times New Roman"/>
          <w:b/>
          <w:bCs/>
          <w:sz w:val="28"/>
          <w:szCs w:val="28"/>
        </w:rPr>
      </w:pPr>
    </w:p>
    <w:p w14:paraId="6A56DE7D" w14:textId="77777777" w:rsidR="00AD44FE" w:rsidRDefault="00AD44FE" w:rsidP="003F5C2D">
      <w:pPr>
        <w:spacing w:after="0" w:line="240" w:lineRule="auto"/>
        <w:jc w:val="both"/>
        <w:rPr>
          <w:rFonts w:ascii="Times New Roman" w:hAnsi="Times New Roman" w:cs="Times New Roman"/>
          <w:b/>
          <w:bCs/>
          <w:sz w:val="28"/>
          <w:szCs w:val="28"/>
        </w:rPr>
      </w:pPr>
    </w:p>
    <w:p w14:paraId="1CE5138A" w14:textId="77777777" w:rsidR="00CF4FE6" w:rsidRDefault="00CF4FE6" w:rsidP="003F5C2D">
      <w:pPr>
        <w:spacing w:after="0" w:line="240" w:lineRule="auto"/>
        <w:jc w:val="both"/>
        <w:rPr>
          <w:rFonts w:ascii="Times New Roman" w:hAnsi="Times New Roman" w:cs="Times New Roman"/>
          <w:b/>
          <w:bCs/>
          <w:sz w:val="28"/>
          <w:szCs w:val="28"/>
        </w:rPr>
      </w:pPr>
    </w:p>
    <w:p w14:paraId="6F49A8F0" w14:textId="3CB5936A" w:rsidR="003F5C2D" w:rsidRDefault="003F5C2D" w:rsidP="003F5C2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14E65451" w14:textId="77777777" w:rsidR="00512016" w:rsidRDefault="00512016" w:rsidP="003F5C2D">
      <w:pPr>
        <w:spacing w:after="0" w:line="240" w:lineRule="auto"/>
        <w:jc w:val="both"/>
        <w:rPr>
          <w:rFonts w:ascii="Times New Roman" w:hAnsi="Times New Roman" w:cs="Times New Roman"/>
          <w:sz w:val="28"/>
          <w:szCs w:val="28"/>
        </w:rPr>
      </w:pPr>
    </w:p>
    <w:p w14:paraId="069C8FDF" w14:textId="13A44184" w:rsidR="00512016" w:rsidRPr="00512016" w:rsidRDefault="00512016" w:rsidP="003F5C2D">
      <w:pPr>
        <w:spacing w:after="0" w:line="240" w:lineRule="auto"/>
        <w:jc w:val="both"/>
        <w:rPr>
          <w:rFonts w:ascii="Times New Roman" w:hAnsi="Times New Roman" w:cs="Times New Roman"/>
          <w:sz w:val="28"/>
          <w:szCs w:val="28"/>
        </w:rPr>
      </w:pPr>
      <w:r w:rsidRPr="00512016">
        <w:rPr>
          <w:rFonts w:ascii="Times New Roman" w:hAnsi="Times New Roman" w:cs="Times New Roman"/>
          <w:sz w:val="28"/>
          <w:szCs w:val="28"/>
        </w:rPr>
        <w:t>The authors would like to express their sincere appreciation to all research students who voluntarily participated in this study. The authors also acknowledge the support provided by the respective Malaysian higher education institutions in facilitating the data collection process. Their valuable contributions have made this research possible.</w:t>
      </w:r>
      <w:r w:rsidR="00342B52">
        <w:rPr>
          <w:rFonts w:ascii="Times New Roman" w:hAnsi="Times New Roman" w:cs="Times New Roman"/>
          <w:sz w:val="28"/>
          <w:szCs w:val="28"/>
        </w:rPr>
        <w:t xml:space="preserve"> Not forgetting the authors, Suryani Che Din, </w:t>
      </w:r>
      <w:r w:rsidR="005965A1" w:rsidRPr="005965A1">
        <w:rPr>
          <w:rFonts w:ascii="Times New Roman" w:hAnsi="Times New Roman" w:cs="Times New Roman"/>
          <w:sz w:val="28"/>
          <w:szCs w:val="28"/>
        </w:rPr>
        <w:t>Assoc. Prof. Datin Sri Dr. Nazura Mohamed Sayuti</w:t>
      </w:r>
      <w:r w:rsidR="005965A1">
        <w:rPr>
          <w:rFonts w:ascii="Times New Roman" w:hAnsi="Times New Roman" w:cs="Times New Roman"/>
          <w:sz w:val="28"/>
          <w:szCs w:val="28"/>
        </w:rPr>
        <w:t xml:space="preserve">, and </w:t>
      </w:r>
      <w:r w:rsidR="005965A1" w:rsidRPr="005965A1">
        <w:rPr>
          <w:rFonts w:ascii="Times New Roman" w:hAnsi="Times New Roman" w:cs="Times New Roman"/>
          <w:sz w:val="28"/>
          <w:szCs w:val="28"/>
        </w:rPr>
        <w:t>Assoc. Prof. Dr. Melissa Shahrom</w:t>
      </w:r>
      <w:r w:rsidR="005965A1">
        <w:rPr>
          <w:rFonts w:ascii="Times New Roman" w:hAnsi="Times New Roman" w:cs="Times New Roman"/>
          <w:sz w:val="28"/>
          <w:szCs w:val="28"/>
        </w:rPr>
        <w:t xml:space="preserve"> for this valuable PhD theses journey.</w:t>
      </w:r>
    </w:p>
    <w:p w14:paraId="06F742F6" w14:textId="77777777" w:rsidR="00E15598" w:rsidRDefault="00E15598" w:rsidP="00761F48">
      <w:pPr>
        <w:spacing w:line="240" w:lineRule="auto"/>
        <w:jc w:val="both"/>
        <w:rPr>
          <w:rFonts w:ascii="Times New Roman" w:hAnsi="Times New Roman" w:cs="Times New Roman"/>
          <w:b/>
          <w:bCs/>
          <w:sz w:val="24"/>
          <w:szCs w:val="24"/>
        </w:rPr>
      </w:pPr>
    </w:p>
    <w:p w14:paraId="6F5273B9" w14:textId="3237A17A" w:rsidR="00E15598" w:rsidRPr="00873143" w:rsidRDefault="00E15598" w:rsidP="00761F48">
      <w:pPr>
        <w:spacing w:line="240" w:lineRule="auto"/>
        <w:jc w:val="both"/>
        <w:rPr>
          <w:rFonts w:ascii="Times New Roman" w:hAnsi="Times New Roman" w:cs="Times New Roman"/>
          <w:b/>
          <w:bCs/>
          <w:sz w:val="28"/>
          <w:szCs w:val="28"/>
        </w:rPr>
      </w:pPr>
      <w:r w:rsidRPr="00873143">
        <w:rPr>
          <w:rFonts w:ascii="Times New Roman" w:hAnsi="Times New Roman" w:cs="Times New Roman"/>
          <w:b/>
          <w:bCs/>
          <w:sz w:val="28"/>
          <w:szCs w:val="28"/>
        </w:rPr>
        <w:t>REFERENCES</w:t>
      </w:r>
    </w:p>
    <w:p w14:paraId="481F330F" w14:textId="5DEA0DD3" w:rsidR="00314E32" w:rsidRDefault="00314E32"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314E32">
        <w:rPr>
          <w:rFonts w:ascii="Times New Roman" w:hAnsi="Times New Roman" w:cs="Times New Roman"/>
          <w:sz w:val="24"/>
          <w:szCs w:val="24"/>
        </w:rPr>
        <w:t xml:space="preserve">Aparicio, M., Bacao, F., &amp; Oliveira, T. (2017). Grit in the path to e-learning success. </w:t>
      </w:r>
      <w:r w:rsidRPr="00314E32">
        <w:rPr>
          <w:rFonts w:ascii="Times New Roman" w:hAnsi="Times New Roman" w:cs="Times New Roman"/>
          <w:i/>
          <w:iCs/>
          <w:sz w:val="24"/>
          <w:szCs w:val="24"/>
        </w:rPr>
        <w:t>Computers in Human Behavior, 66</w:t>
      </w:r>
      <w:r w:rsidRPr="00314E32">
        <w:rPr>
          <w:rFonts w:ascii="Times New Roman" w:hAnsi="Times New Roman" w:cs="Times New Roman"/>
          <w:sz w:val="24"/>
          <w:szCs w:val="24"/>
        </w:rPr>
        <w:t>, 388–399.</w:t>
      </w:r>
    </w:p>
    <w:p w14:paraId="2167D3EC" w14:textId="15786DF6" w:rsidR="0055004F" w:rsidRPr="00873143" w:rsidRDefault="0055004F"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873143">
        <w:rPr>
          <w:rFonts w:ascii="Times New Roman" w:hAnsi="Times New Roman" w:cs="Times New Roman"/>
          <w:sz w:val="24"/>
          <w:szCs w:val="24"/>
        </w:rPr>
        <w:t xml:space="preserve">Al-Emran, M., Elsherif, H. M., &amp; Shaalan, K. (2020). Mobile learning for higher education: Trends and challenges. </w:t>
      </w:r>
      <w:r w:rsidRPr="00873143">
        <w:rPr>
          <w:rFonts w:ascii="Times New Roman" w:hAnsi="Times New Roman" w:cs="Times New Roman"/>
          <w:i/>
          <w:iCs/>
          <w:sz w:val="24"/>
          <w:szCs w:val="24"/>
        </w:rPr>
        <w:t>Education and Information Technologies, 25</w:t>
      </w:r>
      <w:r w:rsidRPr="00873143">
        <w:rPr>
          <w:rFonts w:ascii="Times New Roman" w:hAnsi="Times New Roman" w:cs="Times New Roman"/>
          <w:sz w:val="24"/>
          <w:szCs w:val="24"/>
        </w:rPr>
        <w:t xml:space="preserve">(3), 1–14. </w:t>
      </w:r>
      <w:hyperlink r:id="rId8" w:tgtFrame="_new" w:history="1">
        <w:r w:rsidRPr="00873143">
          <w:rPr>
            <w:rStyle w:val="Hyperlink"/>
            <w:rFonts w:ascii="Times New Roman" w:hAnsi="Times New Roman" w:cs="Times New Roman"/>
            <w:sz w:val="24"/>
            <w:szCs w:val="24"/>
          </w:rPr>
          <w:t>https://doi.org/10.1007/s10639-019-10027-7</w:t>
        </w:r>
      </w:hyperlink>
    </w:p>
    <w:p w14:paraId="2739C40D" w14:textId="77777777" w:rsidR="0055004F" w:rsidRPr="00873143" w:rsidRDefault="0055004F"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873143">
        <w:rPr>
          <w:rFonts w:ascii="Times New Roman" w:hAnsi="Times New Roman" w:cs="Times New Roman"/>
          <w:sz w:val="24"/>
          <w:szCs w:val="24"/>
        </w:rPr>
        <w:t xml:space="preserve">Al-Fraihat, D., Joy, M., &amp; Sinclair, J. (2020). Evaluating e-learning systems success: An empirical study. </w:t>
      </w:r>
      <w:r w:rsidRPr="00873143">
        <w:rPr>
          <w:rFonts w:ascii="Times New Roman" w:hAnsi="Times New Roman" w:cs="Times New Roman"/>
          <w:i/>
          <w:iCs/>
          <w:sz w:val="24"/>
          <w:szCs w:val="24"/>
        </w:rPr>
        <w:t>Computers in Human Behavior, 102</w:t>
      </w:r>
      <w:r w:rsidRPr="00873143">
        <w:rPr>
          <w:rFonts w:ascii="Times New Roman" w:hAnsi="Times New Roman" w:cs="Times New Roman"/>
          <w:sz w:val="24"/>
          <w:szCs w:val="24"/>
        </w:rPr>
        <w:t xml:space="preserve">, 67–86. </w:t>
      </w:r>
      <w:hyperlink r:id="rId9" w:tgtFrame="_new" w:history="1">
        <w:r w:rsidRPr="00873143">
          <w:rPr>
            <w:rStyle w:val="Hyperlink"/>
            <w:rFonts w:ascii="Times New Roman" w:hAnsi="Times New Roman" w:cs="Times New Roman"/>
            <w:sz w:val="24"/>
            <w:szCs w:val="24"/>
          </w:rPr>
          <w:t>https://doi.org/10.1016/j.chb.2019.08.004</w:t>
        </w:r>
      </w:hyperlink>
    </w:p>
    <w:p w14:paraId="17A9AB16" w14:textId="76CD8998" w:rsidR="00005CC9" w:rsidRDefault="00005CC9"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005CC9">
        <w:rPr>
          <w:rFonts w:ascii="Times New Roman" w:hAnsi="Times New Roman" w:cs="Times New Roman"/>
          <w:sz w:val="24"/>
          <w:szCs w:val="24"/>
        </w:rPr>
        <w:t xml:space="preserve">Almaiah, M. A., &amp; Alismaiel, O. A. (2019). Examination of factors influencing the use of mobile learning system: An empirical study. </w:t>
      </w:r>
      <w:r w:rsidRPr="00005CC9">
        <w:rPr>
          <w:rFonts w:ascii="Times New Roman" w:hAnsi="Times New Roman" w:cs="Times New Roman"/>
          <w:i/>
          <w:iCs/>
          <w:sz w:val="24"/>
          <w:szCs w:val="24"/>
        </w:rPr>
        <w:t>Education and Information Technologies, 24</w:t>
      </w:r>
      <w:r w:rsidRPr="00005CC9">
        <w:rPr>
          <w:rFonts w:ascii="Times New Roman" w:hAnsi="Times New Roman" w:cs="Times New Roman"/>
          <w:sz w:val="24"/>
          <w:szCs w:val="24"/>
        </w:rPr>
        <w:t>(1), 885–909.</w:t>
      </w:r>
    </w:p>
    <w:p w14:paraId="5D1A177B" w14:textId="580091E1" w:rsidR="00CA0853" w:rsidRDefault="00CA0853"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CA0853">
        <w:rPr>
          <w:rFonts w:ascii="Times New Roman" w:hAnsi="Times New Roman" w:cs="Times New Roman"/>
          <w:sz w:val="24"/>
          <w:szCs w:val="24"/>
        </w:rPr>
        <w:t xml:space="preserve">Cidral, W. A., Oliveira, T., Di Felice, M., &amp; Aparicio, M. (2018). E-learning success determinants: Brazilian empirical study. </w:t>
      </w:r>
      <w:r w:rsidRPr="00CA0853">
        <w:rPr>
          <w:rFonts w:ascii="Times New Roman" w:hAnsi="Times New Roman" w:cs="Times New Roman"/>
          <w:i/>
          <w:iCs/>
          <w:sz w:val="24"/>
          <w:szCs w:val="24"/>
        </w:rPr>
        <w:t>Computers &amp; Education, 122</w:t>
      </w:r>
      <w:r w:rsidRPr="00CA0853">
        <w:rPr>
          <w:rFonts w:ascii="Times New Roman" w:hAnsi="Times New Roman" w:cs="Times New Roman"/>
          <w:sz w:val="24"/>
          <w:szCs w:val="24"/>
        </w:rPr>
        <w:t>, 273–290.</w:t>
      </w:r>
    </w:p>
    <w:p w14:paraId="6E22ECDA" w14:textId="08C733C7" w:rsidR="0055004F" w:rsidRPr="00873143" w:rsidRDefault="0055004F"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873143">
        <w:rPr>
          <w:rFonts w:ascii="Times New Roman" w:hAnsi="Times New Roman" w:cs="Times New Roman"/>
          <w:sz w:val="24"/>
          <w:szCs w:val="24"/>
        </w:rPr>
        <w:t xml:space="preserve">Chaka, C., &amp; Govender, I. (2020). Mobile learning in higher education: A comparative analysis of student and lecturer perspectives. </w:t>
      </w:r>
      <w:r w:rsidRPr="00873143">
        <w:rPr>
          <w:rFonts w:ascii="Times New Roman" w:hAnsi="Times New Roman" w:cs="Times New Roman"/>
          <w:i/>
          <w:iCs/>
          <w:sz w:val="24"/>
          <w:szCs w:val="24"/>
        </w:rPr>
        <w:t>International Journal of Mobile and Blended Learning, 12</w:t>
      </w:r>
      <w:r w:rsidRPr="00873143">
        <w:rPr>
          <w:rFonts w:ascii="Times New Roman" w:hAnsi="Times New Roman" w:cs="Times New Roman"/>
          <w:sz w:val="24"/>
          <w:szCs w:val="24"/>
        </w:rPr>
        <w:t xml:space="preserve">(3), 19–37. </w:t>
      </w:r>
      <w:hyperlink r:id="rId10" w:tgtFrame="_new" w:history="1">
        <w:r w:rsidRPr="00873143">
          <w:rPr>
            <w:rStyle w:val="Hyperlink"/>
            <w:rFonts w:ascii="Times New Roman" w:hAnsi="Times New Roman" w:cs="Times New Roman"/>
            <w:sz w:val="24"/>
            <w:szCs w:val="24"/>
          </w:rPr>
          <w:t>https://doi.org/10.4018/IJMBL.2020070102</w:t>
        </w:r>
      </w:hyperlink>
    </w:p>
    <w:p w14:paraId="4CE567FF" w14:textId="77777777" w:rsidR="0055004F" w:rsidRPr="00873143" w:rsidRDefault="0055004F"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873143">
        <w:rPr>
          <w:rFonts w:ascii="Times New Roman" w:hAnsi="Times New Roman" w:cs="Times New Roman"/>
          <w:sz w:val="24"/>
          <w:szCs w:val="24"/>
        </w:rPr>
        <w:t xml:space="preserve">Crompton, H., &amp; Burke, D. (2018). The use of mobile learning in higher education: A systematic review. </w:t>
      </w:r>
      <w:r w:rsidRPr="00873143">
        <w:rPr>
          <w:rFonts w:ascii="Times New Roman" w:hAnsi="Times New Roman" w:cs="Times New Roman"/>
          <w:i/>
          <w:iCs/>
          <w:sz w:val="24"/>
          <w:szCs w:val="24"/>
        </w:rPr>
        <w:t>Computers &amp; Education, 123</w:t>
      </w:r>
      <w:r w:rsidRPr="00873143">
        <w:rPr>
          <w:rFonts w:ascii="Times New Roman" w:hAnsi="Times New Roman" w:cs="Times New Roman"/>
          <w:sz w:val="24"/>
          <w:szCs w:val="24"/>
        </w:rPr>
        <w:t xml:space="preserve">, 53–64. </w:t>
      </w:r>
      <w:hyperlink r:id="rId11" w:tgtFrame="_new" w:history="1">
        <w:r w:rsidRPr="00873143">
          <w:rPr>
            <w:rStyle w:val="Hyperlink"/>
            <w:rFonts w:ascii="Times New Roman" w:hAnsi="Times New Roman" w:cs="Times New Roman"/>
            <w:sz w:val="24"/>
            <w:szCs w:val="24"/>
          </w:rPr>
          <w:t>https://doi.org/10.1016/j.compedu.2018.04.007</w:t>
        </w:r>
      </w:hyperlink>
    </w:p>
    <w:p w14:paraId="17D384C5" w14:textId="77777777" w:rsidR="0055004F" w:rsidRPr="00873143" w:rsidRDefault="0055004F"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873143">
        <w:rPr>
          <w:rFonts w:ascii="Times New Roman" w:hAnsi="Times New Roman" w:cs="Times New Roman"/>
          <w:sz w:val="24"/>
          <w:szCs w:val="24"/>
        </w:rPr>
        <w:t xml:space="preserve">DeLone, W. H., &amp; McLean, E. R. (1992). Information systems success: The quest for the dependent variable. </w:t>
      </w:r>
      <w:r w:rsidRPr="00873143">
        <w:rPr>
          <w:rFonts w:ascii="Times New Roman" w:hAnsi="Times New Roman" w:cs="Times New Roman"/>
          <w:i/>
          <w:iCs/>
          <w:sz w:val="24"/>
          <w:szCs w:val="24"/>
        </w:rPr>
        <w:t>Information Systems Research, 3</w:t>
      </w:r>
      <w:r w:rsidRPr="00873143">
        <w:rPr>
          <w:rFonts w:ascii="Times New Roman" w:hAnsi="Times New Roman" w:cs="Times New Roman"/>
          <w:sz w:val="24"/>
          <w:szCs w:val="24"/>
        </w:rPr>
        <w:t>(1), 60–95.</w:t>
      </w:r>
    </w:p>
    <w:p w14:paraId="289938F5" w14:textId="77777777" w:rsidR="0055004F" w:rsidRPr="00873143" w:rsidRDefault="0055004F"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873143">
        <w:rPr>
          <w:rFonts w:ascii="Times New Roman" w:hAnsi="Times New Roman" w:cs="Times New Roman"/>
          <w:sz w:val="24"/>
          <w:szCs w:val="24"/>
        </w:rPr>
        <w:t xml:space="preserve">DeLone, W. H., &amp; McLean, E. R. (2003). The DeLone and McLean model of information systems success: A ten-year update. </w:t>
      </w:r>
      <w:r w:rsidRPr="00873143">
        <w:rPr>
          <w:rFonts w:ascii="Times New Roman" w:hAnsi="Times New Roman" w:cs="Times New Roman"/>
          <w:i/>
          <w:iCs/>
          <w:sz w:val="24"/>
          <w:szCs w:val="24"/>
        </w:rPr>
        <w:t>Journal of Management Information Systems, 19</w:t>
      </w:r>
      <w:r w:rsidRPr="00873143">
        <w:rPr>
          <w:rFonts w:ascii="Times New Roman" w:hAnsi="Times New Roman" w:cs="Times New Roman"/>
          <w:sz w:val="24"/>
          <w:szCs w:val="24"/>
        </w:rPr>
        <w:t>(4), 9–30.</w:t>
      </w:r>
    </w:p>
    <w:p w14:paraId="7AB6696F" w14:textId="0D271C93" w:rsidR="00C7001A" w:rsidRDefault="00C7001A"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C7001A">
        <w:rPr>
          <w:rFonts w:ascii="Times New Roman" w:hAnsi="Times New Roman" w:cs="Times New Roman"/>
          <w:sz w:val="24"/>
          <w:szCs w:val="24"/>
        </w:rPr>
        <w:t xml:space="preserve">Dwivedi, Y. K., Kshetri, N., Hughes, L., et al. (2023). “So what if ChatGPT wrote it?” Multidisciplinary perspectives on opportunities, challenges and implications of generative conversational AI for research, practice and policy. </w:t>
      </w:r>
      <w:r w:rsidRPr="00C7001A">
        <w:rPr>
          <w:rFonts w:ascii="Times New Roman" w:hAnsi="Times New Roman" w:cs="Times New Roman"/>
          <w:i/>
          <w:iCs/>
          <w:sz w:val="24"/>
          <w:szCs w:val="24"/>
        </w:rPr>
        <w:t>International Journal of Information Management, 71</w:t>
      </w:r>
      <w:r w:rsidRPr="00C7001A">
        <w:rPr>
          <w:rFonts w:ascii="Times New Roman" w:hAnsi="Times New Roman" w:cs="Times New Roman"/>
          <w:sz w:val="24"/>
          <w:szCs w:val="24"/>
        </w:rPr>
        <w:t xml:space="preserve">, 102642. </w:t>
      </w:r>
      <w:hyperlink r:id="rId12" w:tgtFrame="_new" w:history="1">
        <w:r w:rsidRPr="00C7001A">
          <w:rPr>
            <w:rStyle w:val="Hyperlink"/>
            <w:rFonts w:ascii="Times New Roman" w:hAnsi="Times New Roman" w:cs="Times New Roman"/>
            <w:sz w:val="24"/>
            <w:szCs w:val="24"/>
          </w:rPr>
          <w:t>https://doi.org/10.1016/j.ijinfomgt.2023.102642</w:t>
        </w:r>
      </w:hyperlink>
    </w:p>
    <w:p w14:paraId="0A120DDE" w14:textId="7EF172D2" w:rsidR="003A03D7" w:rsidRDefault="003A03D7"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3A03D7">
        <w:rPr>
          <w:rFonts w:ascii="Times New Roman" w:hAnsi="Times New Roman" w:cs="Times New Roman"/>
          <w:sz w:val="24"/>
          <w:szCs w:val="24"/>
        </w:rPr>
        <w:t xml:space="preserve">Fu, Q.-K., &amp; Hwang, G.-J. (2018). Trends in mobile technology-supported collaborative learning: A systematic review of journal publications from 2007 to 2016. </w:t>
      </w:r>
      <w:r w:rsidRPr="003A03D7">
        <w:rPr>
          <w:rFonts w:ascii="Times New Roman" w:hAnsi="Times New Roman" w:cs="Times New Roman"/>
          <w:i/>
          <w:iCs/>
          <w:sz w:val="24"/>
          <w:szCs w:val="24"/>
        </w:rPr>
        <w:t>Computers &amp; Education, 119</w:t>
      </w:r>
      <w:r w:rsidRPr="003A03D7">
        <w:rPr>
          <w:rFonts w:ascii="Times New Roman" w:hAnsi="Times New Roman" w:cs="Times New Roman"/>
          <w:sz w:val="24"/>
          <w:szCs w:val="24"/>
        </w:rPr>
        <w:t xml:space="preserve">, 129–143. </w:t>
      </w:r>
      <w:hyperlink r:id="rId13" w:history="1">
        <w:r w:rsidRPr="00B66655">
          <w:rPr>
            <w:rStyle w:val="Hyperlink"/>
            <w:rFonts w:ascii="Times New Roman" w:hAnsi="Times New Roman" w:cs="Times New Roman"/>
            <w:sz w:val="24"/>
            <w:szCs w:val="24"/>
          </w:rPr>
          <w:t>https://doi.org/10.1016/j.compedu.2018.01.004</w:t>
        </w:r>
      </w:hyperlink>
    </w:p>
    <w:p w14:paraId="135D3979" w14:textId="0F389E00" w:rsidR="00267E26" w:rsidRDefault="00267E26"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267E26">
        <w:rPr>
          <w:rFonts w:ascii="Times New Roman" w:hAnsi="Times New Roman" w:cs="Times New Roman"/>
          <w:sz w:val="24"/>
          <w:szCs w:val="24"/>
        </w:rPr>
        <w:t xml:space="preserve">Hair, J. F., Black, W. C., Babin, B. J., &amp; Anderson, R. E. (2019). </w:t>
      </w:r>
      <w:r w:rsidRPr="00267E26">
        <w:rPr>
          <w:rFonts w:ascii="Times New Roman" w:hAnsi="Times New Roman" w:cs="Times New Roman"/>
          <w:i/>
          <w:iCs/>
          <w:sz w:val="24"/>
          <w:szCs w:val="24"/>
        </w:rPr>
        <w:t>Multivariate Data Analysis</w:t>
      </w:r>
      <w:r w:rsidRPr="00267E26">
        <w:rPr>
          <w:rFonts w:ascii="Times New Roman" w:hAnsi="Times New Roman" w:cs="Times New Roman"/>
          <w:sz w:val="24"/>
          <w:szCs w:val="24"/>
        </w:rPr>
        <w:t xml:space="preserve"> (8th ed.). Cengage Learning.</w:t>
      </w:r>
    </w:p>
    <w:p w14:paraId="533BB8EE" w14:textId="5131B325" w:rsidR="003A03D7" w:rsidRDefault="003A03D7"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3A03D7">
        <w:rPr>
          <w:rFonts w:ascii="Times New Roman" w:hAnsi="Times New Roman" w:cs="Times New Roman"/>
          <w:sz w:val="24"/>
          <w:szCs w:val="24"/>
        </w:rPr>
        <w:t xml:space="preserve">Kasneci, E., Sessler, K., Küchemann, S., Bannert, M., Dementieva, D., Fischer, F., et al. (2023). ChatGPT for good? On opportunities and challenges of large language models for education. </w:t>
      </w:r>
      <w:r w:rsidRPr="003A03D7">
        <w:rPr>
          <w:rFonts w:ascii="Times New Roman" w:hAnsi="Times New Roman" w:cs="Times New Roman"/>
          <w:i/>
          <w:iCs/>
          <w:sz w:val="24"/>
          <w:szCs w:val="24"/>
        </w:rPr>
        <w:t>Learning and Individual Differences, 103</w:t>
      </w:r>
      <w:r w:rsidRPr="003A03D7">
        <w:rPr>
          <w:rFonts w:ascii="Times New Roman" w:hAnsi="Times New Roman" w:cs="Times New Roman"/>
          <w:sz w:val="24"/>
          <w:szCs w:val="24"/>
        </w:rPr>
        <w:t xml:space="preserve">, 102274. </w:t>
      </w:r>
      <w:hyperlink r:id="rId14" w:tgtFrame="_new" w:history="1">
        <w:r w:rsidRPr="003A03D7">
          <w:rPr>
            <w:rStyle w:val="Hyperlink"/>
            <w:rFonts w:ascii="Times New Roman" w:hAnsi="Times New Roman" w:cs="Times New Roman"/>
            <w:sz w:val="24"/>
            <w:szCs w:val="24"/>
          </w:rPr>
          <w:t>https://doi.org/10.1016/j.lindif.2023.102274</w:t>
        </w:r>
      </w:hyperlink>
    </w:p>
    <w:p w14:paraId="192ADC1C" w14:textId="4AB66B35" w:rsidR="0055004F" w:rsidRPr="00873143" w:rsidRDefault="0055004F"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873143">
        <w:rPr>
          <w:rFonts w:ascii="Times New Roman" w:hAnsi="Times New Roman" w:cs="Times New Roman"/>
          <w:sz w:val="24"/>
          <w:szCs w:val="24"/>
        </w:rPr>
        <w:t xml:space="preserve">Naveed, Q. N., Muhammad, A., &amp; Qureshi, M. R. N. (2023). Mobile learning in higher education: A systematic literature review. </w:t>
      </w:r>
      <w:r w:rsidRPr="00873143">
        <w:rPr>
          <w:rFonts w:ascii="Times New Roman" w:hAnsi="Times New Roman" w:cs="Times New Roman"/>
          <w:i/>
          <w:iCs/>
          <w:sz w:val="24"/>
          <w:szCs w:val="24"/>
        </w:rPr>
        <w:t>Sustainability, 15</w:t>
      </w:r>
      <w:r w:rsidRPr="00873143">
        <w:rPr>
          <w:rFonts w:ascii="Times New Roman" w:hAnsi="Times New Roman" w:cs="Times New Roman"/>
          <w:sz w:val="24"/>
          <w:szCs w:val="24"/>
        </w:rPr>
        <w:t xml:space="preserve">(3), 1876. </w:t>
      </w:r>
      <w:hyperlink r:id="rId15" w:tgtFrame="_new" w:history="1">
        <w:r w:rsidRPr="00873143">
          <w:rPr>
            <w:rStyle w:val="Hyperlink"/>
            <w:rFonts w:ascii="Times New Roman" w:hAnsi="Times New Roman" w:cs="Times New Roman"/>
            <w:sz w:val="24"/>
            <w:szCs w:val="24"/>
          </w:rPr>
          <w:t>https://doi.org/10.3390/su15031876</w:t>
        </w:r>
      </w:hyperlink>
    </w:p>
    <w:p w14:paraId="3E12C233" w14:textId="2BC9B50B" w:rsidR="00CA0853" w:rsidRDefault="00CA0853"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CA0853">
        <w:rPr>
          <w:rFonts w:ascii="Times New Roman" w:hAnsi="Times New Roman" w:cs="Times New Roman"/>
          <w:sz w:val="24"/>
          <w:szCs w:val="24"/>
        </w:rPr>
        <w:t xml:space="preserve">Petter, S., DeLone, W., &amp; McLean, E. (2008). Measuring information systems success: Models, dimensions, measures, and interrelationships. </w:t>
      </w:r>
      <w:r w:rsidRPr="00CA0853">
        <w:rPr>
          <w:rFonts w:ascii="Times New Roman" w:hAnsi="Times New Roman" w:cs="Times New Roman"/>
          <w:i/>
          <w:iCs/>
          <w:sz w:val="24"/>
          <w:szCs w:val="24"/>
        </w:rPr>
        <w:t>European Journal of Information Systems, 17</w:t>
      </w:r>
      <w:r w:rsidRPr="00CA0853">
        <w:rPr>
          <w:rFonts w:ascii="Times New Roman" w:hAnsi="Times New Roman" w:cs="Times New Roman"/>
          <w:sz w:val="24"/>
          <w:szCs w:val="24"/>
        </w:rPr>
        <w:t>(3), 236–263.</w:t>
      </w:r>
    </w:p>
    <w:p w14:paraId="1C4ACE21" w14:textId="06AD368F" w:rsidR="0055004F" w:rsidRPr="00B22E8B" w:rsidRDefault="0055004F"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873143">
        <w:rPr>
          <w:rFonts w:ascii="Times New Roman" w:hAnsi="Times New Roman" w:cs="Times New Roman"/>
          <w:sz w:val="24"/>
          <w:szCs w:val="24"/>
        </w:rPr>
        <w:t xml:space="preserve">Rahman, N. A., Ahmad, M. F., &amp; Alias, N. (2023). Factors influencing the quality of mobile learning systems: A cloud computing perspective. </w:t>
      </w:r>
      <w:r w:rsidRPr="00873143">
        <w:rPr>
          <w:rFonts w:ascii="Times New Roman" w:hAnsi="Times New Roman" w:cs="Times New Roman"/>
          <w:i/>
          <w:iCs/>
          <w:sz w:val="24"/>
          <w:szCs w:val="24"/>
        </w:rPr>
        <w:t>International Journal of Emerging Technologies in Learning, 18</w:t>
      </w:r>
      <w:r w:rsidRPr="00873143">
        <w:rPr>
          <w:rFonts w:ascii="Times New Roman" w:hAnsi="Times New Roman" w:cs="Times New Roman"/>
          <w:sz w:val="24"/>
          <w:szCs w:val="24"/>
        </w:rPr>
        <w:t xml:space="preserve">(2), 112–125. </w:t>
      </w:r>
      <w:hyperlink r:id="rId16" w:tgtFrame="_new" w:history="1">
        <w:r w:rsidRPr="00873143">
          <w:rPr>
            <w:rStyle w:val="Hyperlink"/>
            <w:rFonts w:ascii="Times New Roman" w:hAnsi="Times New Roman" w:cs="Times New Roman"/>
            <w:sz w:val="24"/>
            <w:szCs w:val="24"/>
          </w:rPr>
          <w:t>https://doi.org/10.3991/ijet.v18i02.36625</w:t>
        </w:r>
      </w:hyperlink>
    </w:p>
    <w:p w14:paraId="3109AB8E" w14:textId="03FE7F23" w:rsidR="00B22E8B" w:rsidRDefault="00B22E8B"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B22E8B">
        <w:rPr>
          <w:rFonts w:ascii="Times New Roman" w:hAnsi="Times New Roman" w:cs="Times New Roman"/>
          <w:sz w:val="24"/>
          <w:szCs w:val="24"/>
        </w:rPr>
        <w:t xml:space="preserve">Sophonhiranrak, S. (2021). Features, barriers, and influencing factors of mobile learning in higher education: A systematic review. </w:t>
      </w:r>
      <w:r w:rsidRPr="00B22E8B">
        <w:rPr>
          <w:rFonts w:ascii="Times New Roman" w:hAnsi="Times New Roman" w:cs="Times New Roman"/>
          <w:i/>
          <w:iCs/>
          <w:sz w:val="24"/>
          <w:szCs w:val="24"/>
        </w:rPr>
        <w:t>Heliyon, 7</w:t>
      </w:r>
      <w:r w:rsidRPr="00B22E8B">
        <w:rPr>
          <w:rFonts w:ascii="Times New Roman" w:hAnsi="Times New Roman" w:cs="Times New Roman"/>
          <w:sz w:val="24"/>
          <w:szCs w:val="24"/>
        </w:rPr>
        <w:t xml:space="preserve">(4), e06696. </w:t>
      </w:r>
      <w:hyperlink r:id="rId17" w:tgtFrame="_new" w:history="1">
        <w:r w:rsidRPr="00B22E8B">
          <w:rPr>
            <w:rStyle w:val="Hyperlink"/>
            <w:rFonts w:ascii="Times New Roman" w:hAnsi="Times New Roman" w:cs="Times New Roman"/>
            <w:sz w:val="24"/>
            <w:szCs w:val="24"/>
          </w:rPr>
          <w:t>https://doi.org/10.1016/j.heliyon.2021.e06696</w:t>
        </w:r>
      </w:hyperlink>
    </w:p>
    <w:p w14:paraId="1E055F55" w14:textId="34FD9EE4" w:rsidR="009E1116" w:rsidRDefault="009E1116"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9E1116">
        <w:rPr>
          <w:rFonts w:ascii="Times New Roman" w:hAnsi="Times New Roman" w:cs="Times New Roman"/>
          <w:sz w:val="24"/>
          <w:szCs w:val="24"/>
        </w:rPr>
        <w:lastRenderedPageBreak/>
        <w:t xml:space="preserve">Sung, Y.-T., Chang, K.-E., &amp; Liu, T.-C. (2016). The effects of integrating mobile devices with teaching and learning on students’ learning performance: A meta-analysis and research synthesis. </w:t>
      </w:r>
      <w:r w:rsidRPr="009E1116">
        <w:rPr>
          <w:rFonts w:ascii="Times New Roman" w:hAnsi="Times New Roman" w:cs="Times New Roman"/>
          <w:i/>
          <w:iCs/>
          <w:sz w:val="24"/>
          <w:szCs w:val="24"/>
        </w:rPr>
        <w:t>Computers &amp; Education, 94</w:t>
      </w:r>
      <w:r w:rsidRPr="009E1116">
        <w:rPr>
          <w:rFonts w:ascii="Times New Roman" w:hAnsi="Times New Roman" w:cs="Times New Roman"/>
          <w:sz w:val="24"/>
          <w:szCs w:val="24"/>
        </w:rPr>
        <w:t xml:space="preserve">, 252–275. </w:t>
      </w:r>
      <w:hyperlink r:id="rId18" w:tgtFrame="_new" w:history="1">
        <w:r w:rsidRPr="009E1116">
          <w:rPr>
            <w:rStyle w:val="Hyperlink"/>
            <w:rFonts w:ascii="Times New Roman" w:hAnsi="Times New Roman" w:cs="Times New Roman"/>
            <w:sz w:val="24"/>
            <w:szCs w:val="24"/>
          </w:rPr>
          <w:t>https://doi.org/10.1016/j.compedu.2015.11.008</w:t>
        </w:r>
      </w:hyperlink>
    </w:p>
    <w:p w14:paraId="4BF7E163" w14:textId="15A1A610" w:rsidR="006A7BBD" w:rsidRDefault="006A7BBD"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6A7BBD">
        <w:rPr>
          <w:rFonts w:ascii="Times New Roman" w:hAnsi="Times New Roman" w:cs="Times New Roman"/>
          <w:sz w:val="24"/>
          <w:szCs w:val="24"/>
        </w:rPr>
        <w:t xml:space="preserve">Tlili, A., Shehata, B., Adarkwah, M. A., et al. (2023). What if the devil is my guardian angel: ChatGPT as a case study of using chatbots in education. </w:t>
      </w:r>
      <w:r w:rsidRPr="006A7BBD">
        <w:rPr>
          <w:rFonts w:ascii="Times New Roman" w:hAnsi="Times New Roman" w:cs="Times New Roman"/>
          <w:i/>
          <w:iCs/>
          <w:sz w:val="24"/>
          <w:szCs w:val="24"/>
        </w:rPr>
        <w:t>Smart Learning Environments, 10</w:t>
      </w:r>
      <w:r w:rsidRPr="006A7BBD">
        <w:rPr>
          <w:rFonts w:ascii="Times New Roman" w:hAnsi="Times New Roman" w:cs="Times New Roman"/>
          <w:sz w:val="24"/>
          <w:szCs w:val="24"/>
        </w:rPr>
        <w:t>(1).</w:t>
      </w:r>
    </w:p>
    <w:p w14:paraId="17EBDD32" w14:textId="5DEF9A1B" w:rsidR="00DA5156" w:rsidRPr="00250269" w:rsidRDefault="00DA5156" w:rsidP="00317C85">
      <w:pPr>
        <w:pStyle w:val="ListParagraph"/>
        <w:numPr>
          <w:ilvl w:val="0"/>
          <w:numId w:val="1"/>
        </w:numPr>
        <w:spacing w:line="240" w:lineRule="auto"/>
        <w:ind w:left="851" w:hanging="426"/>
        <w:jc w:val="both"/>
        <w:rPr>
          <w:rFonts w:ascii="Times New Roman" w:hAnsi="Times New Roman" w:cs="Times New Roman"/>
          <w:sz w:val="24"/>
          <w:szCs w:val="24"/>
        </w:rPr>
      </w:pPr>
      <w:r w:rsidRPr="00DA5156">
        <w:rPr>
          <w:rFonts w:ascii="Times New Roman" w:hAnsi="Times New Roman" w:cs="Times New Roman"/>
          <w:sz w:val="24"/>
          <w:szCs w:val="24"/>
        </w:rPr>
        <w:t xml:space="preserve">Urbach, N., &amp; Müller, B. (2012). The updated DeLone and McLean model of information systems success. In </w:t>
      </w:r>
      <w:r w:rsidRPr="00DA5156">
        <w:rPr>
          <w:rFonts w:ascii="Times New Roman" w:hAnsi="Times New Roman" w:cs="Times New Roman"/>
          <w:i/>
          <w:iCs/>
          <w:sz w:val="24"/>
          <w:szCs w:val="24"/>
        </w:rPr>
        <w:t>Information Systems Theory</w:t>
      </w:r>
      <w:r w:rsidRPr="00DA5156">
        <w:rPr>
          <w:rFonts w:ascii="Times New Roman" w:hAnsi="Times New Roman" w:cs="Times New Roman"/>
          <w:sz w:val="24"/>
          <w:szCs w:val="24"/>
        </w:rPr>
        <w:t xml:space="preserve"> (pp. 1–18). Springer.</w:t>
      </w:r>
    </w:p>
    <w:p w14:paraId="31692B8B" w14:textId="1346E264" w:rsidR="00E15598" w:rsidRPr="00E15598" w:rsidRDefault="00E15598" w:rsidP="00761F48">
      <w:pPr>
        <w:spacing w:line="240" w:lineRule="auto"/>
        <w:jc w:val="both"/>
        <w:rPr>
          <w:rFonts w:ascii="Times New Roman" w:hAnsi="Times New Roman" w:cs="Times New Roman"/>
          <w:b/>
          <w:bCs/>
          <w:sz w:val="24"/>
          <w:szCs w:val="24"/>
        </w:rPr>
      </w:pPr>
    </w:p>
    <w:sectPr w:rsidR="00E15598" w:rsidRPr="00E15598" w:rsidSect="00761F48">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294E" w14:textId="77777777" w:rsidR="00CE4A2A" w:rsidRDefault="00CE4A2A" w:rsidP="00AB1824">
      <w:pPr>
        <w:spacing w:after="0" w:line="240" w:lineRule="auto"/>
      </w:pPr>
      <w:r>
        <w:separator/>
      </w:r>
    </w:p>
  </w:endnote>
  <w:endnote w:type="continuationSeparator" w:id="0">
    <w:p w14:paraId="58466CE7" w14:textId="77777777" w:rsidR="00CE4A2A" w:rsidRDefault="00CE4A2A" w:rsidP="00AB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402F" w14:textId="77777777" w:rsidR="00CE4A2A" w:rsidRDefault="00CE4A2A" w:rsidP="00AB1824">
      <w:pPr>
        <w:spacing w:after="0" w:line="240" w:lineRule="auto"/>
      </w:pPr>
      <w:r>
        <w:separator/>
      </w:r>
    </w:p>
  </w:footnote>
  <w:footnote w:type="continuationSeparator" w:id="0">
    <w:p w14:paraId="23807C8F" w14:textId="77777777" w:rsidR="00CE4A2A" w:rsidRDefault="00CE4A2A" w:rsidP="00AB1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17819"/>
    <w:multiLevelType w:val="hybridMultilevel"/>
    <w:tmpl w:val="2F16E0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667C77"/>
    <w:multiLevelType w:val="hybridMultilevel"/>
    <w:tmpl w:val="5F080FC4"/>
    <w:lvl w:ilvl="0" w:tplc="4409000F">
      <w:start w:val="1"/>
      <w:numFmt w:val="decimal"/>
      <w:lvlText w:val="%1."/>
      <w:lvlJc w:val="left"/>
      <w:pPr>
        <w:ind w:left="1998" w:hanging="360"/>
      </w:pPr>
    </w:lvl>
    <w:lvl w:ilvl="1" w:tplc="44090019" w:tentative="1">
      <w:start w:val="1"/>
      <w:numFmt w:val="lowerLetter"/>
      <w:lvlText w:val="%2."/>
      <w:lvlJc w:val="left"/>
      <w:pPr>
        <w:ind w:left="2718" w:hanging="360"/>
      </w:pPr>
    </w:lvl>
    <w:lvl w:ilvl="2" w:tplc="4409001B" w:tentative="1">
      <w:start w:val="1"/>
      <w:numFmt w:val="lowerRoman"/>
      <w:lvlText w:val="%3."/>
      <w:lvlJc w:val="right"/>
      <w:pPr>
        <w:ind w:left="3438" w:hanging="180"/>
      </w:pPr>
    </w:lvl>
    <w:lvl w:ilvl="3" w:tplc="4409000F" w:tentative="1">
      <w:start w:val="1"/>
      <w:numFmt w:val="decimal"/>
      <w:lvlText w:val="%4."/>
      <w:lvlJc w:val="left"/>
      <w:pPr>
        <w:ind w:left="4158" w:hanging="360"/>
      </w:pPr>
    </w:lvl>
    <w:lvl w:ilvl="4" w:tplc="44090019" w:tentative="1">
      <w:start w:val="1"/>
      <w:numFmt w:val="lowerLetter"/>
      <w:lvlText w:val="%5."/>
      <w:lvlJc w:val="left"/>
      <w:pPr>
        <w:ind w:left="4878" w:hanging="360"/>
      </w:pPr>
    </w:lvl>
    <w:lvl w:ilvl="5" w:tplc="4409001B" w:tentative="1">
      <w:start w:val="1"/>
      <w:numFmt w:val="lowerRoman"/>
      <w:lvlText w:val="%6."/>
      <w:lvlJc w:val="right"/>
      <w:pPr>
        <w:ind w:left="5598" w:hanging="180"/>
      </w:pPr>
    </w:lvl>
    <w:lvl w:ilvl="6" w:tplc="4409000F" w:tentative="1">
      <w:start w:val="1"/>
      <w:numFmt w:val="decimal"/>
      <w:lvlText w:val="%7."/>
      <w:lvlJc w:val="left"/>
      <w:pPr>
        <w:ind w:left="6318" w:hanging="360"/>
      </w:pPr>
    </w:lvl>
    <w:lvl w:ilvl="7" w:tplc="44090019" w:tentative="1">
      <w:start w:val="1"/>
      <w:numFmt w:val="lowerLetter"/>
      <w:lvlText w:val="%8."/>
      <w:lvlJc w:val="left"/>
      <w:pPr>
        <w:ind w:left="7038" w:hanging="360"/>
      </w:pPr>
    </w:lvl>
    <w:lvl w:ilvl="8" w:tplc="4409001B" w:tentative="1">
      <w:start w:val="1"/>
      <w:numFmt w:val="lowerRoman"/>
      <w:lvlText w:val="%9."/>
      <w:lvlJc w:val="right"/>
      <w:pPr>
        <w:ind w:left="7758" w:hanging="180"/>
      </w:pPr>
    </w:lvl>
  </w:abstractNum>
  <w:num w:numId="1" w16cid:durableId="911937179">
    <w:abstractNumId w:val="1"/>
  </w:num>
  <w:num w:numId="2" w16cid:durableId="28805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98"/>
    <w:rsid w:val="00005CC9"/>
    <w:rsid w:val="00025ADB"/>
    <w:rsid w:val="0005160E"/>
    <w:rsid w:val="00084E1C"/>
    <w:rsid w:val="0009650B"/>
    <w:rsid w:val="000B79B3"/>
    <w:rsid w:val="000C3347"/>
    <w:rsid w:val="000D6786"/>
    <w:rsid w:val="00104C14"/>
    <w:rsid w:val="00120F02"/>
    <w:rsid w:val="00135057"/>
    <w:rsid w:val="001445B8"/>
    <w:rsid w:val="0019711C"/>
    <w:rsid w:val="001F5B0B"/>
    <w:rsid w:val="00250269"/>
    <w:rsid w:val="00267E26"/>
    <w:rsid w:val="002B40E5"/>
    <w:rsid w:val="002C5709"/>
    <w:rsid w:val="002D4EFA"/>
    <w:rsid w:val="002F68A3"/>
    <w:rsid w:val="00314E32"/>
    <w:rsid w:val="00317C85"/>
    <w:rsid w:val="0033709C"/>
    <w:rsid w:val="00342B52"/>
    <w:rsid w:val="00372283"/>
    <w:rsid w:val="003A03D7"/>
    <w:rsid w:val="003D45F7"/>
    <w:rsid w:val="003F5C2D"/>
    <w:rsid w:val="00417D03"/>
    <w:rsid w:val="00420441"/>
    <w:rsid w:val="00451F5F"/>
    <w:rsid w:val="00480B96"/>
    <w:rsid w:val="00482368"/>
    <w:rsid w:val="004C63BD"/>
    <w:rsid w:val="004E0D70"/>
    <w:rsid w:val="004F24D2"/>
    <w:rsid w:val="005062CD"/>
    <w:rsid w:val="00512016"/>
    <w:rsid w:val="0055004F"/>
    <w:rsid w:val="005965A1"/>
    <w:rsid w:val="005F7C99"/>
    <w:rsid w:val="006105A2"/>
    <w:rsid w:val="00626454"/>
    <w:rsid w:val="006404AD"/>
    <w:rsid w:val="006432C3"/>
    <w:rsid w:val="006A7BBD"/>
    <w:rsid w:val="006C0915"/>
    <w:rsid w:val="006C70EC"/>
    <w:rsid w:val="007139A7"/>
    <w:rsid w:val="0071738B"/>
    <w:rsid w:val="00761F48"/>
    <w:rsid w:val="00765574"/>
    <w:rsid w:val="00785E8B"/>
    <w:rsid w:val="007B5872"/>
    <w:rsid w:val="007C504E"/>
    <w:rsid w:val="007D2E8A"/>
    <w:rsid w:val="007E546F"/>
    <w:rsid w:val="008126B6"/>
    <w:rsid w:val="00834245"/>
    <w:rsid w:val="00843F57"/>
    <w:rsid w:val="00873143"/>
    <w:rsid w:val="008757C8"/>
    <w:rsid w:val="00875A18"/>
    <w:rsid w:val="008F3379"/>
    <w:rsid w:val="008F3A9B"/>
    <w:rsid w:val="00920BFC"/>
    <w:rsid w:val="00961B47"/>
    <w:rsid w:val="009B2AA6"/>
    <w:rsid w:val="009E1116"/>
    <w:rsid w:val="00A04BD4"/>
    <w:rsid w:val="00A75E68"/>
    <w:rsid w:val="00A85594"/>
    <w:rsid w:val="00AB1824"/>
    <w:rsid w:val="00AD08E4"/>
    <w:rsid w:val="00AD44FE"/>
    <w:rsid w:val="00AF728E"/>
    <w:rsid w:val="00B04891"/>
    <w:rsid w:val="00B22E8B"/>
    <w:rsid w:val="00B36BCC"/>
    <w:rsid w:val="00B72466"/>
    <w:rsid w:val="00BF2FD0"/>
    <w:rsid w:val="00C16E35"/>
    <w:rsid w:val="00C631E1"/>
    <w:rsid w:val="00C7001A"/>
    <w:rsid w:val="00CA0853"/>
    <w:rsid w:val="00CA6AA9"/>
    <w:rsid w:val="00CC6618"/>
    <w:rsid w:val="00CD6A39"/>
    <w:rsid w:val="00CE4A2A"/>
    <w:rsid w:val="00CF4FE6"/>
    <w:rsid w:val="00D57F3B"/>
    <w:rsid w:val="00D93BB0"/>
    <w:rsid w:val="00DA5156"/>
    <w:rsid w:val="00E15598"/>
    <w:rsid w:val="00E40299"/>
    <w:rsid w:val="00E46043"/>
    <w:rsid w:val="00E627CC"/>
    <w:rsid w:val="00E67BB4"/>
    <w:rsid w:val="00E959F3"/>
    <w:rsid w:val="00EB5669"/>
    <w:rsid w:val="00ED4807"/>
    <w:rsid w:val="00F90499"/>
    <w:rsid w:val="00F929FF"/>
    <w:rsid w:val="00F94DC4"/>
    <w:rsid w:val="00FA5765"/>
    <w:rsid w:val="00FA5CBE"/>
    <w:rsid w:val="00FF01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69B2"/>
  <w15:chartTrackingRefBased/>
  <w15:docId w15:val="{E96EB423-DF3F-4E91-BF83-18FF04B0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5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5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55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55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55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55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55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5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5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55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55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55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55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55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5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5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5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5598"/>
    <w:pPr>
      <w:spacing w:before="160"/>
      <w:jc w:val="center"/>
    </w:pPr>
    <w:rPr>
      <w:i/>
      <w:iCs/>
      <w:color w:val="404040" w:themeColor="text1" w:themeTint="BF"/>
    </w:rPr>
  </w:style>
  <w:style w:type="character" w:customStyle="1" w:styleId="QuoteChar">
    <w:name w:val="Quote Char"/>
    <w:basedOn w:val="DefaultParagraphFont"/>
    <w:link w:val="Quote"/>
    <w:uiPriority w:val="29"/>
    <w:rsid w:val="00E15598"/>
    <w:rPr>
      <w:i/>
      <w:iCs/>
      <w:color w:val="404040" w:themeColor="text1" w:themeTint="BF"/>
    </w:rPr>
  </w:style>
  <w:style w:type="paragraph" w:styleId="ListParagraph">
    <w:name w:val="List Paragraph"/>
    <w:basedOn w:val="Normal"/>
    <w:uiPriority w:val="34"/>
    <w:qFormat/>
    <w:rsid w:val="00E15598"/>
    <w:pPr>
      <w:ind w:left="720"/>
      <w:contextualSpacing/>
    </w:pPr>
  </w:style>
  <w:style w:type="character" w:styleId="IntenseEmphasis">
    <w:name w:val="Intense Emphasis"/>
    <w:basedOn w:val="DefaultParagraphFont"/>
    <w:uiPriority w:val="21"/>
    <w:qFormat/>
    <w:rsid w:val="00E15598"/>
    <w:rPr>
      <w:i/>
      <w:iCs/>
      <w:color w:val="0F4761" w:themeColor="accent1" w:themeShade="BF"/>
    </w:rPr>
  </w:style>
  <w:style w:type="paragraph" w:styleId="IntenseQuote">
    <w:name w:val="Intense Quote"/>
    <w:basedOn w:val="Normal"/>
    <w:next w:val="Normal"/>
    <w:link w:val="IntenseQuoteChar"/>
    <w:uiPriority w:val="30"/>
    <w:qFormat/>
    <w:rsid w:val="00E15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598"/>
    <w:rPr>
      <w:i/>
      <w:iCs/>
      <w:color w:val="0F4761" w:themeColor="accent1" w:themeShade="BF"/>
    </w:rPr>
  </w:style>
  <w:style w:type="character" w:styleId="IntenseReference">
    <w:name w:val="Intense Reference"/>
    <w:basedOn w:val="DefaultParagraphFont"/>
    <w:uiPriority w:val="32"/>
    <w:qFormat/>
    <w:rsid w:val="00E15598"/>
    <w:rPr>
      <w:b/>
      <w:bCs/>
      <w:smallCaps/>
      <w:color w:val="0F4761" w:themeColor="accent1" w:themeShade="BF"/>
      <w:spacing w:val="5"/>
    </w:rPr>
  </w:style>
  <w:style w:type="character" w:styleId="Hyperlink">
    <w:name w:val="Hyperlink"/>
    <w:basedOn w:val="DefaultParagraphFont"/>
    <w:uiPriority w:val="99"/>
    <w:unhideWhenUsed/>
    <w:rsid w:val="0055004F"/>
    <w:rPr>
      <w:color w:val="467886" w:themeColor="hyperlink"/>
      <w:u w:val="single"/>
    </w:rPr>
  </w:style>
  <w:style w:type="character" w:styleId="UnresolvedMention">
    <w:name w:val="Unresolved Mention"/>
    <w:basedOn w:val="DefaultParagraphFont"/>
    <w:uiPriority w:val="99"/>
    <w:semiHidden/>
    <w:unhideWhenUsed/>
    <w:rsid w:val="0055004F"/>
    <w:rPr>
      <w:color w:val="605E5C"/>
      <w:shd w:val="clear" w:color="auto" w:fill="E1DFDD"/>
    </w:rPr>
  </w:style>
  <w:style w:type="paragraph" w:styleId="Header">
    <w:name w:val="header"/>
    <w:basedOn w:val="Normal"/>
    <w:link w:val="HeaderChar"/>
    <w:uiPriority w:val="99"/>
    <w:unhideWhenUsed/>
    <w:rsid w:val="00AB1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824"/>
  </w:style>
  <w:style w:type="paragraph" w:styleId="Footer">
    <w:name w:val="footer"/>
    <w:basedOn w:val="Normal"/>
    <w:link w:val="FooterChar"/>
    <w:uiPriority w:val="99"/>
    <w:unhideWhenUsed/>
    <w:rsid w:val="00AB1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824"/>
  </w:style>
  <w:style w:type="table" w:styleId="TableGrid">
    <w:name w:val="Table Grid"/>
    <w:basedOn w:val="TableNormal"/>
    <w:uiPriority w:val="39"/>
    <w:rsid w:val="0019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105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39-019-10027-7" TargetMode="External"/><Relationship Id="rId13" Type="http://schemas.openxmlformats.org/officeDocument/2006/relationships/hyperlink" Target="https://doi.org/10.1016/j.compedu.2018.01.004" TargetMode="External"/><Relationship Id="rId18" Type="http://schemas.openxmlformats.org/officeDocument/2006/relationships/hyperlink" Target="https://doi.org/10.1016/j.compedu.2015.11.00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ijinfomgt.2023.102642" TargetMode="External"/><Relationship Id="rId17" Type="http://schemas.openxmlformats.org/officeDocument/2006/relationships/hyperlink" Target="https://doi.org/10.1016/j.heliyon.2021.e06696" TargetMode="External"/><Relationship Id="rId2" Type="http://schemas.openxmlformats.org/officeDocument/2006/relationships/styles" Target="styles.xml"/><Relationship Id="rId16" Type="http://schemas.openxmlformats.org/officeDocument/2006/relationships/hyperlink" Target="https://doi.org/10.3991/ijet.v18i02.366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mpedu.2018.04.007" TargetMode="External"/><Relationship Id="rId5" Type="http://schemas.openxmlformats.org/officeDocument/2006/relationships/footnotes" Target="footnotes.xml"/><Relationship Id="rId15" Type="http://schemas.openxmlformats.org/officeDocument/2006/relationships/hyperlink" Target="https://doi.org/10.3390/su15031876" TargetMode="External"/><Relationship Id="rId10" Type="http://schemas.openxmlformats.org/officeDocument/2006/relationships/hyperlink" Target="https://doi.org/10.4018/IJMBL.202007010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chb.2019.08.004" TargetMode="External"/><Relationship Id="rId14" Type="http://schemas.openxmlformats.org/officeDocument/2006/relationships/hyperlink" Target="https://doi.org/10.1016/j.lindif.2023.102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11</Pages>
  <Words>6031</Words>
  <Characters>34382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Suryani Che Din Suryani Che Din</dc:creator>
  <cp:keywords/>
  <dc:description/>
  <cp:lastModifiedBy>Suryani Che Din Suryani Che Din</cp:lastModifiedBy>
  <cp:revision>93</cp:revision>
  <cp:lastPrinted>2026-07-08T10:56:00Z</cp:lastPrinted>
  <dcterms:created xsi:type="dcterms:W3CDTF">2026-07-07T07:06:00Z</dcterms:created>
  <dcterms:modified xsi:type="dcterms:W3CDTF">2026-07-08T11:03:00Z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a12f5455-c7ea-4ecb-a5af-1654d86cc622</vt:lpwstr>
  </property>
</Properties>
</file>