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DA" w:rsidRDefault="00680716">
      <w:pPr>
        <w:jc w:val="center"/>
      </w:pPr>
      <w:r>
        <w:rPr>
          <w:b/>
        </w:rPr>
        <w:t>PROJECT SCOPE MANAGEMENT AND IMPLEMENTATION PERFORMANCE OF EDUCATIONAL INFRASTRUCTURE STIMULUS PROJECTS IN KENYA: THE MODERATING ROLE OF HUMAN CAPITAL</w:t>
      </w:r>
    </w:p>
    <w:p w:rsidR="001A06DA" w:rsidRDefault="00680716">
      <w:pPr>
        <w:jc w:val="center"/>
      </w:pPr>
      <w:r>
        <w:rPr>
          <w:b/>
        </w:rPr>
        <w:t/>
      </w:r>
      <w:r>
        <w:rPr>
          <w:b/>
        </w:rPr>
        <w:br/>
      </w:r>
      <w:r>
        <w:rPr>
          <w:i/>
        </w:rPr>
        <w:t/>
      </w:r>
      <w:r>
        <w:rPr>
          <w:i/>
        </w:rPr>
        <w:br/>
        <w:t xml:space="preserve"/>
      </w:r>
      <w:r>
        <w:rPr>
          <w:i/>
        </w:rPr>
        <w:t/>
      </w:r>
    </w:p>
    <w:p w:rsidR="001A06DA" w:rsidRDefault="00680716">
      <w:pPr>
        <w:jc w:val="center"/>
      </w:pPr>
      <w:r>
        <w:rPr>
          <w:b/>
        </w:rPr>
        <w:t>ABSTRACT</w:t>
      </w:r>
    </w:p>
    <w:p w:rsidR="001A06DA" w:rsidRDefault="00680716" w:rsidP="00680716">
      <w:pPr>
        <w:ind w:right="576"/>
        <w:jc w:val="both"/>
      </w:pPr>
      <w:r>
        <w:t>This study examines the moderating influence of human capital on the relationship between project scope management and the implementation performance of Economic Stimulus Programme (ESP) infrastructure initiatives i</w:t>
      </w:r>
      <w:r>
        <w:t>n public secondary schools within Kisumu County, Kenya. Utilizing a descriptive survey design, primary data were collected from a target population of 189 institutional stakeholders across schools benefiting from ESP allocations, yielding a finalized analy</w:t>
      </w:r>
      <w:r>
        <w:t>tical sample of 128 respondents selected via stratified random sampling. Reliability was verified using the test-retest method and evaluated via the Spearman-Brown Prophecy formula (Re &gt; 0.70). Data were analyzed using descriptive statistics, Chi-square te</w:t>
      </w:r>
      <w:r>
        <w:t>sts of independence, and moderated multiple linear regression analysis. The empirical results reveal a strong overall model fit (R = 0.813, R2 = 0.661), indicating that 66.1% of the variance in infrastructure implementation status is driven by front-end pr</w:t>
      </w:r>
      <w:r>
        <w:t xml:space="preserve">oject scope initialization metrics. Parameter estimates confirm that formalized Project Charters (β = 0.394, p &lt; 0.001) and inter-disciplinary Expert Judgment (β = 0.256, p = 0.006) exert a statistically significant positive influence on delivery success. </w:t>
      </w:r>
      <w:r>
        <w:t>Crucially, individual Project Manager Competence failed to achieve direct statistical significance (β = 0.155, p = 0.065), demonstrating a condition of bounds-based moderation where individual capability depends entirely on structural institutional baselin</w:t>
      </w:r>
      <w:r>
        <w:t>es. The study concludes that the Ministry of Education must transition from ad-hoc project selections toward mandatory, deliverable-oriented Work Breakdown Structures (WBS) and institutionalize technical scope management certification protocols for local o</w:t>
      </w:r>
      <w:r>
        <w:t>versight committees.</w:t>
      </w:r>
    </w:p>
    <w:p w:rsidR="001A06DA" w:rsidRDefault="00680716">
      <w:pPr>
        <w:ind w:left="576"/>
      </w:pPr>
      <w:r>
        <w:rPr>
          <w:b/>
        </w:rPr>
        <w:t xml:space="preserve">Keywords: </w:t>
      </w:r>
      <w:r>
        <w:t>Project Scope Management, Project Implementation, Economic Stimulus Programme (ESP), Bounds-Based Moderation, Human Capital, Resource-Based View.</w:t>
      </w:r>
    </w:p>
    <w:p w:rsidR="001A06DA" w:rsidRDefault="00680716">
      <w:pPr>
        <w:spacing w:before="280" w:after="80"/>
      </w:pPr>
      <w:r>
        <w:rPr>
          <w:b/>
        </w:rPr>
        <w:t>INTRODUCTION</w:t>
      </w:r>
    </w:p>
    <w:p w:rsidR="001A06DA" w:rsidRDefault="00680716">
      <w:pPr>
        <w:spacing w:after="120"/>
        <w:ind w:firstLine="720"/>
        <w:jc w:val="both"/>
      </w:pPr>
      <w:r>
        <w:t>Globally, the successful implementation of public developmental pr</w:t>
      </w:r>
      <w:r>
        <w:t>ojects is recognized as a primary catalyst for sustainable economic growth and social transformation (Aschauer, 1989; Barro, 1990). However, public infrastructure initiatives consistently encounter systemic execution bottlenecks. According to the Project M</w:t>
      </w:r>
      <w:r>
        <w:t>anagement Institute (2013, 2021), poor project scope management—specifically the foundational phase of project scope definition—remains a primary driver of project failure, budget overruns, and missed deadlines. Project scope definition entails establishin</w:t>
      </w:r>
      <w:r>
        <w:t>g clear project boundaries, identifying specific deliverables, and detailing the precise work required for successful completion (Kerzner, 2017). While developed economies frequently utilize highly specialized project management professionals to execute pu</w:t>
      </w:r>
      <w:r>
        <w:t xml:space="preserve">blic works, developing global contexts often delegate these responsibilities to institutional administrators (Ika, 2012, 2020). These actors may possess domain </w:t>
      </w:r>
      <w:r>
        <w:lastRenderedPageBreak/>
        <w:t>expertise (such as in education or public health) but frequently lack formal training in project</w:t>
      </w:r>
      <w:r>
        <w:t xml:space="preserve"> management mechanics, leading to inaccurate scope baselines, unmanaged scope creep, and eventual project stall (Crawford et al., 2003; Williams, 2019).</w:t>
      </w:r>
    </w:p>
    <w:p w:rsidR="001A06DA" w:rsidRDefault="00680716">
      <w:pPr>
        <w:spacing w:after="120"/>
        <w:ind w:firstLine="720"/>
        <w:jc w:val="both"/>
      </w:pPr>
      <w:r>
        <w:t>Across sub-Saharan Africa, governments have increasingly deployed targeted Economic Stimulus Programmes</w:t>
      </w:r>
      <w:r>
        <w:t xml:space="preserve"> (ESPs) and devolved funding frameworks to decentralize resources, alleviate spatial inequalities, and cushion localized sectors against macroeconomic shocks (Calderón &amp; Servén, 2010). In South Africa, emergency fiscal allocations within the Infrastructure</w:t>
      </w:r>
      <w:r>
        <w:t xml:space="preserve"> Investment Plan were funneled into basic and higher education to eradicate unsafe infrastructure and rapidly deploy water and sanitation amenities across underfunded rural and township schools (McLean, 2022; National Treasury, 2020). Similarly, Nigeria in</w:t>
      </w:r>
      <w:r>
        <w:t>augurated the Nigeria Economic Sustainability Plan (NESP), prioritizing structural resilience and digital shift conversions through the rehabilitation of public schools and the upgrading of Science, Technology, Engineering, and Mathematics (STEM) laborator</w:t>
      </w:r>
      <w:r>
        <w:t>ies (Federal Government of Nigeria, 2020; Adeyemi &amp; Amhana, 2024). In West Africa, the Ghana CARES program strategically harmonized emergency stimulus windows with flagship policies like the "Free Senior High School" initiative to accelerate the completion</w:t>
      </w:r>
      <w:r>
        <w:t xml:space="preserve"> of stalled facilities and expand e-learning structures (Ministry of Education, Ghana, 2022; Amoah et al., 2024).</w:t>
      </w:r>
    </w:p>
    <w:p w:rsidR="001A06DA" w:rsidRDefault="00680716">
      <w:pPr>
        <w:spacing w:after="120"/>
        <w:ind w:firstLine="720"/>
        <w:jc w:val="both"/>
      </w:pPr>
      <w:r>
        <w:t xml:space="preserve">Despite the strategic value of these continental interventions, empirical evidence indicates that a significant percentage of these localized </w:t>
      </w:r>
      <w:r>
        <w:t>infrastructure initiatives fail to achieve their core objectives (Fashina et al., 2020). Regional literature highlights that infrastructure delivery is frequently hindered by a severe lack of technical capacity among local oversight committees (Amoah et al</w:t>
      </w:r>
      <w:r>
        <w:t>., 2024). When project planners and supervisors do not possess the requisite technical competencies to define what falls within or outside a project's boundaries, resources are spread thin, resulting in prolonged variations, structural defects, and widespr</w:t>
      </w:r>
      <w:r>
        <w:t>ead abandonment of public facilities (Hajialiasghari, 2021; Siriram, 2022).</w:t>
      </w:r>
    </w:p>
    <w:p w:rsidR="001A06DA" w:rsidRDefault="00680716">
      <w:pPr>
        <w:spacing w:after="120"/>
        <w:ind w:firstLine="720"/>
        <w:jc w:val="both"/>
      </w:pPr>
      <w:r>
        <w:t>Kenya’s macro-economic history with economic stimulus interventions is structurally tethered to decentralized and localized implementation frameworks (Government of Kenya, 2009). F</w:t>
      </w:r>
      <w:r>
        <w:t>ollowing the 2009 global financial crisis, the Government of Kenya launched its initial ESP, which explicitly targeted the education sector by funding the construction of prototype "Centers of Excellence" across all constituencies to bridge regional educat</w:t>
      </w:r>
      <w:r>
        <w:t>ional disparities (Government of Kenya, 2009). This structural model evolved during subsequent macroeconomic shocks, notably through the Post-COVID-19 Economic Recovery Strategy (ERS) and subsequent Competency-Based Curriculum (CBC) infrastructure expansio</w:t>
      </w:r>
      <w:r>
        <w:t>ns, where billions of shillings were allocated for local classroom construction to accommodate transitioning cohorts (Ministry of Education, Kenya, 2021). To foster local ownership, the execution of these institutional infrastructure projects was legally m</w:t>
      </w:r>
      <w:r>
        <w:t>andated to internal institutional actors—primarily school Principals, Boards of Management (BoMs), and localized project committees (Mbaluku &amp; Bwisa, 2013).</w:t>
      </w:r>
    </w:p>
    <w:p w:rsidR="001A06DA" w:rsidRDefault="00680716">
      <w:pPr>
        <w:spacing w:after="120"/>
        <w:ind w:firstLine="720"/>
        <w:jc w:val="both"/>
      </w:pPr>
      <w:r>
        <w:t>However, the implementation performance of these educational projects remains highly problematic. H</w:t>
      </w:r>
      <w:r>
        <w:t>istorically, the completion rate of public projects in Kenya has faced stark deficiencies, with baseline completion rates dipping significantly within designated fiscal cycles (Muchungu, 2012; Munamo, 2012). While a project is theoretically deemed successf</w:t>
      </w:r>
      <w:r>
        <w:t>ul when implemented within schedule, budget, and quality specifications to the satisfaction of the end-user (Kerzner, 2017), Kenyan public construction projects routinely fail to achieve these key performance criteria (Gwayo et al., 2014). Public education</w:t>
      </w:r>
      <w:r>
        <w:t xml:space="preserve">al construction projects suffer from persistent cost escalations, structural building defects, over-reliance on uncertified contractors, and extensive delays—exemplified by stalled classrooms and local </w:t>
      </w:r>
      <w:r>
        <w:lastRenderedPageBreak/>
        <w:t>facilities remaining incomplete years past their stipu</w:t>
      </w:r>
      <w:r>
        <w:t>lated deadlines (Githenya &amp; Ngugi, 2014; Gacheru, 2015).</w:t>
      </w:r>
    </w:p>
    <w:p w:rsidR="001A06DA" w:rsidRDefault="00680716">
      <w:pPr>
        <w:spacing w:after="120"/>
        <w:ind w:firstLine="720"/>
        <w:jc w:val="both"/>
      </w:pPr>
      <w:r>
        <w:t>The root cause of these performance shortfalls often traces back to deficiencies in project planning practices, specifically rigid or poorly defined project scopes managed by under-trained administra</w:t>
      </w:r>
      <w:r>
        <w:t>tors (Williams, 2019). Because institutional project implementers like school principals and BoM members are primarily educators rather than technical project managers, their capacity to initiate rigorous project scope management is structurally constraine</w:t>
      </w:r>
      <w:r>
        <w:t>d (Mbaluku &amp; Bwisa, 2013; Muchungu, 2012). This underscores the critical need to evaluate the concept of Human Capital—defined by organizational skills, technical training, experience, and competent resource utilization—as a vital moderating variable (Luca</w:t>
      </w:r>
      <w:r>
        <w:t>s, 1988; Namusonge et al., 2012). While robust project scope management provides the structural blueprint for implementation performance (Siriram, 2022), the human capital of the project executors acts as the operational bridge that converts that scope int</w:t>
      </w:r>
      <w:r>
        <w:t>o successful project delivery (Barney, 1991). This study, therefore, seeks to investigate the relationship between project scope management and the implementation performance of educational infrastructure stimulus projects in Kenya, while specifically exam</w:t>
      </w:r>
      <w:r>
        <w:t>ining how human capital modifies this relationship.</w:t>
      </w:r>
    </w:p>
    <w:p w:rsidR="001A06DA" w:rsidRDefault="00680716">
      <w:pPr>
        <w:spacing w:before="280" w:after="80"/>
      </w:pPr>
      <w:r>
        <w:rPr>
          <w:b/>
        </w:rPr>
        <w:t>1.2 Problem Statement</w:t>
      </w:r>
    </w:p>
    <w:p w:rsidR="001A06DA" w:rsidRDefault="00680716">
      <w:pPr>
        <w:spacing w:after="120"/>
        <w:ind w:firstLine="720"/>
        <w:jc w:val="both"/>
      </w:pPr>
      <w:r>
        <w:t>Optimal delivery of public infrastructure relies fundamentally on robust project scope management to control constraints and prevent scope creep (Banda &amp; Pretorius, 2016; Kerzner, 20</w:t>
      </w:r>
      <w:r>
        <w:t>17), ensuring that public sector initiatives encompass only critical works to guarantee value for money (PMI, 2021; Siriram, 2022). In reality, however, up to 80% of public infrastructure project failures in developing economies are linked to deficient sco</w:t>
      </w:r>
      <w:r>
        <w:t xml:space="preserve">pe management (Ika, 2020), while over 60% of Kenyan construction deficits stem from systemic planning inaccuracies, flawed Bills of Quantities, and uncoordinated requirement gathering (Fashina et al., 2020; Gwayo et al., 2014). This planning vulnerability </w:t>
      </w:r>
      <w:r>
        <w:t>was acutely evident during Kenya's Economic Stimulus Programme (ESP) for public secondary schools, where 43% of education-sector projects nationally remained incomplete, delayed, or stalled (Government of Kenya, 2009; Munamo, 2012). The execution crisis wa</w:t>
      </w:r>
      <w:r>
        <w:t>s particularly pronounced in Kisumu County, where up to 80% of secondary school ESP projects suffered extended delays or outright asset abandonment because deficient scope baselines allowed funds to be systematically diverted to low-priority works (Gacheru</w:t>
      </w:r>
      <w:r>
        <w:t>, 2015; Ministry of Education, Kenya, 2021). The consequence of these persistent project failures is severe, resulting in capital wastage, chronic deficits in local educational facilities, and the systemic failure of national economic stimuli (Calderón &amp; S</w:t>
      </w:r>
      <w:r>
        <w:t>ervén, 2010; Williams, 2019). While existing literature thoroughly documents the direct, linear nexus between project scope definition and construction performance (Hajialiasghari, 2021; Mirzaei, 2019), a critical empirical gap persists regarding how techn</w:t>
      </w:r>
      <w:r>
        <w:t>ical management competencies alter this dynamic. Current studies largely treat scope management as a purely mechanistic process, ignoring how human capital—specifically specialized project scope management skills, knowledge, and execution competency—acts a</w:t>
      </w:r>
      <w:r>
        <w:t>s a critical boundary condition to navigate institutional friction and political interference (Amoah et al., 2024; Crawford et al., 2003). This study directly addresses this empirical gap by evaluating the moderating influence of human capital on the relat</w:t>
      </w:r>
      <w:r>
        <w:t xml:space="preserve">ionship between project scope management and the implementation performance of educational infrastructure stimulus projects in public secondary schools in Kisumu County, Kenya, leveraging the core tenets of the Resource-Based View (Barney, 1991; Namusonge </w:t>
      </w:r>
      <w:r>
        <w:t>et al., 2012).</w:t>
      </w:r>
    </w:p>
    <w:p w:rsidR="00FA7D57" w:rsidRDefault="00FA7D57">
      <w:pPr>
        <w:spacing w:after="120"/>
        <w:ind w:firstLine="720"/>
        <w:jc w:val="both"/>
      </w:pPr>
    </w:p>
    <w:p w:rsidR="00FA7D57" w:rsidRDefault="00FA7D57">
      <w:pPr>
        <w:spacing w:after="120"/>
        <w:ind w:firstLine="720"/>
        <w:jc w:val="both"/>
      </w:pPr>
    </w:p>
    <w:p w:rsidR="001A06DA" w:rsidRDefault="00680716">
      <w:pPr>
        <w:spacing w:before="280" w:after="80"/>
      </w:pPr>
      <w:r>
        <w:rPr>
          <w:b/>
        </w:rPr>
        <w:t>1.3 Research Objective</w:t>
      </w:r>
    </w:p>
    <w:p w:rsidR="001A06DA" w:rsidRDefault="00680716">
      <w:pPr>
        <w:spacing w:after="120"/>
        <w:jc w:val="both"/>
      </w:pPr>
      <w:r>
        <w:t xml:space="preserve">To evaluate the moderating influence of human capital on the relationship between project scope management and the implementation performance of educational infrastructure stimulus projects in public secondary schools </w:t>
      </w:r>
      <w:r>
        <w:t>in Kisumu County, Kenya.</w:t>
      </w:r>
    </w:p>
    <w:p w:rsidR="001A06DA" w:rsidRDefault="00680716">
      <w:pPr>
        <w:spacing w:before="280" w:after="80"/>
      </w:pPr>
      <w:r>
        <w:rPr>
          <w:b/>
        </w:rPr>
        <w:t>1.4 Research Hypotheses</w:t>
      </w:r>
    </w:p>
    <w:p w:rsidR="001A06DA" w:rsidRDefault="00680716">
      <w:pPr>
        <w:spacing w:after="120"/>
        <w:jc w:val="both"/>
      </w:pPr>
      <w:r w:rsidRPr="00FA7D57">
        <w:rPr>
          <w:b/>
        </w:rPr>
        <w:t>H0:</w:t>
      </w:r>
      <w:r>
        <w:t xml:space="preserve"> Human capital has no significant moderating influence on the relationship between project scope management and the implementation performance of ESP infrastructure projects in public secondary schools in</w:t>
      </w:r>
      <w:r>
        <w:t xml:space="preserve"> Kisumu County, Kenya.</w:t>
      </w:r>
    </w:p>
    <w:p w:rsidR="001A06DA" w:rsidRDefault="00680716">
      <w:pPr>
        <w:spacing w:after="120"/>
        <w:jc w:val="both"/>
      </w:pPr>
      <w:r w:rsidRPr="00FA7D57">
        <w:rPr>
          <w:b/>
        </w:rPr>
        <w:t>H1</w:t>
      </w:r>
      <w:r>
        <w:t>: Human capital has a significant moderating influence on the relationship between project scope management and the implementation performance of ESP infrastructure projects in public secondary schools in Kisumu County, Kenya.</w:t>
      </w:r>
    </w:p>
    <w:p w:rsidR="001A06DA" w:rsidRDefault="00680716">
      <w:pPr>
        <w:spacing w:before="280" w:after="80"/>
      </w:pPr>
      <w:r>
        <w:rPr>
          <w:b/>
        </w:rPr>
        <w:t xml:space="preserve">1.5 </w:t>
      </w:r>
      <w:r>
        <w:rPr>
          <w:b/>
        </w:rPr>
        <w:t>Significance of the Study</w:t>
      </w:r>
    </w:p>
    <w:p w:rsidR="001A06DA" w:rsidRDefault="00680716">
      <w:pPr>
        <w:spacing w:after="120"/>
        <w:ind w:firstLine="720"/>
        <w:jc w:val="both"/>
      </w:pPr>
      <w:r>
        <w:t>This study holds vital practical, policy, and theoretical significance for diverse stakeholders across the infrastructure and education sectors. For policy makers and government agencies, particularly the Ministry of Education and</w:t>
      </w:r>
      <w:r>
        <w:t xml:space="preserve"> national treasury planners, it provides critical empirical insights required to redesign public infrastructure frameworks. By exposing how scope mismanagement directly stalls capital projects, the study serves as a guide for formulating stricter budgeting</w:t>
      </w:r>
      <w:r>
        <w:t xml:space="preserve"> regulations and establishing more rigorous project baseline requirements for future economic stimulus programs. For project management practitioners, including engineers, quantity surveyors, and project managers, the findings underscore the operational da</w:t>
      </w:r>
      <w:r>
        <w:t>ngers associated with flawed Bills of Quantities and uncoordinated requirement gathering, offering a compelling case for why technical competencies must be prioritized during team selection to insulate projects from institutional friction and political int</w:t>
      </w:r>
      <w:r>
        <w:t>erference. Finally, the study contributes significantly to academia and research by addressing a persistent conceptual gap. By shifting the scholarly narrative away from treating scope management as a purely mechanistic process and instead testing human ca</w:t>
      </w:r>
      <w:r>
        <w:t>pital as a moderating variable, it expands the boundaries of existing project management frameworks, such as the Resource-Based View and Triple Constraint Theory, within the specific context of developing economies.</w:t>
      </w:r>
    </w:p>
    <w:p w:rsidR="001A06DA" w:rsidRDefault="00680716">
      <w:pPr>
        <w:spacing w:before="280" w:after="80"/>
      </w:pPr>
      <w:r>
        <w:rPr>
          <w:b/>
        </w:rPr>
        <w:t>1.6 Scope of the Study</w:t>
      </w:r>
    </w:p>
    <w:p w:rsidR="001A06DA" w:rsidRDefault="00680716">
      <w:pPr>
        <w:spacing w:after="120"/>
        <w:ind w:firstLine="720"/>
        <w:jc w:val="both"/>
      </w:pPr>
      <w:r>
        <w:t>The scope of this</w:t>
      </w:r>
      <w:r>
        <w:t xml:space="preserve"> study is bounded geographically, theoretically, and contextually to ensure a focused and rigorous investigation. Geographically, the study is strictly localized to Kisumu County, Kenya, focusing exclusively on public secondary schools within its constitue</w:t>
      </w:r>
      <w:r>
        <w:t xml:space="preserve">nt sub-counties that received funding under the national Economic Stimulus Programme. In terms of content and theoretical delimitation, the research is restricted to investigating the direct relationship between Project Scope Management as the independent </w:t>
      </w:r>
      <w:r>
        <w:t xml:space="preserve">variable and Implementation Performance as the dependent variable, with the latter evaluated through metrics of schedule adherence, project completion rates, and asset functionality. Crucially, this conceptual framework is further bounded by the inclusion </w:t>
      </w:r>
      <w:r>
        <w:t>of Human Capital as a moderating variable, which is strictly defined as the technical competencies, specialized skills, and project management knowledge possessed by the project handlers. Contextually, the investigation limits its focus to public secondary</w:t>
      </w:r>
      <w:r>
        <w:t xml:space="preserve"> school infrastructure projects initiated under the Economic Stimulus Programme (ESP) framework, as this specific cohort of projects uniquely exhibits the targeted performance deficits and asset abandonment under study.</w:t>
      </w:r>
    </w:p>
    <w:p w:rsidR="001A06DA" w:rsidRDefault="00680716">
      <w:pPr>
        <w:spacing w:before="280" w:after="80"/>
      </w:pPr>
      <w:r>
        <w:rPr>
          <w:b/>
        </w:rPr>
        <w:t>2.0 THEORETICAL FRAMEWORK</w:t>
      </w:r>
    </w:p>
    <w:p w:rsidR="001A06DA" w:rsidRDefault="00680716">
      <w:pPr>
        <w:spacing w:before="280" w:after="80"/>
      </w:pPr>
      <w:r>
        <w:rPr>
          <w:b/>
        </w:rPr>
        <w:t xml:space="preserve">2.1 The </w:t>
      </w:r>
      <w:r>
        <w:rPr>
          <w:b/>
        </w:rPr>
        <w:t>Logical Framework Approach (LFA)</w:t>
      </w:r>
    </w:p>
    <w:p w:rsidR="001A06DA" w:rsidRDefault="00680716">
      <w:pPr>
        <w:spacing w:after="120"/>
        <w:ind w:firstLine="720"/>
        <w:jc w:val="both"/>
      </w:pPr>
      <w:r>
        <w:t>The Logical Framework Approach (LFA)—originally conceptualized by the United States Agency for International Development (USAID) and rooted in Peter Drucker’s Management by Objectives model—serves as a primary structural ba</w:t>
      </w:r>
      <w:r>
        <w:t xml:space="preserve">seline for this study. LFA applies a disciplined, causal logic to structure public sector developmental initiatives by systematically linking project inputs and discrete activities directly to measurable outputs, immediate outcomes, and long-term systemic </w:t>
      </w:r>
      <w:r>
        <w:t>impacts.</w:t>
      </w:r>
    </w:p>
    <w:p w:rsidR="001A06DA" w:rsidRDefault="00680716">
      <w:pPr>
        <w:spacing w:after="120"/>
        <w:ind w:firstLine="720"/>
        <w:jc w:val="both"/>
      </w:pPr>
      <w:r>
        <w:t>Within this study, LFA models the independent variable: Project Scope Management. The theory mandates that project planners establish clear project boundaries, document strict task parameters, outline resource frameworks, and anchor specific deliv</w:t>
      </w:r>
      <w:r>
        <w:t>erables before public funds are deployed. By organizing scope components into a vertical and horizontal causal matrix (the logframe), LFA provides institutional actors in Kisumu County with a transparent baseline to manage project constraints. In the conte</w:t>
      </w:r>
      <w:r>
        <w:t>xt of the Economic Stimulus Programme (ESP), LFA posits that optimal project execution is a direct result of structured scope definition, clear baseline planning, and rigorous requirement gathering, which collectively prevent unauthorized deviations and re</w:t>
      </w:r>
      <w:r>
        <w:t>source diversion.</w:t>
      </w:r>
    </w:p>
    <w:p w:rsidR="001A06DA" w:rsidRDefault="00680716">
      <w:pPr>
        <w:spacing w:before="280" w:after="80"/>
      </w:pPr>
      <w:r>
        <w:rPr>
          <w:b/>
        </w:rPr>
        <w:t>2.2 Resource-Based View (RBV) Theory</w:t>
      </w:r>
    </w:p>
    <w:p w:rsidR="001A06DA" w:rsidRDefault="00680716">
      <w:pPr>
        <w:spacing w:after="120"/>
        <w:ind w:firstLine="720"/>
        <w:jc w:val="both"/>
      </w:pPr>
      <w:r>
        <w:t xml:space="preserve">To account for the critical human and capability dimensions within infrastructure execution, the Resource-Based View (RBV) theory is integrated as the theoretical baseline for the moderating variable. </w:t>
      </w:r>
      <w:r>
        <w:t>Originally advanced by Jay Barney (1991), RBV posits that an organization’s sustainable competitive advantage and operational performance are determined by its strategic deployment of internal resources that are valuable, rare, inimitable, and non-substitu</w:t>
      </w:r>
      <w:r>
        <w:t>table (VRIN criteria).</w:t>
      </w:r>
    </w:p>
    <w:p w:rsidR="001A06DA" w:rsidRDefault="00680716">
      <w:pPr>
        <w:spacing w:after="120"/>
        <w:ind w:firstLine="720"/>
        <w:jc w:val="both"/>
      </w:pPr>
      <w:r>
        <w:t>In public sector project execution, physical capital and exchequer allocations are insufficient on their own to guarantee successful outcomes. RBV categorizes Human Capital—specifically specialized project scope management skills, ex</w:t>
      </w:r>
      <w:r>
        <w:t>periential knowledge, and technical competencies—as core intangible resources that dictate operational performance variance. Within this conceptual framework, RBV models the moderating variable. It posits that the conversion of static project scope plans (</w:t>
      </w:r>
      <w:r>
        <w:t xml:space="preserve">the independent variable) into successful Implementation Performance (the dependent variable) is actively accelerated or constrained by the caliber of localized technical expertise. Consequently, RBV explains why identical scope baselines can yield vastly </w:t>
      </w:r>
      <w:r>
        <w:t>divergent implementation outcomes, suggesting that high-quality human capital insulates public projects from institutional friction and political interference.</w:t>
      </w:r>
    </w:p>
    <w:p w:rsidR="001A06DA" w:rsidRDefault="00680716">
      <w:pPr>
        <w:spacing w:before="280" w:after="80"/>
      </w:pPr>
      <w:r>
        <w:rPr>
          <w:b/>
        </w:rPr>
        <w:t>2.3 Theoretical Integration</w:t>
      </w:r>
    </w:p>
    <w:p w:rsidR="001A06DA" w:rsidRDefault="00680716">
      <w:pPr>
        <w:spacing w:after="120"/>
        <w:ind w:firstLine="720"/>
        <w:jc w:val="both"/>
      </w:pPr>
      <w:r>
        <w:t>The integration of LFA and RBV provides a robust, holistic framework</w:t>
      </w:r>
      <w:r>
        <w:t xml:space="preserve"> for this study. While LFA offers the structural and mechanistic blueprints necessary for establishing rigid project scope boundaries, it assumes a frictionless operational environment. RBV complements this limitation by introducing the behavioral and capa</w:t>
      </w:r>
      <w:r>
        <w:t>bility dimensions required to execute those boundaries. Together, these theories suggest that while LFA-guided scope management is a necessary prerequisite for public infrastructure delivery, its ultimate translation into successful implementation performa</w:t>
      </w:r>
      <w:r>
        <w:t>nce is bounded and moderated by the strategic depth of human capital as dictated by RBV.</w:t>
      </w:r>
    </w:p>
    <w:p w:rsidR="001A06DA" w:rsidRDefault="00680716">
      <w:pPr>
        <w:spacing w:before="280" w:after="80"/>
      </w:pPr>
      <w:r>
        <w:rPr>
          <w:b/>
        </w:rPr>
        <w:t>3.0 EMPIRICAL LITERATURE REVIEW</w:t>
      </w:r>
    </w:p>
    <w:p w:rsidR="001A06DA" w:rsidRDefault="00680716">
      <w:pPr>
        <w:spacing w:before="280" w:after="80"/>
      </w:pPr>
      <w:r>
        <w:rPr>
          <w:b/>
        </w:rPr>
        <w:t>3.1 Project Scope Initiation and Planning</w:t>
      </w:r>
    </w:p>
    <w:p w:rsidR="001A06DA" w:rsidRDefault="00680716">
      <w:pPr>
        <w:spacing w:after="120"/>
        <w:ind w:firstLine="720"/>
        <w:jc w:val="both"/>
      </w:pPr>
      <w:r>
        <w:t>Within public infrastructure delivery, the front-end phases of a project's lifecycle—specific</w:t>
      </w:r>
      <w:r>
        <w:t>ally project scope initiation and planning—establish the foundational baseline upon which execution constraints are managed. According to orthodox project management frameworks, scope initiation formally authorizes an initiative and anchors stakeholder exp</w:t>
      </w:r>
      <w:r>
        <w:t>ectations, while scope planning defines the explicit boundaries, deliverables, and Work Breakdown Structures (WBS) required to meet execution targets (PMI, 2021; Siriram, 2022). Proponents of intensive front-end planning argue that high initial investments</w:t>
      </w:r>
      <w:r>
        <w:t xml:space="preserve"> in scope definition directly correlate with optimal project performance metrics, including budget adherence, schedule predictability, and structural asset quality (Aschauer, 1989; Ika, 2012). For social infrastructure developments like Economic Stimulus P</w:t>
      </w:r>
      <w:r>
        <w:t>rogrammes (ESPs) in the education sector, early scoping clarity is deemed critical because these initiatives operate within highly volatile socio-political environments and rigid regulatory structures (Calderón &amp; Servén, 2010). When educational infrastruct</w:t>
      </w:r>
      <w:r>
        <w:t>ure initiatives lack robust scope boundaries, they routinely suffer from fatal planning gaps, uncoordinated baseline modifications, and flawed Bills of Quantities (Fashina et al., 2020; Hajialiasghari, 2021). Conversely, a substantial body of behavioral ec</w:t>
      </w:r>
      <w:r>
        <w:t>onomics and project governance literature challenges this linear, mechanistic assumption, arguing that project underperformance and cost escalations are not merely technical procedural failures, but are deeply rooted in human biases such as 'optimism bias'</w:t>
      </w:r>
      <w:r>
        <w:t xml:space="preserve"> and deliberate 'strategic misrepresentation' by political actors seeking project approval (Flyvbjerg, 2013; Pinto &amp; Winch, 2022). From this perspective, highly detailed initial planning documents can create a false sense of security while failing to prote</w:t>
      </w:r>
      <w:r>
        <w:t>ct projects from shifting socio-economic realities mid-lifecycle.</w:t>
      </w:r>
    </w:p>
    <w:p w:rsidR="001A06DA" w:rsidRDefault="00680716">
      <w:pPr>
        <w:spacing w:after="120"/>
        <w:ind w:firstLine="720"/>
        <w:jc w:val="both"/>
      </w:pPr>
      <w:r>
        <w:t>To reconcile these viewpoints, the Resource-Based View suggests that the translation of static planning documents into actual implementation performance is fundamentally moderated by human c</w:t>
      </w:r>
      <w:r>
        <w:t>apital. In decentralized educational stimulus environments across emerging economies, implementation oversight is frequently assigned to localized actors, such as school principals and Boards of Management (BOMs), who possess domain expertise but often exh</w:t>
      </w:r>
      <w:r>
        <w:t>ibit severe deficits in formal project management mechanics (Amoah et al., 2024; Nzuki &amp; Kithandi, 2025). When human capital is low, the planning phase collapses into an administrative 'box-ticking' exercise or what text conceptualizes as isomorphic mimicr</w:t>
      </w:r>
      <w:r>
        <w:t>y (Andrews et al., 2013). Under these conditions, even a comprehensive scope document fails because local committees cannot translate complex technical blueprints into practical tracking indicators, leading to unmanaged scope creep, fund diversion, and eve</w:t>
      </w:r>
      <w:r>
        <w:t>ntual asset abandonment (Muli, 2025). Conversely, when local institutional actors possess high human capital—characterized by advanced project management skills and technical training—they leverage scoping tools dynamically to run requirements traceability</w:t>
      </w:r>
      <w:r>
        <w:t xml:space="preserve"> matrices, align procurement pipelines, and proactively mitigate planning errors before physical construction advances (Motala, 2024).</w:t>
      </w:r>
    </w:p>
    <w:p w:rsidR="00FA7D57" w:rsidRDefault="00FA7D57">
      <w:pPr>
        <w:spacing w:after="120"/>
        <w:ind w:firstLine="720"/>
        <w:jc w:val="both"/>
      </w:pPr>
    </w:p>
    <w:p w:rsidR="001A06DA" w:rsidRDefault="00680716">
      <w:pPr>
        <w:spacing w:before="280" w:after="80"/>
      </w:pPr>
      <w:r>
        <w:rPr>
          <w:b/>
        </w:rPr>
        <w:t>3.2 Scope Verification and Stakeholder Satisfaction</w:t>
      </w:r>
    </w:p>
    <w:p w:rsidR="001A06DA" w:rsidRDefault="00680716">
      <w:pPr>
        <w:spacing w:after="120"/>
        <w:ind w:firstLine="720"/>
        <w:jc w:val="both"/>
      </w:pPr>
      <w:r>
        <w:t>Empirical literature consistently underscores scope verification as a</w:t>
      </w:r>
      <w:r>
        <w:t xml:space="preserve"> primary tool for mitigating expectation mismatches and safeguarding final stakeholder satisfaction (Banda &amp; Pretorius, 2016; Hajialiasghari, 2021). Advocates of formal scope verification argue that the systematic, incremental acceptance of deliverables by</w:t>
      </w:r>
      <w:r>
        <w:t xml:space="preserve"> institutional clients removes ambiguity, limits unauthorized baseline variations, and ensures that the final engineered asset aligns with user requirements (Newton, 2015; Li, 2022). In public sector projects, which typically feature multi-tiered and highl</w:t>
      </w:r>
      <w:r>
        <w:t>y fragmented stakeholder landscapes, skipping formal verification intervals creates a severe 'cognitive divergence' between what contractors deliver and what educational beneficiaries expect (Ika, 2020). Implementing structured validation intervals—such as</w:t>
      </w:r>
      <w:r>
        <w:t xml:space="preserve"> requirements verification workshops and rapid prototyping—explicitly anchors stakeholder expectations to the evolving asset, thereby reducing structural disputes, preventing late-stage reworks, and driving project completion success (Bakkah, 2025).</w:t>
      </w:r>
    </w:p>
    <w:p w:rsidR="001A06DA" w:rsidRDefault="00680716">
      <w:pPr>
        <w:spacing w:after="120"/>
        <w:ind w:firstLine="720"/>
        <w:jc w:val="both"/>
      </w:pPr>
      <w:r>
        <w:t>Howeve</w:t>
      </w:r>
      <w:r>
        <w:t>r, counter-narratives in project governance warn against the over-formalization of verification pathways, as scholars argue that arduous, hyper-bureaucratic verification protocols do not guarantee absolute scope control and can paradoxically hinder project</w:t>
      </w:r>
      <w:r>
        <w:t xml:space="preserve"> momentum (Mirzaei, 2019). In environments characterized by high technological or environmental uncertainty, rigid verification demands can trigger adversarial contractual gridlocks, where minor technical deviations stop construction progress, extend proje</w:t>
      </w:r>
      <w:r>
        <w:t>ct durations, and ultimately diminish stakeholder satisfaction.</w:t>
      </w:r>
    </w:p>
    <w:p w:rsidR="001A06DA" w:rsidRDefault="00680716">
      <w:pPr>
        <w:spacing w:after="120"/>
        <w:ind w:firstLine="720"/>
        <w:jc w:val="both"/>
      </w:pPr>
      <w:r>
        <w:t>This tension indicates that the relationship between scope verification and stakeholder satisfaction is not direct, but is contingent upon the quality of human capital deployed. Drawing from t</w:t>
      </w:r>
      <w:r>
        <w:t>he Resource-Based View, technical project management competence represents a rare and valuable internal resource necessary to navigate this interface (Barney, 1991). When public steering committees possess high human capital, they successfully translate ab</w:t>
      </w:r>
      <w:r>
        <w:t>stract technical specifications into transparent, requirement-traceable milestones that lay stakeholders can meaningfully evaluate (Aljadhai et al., 2024). Competent project teams use their expert judgment to separate minor aesthetic variations from critic</w:t>
      </w:r>
      <w:r>
        <w:t xml:space="preserve">al product quality issues, thereby maintaining trust and progress (Siriram, 2022). Conversely, when human capital is absent, scope verification collapses into a superficial paper exercise or an arena for conflict, where local committees struggle to detect </w:t>
      </w:r>
      <w:r>
        <w:t>structural defects early, leading to the acceptance of subpar educational facilities or uncoordinated rejections that stall delivery entirely (Nzuki &amp; Kithandi, 2025; Turner, 2019).</w:t>
      </w:r>
    </w:p>
    <w:p w:rsidR="009F0431" w:rsidRPr="009F0431" w:rsidRDefault="009F0431" w:rsidP="009F0431">
      <w:pPr>
        <w:spacing w:after="120"/>
        <w:jc w:val="center"/>
        <w:rPr>
          <w:sz w:val="21"/>
        </w:rPr>
      </w:pPr>
      <w:r w:rsidRPr="009F0431">
        <w:rPr>
          <w:b/>
          <w:sz w:val="26"/>
        </w:rPr>
        <w:t>RESEARCH METHODOLOGY</w:t>
      </w:r>
    </w:p>
    <w:p w:rsidR="009F0431" w:rsidRPr="009F0431" w:rsidRDefault="009F0431" w:rsidP="009F0431">
      <w:pPr>
        <w:keepNext/>
        <w:spacing w:before="120" w:after="40"/>
        <w:rPr>
          <w:sz w:val="21"/>
        </w:rPr>
      </w:pPr>
      <w:r w:rsidRPr="009F0431">
        <w:rPr>
          <w:b/>
        </w:rPr>
        <w:t>3.1 Introduction &amp; 3.2 Research Design</w:t>
      </w:r>
    </w:p>
    <w:p w:rsidR="009F0431" w:rsidRPr="009F0431" w:rsidRDefault="009F0431" w:rsidP="009F0431">
      <w:pPr>
        <w:spacing w:after="80" w:line="288" w:lineRule="auto"/>
        <w:ind w:firstLine="432"/>
        <w:jc w:val="both"/>
        <w:rPr>
          <w:sz w:val="21"/>
        </w:rPr>
      </w:pPr>
      <w:r w:rsidRPr="009F0431">
        <w:rPr>
          <w:sz w:val="21"/>
        </w:rPr>
        <w:t>This chapter outlines the study's methodological framework. The study adopted a mixed-methods descriptive survey design, utilizing quantitative and qualitative approaches. This layout enabled data triangulation via questionnaires, interviews, and observations to gather firsthand information efficiently.</w:t>
      </w:r>
    </w:p>
    <w:p w:rsidR="009F0431" w:rsidRPr="009F0431" w:rsidRDefault="009F0431" w:rsidP="009F0431">
      <w:pPr>
        <w:keepNext/>
        <w:spacing w:before="120" w:after="40"/>
        <w:rPr>
          <w:sz w:val="21"/>
        </w:rPr>
      </w:pPr>
      <w:r w:rsidRPr="009F0431">
        <w:rPr>
          <w:b/>
        </w:rPr>
        <w:t>3.3 Target Population &amp; 3.4 Sampling Framework</w:t>
      </w:r>
    </w:p>
    <w:p w:rsidR="009F0431" w:rsidRPr="009F0431" w:rsidRDefault="009F0431" w:rsidP="009F0431">
      <w:pPr>
        <w:spacing w:after="80" w:line="288" w:lineRule="auto"/>
        <w:ind w:firstLine="432"/>
        <w:jc w:val="both"/>
        <w:rPr>
          <w:sz w:val="21"/>
        </w:rPr>
      </w:pPr>
      <w:r w:rsidRPr="009F0431">
        <w:rPr>
          <w:sz w:val="21"/>
        </w:rPr>
        <w:t>The target population comprised stakeholders from 7 secondary schools (one per constituency) in Kisumu County funded under the Economic Stimulus Programme (ESP), totaling 189 respondents: 98 Board of Management (BOM) members, 56 Site Committee members, and 35 Ministry of Education (MOE) officers.</w:t>
      </w:r>
    </w:p>
    <w:p w:rsidR="009F0431" w:rsidRPr="009F0431" w:rsidRDefault="009F0431" w:rsidP="009F0431">
      <w:pPr>
        <w:spacing w:after="80" w:line="288" w:lineRule="auto"/>
        <w:ind w:firstLine="432"/>
        <w:jc w:val="both"/>
        <w:rPr>
          <w:sz w:val="21"/>
        </w:rPr>
      </w:pPr>
      <w:r w:rsidRPr="009F0431">
        <w:rPr>
          <w:sz w:val="21"/>
        </w:rPr>
        <w:t>Yamane’s (1967) formula determined a minimum sample size of 128 at a 95% confidence level (e=0.05): n = N / [1 + N(e)²], where n = 189 / [1 + 189(0.0025)] ≈ 128. Stratified random sampling ensured proportionate representation across sub-groups using n_h = (N_h / N) * n, while judgmental sampling selected interviewees per school based on operational authority.</w:t>
      </w:r>
    </w:p>
    <w:tbl>
      <w:tblPr>
        <w:tblStyle w:val="TableGrid1"/>
        <w:tblW w:w="0" w:type="auto"/>
        <w:tblLook w:val="04A0" w:firstRow="1" w:lastRow="0" w:firstColumn="1" w:lastColumn="0" w:noHBand="0" w:noVBand="1"/>
      </w:tblPr>
      <w:tblGrid>
        <w:gridCol w:w="1929"/>
        <w:gridCol w:w="1889"/>
        <w:gridCol w:w="1886"/>
        <w:gridCol w:w="1828"/>
        <w:gridCol w:w="1818"/>
      </w:tblGrid>
      <w:tr w:rsidR="009F0431" w:rsidRPr="009F0431" w:rsidTr="000530CD">
        <w:tc>
          <w:tcPr>
            <w:tcW w:w="2102" w:type="dxa"/>
            <w:shd w:val="clear" w:color="auto" w:fill="F2F2F2"/>
          </w:tcPr>
          <w:p w:rsidR="009F0431" w:rsidRPr="009F0431" w:rsidRDefault="009F0431" w:rsidP="009F0431">
            <w:pPr>
              <w:rPr>
                <w:sz w:val="21"/>
              </w:rPr>
            </w:pPr>
            <w:r w:rsidRPr="009F0431">
              <w:rPr>
                <w:sz w:val="21"/>
              </w:rPr>
              <w:t>Respondents Stratum</w:t>
            </w:r>
          </w:p>
        </w:tc>
        <w:tc>
          <w:tcPr>
            <w:tcW w:w="2102" w:type="dxa"/>
            <w:shd w:val="clear" w:color="auto" w:fill="F2F2F2"/>
          </w:tcPr>
          <w:p w:rsidR="009F0431" w:rsidRPr="009F0431" w:rsidRDefault="009F0431" w:rsidP="009F0431">
            <w:pPr>
              <w:rPr>
                <w:sz w:val="21"/>
              </w:rPr>
            </w:pPr>
            <w:r w:rsidRPr="009F0431">
              <w:rPr>
                <w:sz w:val="21"/>
              </w:rPr>
              <w:t>Population (Nh)</w:t>
            </w:r>
          </w:p>
        </w:tc>
        <w:tc>
          <w:tcPr>
            <w:tcW w:w="2102" w:type="dxa"/>
            <w:shd w:val="clear" w:color="auto" w:fill="F2F2F2"/>
          </w:tcPr>
          <w:p w:rsidR="009F0431" w:rsidRPr="009F0431" w:rsidRDefault="009F0431" w:rsidP="009F0431">
            <w:pPr>
              <w:rPr>
                <w:sz w:val="21"/>
              </w:rPr>
            </w:pPr>
            <w:r w:rsidRPr="009F0431">
              <w:rPr>
                <w:sz w:val="21"/>
              </w:rPr>
              <w:t>Proportion (%)</w:t>
            </w:r>
          </w:p>
        </w:tc>
        <w:tc>
          <w:tcPr>
            <w:tcW w:w="2102" w:type="dxa"/>
            <w:shd w:val="clear" w:color="auto" w:fill="F2F2F2"/>
          </w:tcPr>
          <w:p w:rsidR="009F0431" w:rsidRPr="009F0431" w:rsidRDefault="009F0431" w:rsidP="009F0431">
            <w:pPr>
              <w:rPr>
                <w:sz w:val="21"/>
              </w:rPr>
            </w:pPr>
            <w:r w:rsidRPr="009F0431">
              <w:rPr>
                <w:sz w:val="21"/>
              </w:rPr>
              <w:t>Sample Size (nh)</w:t>
            </w:r>
          </w:p>
        </w:tc>
        <w:tc>
          <w:tcPr>
            <w:tcW w:w="2102" w:type="dxa"/>
            <w:shd w:val="clear" w:color="auto" w:fill="F2F2F2"/>
          </w:tcPr>
          <w:p w:rsidR="009F0431" w:rsidRPr="009F0431" w:rsidRDefault="009F0431" w:rsidP="009F0431">
            <w:pPr>
              <w:rPr>
                <w:sz w:val="21"/>
              </w:rPr>
            </w:pPr>
            <w:r w:rsidRPr="009F0431">
              <w:rPr>
                <w:sz w:val="21"/>
              </w:rPr>
              <w:t>Target Per School</w:t>
            </w:r>
          </w:p>
        </w:tc>
      </w:tr>
      <w:tr w:rsidR="009F0431" w:rsidRPr="009F0431" w:rsidTr="000530CD">
        <w:tc>
          <w:tcPr>
            <w:tcW w:w="2102" w:type="dxa"/>
          </w:tcPr>
          <w:p w:rsidR="009F0431" w:rsidRPr="009F0431" w:rsidRDefault="009F0431" w:rsidP="009F0431">
            <w:pPr>
              <w:rPr>
                <w:sz w:val="21"/>
              </w:rPr>
            </w:pPr>
            <w:r w:rsidRPr="009F0431">
              <w:rPr>
                <w:sz w:val="21"/>
              </w:rPr>
              <w:t>Board of Management (BOM)</w:t>
            </w:r>
          </w:p>
        </w:tc>
        <w:tc>
          <w:tcPr>
            <w:tcW w:w="2102" w:type="dxa"/>
          </w:tcPr>
          <w:p w:rsidR="009F0431" w:rsidRPr="009F0431" w:rsidRDefault="009F0431" w:rsidP="009F0431">
            <w:pPr>
              <w:rPr>
                <w:sz w:val="21"/>
              </w:rPr>
            </w:pPr>
            <w:r w:rsidRPr="009F0431">
              <w:rPr>
                <w:sz w:val="21"/>
              </w:rPr>
              <w:t>98</w:t>
            </w:r>
          </w:p>
        </w:tc>
        <w:tc>
          <w:tcPr>
            <w:tcW w:w="2102" w:type="dxa"/>
          </w:tcPr>
          <w:p w:rsidR="009F0431" w:rsidRPr="009F0431" w:rsidRDefault="009F0431" w:rsidP="009F0431">
            <w:pPr>
              <w:rPr>
                <w:sz w:val="21"/>
              </w:rPr>
            </w:pPr>
            <w:r w:rsidRPr="009F0431">
              <w:rPr>
                <w:sz w:val="21"/>
              </w:rPr>
              <w:t>68%</w:t>
            </w:r>
          </w:p>
        </w:tc>
        <w:tc>
          <w:tcPr>
            <w:tcW w:w="2102" w:type="dxa"/>
          </w:tcPr>
          <w:p w:rsidR="009F0431" w:rsidRPr="009F0431" w:rsidRDefault="009F0431" w:rsidP="009F0431">
            <w:pPr>
              <w:rPr>
                <w:sz w:val="21"/>
              </w:rPr>
            </w:pPr>
            <w:r w:rsidRPr="009F0431">
              <w:rPr>
                <w:sz w:val="21"/>
              </w:rPr>
              <w:t>66</w:t>
            </w:r>
          </w:p>
        </w:tc>
        <w:tc>
          <w:tcPr>
            <w:tcW w:w="2102" w:type="dxa"/>
          </w:tcPr>
          <w:p w:rsidR="009F0431" w:rsidRPr="009F0431" w:rsidRDefault="009F0431" w:rsidP="009F0431">
            <w:pPr>
              <w:rPr>
                <w:sz w:val="21"/>
              </w:rPr>
            </w:pPr>
            <w:r w:rsidRPr="009F0431">
              <w:rPr>
                <w:sz w:val="21"/>
              </w:rPr>
              <w:t>9</w:t>
            </w:r>
          </w:p>
        </w:tc>
      </w:tr>
      <w:tr w:rsidR="009F0431" w:rsidRPr="009F0431" w:rsidTr="000530CD">
        <w:tc>
          <w:tcPr>
            <w:tcW w:w="2102" w:type="dxa"/>
          </w:tcPr>
          <w:p w:rsidR="009F0431" w:rsidRPr="009F0431" w:rsidRDefault="009F0431" w:rsidP="009F0431">
            <w:pPr>
              <w:rPr>
                <w:sz w:val="21"/>
              </w:rPr>
            </w:pPr>
            <w:r w:rsidRPr="009F0431">
              <w:rPr>
                <w:sz w:val="21"/>
              </w:rPr>
              <w:t>Ministry of Education (MOE) Officers</w:t>
            </w:r>
          </w:p>
        </w:tc>
        <w:tc>
          <w:tcPr>
            <w:tcW w:w="2102" w:type="dxa"/>
          </w:tcPr>
          <w:p w:rsidR="009F0431" w:rsidRPr="009F0431" w:rsidRDefault="009F0431" w:rsidP="009F0431">
            <w:pPr>
              <w:rPr>
                <w:sz w:val="21"/>
              </w:rPr>
            </w:pPr>
            <w:r w:rsidRPr="009F0431">
              <w:rPr>
                <w:sz w:val="21"/>
              </w:rPr>
              <w:t>35</w:t>
            </w:r>
          </w:p>
        </w:tc>
        <w:tc>
          <w:tcPr>
            <w:tcW w:w="2102" w:type="dxa"/>
          </w:tcPr>
          <w:p w:rsidR="009F0431" w:rsidRPr="009F0431" w:rsidRDefault="009F0431" w:rsidP="009F0431">
            <w:pPr>
              <w:rPr>
                <w:sz w:val="21"/>
              </w:rPr>
            </w:pPr>
            <w:r w:rsidRPr="009F0431">
              <w:rPr>
                <w:sz w:val="21"/>
              </w:rPr>
              <w:t>68%</w:t>
            </w:r>
          </w:p>
        </w:tc>
        <w:tc>
          <w:tcPr>
            <w:tcW w:w="2102" w:type="dxa"/>
          </w:tcPr>
          <w:p w:rsidR="009F0431" w:rsidRPr="009F0431" w:rsidRDefault="009F0431" w:rsidP="009F0431">
            <w:pPr>
              <w:rPr>
                <w:sz w:val="21"/>
              </w:rPr>
            </w:pPr>
            <w:r w:rsidRPr="009F0431">
              <w:rPr>
                <w:sz w:val="21"/>
              </w:rPr>
              <w:t>24</w:t>
            </w:r>
          </w:p>
        </w:tc>
        <w:tc>
          <w:tcPr>
            <w:tcW w:w="2102" w:type="dxa"/>
          </w:tcPr>
          <w:p w:rsidR="009F0431" w:rsidRPr="009F0431" w:rsidRDefault="009F0431" w:rsidP="009F0431">
            <w:pPr>
              <w:rPr>
                <w:sz w:val="21"/>
              </w:rPr>
            </w:pPr>
            <w:r w:rsidRPr="009F0431">
              <w:rPr>
                <w:sz w:val="21"/>
              </w:rPr>
              <w:t>3</w:t>
            </w:r>
          </w:p>
        </w:tc>
      </w:tr>
      <w:tr w:rsidR="009F0431" w:rsidRPr="009F0431" w:rsidTr="000530CD">
        <w:tc>
          <w:tcPr>
            <w:tcW w:w="2102" w:type="dxa"/>
          </w:tcPr>
          <w:p w:rsidR="009F0431" w:rsidRPr="009F0431" w:rsidRDefault="009F0431" w:rsidP="009F0431">
            <w:pPr>
              <w:rPr>
                <w:sz w:val="21"/>
              </w:rPr>
            </w:pPr>
            <w:r w:rsidRPr="009F0431">
              <w:rPr>
                <w:sz w:val="21"/>
              </w:rPr>
              <w:t>Site Committee Members</w:t>
            </w:r>
          </w:p>
        </w:tc>
        <w:tc>
          <w:tcPr>
            <w:tcW w:w="2102" w:type="dxa"/>
          </w:tcPr>
          <w:p w:rsidR="009F0431" w:rsidRPr="009F0431" w:rsidRDefault="009F0431" w:rsidP="009F0431">
            <w:pPr>
              <w:rPr>
                <w:sz w:val="21"/>
              </w:rPr>
            </w:pPr>
            <w:r w:rsidRPr="009F0431">
              <w:rPr>
                <w:sz w:val="21"/>
              </w:rPr>
              <w:t>56</w:t>
            </w:r>
          </w:p>
        </w:tc>
        <w:tc>
          <w:tcPr>
            <w:tcW w:w="2102" w:type="dxa"/>
          </w:tcPr>
          <w:p w:rsidR="009F0431" w:rsidRPr="009F0431" w:rsidRDefault="009F0431" w:rsidP="009F0431">
            <w:pPr>
              <w:rPr>
                <w:sz w:val="21"/>
              </w:rPr>
            </w:pPr>
            <w:r w:rsidRPr="009F0431">
              <w:rPr>
                <w:sz w:val="21"/>
              </w:rPr>
              <w:t>68%</w:t>
            </w:r>
          </w:p>
        </w:tc>
        <w:tc>
          <w:tcPr>
            <w:tcW w:w="2102" w:type="dxa"/>
          </w:tcPr>
          <w:p w:rsidR="009F0431" w:rsidRPr="009F0431" w:rsidRDefault="009F0431" w:rsidP="009F0431">
            <w:pPr>
              <w:rPr>
                <w:sz w:val="21"/>
              </w:rPr>
            </w:pPr>
            <w:r w:rsidRPr="009F0431">
              <w:rPr>
                <w:sz w:val="21"/>
              </w:rPr>
              <w:t>38</w:t>
            </w:r>
          </w:p>
        </w:tc>
        <w:tc>
          <w:tcPr>
            <w:tcW w:w="2102" w:type="dxa"/>
          </w:tcPr>
          <w:p w:rsidR="009F0431" w:rsidRPr="009F0431" w:rsidRDefault="009F0431" w:rsidP="009F0431">
            <w:pPr>
              <w:rPr>
                <w:sz w:val="21"/>
              </w:rPr>
            </w:pPr>
            <w:r w:rsidRPr="009F0431">
              <w:rPr>
                <w:sz w:val="21"/>
              </w:rPr>
              <w:t>5</w:t>
            </w:r>
          </w:p>
        </w:tc>
      </w:tr>
      <w:tr w:rsidR="009F0431" w:rsidRPr="009F0431" w:rsidTr="000530CD">
        <w:tc>
          <w:tcPr>
            <w:tcW w:w="2102" w:type="dxa"/>
          </w:tcPr>
          <w:p w:rsidR="009F0431" w:rsidRPr="009F0431" w:rsidRDefault="009F0431" w:rsidP="009F0431">
            <w:pPr>
              <w:rPr>
                <w:sz w:val="21"/>
              </w:rPr>
            </w:pPr>
            <w:r w:rsidRPr="009F0431">
              <w:rPr>
                <w:b/>
                <w:sz w:val="21"/>
              </w:rPr>
              <w:t>Total</w:t>
            </w:r>
          </w:p>
        </w:tc>
        <w:tc>
          <w:tcPr>
            <w:tcW w:w="2102" w:type="dxa"/>
          </w:tcPr>
          <w:p w:rsidR="009F0431" w:rsidRPr="009F0431" w:rsidRDefault="009F0431" w:rsidP="009F0431">
            <w:pPr>
              <w:rPr>
                <w:sz w:val="21"/>
              </w:rPr>
            </w:pPr>
            <w:r w:rsidRPr="009F0431">
              <w:rPr>
                <w:b/>
                <w:sz w:val="21"/>
              </w:rPr>
              <w:t>189</w:t>
            </w:r>
          </w:p>
        </w:tc>
        <w:tc>
          <w:tcPr>
            <w:tcW w:w="2102" w:type="dxa"/>
          </w:tcPr>
          <w:p w:rsidR="009F0431" w:rsidRPr="009F0431" w:rsidRDefault="009F0431" w:rsidP="009F0431">
            <w:pPr>
              <w:rPr>
                <w:sz w:val="21"/>
              </w:rPr>
            </w:pPr>
            <w:r w:rsidRPr="009F0431">
              <w:rPr>
                <w:b/>
                <w:sz w:val="21"/>
              </w:rPr>
              <w:t>68%</w:t>
            </w:r>
          </w:p>
        </w:tc>
        <w:tc>
          <w:tcPr>
            <w:tcW w:w="2102" w:type="dxa"/>
          </w:tcPr>
          <w:p w:rsidR="009F0431" w:rsidRPr="009F0431" w:rsidRDefault="009F0431" w:rsidP="009F0431">
            <w:pPr>
              <w:rPr>
                <w:sz w:val="21"/>
              </w:rPr>
            </w:pPr>
            <w:r w:rsidRPr="009F0431">
              <w:rPr>
                <w:b/>
                <w:sz w:val="21"/>
              </w:rPr>
              <w:t>128</w:t>
            </w:r>
          </w:p>
        </w:tc>
        <w:tc>
          <w:tcPr>
            <w:tcW w:w="2102" w:type="dxa"/>
          </w:tcPr>
          <w:p w:rsidR="009F0431" w:rsidRPr="009F0431" w:rsidRDefault="009F0431" w:rsidP="009F0431">
            <w:pPr>
              <w:rPr>
                <w:sz w:val="21"/>
              </w:rPr>
            </w:pPr>
            <w:r w:rsidRPr="009F0431">
              <w:rPr>
                <w:b/>
                <w:sz w:val="21"/>
              </w:rPr>
              <w:t>17</w:t>
            </w:r>
          </w:p>
        </w:tc>
      </w:tr>
    </w:tbl>
    <w:p w:rsidR="009F0431" w:rsidRPr="009F0431" w:rsidRDefault="009F0431" w:rsidP="009F0431">
      <w:pPr>
        <w:keepNext/>
        <w:spacing w:before="120" w:after="40"/>
        <w:rPr>
          <w:sz w:val="21"/>
        </w:rPr>
      </w:pPr>
      <w:r w:rsidRPr="009F0431">
        <w:rPr>
          <w:b/>
        </w:rPr>
        <w:t>3.5 Research Instruments, Validity &amp; Reliability</w:t>
      </w:r>
    </w:p>
    <w:p w:rsidR="009F0431" w:rsidRPr="009F0431" w:rsidRDefault="009F0431" w:rsidP="009F0431">
      <w:pPr>
        <w:spacing w:after="80" w:line="288" w:lineRule="auto"/>
        <w:ind w:firstLine="432"/>
        <w:jc w:val="both"/>
        <w:rPr>
          <w:sz w:val="21"/>
        </w:rPr>
      </w:pPr>
      <w:r w:rsidRPr="009F0431">
        <w:rPr>
          <w:sz w:val="21"/>
        </w:rPr>
        <w:t>Semi-structured questionnaires (covering demographics, execution, initiation, and scope parameters) and interview guides were utilized. Instruments were piloted using 5 participants per school at Ngiya Girls and Sawagongo High Schools (omitted from the final study). Content and face validity were established via supervisor and peer reviews. Reliability was verified using the test-retest method and Pearson’s Product-Moment Correlation coefficient (r), yielding coefficients of 0.75 (MOE) and 0.72 (Committees), both exceeding the acceptable 0.70 threshold.</w:t>
      </w:r>
    </w:p>
    <w:p w:rsidR="009F0431" w:rsidRPr="009F0431" w:rsidRDefault="009F0431" w:rsidP="009F0431">
      <w:pPr>
        <w:keepNext/>
        <w:spacing w:before="120" w:after="40"/>
        <w:rPr>
          <w:sz w:val="21"/>
        </w:rPr>
      </w:pPr>
      <w:r w:rsidRPr="009F0431">
        <w:rPr>
          <w:b/>
        </w:rPr>
        <w:t>3.6 Data Collection &amp; 3.7 Data Analysis Techniques</w:t>
      </w:r>
    </w:p>
    <w:p w:rsidR="009F0431" w:rsidRPr="009F0431" w:rsidRDefault="009F0431" w:rsidP="009F0431">
      <w:pPr>
        <w:spacing w:after="80" w:line="288" w:lineRule="auto"/>
        <w:ind w:firstLine="432"/>
        <w:jc w:val="both"/>
        <w:rPr>
          <w:sz w:val="21"/>
        </w:rPr>
      </w:pPr>
      <w:r w:rsidRPr="009F0431">
        <w:rPr>
          <w:sz w:val="21"/>
        </w:rPr>
        <w:t>Following NACOSTI clearance, the researcher personally administered and collected instruments across schools and education offices. Qualitative data was analyzed using thematic frameworks. Quantitative data was processed through SPSS (v20) using frequency tables, Chi-square, and correlation tests at a 95% confidence level (α = 0.05). To analyze the effects of skill levels on project execution, a multiple linear regression model was applied: Y = β</w:t>
      </w:r>
      <w:r w:rsidRPr="009F0431">
        <w:rPr>
          <w:rFonts w:ascii="Cambria Math" w:hAnsi="Cambria Math" w:cs="Cambria Math"/>
          <w:sz w:val="21"/>
        </w:rPr>
        <w:t>₀</w:t>
      </w:r>
      <w:r w:rsidRPr="009F0431">
        <w:rPr>
          <w:sz w:val="21"/>
        </w:rPr>
        <w:t xml:space="preserve"> + </w:t>
      </w:r>
      <w:r w:rsidRPr="009F0431">
        <w:rPr>
          <w:rFonts w:cs="Times New Roman"/>
          <w:sz w:val="21"/>
        </w:rPr>
        <w:t>β</w:t>
      </w:r>
      <w:r w:rsidRPr="009F0431">
        <w:rPr>
          <w:rFonts w:ascii="Cambria Math" w:hAnsi="Cambria Math" w:cs="Cambria Math"/>
          <w:sz w:val="21"/>
        </w:rPr>
        <w:t>₁</w:t>
      </w:r>
      <w:r w:rsidRPr="009F0431">
        <w:rPr>
          <w:sz w:val="21"/>
        </w:rPr>
        <w:t>X</w:t>
      </w:r>
      <w:r w:rsidRPr="009F0431">
        <w:rPr>
          <w:rFonts w:ascii="Cambria Math" w:hAnsi="Cambria Math" w:cs="Cambria Math"/>
          <w:sz w:val="21"/>
        </w:rPr>
        <w:t>₁</w:t>
      </w:r>
      <w:r w:rsidRPr="009F0431">
        <w:rPr>
          <w:sz w:val="21"/>
        </w:rPr>
        <w:t xml:space="preserve"> + </w:t>
      </w:r>
      <w:r w:rsidRPr="009F0431">
        <w:rPr>
          <w:rFonts w:cs="Times New Roman"/>
          <w:sz w:val="21"/>
        </w:rPr>
        <w:t>β</w:t>
      </w:r>
      <w:r w:rsidRPr="009F0431">
        <w:rPr>
          <w:rFonts w:ascii="Cambria Math" w:hAnsi="Cambria Math" w:cs="Cambria Math"/>
          <w:sz w:val="21"/>
        </w:rPr>
        <w:t>₂</w:t>
      </w:r>
      <w:r w:rsidRPr="009F0431">
        <w:rPr>
          <w:sz w:val="21"/>
        </w:rPr>
        <w:t>X</w:t>
      </w:r>
      <w:r w:rsidRPr="009F0431">
        <w:rPr>
          <w:rFonts w:ascii="Cambria Math" w:hAnsi="Cambria Math" w:cs="Cambria Math"/>
          <w:sz w:val="21"/>
        </w:rPr>
        <w:t>₂</w:t>
      </w:r>
      <w:r w:rsidRPr="009F0431">
        <w:rPr>
          <w:sz w:val="21"/>
        </w:rPr>
        <w:t xml:space="preserve"> + </w:t>
      </w:r>
      <w:r w:rsidRPr="009F0431">
        <w:rPr>
          <w:rFonts w:cs="Times New Roman"/>
          <w:sz w:val="21"/>
        </w:rPr>
        <w:t>ε</w:t>
      </w:r>
      <w:r w:rsidRPr="009F0431">
        <w:rPr>
          <w:sz w:val="21"/>
        </w:rPr>
        <w:t xml:space="preserve"> (where Y is implementation, X variables are predictors, </w:t>
      </w:r>
      <w:r w:rsidRPr="009F0431">
        <w:rPr>
          <w:rFonts w:cs="Times New Roman"/>
          <w:sz w:val="21"/>
        </w:rPr>
        <w:t>β</w:t>
      </w:r>
      <w:r w:rsidRPr="009F0431">
        <w:rPr>
          <w:sz w:val="21"/>
        </w:rPr>
        <w:t xml:space="preserve"> represents coefficients, and </w:t>
      </w:r>
      <w:r w:rsidRPr="009F0431">
        <w:rPr>
          <w:rFonts w:cs="Times New Roman"/>
          <w:sz w:val="21"/>
        </w:rPr>
        <w:t>ε</w:t>
      </w:r>
      <w:r w:rsidRPr="009F0431">
        <w:rPr>
          <w:sz w:val="21"/>
        </w:rPr>
        <w:t xml:space="preserve"> represents error).</w:t>
      </w:r>
    </w:p>
    <w:p w:rsidR="009F0431" w:rsidRPr="009F0431" w:rsidRDefault="009F0431" w:rsidP="009F0431">
      <w:pPr>
        <w:keepNext/>
        <w:spacing w:before="120" w:after="40"/>
        <w:rPr>
          <w:sz w:val="21"/>
        </w:rPr>
      </w:pPr>
      <w:r w:rsidRPr="009F0431">
        <w:rPr>
          <w:b/>
        </w:rPr>
        <w:t>3.8 Ethical Issues</w:t>
      </w:r>
    </w:p>
    <w:p w:rsidR="009F0431" w:rsidRPr="009F0431" w:rsidRDefault="009F0431" w:rsidP="009F0431">
      <w:pPr>
        <w:spacing w:after="80" w:line="288" w:lineRule="auto"/>
        <w:ind w:firstLine="432"/>
        <w:jc w:val="both"/>
        <w:rPr>
          <w:sz w:val="21"/>
        </w:rPr>
      </w:pPr>
      <w:r w:rsidRPr="009F0431">
        <w:rPr>
          <w:sz w:val="21"/>
        </w:rPr>
        <w:t>Institutional approvals were obtained from the Ministry of Higher Education. Informed consent was mandatory, participation remained strictly voluntary with unconditional withdrawal rights, and complete respondent anonymity and data confidentiality were maintained throughout.</w:t>
      </w:r>
    </w:p>
    <w:p w:rsidR="00FA7D57" w:rsidRPr="00FA7D57" w:rsidRDefault="003165E8">
      <w:pPr>
        <w:spacing w:after="120"/>
        <w:ind w:firstLine="720"/>
        <w:jc w:val="both"/>
        <w:rPr>
          <w:b/>
        </w:rPr>
      </w:pPr>
      <w:r>
        <w:rPr>
          <w:b/>
        </w:rPr>
        <w:t xml:space="preserve">FINDINGS AND INTREPRETATIONS </w:t>
      </w:r>
    </w:p>
    <w:p w:rsidR="001A06DA" w:rsidRDefault="00680716">
      <w:pPr>
        <w:spacing w:before="280" w:after="80"/>
      </w:pPr>
      <w:r>
        <w:rPr>
          <w:b/>
        </w:rPr>
        <w:t>4.1.1 Empirical Analysis of Cross-Tabulated Interaction Dynamics</w:t>
      </w:r>
    </w:p>
    <w:p w:rsidR="001A06DA" w:rsidRDefault="00680716">
      <w:pPr>
        <w:spacing w:after="120"/>
        <w:ind w:firstLine="720"/>
        <w:jc w:val="both"/>
      </w:pPr>
      <w:r>
        <w:t>To test t</w:t>
      </w:r>
      <w:r>
        <w:t>he operational reality of team capability configurations, the practical application of a Work Breakdown Structure (WBS) was selected as an empirical proxy for scope verification capacity. The resulting cross-tabulation demonstrates a sharp divide in implem</w:t>
      </w:r>
      <w:r>
        <w:t>entation timelines based on tool utilization. Among the projects successfully executed within the mandated six-month timeline of the Economic Stimulus Programme (ESP), 76.3% (n = 29) utilized a WBS as their primary baseline verification framework. Converse</w:t>
      </w:r>
      <w:r>
        <w:t>ly, within the cohort that exceeded this timeline, 85.9% (n = 55) lacked the operational skills or technical know-how to design or enforce a WBS. To test the explanatory weight of this skill variance, a simple linear regression model was computed. The mode</w:t>
      </w:r>
      <w:r>
        <w:t>l yields a strong positive correlation between scope verification capability and compressed execution cycles (R = 0.623, p &lt; 0.00001). This highly significant interaction confirms that formal scope verification competencies directly insulate project schedu</w:t>
      </w:r>
      <w:r>
        <w:t xml:space="preserve">les from downstream execution delays. Theoretically, this result strongly validates the Resource-Based View (RBV), which posits that highly specialized internal project tools and technical capabilities dictate corporate performance and structural variance </w:t>
      </w:r>
      <w:r>
        <w:t>in asset delivery frameworks (Barney, 1991; Siriram, 2022). It further mirrors empirical infrastructure data showing that upfront work definition models minimize early engineering errors and secure baseline stability (Banda &amp; Pretorius, 2016). However, a c</w:t>
      </w:r>
      <w:r>
        <w:t>ritical conceptual divergence appears when viewed through an Agile governance lens; proponents of iterative systems warn that heavy reliance on rigid, top-down breakdown tools creates structural blindness, lowering team flexibility when unexpected macroeco</w:t>
      </w:r>
      <w:r>
        <w:t>nomic shocks hit emergency public programs (Highsmith, 2009; Serrador &amp; Pinto, 2015).</w:t>
      </w:r>
    </w:p>
    <w:p w:rsidR="001A06DA" w:rsidRDefault="00680716">
      <w:pPr>
        <w:spacing w:after="120"/>
        <w:ind w:firstLine="720"/>
        <w:jc w:val="both"/>
      </w:pPr>
      <w:r>
        <w:t>The structural interface between resource execution skills and systemic scope control was further examined by cross-tabulating the occurrence of scope creep against activ</w:t>
      </w:r>
      <w:r>
        <w:t>e project change control systems. The analysis isolates an acute operational vulnerability linked directly to missing change governance skills. Within the scope creep cohort (n = 52), 76.1% of the projects operated without any formal mechanism for change p</w:t>
      </w:r>
      <w:r>
        <w:t>rocessing. Conversely, within the stable scope group (n = 49), 69.6% maintained functional change control frameworks. This pattern reveals a clear capability gap in active risk insulation, proving that scope extensions are primarily an institutional failin</w:t>
      </w:r>
      <w:r>
        <w:t>g rather than an unavoidable external reality. This directly supports the conclusions of Bakkah (2025), who proved that missing standardized engineering controls speeds up team misalignment and invites external stakeholder interference. It also tracks with</w:t>
      </w:r>
      <w:r>
        <w:t xml:space="preserve"> findings that weak administrative governance in sub-Saharan projects functions as the main driver of cost inflation and unapproved design updates (Adeyemi &amp; Amhana, 2024). In contrast, institutional project theorists offer a divergent view, noting that as</w:t>
      </w:r>
      <w:r>
        <w:t>signing scope growth purely to internal skills overlooks a broader systemic problem. They argue that within fragile public sectors, scope expansions represent an unavoidable, adaptive reaction to institutional friction, sudden political adjustments, and br</w:t>
      </w:r>
      <w:r>
        <w:t>oken regional supply networks, making formal change boundaries overly restrictive (Ika, 2020; Williams, 2019).</w:t>
      </w:r>
    </w:p>
    <w:p w:rsidR="001A06DA" w:rsidRDefault="00680716">
      <w:pPr>
        <w:spacing w:after="120"/>
        <w:ind w:firstLine="720"/>
        <w:jc w:val="both"/>
      </w:pPr>
      <w:r>
        <w:t>To evaluate the predictive role of upfront planning skills, the presence of a formal Scope Management Plan was cross-tabulated against operationa</w:t>
      </w:r>
      <w:r>
        <w:t xml:space="preserve">l scope stability. The descriptive results show that the absolute majority of projects experiencing poor (80%) or very poor (70%) scope control lacked an initial management plan. Crucially, 50.8% of the 62 respondents who failed to deliver a plan cited an </w:t>
      </w:r>
      <w:r>
        <w:t>absolute lack of technical know-how as the primary structural barrier. A Pearson Chi-square test of independence was performed, verifying a statistically robust relationship between internal scope planning skills and downstream scope control (p = 0.005, df</w:t>
      </w:r>
      <w:r>
        <w:t xml:space="preserve"> = 4). This relationship corroborates structural scheduling models which argue that proactive initialization protocols and initial scoping literacy drive over 80% of project schedule predictability metrics (Hajialiasghari, 2021; Li, 2022). Nevertheless, be</w:t>
      </w:r>
      <w:r>
        <w:t xml:space="preserve">havioral economists challenge this planning-centric logic, pointing out that elaborate project planning frequently devolves into a performative bureaucratic exercise. Real-world execution failures in public management are often rooted in deeply structural </w:t>
      </w:r>
      <w:r>
        <w:t>optimism bias and conscious strategic misrepresentation, where technically sound plans are sidelined by political figures to force project approvals (Flyvbjerg, 2013; Pinto &amp; Winch, 2022).</w:t>
      </w:r>
    </w:p>
    <w:p w:rsidR="009F0431" w:rsidRDefault="009F0431">
      <w:pPr>
        <w:spacing w:after="120"/>
        <w:ind w:firstLine="720"/>
        <w:jc w:val="both"/>
      </w:pPr>
    </w:p>
    <w:p w:rsidR="00680716" w:rsidRDefault="00680716">
      <w:pPr>
        <w:spacing w:after="120"/>
        <w:ind w:firstLine="720"/>
        <w:jc w:val="both"/>
      </w:pPr>
    </w:p>
    <w:p w:rsidR="00680716" w:rsidRDefault="00680716">
      <w:pPr>
        <w:spacing w:after="120"/>
        <w:ind w:firstLine="720"/>
        <w:jc w:val="both"/>
      </w:pPr>
    </w:p>
    <w:p w:rsidR="00680716" w:rsidRDefault="00680716">
      <w:pPr>
        <w:spacing w:after="120"/>
        <w:ind w:firstLine="720"/>
        <w:jc w:val="both"/>
      </w:pPr>
    </w:p>
    <w:p w:rsidR="00680716" w:rsidRDefault="00680716">
      <w:pPr>
        <w:spacing w:after="120"/>
        <w:ind w:firstLine="720"/>
        <w:jc w:val="both"/>
      </w:pPr>
      <w:bookmarkStart w:id="0" w:name="_GoBack"/>
      <w:bookmarkEnd w:id="0"/>
    </w:p>
    <w:p w:rsidR="009F0431" w:rsidRDefault="009F0431">
      <w:pPr>
        <w:spacing w:after="120"/>
        <w:ind w:firstLine="720"/>
        <w:jc w:val="both"/>
      </w:pPr>
    </w:p>
    <w:p w:rsidR="001A06DA" w:rsidRDefault="00680716">
      <w:r>
        <w:rPr>
          <w:b/>
        </w:rPr>
        <w:t>Table 1: Scope Control Cross-tabulation by Scope Management Plan</w:t>
      </w:r>
    </w:p>
    <w:tbl>
      <w:tblPr>
        <w:tblStyle w:val="TableGrid"/>
        <w:tblW w:w="0" w:type="auto"/>
        <w:tblLook w:val="04A0" w:firstRow="1" w:lastRow="0" w:firstColumn="1" w:lastColumn="0" w:noHBand="0" w:noVBand="1"/>
      </w:tblPr>
      <w:tblGrid>
        <w:gridCol w:w="2338"/>
        <w:gridCol w:w="2337"/>
        <w:gridCol w:w="2337"/>
        <w:gridCol w:w="2338"/>
      </w:tblGrid>
      <w:tr w:rsidR="001A06DA">
        <w:tc>
          <w:tcPr>
            <w:tcW w:w="2340" w:type="dxa"/>
          </w:tcPr>
          <w:p w:rsidR="001A06DA" w:rsidRDefault="00680716">
            <w:r>
              <w:rPr>
                <w:b/>
              </w:rPr>
              <w:t>Re</w:t>
            </w:r>
            <w:r>
              <w:rPr>
                <w:b/>
              </w:rPr>
              <w:t>ported Scope Control</w:t>
            </w:r>
          </w:p>
        </w:tc>
        <w:tc>
          <w:tcPr>
            <w:tcW w:w="2340" w:type="dxa"/>
          </w:tcPr>
          <w:p w:rsidR="001A06DA" w:rsidRDefault="00680716">
            <w:r>
              <w:rPr>
                <w:b/>
              </w:rPr>
              <w:t>Has Plan % (n)</w:t>
            </w:r>
          </w:p>
        </w:tc>
        <w:tc>
          <w:tcPr>
            <w:tcW w:w="2340" w:type="dxa"/>
          </w:tcPr>
          <w:p w:rsidR="001A06DA" w:rsidRDefault="00680716">
            <w:r>
              <w:rPr>
                <w:b/>
              </w:rPr>
              <w:t>Lacks Plan % (n)</w:t>
            </w:r>
          </w:p>
        </w:tc>
        <w:tc>
          <w:tcPr>
            <w:tcW w:w="2340" w:type="dxa"/>
          </w:tcPr>
          <w:p w:rsidR="001A06DA" w:rsidRDefault="00680716">
            <w:r>
              <w:rPr>
                <w:b/>
              </w:rPr>
              <w:t>Total Cohort (N)</w:t>
            </w:r>
          </w:p>
        </w:tc>
      </w:tr>
      <w:tr w:rsidR="001A06DA">
        <w:tc>
          <w:tcPr>
            <w:tcW w:w="2340" w:type="dxa"/>
          </w:tcPr>
          <w:p w:rsidR="001A06DA" w:rsidRDefault="00680716">
            <w:r>
              <w:rPr>
                <w:b/>
              </w:rPr>
              <w:t>Very Good</w:t>
            </w:r>
          </w:p>
        </w:tc>
        <w:tc>
          <w:tcPr>
            <w:tcW w:w="2340" w:type="dxa"/>
          </w:tcPr>
          <w:p w:rsidR="001A06DA" w:rsidRDefault="00680716">
            <w:r>
              <w:t>86.7% (13)</w:t>
            </w:r>
          </w:p>
        </w:tc>
        <w:tc>
          <w:tcPr>
            <w:tcW w:w="2340" w:type="dxa"/>
          </w:tcPr>
          <w:p w:rsidR="001A06DA" w:rsidRDefault="00680716">
            <w:r>
              <w:t>13.3% (2)</w:t>
            </w:r>
          </w:p>
        </w:tc>
        <w:tc>
          <w:tcPr>
            <w:tcW w:w="2340" w:type="dxa"/>
          </w:tcPr>
          <w:p w:rsidR="001A06DA" w:rsidRDefault="00680716">
            <w:r>
              <w:t>15</w:t>
            </w:r>
          </w:p>
        </w:tc>
      </w:tr>
      <w:tr w:rsidR="001A06DA">
        <w:tc>
          <w:tcPr>
            <w:tcW w:w="2340" w:type="dxa"/>
          </w:tcPr>
          <w:p w:rsidR="001A06DA" w:rsidRDefault="00680716">
            <w:r>
              <w:rPr>
                <w:b/>
              </w:rPr>
              <w:t>Good</w:t>
            </w:r>
          </w:p>
        </w:tc>
        <w:tc>
          <w:tcPr>
            <w:tcW w:w="2340" w:type="dxa"/>
          </w:tcPr>
          <w:p w:rsidR="001A06DA" w:rsidRDefault="00680716">
            <w:r>
              <w:t>86.4% (19)</w:t>
            </w:r>
          </w:p>
        </w:tc>
        <w:tc>
          <w:tcPr>
            <w:tcW w:w="2340" w:type="dxa"/>
          </w:tcPr>
          <w:p w:rsidR="001A06DA" w:rsidRDefault="00680716">
            <w:r>
              <w:t>13.6% (3)</w:t>
            </w:r>
          </w:p>
        </w:tc>
        <w:tc>
          <w:tcPr>
            <w:tcW w:w="2340" w:type="dxa"/>
          </w:tcPr>
          <w:p w:rsidR="001A06DA" w:rsidRDefault="00680716">
            <w:r>
              <w:t>22</w:t>
            </w:r>
          </w:p>
        </w:tc>
      </w:tr>
      <w:tr w:rsidR="001A06DA">
        <w:tc>
          <w:tcPr>
            <w:tcW w:w="2340" w:type="dxa"/>
          </w:tcPr>
          <w:p w:rsidR="001A06DA" w:rsidRDefault="00680716">
            <w:r>
              <w:rPr>
                <w:b/>
              </w:rPr>
              <w:t>Poor</w:t>
            </w:r>
          </w:p>
        </w:tc>
        <w:tc>
          <w:tcPr>
            <w:tcW w:w="2340" w:type="dxa"/>
          </w:tcPr>
          <w:p w:rsidR="001A06DA" w:rsidRDefault="00680716">
            <w:r>
              <w:t>20.0% (7)</w:t>
            </w:r>
          </w:p>
        </w:tc>
        <w:tc>
          <w:tcPr>
            <w:tcW w:w="2340" w:type="dxa"/>
          </w:tcPr>
          <w:p w:rsidR="001A06DA" w:rsidRDefault="00680716">
            <w:r>
              <w:t>80.0% (28)</w:t>
            </w:r>
          </w:p>
        </w:tc>
        <w:tc>
          <w:tcPr>
            <w:tcW w:w="2340" w:type="dxa"/>
          </w:tcPr>
          <w:p w:rsidR="001A06DA" w:rsidRDefault="00680716">
            <w:r>
              <w:t>35</w:t>
            </w:r>
          </w:p>
        </w:tc>
      </w:tr>
      <w:tr w:rsidR="001A06DA">
        <w:tc>
          <w:tcPr>
            <w:tcW w:w="2340" w:type="dxa"/>
          </w:tcPr>
          <w:p w:rsidR="001A06DA" w:rsidRDefault="00680716">
            <w:r>
              <w:rPr>
                <w:b/>
              </w:rPr>
              <w:t>Very Poor</w:t>
            </w:r>
          </w:p>
        </w:tc>
        <w:tc>
          <w:tcPr>
            <w:tcW w:w="2340" w:type="dxa"/>
          </w:tcPr>
          <w:p w:rsidR="001A06DA" w:rsidRDefault="00680716">
            <w:r>
              <w:t>30.0% (3)</w:t>
            </w:r>
          </w:p>
        </w:tc>
        <w:tc>
          <w:tcPr>
            <w:tcW w:w="2340" w:type="dxa"/>
          </w:tcPr>
          <w:p w:rsidR="001A06DA" w:rsidRDefault="00680716">
            <w:r>
              <w:t>70.0% (7)</w:t>
            </w:r>
          </w:p>
        </w:tc>
        <w:tc>
          <w:tcPr>
            <w:tcW w:w="2340" w:type="dxa"/>
          </w:tcPr>
          <w:p w:rsidR="001A06DA" w:rsidRDefault="00680716">
            <w:r>
              <w:t>10</w:t>
            </w:r>
          </w:p>
        </w:tc>
      </w:tr>
    </w:tbl>
    <w:p w:rsidR="001A06DA" w:rsidRDefault="00680716">
      <w:pPr>
        <w:spacing w:after="120"/>
        <w:ind w:firstLine="720"/>
        <w:jc w:val="both"/>
      </w:pPr>
      <w:r>
        <w:t xml:space="preserve">Financial literacy within the project environment was </w:t>
      </w:r>
      <w:r>
        <w:t>tested by correlating micro-level estimation and cost tracking proficiencies with final budget variance control. In the 'Very Good' budget control cohort (n = 13), 100% of the project teams maintained technically sound expenditure monitoring systems. Simil</w:t>
      </w:r>
      <w:r>
        <w:t>arly, 80.6% (n = 25) of teams with 'Good' cost control utilized structured estimation tools. Conversely, 77.4% (n = 24) of teams experiencing 'Poor' cost control lacked baseline tracking systems, while 66.7% (n = 12) of the 'Very Poor' cohort operated comp</w:t>
      </w:r>
      <w:r>
        <w:t>letely without standard estimation methods. These results validate classical fiscal investment frameworks and endogenous growth models, confirming that localized budget competencies serve as crucial conduits for turning macro-level public infrastructure al</w:t>
      </w:r>
      <w:r>
        <w:t>locations into productive public capital (Aschauer, 1989; Barro, 1990). The data tracks closely with regional evaluations indicating that strong auditing structures block cash leakage in sub-Saharan public investments (Calderón &amp; Servén, 2010). However, cr</w:t>
      </w:r>
      <w:r>
        <w:t>itical development scholars provide an alternative view, warning that rigid, compliance-driven cost metrics can turn overly deterministic. They demonstrate that unyielding financial tracking environments stifle urgent equity reallocations during educationa</w:t>
      </w:r>
      <w:r>
        <w:t>l crises, sacrificing real community resilience for nominal ledger balancing (McLean, 2022; Motala, 2024).</w:t>
      </w:r>
    </w:p>
    <w:p w:rsidR="001A06DA" w:rsidRDefault="00680716">
      <w:pPr>
        <w:spacing w:after="120"/>
        <w:ind w:firstLine="720"/>
        <w:jc w:val="both"/>
      </w:pPr>
      <w:r>
        <w:t>At the wider macroeconomic team level, the research assessed project stability based on the internal configuration of human capital. The sample was d</w:t>
      </w:r>
      <w:r>
        <w:t>ivided symmetrically: 48% (n = 51) of projects possessed highly skilled teams with clearly defined structural roles, while 52% (n = 55) completely lacked balanced team configurations. Cross-tabulation against project physical status uncovers major performa</w:t>
      </w:r>
      <w:r>
        <w:t>nce disparities: within the skilled team cohort, 58.8% (n = 30) achieved total project completion. Conversely, within the unskilled cohort, 74.5% (n = 41) remained permanently stalled or under active construction well past their planned target dates.</w:t>
      </w:r>
    </w:p>
    <w:p w:rsidR="001A06DA" w:rsidRDefault="00680716">
      <w:pPr>
        <w:spacing w:after="120"/>
        <w:ind w:firstLine="720"/>
        <w:jc w:val="both"/>
      </w:pPr>
      <w:r>
        <w:t xml:space="preserve">This </w:t>
      </w:r>
      <w:r>
        <w:t>clear mapping confirms human capital theory, which notes that balanced technical skill mixes and formalized team roles are the structural baseline for public sector project execution (Crawford et al., 2003; Namusonge et al., 2012). It also supports evidenc</w:t>
      </w:r>
      <w:r>
        <w:t>e identifying team skill deficits as the leading systemic cause of public asset failure across Africa (Fashina et al., 2020). Nevertheless, a powerful counterargument from structural contingency theory notes that human competence is often secondary to broa</w:t>
      </w:r>
      <w:r>
        <w:t>der institutional dynamics. They demonstrate that in highly underfunded public settings, even highly competent teams face unavoidable execution gridlock when trapped within broken intergovernmental cash pipelines and delayed institutional procurement loops</w:t>
      </w:r>
      <w:r>
        <w:t xml:space="preserve"> (Aljadhai et al., 2024; Amoah et al., 2024).</w:t>
      </w:r>
    </w:p>
    <w:p w:rsidR="001A06DA" w:rsidRDefault="00680716">
      <w:pPr>
        <w:spacing w:before="280" w:after="80"/>
      </w:pPr>
      <w:r>
        <w:rPr>
          <w:b/>
        </w:rPr>
        <w:t>4.1.2 Inferential Multivariate Modeling</w:t>
      </w:r>
    </w:p>
    <w:p w:rsidR="001A06DA" w:rsidRDefault="00680716">
      <w:pPr>
        <w:spacing w:after="120"/>
        <w:ind w:firstLine="720"/>
        <w:jc w:val="both"/>
      </w:pPr>
      <w:r>
        <w:t>To test the multivariate interaction dynamics across all components of project scope management, five distinct ordinary least squares (OLS) multiple regression models wer</w:t>
      </w:r>
      <w:r>
        <w:t xml:space="preserve">e computed. </w:t>
      </w:r>
      <w:r w:rsidRPr="00FA7D57">
        <w:rPr>
          <w:b/>
        </w:rPr>
        <w:t>Model 1</w:t>
      </w:r>
      <w:r>
        <w:t xml:space="preserve"> analyzed how final project implementation status is predicted by the combination of baseline initiation dimensions (expert judgment, selection procedures, project charter, and project manager competence). The linear model was highly sig</w:t>
      </w:r>
      <w:r>
        <w:t>nificant, F(4, 101) = 49.315, p &lt; 0.001, with an R-square value of 0.661, demonstrating that 66.1% of the performance variance is driven by the early initiation profile.</w:t>
      </w:r>
    </w:p>
    <w:p w:rsidR="001A06DA" w:rsidRDefault="00680716">
      <w:r>
        <w:rPr>
          <w:b/>
        </w:rPr>
        <w:t>Table 4.59: Regression Coefficients for Project Initiation</w:t>
      </w:r>
    </w:p>
    <w:tbl>
      <w:tblPr>
        <w:tblStyle w:val="TableGrid"/>
        <w:tblW w:w="0" w:type="auto"/>
        <w:tblLook w:val="04A0" w:firstRow="1" w:lastRow="0" w:firstColumn="1" w:lastColumn="0" w:noHBand="0" w:noVBand="1"/>
      </w:tblPr>
      <w:tblGrid>
        <w:gridCol w:w="1560"/>
        <w:gridCol w:w="1558"/>
        <w:gridCol w:w="1558"/>
        <w:gridCol w:w="1558"/>
        <w:gridCol w:w="1558"/>
        <w:gridCol w:w="1558"/>
      </w:tblGrid>
      <w:tr w:rsidR="001A06DA">
        <w:tc>
          <w:tcPr>
            <w:tcW w:w="1560" w:type="dxa"/>
          </w:tcPr>
          <w:p w:rsidR="001A06DA" w:rsidRDefault="00680716">
            <w:r>
              <w:rPr>
                <w:b/>
              </w:rPr>
              <w:t>Predictor</w:t>
            </w:r>
          </w:p>
        </w:tc>
        <w:tc>
          <w:tcPr>
            <w:tcW w:w="1560" w:type="dxa"/>
          </w:tcPr>
          <w:p w:rsidR="001A06DA" w:rsidRDefault="00680716">
            <w:r>
              <w:rPr>
                <w:b/>
              </w:rPr>
              <w:t>B</w:t>
            </w:r>
          </w:p>
        </w:tc>
        <w:tc>
          <w:tcPr>
            <w:tcW w:w="1560" w:type="dxa"/>
          </w:tcPr>
          <w:p w:rsidR="001A06DA" w:rsidRDefault="00680716">
            <w:r>
              <w:rPr>
                <w:b/>
              </w:rPr>
              <w:t>Std. Error</w:t>
            </w:r>
          </w:p>
        </w:tc>
        <w:tc>
          <w:tcPr>
            <w:tcW w:w="1560" w:type="dxa"/>
          </w:tcPr>
          <w:p w:rsidR="001A06DA" w:rsidRDefault="00680716">
            <w:r>
              <w:rPr>
                <w:b/>
              </w:rPr>
              <w:t>Beta</w:t>
            </w:r>
          </w:p>
        </w:tc>
        <w:tc>
          <w:tcPr>
            <w:tcW w:w="1560" w:type="dxa"/>
          </w:tcPr>
          <w:p w:rsidR="001A06DA" w:rsidRDefault="00680716">
            <w:r>
              <w:rPr>
                <w:b/>
              </w:rPr>
              <w:t>t</w:t>
            </w:r>
          </w:p>
        </w:tc>
        <w:tc>
          <w:tcPr>
            <w:tcW w:w="1560" w:type="dxa"/>
          </w:tcPr>
          <w:p w:rsidR="001A06DA" w:rsidRDefault="00680716">
            <w:r>
              <w:rPr>
                <w:b/>
              </w:rPr>
              <w:t>Sig.</w:t>
            </w:r>
          </w:p>
        </w:tc>
      </w:tr>
      <w:tr w:rsidR="001A06DA">
        <w:tc>
          <w:tcPr>
            <w:tcW w:w="1560" w:type="dxa"/>
          </w:tcPr>
          <w:p w:rsidR="001A06DA" w:rsidRDefault="00680716">
            <w:r>
              <w:rPr>
                <w:b/>
              </w:rPr>
              <w:t>(Constant)</w:t>
            </w:r>
          </w:p>
        </w:tc>
        <w:tc>
          <w:tcPr>
            <w:tcW w:w="1560" w:type="dxa"/>
          </w:tcPr>
          <w:p w:rsidR="001A06DA" w:rsidRDefault="00680716">
            <w:r>
              <w:t>-.052</w:t>
            </w:r>
          </w:p>
        </w:tc>
        <w:tc>
          <w:tcPr>
            <w:tcW w:w="1560" w:type="dxa"/>
          </w:tcPr>
          <w:p w:rsidR="001A06DA" w:rsidRDefault="00680716">
            <w:r>
              <w:t>.115</w:t>
            </w:r>
          </w:p>
        </w:tc>
        <w:tc>
          <w:tcPr>
            <w:tcW w:w="1560" w:type="dxa"/>
          </w:tcPr>
          <w:p w:rsidR="001A06DA" w:rsidRDefault="001A06DA"/>
        </w:tc>
        <w:tc>
          <w:tcPr>
            <w:tcW w:w="1560" w:type="dxa"/>
          </w:tcPr>
          <w:p w:rsidR="001A06DA" w:rsidRDefault="00680716">
            <w:r>
              <w:t>-.452</w:t>
            </w:r>
          </w:p>
        </w:tc>
        <w:tc>
          <w:tcPr>
            <w:tcW w:w="1560" w:type="dxa"/>
          </w:tcPr>
          <w:p w:rsidR="001A06DA" w:rsidRDefault="00680716">
            <w:r>
              <w:t>.652</w:t>
            </w:r>
          </w:p>
        </w:tc>
      </w:tr>
      <w:tr w:rsidR="001A06DA">
        <w:tc>
          <w:tcPr>
            <w:tcW w:w="1560" w:type="dxa"/>
          </w:tcPr>
          <w:p w:rsidR="001A06DA" w:rsidRDefault="00680716">
            <w:r>
              <w:rPr>
                <w:b/>
              </w:rPr>
              <w:t>Project Charter</w:t>
            </w:r>
          </w:p>
        </w:tc>
        <w:tc>
          <w:tcPr>
            <w:tcW w:w="1560" w:type="dxa"/>
          </w:tcPr>
          <w:p w:rsidR="001A06DA" w:rsidRDefault="00680716">
            <w:r>
              <w:t>.437</w:t>
            </w:r>
          </w:p>
        </w:tc>
        <w:tc>
          <w:tcPr>
            <w:tcW w:w="1560" w:type="dxa"/>
          </w:tcPr>
          <w:p w:rsidR="001A06DA" w:rsidRDefault="00680716">
            <w:r>
              <w:t>.090</w:t>
            </w:r>
          </w:p>
        </w:tc>
        <w:tc>
          <w:tcPr>
            <w:tcW w:w="1560" w:type="dxa"/>
          </w:tcPr>
          <w:p w:rsidR="001A06DA" w:rsidRDefault="00680716">
            <w:r>
              <w:t>.394</w:t>
            </w:r>
          </w:p>
        </w:tc>
        <w:tc>
          <w:tcPr>
            <w:tcW w:w="1560" w:type="dxa"/>
          </w:tcPr>
          <w:p w:rsidR="001A06DA" w:rsidRDefault="00680716">
            <w:r>
              <w:t>4.825</w:t>
            </w:r>
          </w:p>
        </w:tc>
        <w:tc>
          <w:tcPr>
            <w:tcW w:w="1560" w:type="dxa"/>
          </w:tcPr>
          <w:p w:rsidR="001A06DA" w:rsidRDefault="00680716">
            <w:r>
              <w:t>.000</w:t>
            </w:r>
          </w:p>
        </w:tc>
      </w:tr>
      <w:tr w:rsidR="001A06DA">
        <w:tc>
          <w:tcPr>
            <w:tcW w:w="1560" w:type="dxa"/>
          </w:tcPr>
          <w:p w:rsidR="001A06DA" w:rsidRDefault="00680716">
            <w:r>
              <w:rPr>
                <w:b/>
              </w:rPr>
              <w:t>Selection Procedure</w:t>
            </w:r>
          </w:p>
        </w:tc>
        <w:tc>
          <w:tcPr>
            <w:tcW w:w="1560" w:type="dxa"/>
          </w:tcPr>
          <w:p w:rsidR="001A06DA" w:rsidRDefault="00680716">
            <w:r>
              <w:t>.139</w:t>
            </w:r>
          </w:p>
        </w:tc>
        <w:tc>
          <w:tcPr>
            <w:tcW w:w="1560" w:type="dxa"/>
          </w:tcPr>
          <w:p w:rsidR="001A06DA" w:rsidRDefault="00680716">
            <w:r>
              <w:t>.068</w:t>
            </w:r>
          </w:p>
        </w:tc>
        <w:tc>
          <w:tcPr>
            <w:tcW w:w="1560" w:type="dxa"/>
          </w:tcPr>
          <w:p w:rsidR="001A06DA" w:rsidRDefault="00680716">
            <w:r>
              <w:t>.154</w:t>
            </w:r>
          </w:p>
        </w:tc>
        <w:tc>
          <w:tcPr>
            <w:tcW w:w="1560" w:type="dxa"/>
          </w:tcPr>
          <w:p w:rsidR="001A06DA" w:rsidRDefault="00680716">
            <w:r>
              <w:t>2.042</w:t>
            </w:r>
          </w:p>
        </w:tc>
        <w:tc>
          <w:tcPr>
            <w:tcW w:w="1560" w:type="dxa"/>
          </w:tcPr>
          <w:p w:rsidR="001A06DA" w:rsidRDefault="00680716">
            <w:r>
              <w:t>.044</w:t>
            </w:r>
          </w:p>
        </w:tc>
      </w:tr>
      <w:tr w:rsidR="001A06DA">
        <w:tc>
          <w:tcPr>
            <w:tcW w:w="1560" w:type="dxa"/>
          </w:tcPr>
          <w:p w:rsidR="001A06DA" w:rsidRDefault="00680716">
            <w:r>
              <w:rPr>
                <w:b/>
              </w:rPr>
              <w:t>PM Competence</w:t>
            </w:r>
          </w:p>
        </w:tc>
        <w:tc>
          <w:tcPr>
            <w:tcW w:w="1560" w:type="dxa"/>
          </w:tcPr>
          <w:p w:rsidR="001A06DA" w:rsidRDefault="00680716">
            <w:r>
              <w:t>.108</w:t>
            </w:r>
          </w:p>
        </w:tc>
        <w:tc>
          <w:tcPr>
            <w:tcW w:w="1560" w:type="dxa"/>
          </w:tcPr>
          <w:p w:rsidR="001A06DA" w:rsidRDefault="00680716">
            <w:r>
              <w:t>.058</w:t>
            </w:r>
          </w:p>
        </w:tc>
        <w:tc>
          <w:tcPr>
            <w:tcW w:w="1560" w:type="dxa"/>
          </w:tcPr>
          <w:p w:rsidR="001A06DA" w:rsidRDefault="00680716">
            <w:r>
              <w:t>.155</w:t>
            </w:r>
          </w:p>
        </w:tc>
        <w:tc>
          <w:tcPr>
            <w:tcW w:w="1560" w:type="dxa"/>
          </w:tcPr>
          <w:p w:rsidR="001A06DA" w:rsidRDefault="00680716">
            <w:r>
              <w:t>1.862</w:t>
            </w:r>
          </w:p>
        </w:tc>
        <w:tc>
          <w:tcPr>
            <w:tcW w:w="1560" w:type="dxa"/>
          </w:tcPr>
          <w:p w:rsidR="001A06DA" w:rsidRDefault="00680716">
            <w:r>
              <w:t>.065</w:t>
            </w:r>
          </w:p>
        </w:tc>
      </w:tr>
      <w:tr w:rsidR="001A06DA">
        <w:tc>
          <w:tcPr>
            <w:tcW w:w="1560" w:type="dxa"/>
          </w:tcPr>
          <w:p w:rsidR="001A06DA" w:rsidRDefault="00680716">
            <w:r>
              <w:rPr>
                <w:b/>
              </w:rPr>
              <w:t>Expert Judgment</w:t>
            </w:r>
          </w:p>
        </w:tc>
        <w:tc>
          <w:tcPr>
            <w:tcW w:w="1560" w:type="dxa"/>
          </w:tcPr>
          <w:p w:rsidR="001A06DA" w:rsidRDefault="00680716">
            <w:r>
              <w:t>.284</w:t>
            </w:r>
          </w:p>
        </w:tc>
        <w:tc>
          <w:tcPr>
            <w:tcW w:w="1560" w:type="dxa"/>
          </w:tcPr>
          <w:p w:rsidR="001A06DA" w:rsidRDefault="00680716">
            <w:r>
              <w:t>.102</w:t>
            </w:r>
          </w:p>
        </w:tc>
        <w:tc>
          <w:tcPr>
            <w:tcW w:w="1560" w:type="dxa"/>
          </w:tcPr>
          <w:p w:rsidR="001A06DA" w:rsidRDefault="00680716">
            <w:r>
              <w:t>.256</w:t>
            </w:r>
          </w:p>
        </w:tc>
        <w:tc>
          <w:tcPr>
            <w:tcW w:w="1560" w:type="dxa"/>
          </w:tcPr>
          <w:p w:rsidR="001A06DA" w:rsidRDefault="00680716">
            <w:r>
              <w:t>2.794</w:t>
            </w:r>
          </w:p>
        </w:tc>
        <w:tc>
          <w:tcPr>
            <w:tcW w:w="1560" w:type="dxa"/>
          </w:tcPr>
          <w:p w:rsidR="001A06DA" w:rsidRDefault="00680716">
            <w:r>
              <w:t>.006</w:t>
            </w:r>
          </w:p>
        </w:tc>
      </w:tr>
    </w:tbl>
    <w:p w:rsidR="001A06DA" w:rsidRDefault="00680716">
      <w:pPr>
        <w:spacing w:after="120"/>
        <w:ind w:firstLine="720"/>
        <w:jc w:val="both"/>
      </w:pPr>
      <w:r>
        <w:t>An isolated analysis of the regression</w:t>
      </w:r>
      <w:r>
        <w:t xml:space="preserve"> weights in Model 1 confirms strong predictive performance within specific front-end elements, while uncovering a major structural paradox in others. The formalized Project Charter (B = 0.437, beta = 0.394, t = 4.825, p &lt; 0.001) is the dominant driver of p</w:t>
      </w:r>
      <w:r>
        <w:t>roject completion, followed by institutional Expert Judgment (B = 0.284, beta = 0.256, t = 2.794, p = 0.006) and objective Manager Selection Procedures (B = 0.139, beta = 0.154, t = 2.042, p = 0.044). This high statistical reliance on front-end controls co</w:t>
      </w:r>
      <w:r>
        <w:t>rroborates macro-governance studies proving that structural authorizations and upfront calibration shield investments from downstream turbulence (Flyvbjerg, 2013; Turner, 2019). It also fits regional research isolating missing charter definitions as the pr</w:t>
      </w:r>
      <w:r>
        <w:t>imary failure vector across developing infrastructure portfolios (Fashina et al., 2020; Ika, 2020). Conversely, the complete statistical non-significance of PM Competence (p = 0.065) within this multivariate model represents a major paradox. This finding d</w:t>
      </w:r>
      <w:r>
        <w:t xml:space="preserve">eparts significantly from traditional textbook narratives which position leadership certifications as the key driver of project success (Kerzner, 2017; PMI, 2021). Instead, this result validates the structural decoupling theory of Munns and Bjeirmi (1996) </w:t>
      </w:r>
      <w:r>
        <w:t>and the capability trap models of text-level studies (Andrews et al., 2013). They show that in emergency public sector deployments, systemic structural bottlenecks—such as rigid cash retention loops, political micro-management, and procurement delays—neutr</w:t>
      </w:r>
      <w:r>
        <w:t>alize individual competencies, leaving even highly skilled managers locked into schedule failures.</w:t>
      </w:r>
    </w:p>
    <w:p w:rsidR="001A06DA" w:rsidRDefault="00680716">
      <w:pPr>
        <w:spacing w:after="120"/>
        <w:ind w:firstLine="720"/>
        <w:jc w:val="both"/>
      </w:pPr>
      <w:r w:rsidRPr="00FA7D57">
        <w:rPr>
          <w:b/>
        </w:rPr>
        <w:t>Model 2</w:t>
      </w:r>
      <w:r>
        <w:t xml:space="preserve"> evaluated scope control based on planning variables, establishing a highly significant linear relationship, F(4, 101) = 114.246, p &lt; 0.001, with an e</w:t>
      </w:r>
      <w:r>
        <w:t xml:space="preserve">xceptional R-square value of 0.819. This means that 81.9% of downstream scope variance is explained by proactive planning inputs. This high explanatory level supports the Resource-Based View (RBV), confirming that systematic internal capability design and </w:t>
      </w:r>
      <w:r>
        <w:t>rigorous plan generation serve as the primary source of operational insulation and baseline control (Barney, 1991; Siriram, 2022). It also confirms empirical baseline studies showing that early planning architectures prevent downstream creep (Banda &amp; Preto</w:t>
      </w:r>
      <w:r>
        <w:t>rius, 2016). However, behavioral project economists challenge this linear connection, arguing that high planning R-square scores frequently indicate an artifical compliance bias. They show that in public infrastructure projects, elaborate planning document</w:t>
      </w:r>
      <w:r>
        <w:t>s are often compiled merely as a bureaucratic ritual to secure funding, while real-world execution is overridden by political adjustments, invalidating the assumed stability of baseline blueprints (Love et al., 2012; Pinto &amp; Winch, 2022).</w:t>
      </w:r>
    </w:p>
    <w:p w:rsidR="001A06DA" w:rsidRDefault="00680716">
      <w:pPr>
        <w:spacing w:after="120"/>
        <w:ind w:firstLine="720"/>
        <w:jc w:val="both"/>
      </w:pPr>
      <w:r w:rsidRPr="00FA7D57">
        <w:rPr>
          <w:b/>
        </w:rPr>
        <w:t>Model 3</w:t>
      </w:r>
      <w:r>
        <w:t xml:space="preserve"> evaluated</w:t>
      </w:r>
      <w:r>
        <w:t xml:space="preserve"> project budget adherence based on scope definition variables, producing a significant multi-variable framework: F(6, 93) = 33.569, p &lt; 0.001, R-square = 0.683. This establishes that 68.3% of public budget predictability is dictated by boundary definition </w:t>
      </w:r>
      <w:r>
        <w:t>metrics (such as explicit project limitations and detailed scope statements). These findings support empirical research proving that upfront definition of boundary limitations directly lowers cost escalation metrics (Hajialiasghari, 2021). It also tracks w</w:t>
      </w:r>
      <w:r>
        <w:t>ith classical financial models showing that clear project parameters prevent the dilution of public capital (Aschauer, 1989; Barro, 1990). Conversely, contingency theorists offer a divergent view, noting that rigidly locking scope parameters during emergen</w:t>
      </w:r>
      <w:r>
        <w:t>cy public spending programs can turn counter-productive. They show that structural adjustments and changing needs within decentralized public portfolios require highly fluid project boundaries; a rigid up-front scope creates structural brittleness, inadver</w:t>
      </w:r>
      <w:r>
        <w:t>tently increasing cost overruns when sudden regional shocks occur (Ika, 2012; Amoah et al., 2024).</w:t>
      </w:r>
    </w:p>
    <w:p w:rsidR="001A06DA" w:rsidRDefault="00680716">
      <w:pPr>
        <w:spacing w:after="120"/>
        <w:ind w:firstLine="720"/>
        <w:jc w:val="both"/>
      </w:pPr>
      <w:r w:rsidRPr="00FA7D57">
        <w:rPr>
          <w:b/>
        </w:rPr>
        <w:t>Model 4</w:t>
      </w:r>
      <w:r>
        <w:t xml:space="preserve"> isolated stakeholder satisfaction driven by scope verification routines, showing an exceptional model fit: F(4, 101) = 108.757, p &lt; 0.001, R-square =</w:t>
      </w:r>
      <w:r>
        <w:t xml:space="preserve"> 0.812. This confirms that 81.2% of downstream client and end-user approval is determined by internal verification methods, such as continuous WBS reviews and deliverable matching audits. This relationship strongly corroborates structural models stating th</w:t>
      </w:r>
      <w:r>
        <w:t>at milestone verification builds trust and matches user expectations with final physical assets (Crawford et al., 2003; Li, 2022). However, critical public development scholars offer a sharp counter-narrative, showing that formal contract compliance metric</w:t>
      </w:r>
      <w:r>
        <w:t>s during scope verification are often decoupled from authentic social utility. They show that a public asset can achieve total technical verification against its blueprint, yet completely fail to provide social equity or real durability for marginalized sc</w:t>
      </w:r>
      <w:r>
        <w:t>hools, exposing a major disconnect between technical verification compliance and authentic stakeholder satisfaction (McLean, 2022; Motala, 2024).</w:t>
      </w:r>
    </w:p>
    <w:p w:rsidR="001A06DA" w:rsidRDefault="00680716">
      <w:pPr>
        <w:spacing w:after="120"/>
        <w:ind w:firstLine="720"/>
        <w:jc w:val="both"/>
      </w:pPr>
      <w:r>
        <w:t xml:space="preserve">Finally, </w:t>
      </w:r>
      <w:r w:rsidRPr="00FA7D57">
        <w:rPr>
          <w:b/>
        </w:rPr>
        <w:t>Model</w:t>
      </w:r>
      <w:r>
        <w:t xml:space="preserve"> 5 examined how comprehensive scope control is predicted by change control architectures, which </w:t>
      </w:r>
      <w:r>
        <w:t>was also found to be highly significant, F(4, 101) = 33.569, p &lt; 0.001, R-square = 0.440. This confirms that 44.0% of scope stabilization variance is driven by change processing features (including standardized control engines and configuration tracking to</w:t>
      </w:r>
      <w:r>
        <w:t>ols). This finding corroborates governance literature stating that rigorous change configurations are needed to limit unauthorized scope inflation (Adeyemi &amp; Amhana, 2024; Bakkah, 2025). On the other hand, Agile project governance theorists provide a major</w:t>
      </w:r>
      <w:r>
        <w:t xml:space="preserve"> conceptual divergence, noting that this moderate R-square score (44.0%) exposes the clear limits of rigid change engines in volatile public sector projects. They show that heavy administrative architectures slow down execution speed, arguing that modern i</w:t>
      </w:r>
      <w:r>
        <w:t>nfrastructure delivery requires organic adjustments over bureaucratic change tracking to survive regional socio-economic crises (Highsmith, 2009; Serrador &amp; Pinto, 2015).</w:t>
      </w:r>
    </w:p>
    <w:p w:rsidR="001A06DA" w:rsidRDefault="00680716">
      <w:pPr>
        <w:spacing w:before="280" w:after="80"/>
      </w:pPr>
      <w:r>
        <w:rPr>
          <w:b/>
        </w:rPr>
        <w:t>4.1.3 Theoretical Discussion: Corroboration, Divergence, and Synthesis</w:t>
      </w:r>
    </w:p>
    <w:p w:rsidR="001A06DA" w:rsidRDefault="00680716">
      <w:pPr>
        <w:spacing w:after="120"/>
        <w:ind w:firstLine="720"/>
        <w:jc w:val="both"/>
      </w:pPr>
      <w:r>
        <w:t xml:space="preserve">The empirical </w:t>
      </w:r>
      <w:r>
        <w:t xml:space="preserve">findings strongly support the Resource-Based View (RBV) of project management, which asserts that execution excellence stems from rare, inimitable, and internal competencies (Barney, 1991). The substantial R-square values across the models show that scope </w:t>
      </w:r>
      <w:r>
        <w:t>management tools do not operate in a vacuum; their efficacy depends heavily on the team's skills and knowledge. These findings align with Voetsch et al. (2004), who argued that project management knowledge frameworks correlate directly with performance met</w:t>
      </w:r>
      <w:r>
        <w:t xml:space="preserve">rics. In the East African public sector context, this data directly corroborates Muhia (2011), who identified front-end deficiency during the initiation stage as a primary cause of project failure, and Talukhaba (1988), who isolated poor scope planning as </w:t>
      </w:r>
      <w:r>
        <w:t>a key driver of infrastructure cost overruns.</w:t>
      </w:r>
    </w:p>
    <w:p w:rsidR="001A06DA" w:rsidRDefault="00680716">
      <w:pPr>
        <w:spacing w:after="120"/>
        <w:ind w:firstLine="720"/>
        <w:jc w:val="both"/>
      </w:pPr>
      <w:r>
        <w:t>The most striking finding is the decoupling of project manager competence from project delay metrics. Descriptive cross-tabulations show that among the project managers rated as 'Very Competent', 53.3% still pr</w:t>
      </w:r>
      <w:r>
        <w:t>esided over catastrophic implementation delays exceeding 36 months. This structural non-significance is confirmed by Model 1, where project manager competence failed to reach statistical significance (B = 0.108, beta = 0.155, t = 1.862, p = 0.065). While t</w:t>
      </w:r>
      <w:r>
        <w:t xml:space="preserve">his empirical marginality directly contradicts traditional, practitioner-led frameworks like the PMBOK Guide (Project Management Institute, 2008, 2021)—which position individual leadership certifications as primary drivers of project execution—it provides </w:t>
      </w:r>
      <w:r>
        <w:t>robust empirical support for advanced macro-governance and institutional theories.</w:t>
      </w:r>
    </w:p>
    <w:p w:rsidR="001A06DA" w:rsidRDefault="00680716">
      <w:pPr>
        <w:spacing w:after="120"/>
        <w:ind w:firstLine="720"/>
        <w:jc w:val="both"/>
      </w:pPr>
      <w:r>
        <w:t>Specifically, this paradox aligns with the foundational decoupling framework of Munns and Bjeirmi (1996) and de Wit (1988), who argued that micro-level project management su</w:t>
      </w:r>
      <w:r>
        <w:t>ccess (inputs, processes, and individual operational tasks) and macro-level project success (long-term structural asset delivery and social utility) are fundamentally distinct dimensions. Within this multi-variable ecosystem, a highly competent project man</w:t>
      </w:r>
      <w:r>
        <w:t>ager can perfectly execute localized tracking processes, yet the macro-project remains bound to scheduling failures due to broader institutional misalignments.</w:t>
      </w:r>
    </w:p>
    <w:p w:rsidR="001A06DA" w:rsidRDefault="00680716">
      <w:pPr>
        <w:spacing w:after="120"/>
        <w:ind w:firstLine="720"/>
        <w:jc w:val="both"/>
      </w:pPr>
      <w:r>
        <w:t>This phenomenon is further explained through the lens of capability traps and isomorphic mimicry</w:t>
      </w:r>
      <w:r>
        <w:t xml:space="preserve"> in public sector delivery (Andrews et al., 2013). In highly centralized or emergency-driven public environments, project managers are frequently forced into performative, compliance-heavy bureaucratic roles rather than functional execution environments. C</w:t>
      </w:r>
      <w:r>
        <w:t xml:space="preserve">onsequently, individual operational capabilities are neutralized by systemic, macro-level rigidities, including centralized procurement delays, broken intergovernmental cash pipelines, and localized political micro-management (Aljadhai et al., 2024; Amoah </w:t>
      </w:r>
      <w:r>
        <w:t>et al., 2024).</w:t>
      </w:r>
    </w:p>
    <w:p w:rsidR="001A06DA" w:rsidRDefault="00680716">
      <w:pPr>
        <w:spacing w:after="120"/>
        <w:ind w:firstLine="720"/>
        <w:jc w:val="both"/>
      </w:pPr>
      <w:r>
        <w:t>Furthermore, behavioral economists and political scientists note that public infrastructure initiatives are inherently vulnerable to systemic optimism bias and conscious strategic misrepresentation during the front-end planning phase (Flyvbj</w:t>
      </w:r>
      <w:r>
        <w:t>erg, 2013; Pinto &amp; Winch, 2022). When original schedule baselines and budgets are structurally unrealistic from the outset—deliberately underestimated to secure political approval and funding—even the most competent project leader faces an execution enviro</w:t>
      </w:r>
      <w:r>
        <w:t>nment where structural delays are mathematically inevitable. Thus, macro-institutional architectures and formalized front-end chartering ultimately override individual competencies in explaining public infrastructure performance variations.</w:t>
      </w:r>
    </w:p>
    <w:p w:rsidR="001A06DA" w:rsidRDefault="00680716">
      <w:pPr>
        <w:spacing w:before="280" w:after="80"/>
      </w:pPr>
      <w:r>
        <w:rPr>
          <w:b/>
        </w:rPr>
        <w:t>5.0 CONCLUSIONS</w:t>
      </w:r>
      <w:r>
        <w:rPr>
          <w:b/>
        </w:rPr>
        <w:t xml:space="preserve"> AND RECOMMENDATIONS</w:t>
      </w:r>
    </w:p>
    <w:p w:rsidR="001A06DA" w:rsidRDefault="00680716">
      <w:pPr>
        <w:spacing w:after="120"/>
        <w:ind w:firstLine="720"/>
        <w:jc w:val="both"/>
      </w:pPr>
      <w:r>
        <w:t>Based on the empirical findings of this study, it is concluded that project scope management practices serve as a foundational determinant of public infrastructure implementation performance within the decentralized framework of the Ec</w:t>
      </w:r>
      <w:r>
        <w:t>onomic Stimulus Programme (ESP) in Kisumu County, Kenya. However, the efficacy and linear strength of this relationship are fundamentally contingent upon the strategic mobilization of localized human capital resources. While individual leadership capabilit</w:t>
      </w:r>
      <w:r>
        <w:t>y within school administrations is highly valuable, the empirical evidence demonstrates that personal competency is statistically insufficient when operating in an institutional vacuum. True project delivery success—characterized by budget adherence, sched</w:t>
      </w:r>
      <w:r>
        <w:t>ule predictability, and structural asset functionality—demands the systematic institutionalization of formal scope management mechanisms, legally binding project authorization charters, and inter-disciplinary expert judgment networks. Without these integra</w:t>
      </w:r>
      <w:r>
        <w:t>ted technical and structural boundary conditions, front-end project planning fails to translate into successful asset completion, reducing critical public investments to static administrative tasks vulnerable to localized political friction and scope creep</w:t>
      </w:r>
      <w:r>
        <w:t>.</w:t>
      </w:r>
    </w:p>
    <w:p w:rsidR="001A06DA" w:rsidRDefault="00680716">
      <w:pPr>
        <w:spacing w:after="120"/>
        <w:ind w:firstLine="720"/>
        <w:jc w:val="both"/>
      </w:pPr>
      <w:r>
        <w:t>Consequently, this study provides targeted, actionable recommendations aimed at enhancing public sector infrastructure delivery frameworks. First, the Ministry of Education and national exchequer planners should strictly mandate the adoption of standardi</w:t>
      </w:r>
      <w:r>
        <w:t>zed front-end scoping tools across all public secondary schools. The government should phase out ad-hoc, informal project approvals and instead require localized project steering committees to formulate exhaustive, deliverable-oriented Work Breakdown Struc</w:t>
      </w:r>
      <w:r>
        <w:t>tures (WBS) and formalized Project Charters as a strict prerequisite for releasing capital disbursements. Second, to address the critical boundary conditions highlighted by the Resource-Based View, relevant state agencies must institutionalize continuous t</w:t>
      </w:r>
      <w:r>
        <w:t>echnical capacity-building programs. School Principals, Board of Management (BoMs), and localized Project Management Committees (PMCs) should undergo mandatory, certified training regimens focusing specifically on requirement gathering, baseline definition</w:t>
      </w:r>
      <w:r>
        <w:t>, material procurement tracking, and formal variation change control protocols, thereby equipping local administrative actors with the human capital necessary to protect public infrastructure investments.</w:t>
      </w:r>
    </w:p>
    <w:p w:rsidR="001A06DA" w:rsidRDefault="00680716">
      <w:pPr>
        <w:spacing w:before="280" w:after="80"/>
      </w:pPr>
      <w:r>
        <w:rPr>
          <w:b/>
        </w:rPr>
        <w:t>REFERENCES</w:t>
      </w:r>
    </w:p>
    <w:p w:rsidR="001A06DA" w:rsidRDefault="00680716">
      <w:pPr>
        <w:spacing w:after="80"/>
        <w:ind w:left="576" w:hanging="576"/>
        <w:jc w:val="both"/>
      </w:pPr>
      <w:r>
        <w:t>Adeyemi, A. O., &amp; Amhana, P. (2024). Ope</w:t>
      </w:r>
      <w:r>
        <w:t>rational governance and scope creep in public infrastructure execution: A sub-Saharan perspective. International Journal of Project Management Studies, 16(2), 112–128.</w:t>
      </w:r>
    </w:p>
    <w:p w:rsidR="001A06DA" w:rsidRDefault="00680716">
      <w:pPr>
        <w:spacing w:after="80"/>
        <w:ind w:left="576" w:hanging="576"/>
        <w:jc w:val="both"/>
      </w:pPr>
      <w:r>
        <w:t>Adeyemi, T., &amp; Amhana, P. (2024). Fiscal interventions and educational infrastructure re</w:t>
      </w:r>
      <w:r>
        <w:t>silience: An assessment of Nigeria’s Economic Sustainability Plan. African Journal of Public Policy, 12(2), 45–61.</w:t>
      </w:r>
    </w:p>
    <w:p w:rsidR="001A06DA" w:rsidRDefault="00680716">
      <w:pPr>
        <w:spacing w:after="80"/>
        <w:ind w:left="576" w:hanging="576"/>
        <w:jc w:val="both"/>
      </w:pPr>
      <w:r>
        <w:t>Aljadhai, S., Motala, T., &amp; Siriram, R. (2024). Beyond the blueprints: Evaluating human capability constraints in decentralized public sector</w:t>
      </w:r>
      <w:r>
        <w:t xml:space="preserve"> infrastructure delivery. Journal of Construction Engineering and Management, 150(4), 04024015.</w:t>
      </w:r>
    </w:p>
    <w:p w:rsidR="001A06DA" w:rsidRDefault="00680716">
      <w:pPr>
        <w:spacing w:after="80"/>
        <w:ind w:left="576" w:hanging="576"/>
        <w:jc w:val="both"/>
      </w:pPr>
      <w:r>
        <w:t>Amoah, C., Nzuki, J. M., &amp; Kithandi, J. (2024). Institutional friction and project management mechanics in decentralized educational infrastructure: A comparati</w:t>
      </w:r>
      <w:r>
        <w:t>ve study of Kenya and Ghana. African Development Review, 36(1), 45–59.</w:t>
      </w:r>
    </w:p>
    <w:p w:rsidR="001A06DA" w:rsidRDefault="00680716">
      <w:pPr>
        <w:spacing w:after="80"/>
        <w:ind w:left="576" w:hanging="576"/>
        <w:jc w:val="both"/>
      </w:pPr>
      <w:r>
        <w:t>Amoah, K., Mensah, J., &amp; Osei-Kofi, E. (2024). Harmonizing emergency stimulus with social policy: Evaluating the Ghana CARES ‘Obaatanpa’ programme in secondary education. Journal of Dev</w:t>
      </w:r>
      <w:r>
        <w:t>elopment Studies, 19(1), 112–129.</w:t>
      </w:r>
    </w:p>
    <w:p w:rsidR="001A06DA" w:rsidRDefault="00680716">
      <w:pPr>
        <w:spacing w:after="80"/>
        <w:ind w:left="576" w:hanging="576"/>
        <w:jc w:val="both"/>
      </w:pPr>
      <w:r>
        <w:t>Andrews, M., Pritchett, L., &amp; Woolcock, M. (2013). Escaping capability traps through problem driven iterative adaptation (PDIA). World Development, 48, 234–244.</w:t>
      </w:r>
    </w:p>
    <w:p w:rsidR="001A06DA" w:rsidRDefault="00680716">
      <w:pPr>
        <w:spacing w:after="80"/>
        <w:ind w:left="576" w:hanging="576"/>
        <w:jc w:val="both"/>
      </w:pPr>
      <w:r>
        <w:t>Aschauer, D. A. (1989). Is public expenditure productive? Jou</w:t>
      </w:r>
      <w:r>
        <w:t>rnal of Monetary Economics, 23(2), 177–200.</w:t>
      </w:r>
    </w:p>
    <w:p w:rsidR="001A06DA" w:rsidRDefault="00680716">
      <w:pPr>
        <w:spacing w:after="80"/>
        <w:ind w:left="576" w:hanging="576"/>
        <w:jc w:val="both"/>
      </w:pPr>
      <w:r>
        <w:t>Bakkah, A. M. (2025). The stakeholder-scope nexus: Mitigating cognitive divergence in public sector asset delivery. Project Management Journal, 56(3), 201–216.</w:t>
      </w:r>
    </w:p>
    <w:p w:rsidR="001A06DA" w:rsidRDefault="00680716">
      <w:pPr>
        <w:spacing w:after="80"/>
        <w:ind w:left="576" w:hanging="576"/>
        <w:jc w:val="both"/>
      </w:pPr>
      <w:r>
        <w:t xml:space="preserve">Banda, R. K., &amp; Pretorius, L. (2016). The effect of </w:t>
      </w:r>
      <w:r>
        <w:t>front-end project scope planning on the performance of public infrastructure projects. South African Journal of Industrial Engineering, 27(4), 141–155.</w:t>
      </w:r>
    </w:p>
    <w:p w:rsidR="001A06DA" w:rsidRDefault="00680716">
      <w:pPr>
        <w:spacing w:after="80"/>
        <w:ind w:left="576" w:hanging="576"/>
        <w:jc w:val="both"/>
      </w:pPr>
      <w:r>
        <w:t>Barney, J. (1991). Firm resources and sustained competitive advantage. Journal of Management, 17(1), 99–</w:t>
      </w:r>
      <w:r>
        <w:t>120.</w:t>
      </w:r>
    </w:p>
    <w:p w:rsidR="001A06DA" w:rsidRDefault="00680716">
      <w:pPr>
        <w:spacing w:after="80"/>
        <w:ind w:left="576" w:hanging="576"/>
        <w:jc w:val="both"/>
      </w:pPr>
      <w:r>
        <w:t>Barro, R. J. (1990). Government spending in a simple model of endogenous growth. Journal of Political Economy, 98(5, Pt. 2), S103–S125.</w:t>
      </w:r>
    </w:p>
    <w:p w:rsidR="001A06DA" w:rsidRDefault="00680716">
      <w:pPr>
        <w:spacing w:after="80"/>
        <w:ind w:left="576" w:hanging="576"/>
        <w:jc w:val="both"/>
      </w:pPr>
      <w:r>
        <w:t xml:space="preserve">Calderón, C., &amp; Servén, L. (2010). Infrastructure and economic development in sub-Saharan Africa. Journal of </w:t>
      </w:r>
      <w:r>
        <w:t>African Economies, 19(Suppl. 1), i13–i87.</w:t>
      </w:r>
    </w:p>
    <w:p w:rsidR="001A06DA" w:rsidRDefault="00680716">
      <w:pPr>
        <w:spacing w:after="80"/>
        <w:ind w:left="576" w:hanging="576"/>
        <w:jc w:val="both"/>
      </w:pPr>
      <w:r>
        <w:t xml:space="preserve">Crawford, L., Costello, K., Pollack, J., &amp; Lopez, L. (2003). Soft skills and technical competencies: Managing expectations in decentralized project environments. International Journal of Project Management, 21(3), </w:t>
      </w:r>
      <w:r>
        <w:t>203–211.</w:t>
      </w:r>
    </w:p>
    <w:p w:rsidR="001A06DA" w:rsidRDefault="00680716">
      <w:pPr>
        <w:spacing w:after="80"/>
        <w:ind w:left="576" w:hanging="576"/>
        <w:jc w:val="both"/>
      </w:pPr>
      <w:r>
        <w:t>De Wit, A. (1988). Measurement of project success. International Journal of Project Management, 6(3), 164–170.</w:t>
      </w:r>
    </w:p>
    <w:p w:rsidR="001A06DA" w:rsidRDefault="00680716">
      <w:pPr>
        <w:spacing w:after="80"/>
        <w:ind w:left="576" w:hanging="576"/>
        <w:jc w:val="both"/>
      </w:pPr>
      <w:r>
        <w:t>Fashina, A. A., Fakunle, F. F., &amp; Opoku, A. (2020). Analyzing the key failure factors of construction projects in Africa: A systemic pla</w:t>
      </w:r>
      <w:r>
        <w:t>nning perspective. Journal of Engineering, Project, and Production Management, 10(2), 109–121.</w:t>
      </w:r>
    </w:p>
    <w:p w:rsidR="001A06DA" w:rsidRDefault="00680716">
      <w:pPr>
        <w:spacing w:after="80"/>
        <w:ind w:left="576" w:hanging="576"/>
        <w:jc w:val="both"/>
      </w:pPr>
      <w:r>
        <w:t>Federal Government of Nigeria. (2020). The Nigeria economic sustainability plan (NESP). Federal Ministry of Finance, Budget and National Planning.</w:t>
      </w:r>
    </w:p>
    <w:p w:rsidR="001A06DA" w:rsidRDefault="00680716">
      <w:pPr>
        <w:spacing w:after="80"/>
        <w:ind w:left="576" w:hanging="576"/>
        <w:jc w:val="both"/>
      </w:pPr>
      <w:r>
        <w:t xml:space="preserve">Flyvbjerg, B. </w:t>
      </w:r>
      <w:r>
        <w:t>(2013). Quality control and due diligence in project management: Getting decisions on public infrastructure right. International Journal of Forecasting, 29(4), 760–771.</w:t>
      </w:r>
    </w:p>
    <w:p w:rsidR="001A06DA" w:rsidRDefault="00680716">
      <w:pPr>
        <w:spacing w:after="80"/>
        <w:ind w:left="576" w:hanging="576"/>
        <w:jc w:val="both"/>
      </w:pPr>
      <w:r>
        <w:t>Gacheru, E. N. (2015). Factors influencing completion of public school construction pro</w:t>
      </w:r>
      <w:r>
        <w:t>jects in Kenya (Doctoral dissertation, University of Nairobi).</w:t>
      </w:r>
    </w:p>
    <w:p w:rsidR="001A06DA" w:rsidRDefault="00680716">
      <w:pPr>
        <w:spacing w:after="80"/>
        <w:ind w:left="576" w:hanging="576"/>
        <w:jc w:val="both"/>
      </w:pPr>
      <w:r>
        <w:t>Gibson, G. E. (2006). Pre-project planning: Principles, practices, and benefits. Journal of Construction Engineering and Management, 132(12), 1223–1231.</w:t>
      </w:r>
    </w:p>
    <w:p w:rsidR="001A06DA" w:rsidRDefault="00680716">
      <w:pPr>
        <w:spacing w:after="80"/>
        <w:ind w:left="576" w:hanging="576"/>
        <w:jc w:val="both"/>
      </w:pPr>
      <w:r>
        <w:t>Githenya, M. S., &amp; Ngugi, K. (2014). Ass</w:t>
      </w:r>
      <w:r>
        <w:t>essment of the determinants of performance of housing construction projects in Kenya. International Journal of Social Sciences and Entrepreneurship, 1(11), 343–353.</w:t>
      </w:r>
    </w:p>
    <w:p w:rsidR="001A06DA" w:rsidRDefault="00680716">
      <w:pPr>
        <w:spacing w:after="80"/>
        <w:ind w:left="576" w:hanging="576"/>
        <w:jc w:val="both"/>
      </w:pPr>
      <w:r>
        <w:t>Government of Kenya. (2009). Economic stimulus programme: Resuscitating the economy for sus</w:t>
      </w:r>
      <w:r>
        <w:t>tainable growth. Government Printer.</w:t>
      </w:r>
    </w:p>
    <w:p w:rsidR="001A06DA" w:rsidRDefault="00680716">
      <w:pPr>
        <w:spacing w:after="80"/>
        <w:ind w:left="576" w:hanging="576"/>
        <w:jc w:val="both"/>
      </w:pPr>
      <w:r>
        <w:t>Gwayo, A. O., Masau, S. M., &amp; Wanyona, G. (2014). Analysis of the causes of project delays in the Kenyan construction industry. International Journal of Soft Computing and Engineering, 4(2), 223–231.</w:t>
      </w:r>
    </w:p>
    <w:p w:rsidR="001A06DA" w:rsidRDefault="00680716">
      <w:pPr>
        <w:spacing w:after="80"/>
        <w:ind w:left="576" w:hanging="576"/>
        <w:jc w:val="both"/>
      </w:pPr>
      <w:r>
        <w:t xml:space="preserve">Hajialiasghari, M. </w:t>
      </w:r>
      <w:r>
        <w:t>(2021). Empirical modeling of project planning and scope definition on cost and schedule predictability. Construction Management and Economics, 39(8), 643–661.</w:t>
      </w:r>
    </w:p>
    <w:p w:rsidR="001A06DA" w:rsidRDefault="00680716">
      <w:pPr>
        <w:spacing w:after="80"/>
        <w:ind w:left="576" w:hanging="576"/>
        <w:jc w:val="both"/>
      </w:pPr>
      <w:r>
        <w:t>Highsmith, J. (2009). Agile project management: Creating innovative products (2nd ed.). Addison-</w:t>
      </w:r>
      <w:r>
        <w:t>Wesley Professional.</w:t>
      </w:r>
    </w:p>
    <w:p w:rsidR="001A06DA" w:rsidRDefault="00680716">
      <w:pPr>
        <w:spacing w:after="80"/>
        <w:ind w:left="576" w:hanging="576"/>
        <w:jc w:val="both"/>
      </w:pPr>
      <w:r>
        <w:t>Ika, L. A. (2012). Project management for information systems: A critique of traditional approaches in international development. Project Management Journal, 43(6), 65–80.</w:t>
      </w:r>
    </w:p>
    <w:p w:rsidR="001A06DA" w:rsidRDefault="00680716">
      <w:pPr>
        <w:spacing w:after="80"/>
        <w:ind w:left="576" w:hanging="576"/>
        <w:jc w:val="both"/>
      </w:pPr>
      <w:r>
        <w:t>Ika, L. A. (2020). Why public sector projects fail in developin</w:t>
      </w:r>
      <w:r>
        <w:t>g economies: A mixed-methods institutional assessment. World Development, 129, 104119.</w:t>
      </w:r>
    </w:p>
    <w:p w:rsidR="001A06DA" w:rsidRDefault="00680716">
      <w:pPr>
        <w:spacing w:after="80"/>
        <w:ind w:left="576" w:hanging="576"/>
        <w:jc w:val="both"/>
      </w:pPr>
      <w:r>
        <w:t>Kerzner, H. (2017). Project management: A systems approach to planning, scheduling, and controlling (12th ed.). John Wiley &amp; Sons.</w:t>
      </w:r>
    </w:p>
    <w:p w:rsidR="001A06DA" w:rsidRDefault="00680716">
      <w:pPr>
        <w:spacing w:after="80"/>
        <w:ind w:left="576" w:hanging="576"/>
        <w:jc w:val="both"/>
      </w:pPr>
      <w:r>
        <w:t xml:space="preserve">Kipruto, K. J., &amp; Muturi, W. (2014). </w:t>
      </w:r>
      <w:r>
        <w:t>Factors influencing financial performance of constituency development funded projects in Kenya. International Journal of Social Sciences and Entrepreneurship, 1(12), 390–405.</w:t>
      </w:r>
    </w:p>
    <w:p w:rsidR="001A06DA" w:rsidRDefault="00680716">
      <w:pPr>
        <w:spacing w:after="80"/>
        <w:ind w:left="576" w:hanging="576"/>
        <w:jc w:val="both"/>
      </w:pPr>
      <w:r>
        <w:t>Kohli, U. (2001). Project management in public sector undertakings. Indian Journa</w:t>
      </w:r>
      <w:r>
        <w:t>l of Public Administration, 47(3), 345–356.</w:t>
      </w:r>
    </w:p>
    <w:p w:rsidR="001A06DA" w:rsidRDefault="00680716">
      <w:pPr>
        <w:spacing w:after="80"/>
        <w:ind w:left="576" w:hanging="576"/>
        <w:jc w:val="both"/>
      </w:pPr>
      <w:r>
        <w:t>Li, Y. (2022). Quantitative analysis of scope verification protocols and their impact on construction deviations. Journal of Management in Engineering, 38(5), 04022031.</w:t>
      </w:r>
    </w:p>
    <w:p w:rsidR="001A06DA" w:rsidRDefault="00680716">
      <w:pPr>
        <w:spacing w:after="80"/>
        <w:ind w:left="576" w:hanging="576"/>
        <w:jc w:val="both"/>
      </w:pPr>
      <w:r>
        <w:t>Love, P. E. D., Edwards, D. J., &amp; Irani, Z.</w:t>
      </w:r>
      <w:r>
        <w:t xml:space="preserve"> (2012). Moving beyond optimism bias and strategic misrepresentation in construction projects. IEEE Transactions on Engineering Management, 59(4), 567–577.</w:t>
      </w:r>
    </w:p>
    <w:p w:rsidR="001A06DA" w:rsidRDefault="00680716">
      <w:pPr>
        <w:spacing w:after="80"/>
        <w:ind w:left="576" w:hanging="576"/>
        <w:jc w:val="both"/>
      </w:pPr>
      <w:r>
        <w:t>Lucas, R. E. (1988). On the mechanics of economic development. Journal of Monetary Economics, 22(1),</w:t>
      </w:r>
      <w:r>
        <w:t xml:space="preserve"> 3–42.</w:t>
      </w:r>
    </w:p>
    <w:p w:rsidR="001A06DA" w:rsidRDefault="00680716">
      <w:pPr>
        <w:spacing w:after="80"/>
        <w:ind w:left="576" w:hanging="576"/>
        <w:jc w:val="both"/>
      </w:pPr>
      <w:r>
        <w:t>Mbaluku, J. M., &amp; Bwisa, H. (2013). Factors influencing the execution of infrastructural projects in public universities in Kenya. International Journal of Academic Research in Business and Social Sciences, 3(8), 209–221.</w:t>
      </w:r>
    </w:p>
    <w:p w:rsidR="001A06DA" w:rsidRDefault="00680716">
      <w:pPr>
        <w:spacing w:after="80"/>
        <w:ind w:left="576" w:hanging="576"/>
        <w:jc w:val="both"/>
      </w:pPr>
      <w:r>
        <w:t>McLean, S. (2022). Eradicat</w:t>
      </w:r>
      <w:r>
        <w:t>ing the infrastructure deficit: Fiscal packages and social equity in South African schools. Southern African Development Review, 26(3), 88–104.</w:t>
      </w:r>
    </w:p>
    <w:p w:rsidR="001A06DA" w:rsidRDefault="00680716">
      <w:pPr>
        <w:spacing w:after="80"/>
        <w:ind w:left="576" w:hanging="576"/>
        <w:jc w:val="both"/>
      </w:pPr>
      <w:r>
        <w:t>Ministry of Education, Ghana. (2022). Free Senior High School monitoring and capacity report. Ministry of Educat</w:t>
      </w:r>
      <w:r>
        <w:t>ion.</w:t>
      </w:r>
    </w:p>
    <w:p w:rsidR="001A06DA" w:rsidRDefault="00680716">
      <w:pPr>
        <w:spacing w:after="80"/>
        <w:ind w:left="576" w:hanging="576"/>
        <w:jc w:val="both"/>
      </w:pPr>
      <w:r>
        <w:t>Ministry of Education, Kenya. (2021). Post-COVID-19 economic recovery strategy institutional guidelines for basic education infrastructure. Ministry of Education.</w:t>
      </w:r>
    </w:p>
    <w:p w:rsidR="001A06DA" w:rsidRDefault="00680716">
      <w:pPr>
        <w:spacing w:after="80"/>
        <w:ind w:left="576" w:hanging="576"/>
        <w:jc w:val="both"/>
      </w:pPr>
      <w:r>
        <w:t xml:space="preserve">Mirzaei, A. (2019). Managing baseline changes under high technological uncertainty: The </w:t>
      </w:r>
      <w:r>
        <w:t>limits of formal scope verification. International Journal of Innovation and Technology Management, 16(3), 1950024.</w:t>
      </w:r>
    </w:p>
    <w:p w:rsidR="001A06DA" w:rsidRDefault="00680716">
      <w:pPr>
        <w:spacing w:after="80"/>
        <w:ind w:left="576" w:hanging="576"/>
        <w:jc w:val="both"/>
      </w:pPr>
      <w:r>
        <w:t>Motala, S. (2024). Structural adjustments and constitutional mandates: The modernization of educational infrastructure in rural South Africa</w:t>
      </w:r>
      <w:r>
        <w:t>. Journal of Education Policy and Infrastructure, 31(1), 14–35.</w:t>
      </w:r>
    </w:p>
    <w:p w:rsidR="001A06DA" w:rsidRDefault="00680716">
      <w:pPr>
        <w:spacing w:after="80"/>
        <w:ind w:left="576" w:hanging="576"/>
        <w:jc w:val="both"/>
      </w:pPr>
      <w:r>
        <w:t>Muchungu, P. K. (2012). The contribution of human factors to project performance in the building industry in Kenya (Doctoral dissertation, University of Nairobi).</w:t>
      </w:r>
    </w:p>
    <w:p w:rsidR="001A06DA" w:rsidRDefault="00680716">
      <w:pPr>
        <w:spacing w:after="80"/>
        <w:ind w:left="576" w:hanging="576"/>
        <w:jc w:val="both"/>
      </w:pPr>
      <w:r>
        <w:t xml:space="preserve">Munamo, F. W. (2012). An </w:t>
      </w:r>
      <w:r>
        <w:t>analysis of completion rates of public sector civil engineering projects in Kenya (2010–2012). National Construction Authority.</w:t>
      </w:r>
    </w:p>
    <w:p w:rsidR="001A06DA" w:rsidRDefault="00680716">
      <w:pPr>
        <w:spacing w:after="80"/>
        <w:ind w:left="576" w:hanging="576"/>
        <w:jc w:val="both"/>
      </w:pPr>
      <w:r>
        <w:t>Munns, A. K., &amp; Bjeirmi, B. F. (1996). The role of project management in achieving project success. International Journal of Pro</w:t>
      </w:r>
      <w:r>
        <w:t>ject Management, 14(2), 81–87.</w:t>
      </w:r>
    </w:p>
    <w:p w:rsidR="001A06DA" w:rsidRDefault="00680716">
      <w:pPr>
        <w:spacing w:after="80"/>
        <w:ind w:left="576" w:hanging="576"/>
        <w:jc w:val="both"/>
      </w:pPr>
      <w:r>
        <w:t>Musa, J. A. (1999). An investigation into the factors causing delays in water infrastructure projects in Kenya (Unpublished master's thesis). University of Nairobi.</w:t>
      </w:r>
    </w:p>
    <w:p w:rsidR="001A06DA" w:rsidRDefault="00680716">
      <w:pPr>
        <w:spacing w:after="80"/>
        <w:ind w:left="576" w:hanging="576"/>
        <w:jc w:val="both"/>
      </w:pPr>
      <w:r>
        <w:t>Namusonge, G. S., Kabare, K., &amp; Mutua, S. (2012). Role of hu</w:t>
      </w:r>
      <w:r>
        <w:t>man capital configuration in organizational performance measures. International Journal of Academic Research in Business and Social Sciences, 2(11), 190–205.</w:t>
      </w:r>
    </w:p>
    <w:p w:rsidR="001A06DA" w:rsidRDefault="00680716">
      <w:pPr>
        <w:spacing w:after="80"/>
        <w:ind w:left="576" w:hanging="576"/>
        <w:jc w:val="both"/>
      </w:pPr>
      <w:r>
        <w:t>National Treasury, South Africa. (2020). Supplementary budget review: COVID-19 fiscal response. Na</w:t>
      </w:r>
      <w:r>
        <w:t>tional Treasury.</w:t>
      </w:r>
    </w:p>
    <w:p w:rsidR="001A06DA" w:rsidRDefault="00680716">
      <w:pPr>
        <w:spacing w:after="80"/>
        <w:ind w:left="576" w:hanging="576"/>
        <w:jc w:val="both"/>
      </w:pPr>
      <w:r>
        <w:t>Newton, R. (2015). The project manager: Mastering the art of delivery (2nd ed.). Pearson.</w:t>
      </w:r>
    </w:p>
    <w:p w:rsidR="001A06DA" w:rsidRDefault="00680716">
      <w:pPr>
        <w:spacing w:after="80"/>
        <w:ind w:left="576" w:hanging="576"/>
        <w:jc w:val="both"/>
      </w:pPr>
      <w:r>
        <w:t>Pinto, J. K., &amp; Winch, G. M. (2022). Strategic misrepresentation, optimism bias, and project planning: Reconciling the behavioral and governance pers</w:t>
      </w:r>
      <w:r>
        <w:t>pectives. International Journal of Project Management, 40(6), 621–633.</w:t>
      </w:r>
    </w:p>
    <w:p w:rsidR="001A06DA" w:rsidRDefault="00680716">
      <w:pPr>
        <w:spacing w:after="80"/>
        <w:ind w:left="576" w:hanging="576"/>
        <w:jc w:val="both"/>
      </w:pPr>
      <w:r>
        <w:t>Project Management Institute. (2008). A guide to the project management body of knowledge (PMBOK® guide) (4th ed.). Project Management Institute.</w:t>
      </w:r>
    </w:p>
    <w:p w:rsidR="001A06DA" w:rsidRDefault="00680716">
      <w:pPr>
        <w:spacing w:after="80"/>
        <w:ind w:left="576" w:hanging="576"/>
        <w:jc w:val="both"/>
      </w:pPr>
      <w:r>
        <w:t>Project Management Institute. (2013). A</w:t>
      </w:r>
      <w:r>
        <w:t xml:space="preserve"> guide to the project management body of knowledge (PMBOK® guide) (5th ed.). Project Management Institute.</w:t>
      </w:r>
    </w:p>
    <w:p w:rsidR="001A06DA" w:rsidRDefault="00680716">
      <w:pPr>
        <w:spacing w:after="80"/>
        <w:ind w:left="576" w:hanging="576"/>
        <w:jc w:val="both"/>
      </w:pPr>
      <w:r>
        <w:t>Project Management Institute. (2021). A guide to the project management body of knowledge (PMBOK® guide) (7th ed.). Project Management Institute.</w:t>
      </w:r>
    </w:p>
    <w:p w:rsidR="001A06DA" w:rsidRDefault="00680716">
      <w:pPr>
        <w:spacing w:after="80"/>
        <w:ind w:left="576" w:hanging="576"/>
        <w:jc w:val="both"/>
      </w:pPr>
      <w:r>
        <w:t>Ser</w:t>
      </w:r>
      <w:r>
        <w:t>rador, P., &amp; Pinto, J. K. (2015). Does Agile work? A quantitative analysis of agile project success. International Journal of Project Management, 33(5), 1040–1051.</w:t>
      </w:r>
    </w:p>
    <w:p w:rsidR="001A06DA" w:rsidRDefault="00680716">
      <w:pPr>
        <w:spacing w:after="80"/>
        <w:ind w:left="576" w:hanging="576"/>
        <w:jc w:val="both"/>
      </w:pPr>
      <w:r>
        <w:t>Siriram, R. (2022). Project scope initiation frameworks and baseline stability in developing</w:t>
      </w:r>
      <w:r>
        <w:t xml:space="preserve"> public infrastructure execution. IEEE Transactions on Engineering Management, 69(3), 745–758.</w:t>
      </w:r>
    </w:p>
    <w:p w:rsidR="001A06DA" w:rsidRDefault="00680716">
      <w:pPr>
        <w:spacing w:after="80"/>
        <w:ind w:left="576" w:hanging="576"/>
        <w:jc w:val="both"/>
      </w:pPr>
      <w:r>
        <w:t>Talukhaba, A. A. (1988). Time and cost performance of construction projects in Kenya (Unpublished doctoral dissertation). University of Nairobi.</w:t>
      </w:r>
    </w:p>
    <w:p w:rsidR="001A06DA" w:rsidRDefault="00680716">
      <w:pPr>
        <w:spacing w:after="80"/>
        <w:ind w:left="576" w:hanging="576"/>
        <w:jc w:val="both"/>
      </w:pPr>
      <w:r>
        <w:t>Thomas, H. R., &amp;</w:t>
      </w:r>
      <w:r>
        <w:t xml:space="preserve"> Napolitan, C. L. (1995). Quantitative effects of construction changes on labor productivity. Journal of Construction Engineering and Management, 121(3), 290–296.</w:t>
      </w:r>
    </w:p>
    <w:p w:rsidR="001A06DA" w:rsidRDefault="00680716">
      <w:pPr>
        <w:spacing w:after="80"/>
        <w:ind w:left="576" w:hanging="576"/>
        <w:jc w:val="both"/>
      </w:pPr>
      <w:r>
        <w:t>Turner, J. R. (2019). The handbook of project-based management: Leading strategic change in o</w:t>
      </w:r>
      <w:r>
        <w:t>rganizations (5th ed.). McGraw-Hill Education.</w:t>
      </w:r>
    </w:p>
    <w:p w:rsidR="001A06DA" w:rsidRDefault="00680716">
      <w:pPr>
        <w:spacing w:after="80"/>
        <w:ind w:left="576" w:hanging="576"/>
        <w:jc w:val="both"/>
      </w:pPr>
      <w:r>
        <w:t>Voetsch, R. J., Cioffi, D. F., &amp; Anbari, F. T. (2004). Project risk management practices and their relationship to project success. Project Management Journal, 35(1), 33–47.</w:t>
      </w:r>
    </w:p>
    <w:p w:rsidR="001A06DA" w:rsidRDefault="00680716">
      <w:pPr>
        <w:spacing w:after="80"/>
        <w:ind w:left="576" w:hanging="576"/>
        <w:jc w:val="both"/>
      </w:pPr>
      <w:r>
        <w:t xml:space="preserve">Williams, T. (2019). The front-end </w:t>
      </w:r>
      <w:r>
        <w:t>of projects: A systematic review and research agenda. International Journal of Project Management, 37(3), 364–379.</w:t>
      </w:r>
    </w:p>
    <w:sectPr w:rsidR="001A06D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A06DA"/>
    <w:rsid w:val="0029639D"/>
    <w:rsid w:val="003165E8"/>
    <w:rsid w:val="00326F90"/>
    <w:rsid w:val="00680716"/>
    <w:rsid w:val="009F0431"/>
    <w:rsid w:val="00AA1D8D"/>
    <w:rsid w:val="00B47730"/>
    <w:rsid w:val="00CB0664"/>
    <w:rsid w:val="00FA7D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ED18508-906B-4B34-9282-E6F657A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59"/>
    <w:rsid w:val="009F0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9A15E-D77A-4C27-8E9A-A5555745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8658</Words>
  <Characters>49356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Kenneth</cp:lastModifiedBy>
  <cp:revision>4</cp:revision>
  <dcterms:created xsi:type="dcterms:W3CDTF">2026-07-02T18:37:00Z</dcterms:created>
  <dcterms:modified xsi:type="dcterms:W3CDTF">2026-07-02T18:39:00Z</dcterms:modified>
  <cp:category/>
</cp:coreProperties>
</file>