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B0766">
      <w:pPr>
        <w:pStyle w:val="53"/>
        <w:spacing w:after="0" w:line="240" w:lineRule="auto"/>
        <w:rPr>
          <w:b/>
          <w:sz w:val="26"/>
          <w:szCs w:val="26"/>
        </w:rPr>
      </w:pPr>
      <w:r>
        <w:rPr>
          <w:b/>
          <w:sz w:val="26"/>
          <w:szCs w:val="26"/>
        </w:rPr>
        <w:t>COMPUTATIONAL FRAMEWORK FOR INTERPRETABLE FINANCIAL RISK MANAGEMENT USING ENSEMBLE MACHINE LEARNING AND SHAP-BASED EXPLAINABLE AI</w:t>
      </w:r>
    </w:p>
    <w:p w14:paraId="515FEF9F">
      <w:pPr>
        <w:pStyle w:val="53"/>
        <w:spacing w:after="0"/>
        <w:jc w:val="both"/>
        <w:rPr>
          <w:vertAlign w:val="superscript"/>
        </w:rPr>
      </w:pPr>
      <w:r>
        <w:t xml:space="preserve"/>
      </w:r>
      <w:r>
        <w:rPr>
          <w:vertAlign w:val="superscript"/>
        </w:rPr>
        <w:t/>
      </w:r>
      <w:r>
        <w:rPr>
          <w:lang w:val="en-US"/>
        </w:rPr>
        <w:drawing>
          <wp:inline distT="0" distB="0" distL="0" distR="0">
            <wp:extent cx="107950" cy="107950"/>
            <wp:effectExtent l="0" t="0" r="6350" b="6350"/>
            <wp:docPr id="1382986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6985"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8000" cy="108000"/>
                    </a:xfrm>
                    <a:prstGeom prst="rect">
                      <a:avLst/>
                    </a:prstGeom>
                    <a:noFill/>
                    <a:ln>
                      <a:noFill/>
                    </a:ln>
                  </pic:spPr>
                </pic:pic>
              </a:graphicData>
            </a:graphic>
          </wp:inline>
        </w:drawing>
      </w:r>
      <w:r>
        <w:t/>
      </w:r>
      <w:r>
        <w:rPr>
          <w:vertAlign w:val="superscript"/>
        </w:rPr>
        <w:t/>
      </w:r>
      <w:r>
        <w:rPr>
          <w:lang w:val="en-US"/>
        </w:rPr>
        <w:t xml:space="preserve"/>
      </w:r>
      <w:r>
        <w:rPr>
          <w:lang w:val="en-US"/>
        </w:rPr>
        <w:drawing>
          <wp:inline distT="0" distB="0" distL="0" distR="0">
            <wp:extent cx="107950" cy="107950"/>
            <wp:effectExtent l="0" t="0" r="6350" b="6350"/>
            <wp:docPr id="1828026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2662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8000" cy="108000"/>
                    </a:xfrm>
                    <a:prstGeom prst="rect">
                      <a:avLst/>
                    </a:prstGeom>
                    <a:noFill/>
                    <a:ln>
                      <a:noFill/>
                    </a:ln>
                  </pic:spPr>
                </pic:pic>
              </a:graphicData>
            </a:graphic>
          </wp:inline>
        </w:drawing>
      </w:r>
      <w:r>
        <w:t xml:space="preserve"/>
      </w:r>
      <w:r>
        <w:rPr>
          <w:vertAlign w:val="superscript"/>
        </w:rPr>
        <w:t/>
      </w:r>
      <w:r>
        <w:rPr>
          <w:lang w:val="en-US"/>
        </w:rPr>
        <w:drawing>
          <wp:inline distT="0" distB="0" distL="0" distR="0">
            <wp:extent cx="107950" cy="107950"/>
            <wp:effectExtent l="0" t="0" r="6350" b="6350"/>
            <wp:docPr id="497660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6074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8000" cy="108000"/>
                    </a:xfrm>
                    <a:prstGeom prst="rect">
                      <a:avLst/>
                    </a:prstGeom>
                    <a:noFill/>
                    <a:ln>
                      <a:noFill/>
                    </a:ln>
                  </pic:spPr>
                </pic:pic>
              </a:graphicData>
            </a:graphic>
          </wp:inline>
        </w:drawing>
      </w:r>
      <w:r>
        <w:t xml:space="preserve"/>
      </w:r>
      <w:r>
        <w:rPr>
          <w:lang w:val="en-US"/>
        </w:rPr>
        <w:t xml:space="preserve"/>
      </w:r>
      <w:r>
        <w:t/>
      </w:r>
      <w:r>
        <w:rPr>
          <w:vertAlign w:val="superscript"/>
        </w:rPr>
        <w:t/>
      </w:r>
      <w:r>
        <w:rPr>
          <w:lang w:val="en-US"/>
        </w:rPr>
        <w:t xml:space="preserve"/>
      </w:r>
      <w:r>
        <w:rPr>
          <w:lang w:val="en-US"/>
        </w:rPr>
        <w:drawing>
          <wp:inline distT="0" distB="0" distL="0" distR="0">
            <wp:extent cx="107950" cy="107950"/>
            <wp:effectExtent l="0" t="0" r="6350" b="635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8000" cy="108000"/>
                    </a:xfrm>
                    <a:prstGeom prst="rect">
                      <a:avLst/>
                    </a:prstGeom>
                    <a:noFill/>
                    <a:ln>
                      <a:noFill/>
                    </a:ln>
                  </pic:spPr>
                </pic:pic>
              </a:graphicData>
            </a:graphic>
          </wp:inline>
        </w:drawing>
      </w:r>
    </w:p>
    <w:p w14:paraId="145647BC">
      <w:pPr>
        <w:spacing w:after="0" w:line="240" w:lineRule="auto"/>
        <w:ind w:left="142" w:hanging="142"/>
        <w:jc w:val="both"/>
        <w:rPr>
          <w:rStyle w:val="56"/>
        </w:rPr>
      </w:pPr>
      <w:r>
        <w:rPr>
          <w:rStyle w:val="58"/>
        </w:rPr>
        <w:t/>
      </w:r>
      <w:r>
        <w:rPr>
          <w:rStyle w:val="56"/>
        </w:rPr>
        <w:t/>
      </w:r>
    </w:p>
    <w:p w14:paraId="59FFEC45">
      <w:pPr>
        <w:spacing w:after="0" w:line="240" w:lineRule="auto"/>
        <w:jc w:val="both"/>
        <w:rPr>
          <w:rStyle w:val="56"/>
        </w:rPr>
      </w:pPr>
      <w:r>
        <w:rPr>
          <w:rStyle w:val="58"/>
        </w:rPr>
        <w:t/>
      </w:r>
      <w:r>
        <w:rPr>
          <w:rStyle w:val="56"/>
        </w:rPr>
        <w:t/>
      </w:r>
    </w:p>
    <w:p w14:paraId="4F5FC495">
      <w:pPr>
        <w:spacing w:after="0" w:line="240" w:lineRule="auto"/>
        <w:ind w:left="142" w:hanging="142"/>
        <w:jc w:val="both"/>
        <w:rPr>
          <w:rStyle w:val="56"/>
        </w:rPr>
      </w:pPr>
      <w:r>
        <w:rPr>
          <w:rStyle w:val="58"/>
        </w:rPr>
        <w:t/>
      </w:r>
      <w:r>
        <w:rPr>
          <w:rStyle w:val="56"/>
        </w:rPr>
        <w:t/>
      </w:r>
    </w:p>
    <w:p w14:paraId="0225CA60">
      <w:pPr>
        <w:spacing w:after="0" w:line="240" w:lineRule="auto"/>
        <w:jc w:val="both"/>
        <w:rPr>
          <w:rFonts w:ascii="Times New Roman" w:hAnsi="Times New Roman" w:cs="Times New Roman"/>
          <w:i/>
          <w:iCs/>
          <w:sz w:val="20"/>
          <w:szCs w:val="20"/>
        </w:rPr>
      </w:pPr>
      <w:r>
        <w:rPr>
          <w:rStyle w:val="58"/>
        </w:rPr>
        <w:t/>
      </w:r>
      <w:r>
        <w:rPr>
          <w:rStyle w:val="56"/>
        </w:rPr>
        <w:t xml:space="preserve"/>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410"/>
        <w:gridCol w:w="6652"/>
      </w:tblGrid>
      <w:tr w14:paraId="69B1C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9" w:hRule="atLeast"/>
        </w:trPr>
        <w:tc>
          <w:tcPr>
            <w:tcW w:w="2410" w:type="dxa"/>
            <w:tcBorders>
              <w:top w:val="single" w:color="auto" w:sz="4" w:space="0"/>
              <w:bottom w:val="single" w:color="auto" w:sz="4" w:space="0"/>
            </w:tcBorders>
            <w:vAlign w:val="center"/>
          </w:tcPr>
          <w:p w14:paraId="100DE65F">
            <w:pPr>
              <w:pStyle w:val="47"/>
              <w:spacing w:after="160"/>
              <w:jc w:val="both"/>
            </w:pPr>
            <w:r>
              <w:t/>
            </w:r>
          </w:p>
        </w:tc>
        <w:tc>
          <w:tcPr>
            <w:tcW w:w="6652" w:type="dxa"/>
            <w:tcBorders>
              <w:top w:val="single" w:color="auto" w:sz="4" w:space="0"/>
              <w:bottom w:val="single" w:color="auto" w:sz="4" w:space="0"/>
            </w:tcBorders>
            <w:vAlign w:val="center"/>
          </w:tcPr>
          <w:p w14:paraId="004B741A">
            <w:pPr>
              <w:pStyle w:val="47"/>
              <w:spacing w:after="160"/>
              <w:jc w:val="both"/>
            </w:pPr>
            <w:r>
              <w:t>Abstract</w:t>
            </w:r>
          </w:p>
        </w:tc>
      </w:tr>
      <w:tr w14:paraId="1DEBA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1" w:hRule="atLeast"/>
        </w:trPr>
        <w:tc>
          <w:tcPr>
            <w:tcW w:w="2410" w:type="dxa"/>
            <w:tcBorders>
              <w:top w:val="single" w:color="auto" w:sz="4" w:space="0"/>
            </w:tcBorders>
          </w:tcPr>
          <w:p w14:paraId="7D00D53A">
            <w:pPr>
              <w:pStyle w:val="61"/>
              <w:spacing w:after="160"/>
            </w:pPr>
            <w:r>
              <w:t xml:space="preserve">Received: </w:t>
            </w:r>
            <w:r>
              <w:rPr>
                <w:color w:val="EE0000"/>
              </w:rPr>
              <w:t>10 January 2026</w:t>
            </w:r>
          </w:p>
          <w:p w14:paraId="53BA26F9">
            <w:pPr>
              <w:pStyle w:val="61"/>
              <w:spacing w:after="160"/>
            </w:pPr>
            <w:r>
              <w:t xml:space="preserve">Accepted: </w:t>
            </w:r>
            <w:r>
              <w:rPr>
                <w:color w:val="EE0000"/>
              </w:rPr>
              <w:t>23 April 2026</w:t>
            </w:r>
          </w:p>
          <w:p w14:paraId="57E6A710">
            <w:pPr>
              <w:pStyle w:val="61"/>
              <w:spacing w:after="160"/>
            </w:pPr>
            <w:r>
              <w:t xml:space="preserve">Published: </w:t>
            </w:r>
            <w:r>
              <w:rPr>
                <w:color w:val="EE0000"/>
              </w:rPr>
              <w:t>19 May 2026</w:t>
            </w:r>
            <w:r>
              <w:rPr>
                <w:color w:val="EE0000"/>
              </w:rPr>
              <w:br w:type="textWrapping"/>
            </w:r>
          </w:p>
        </w:tc>
        <w:tc>
          <w:tcPr>
            <w:tcW w:w="6652" w:type="dxa"/>
            <w:vMerge w:val="restart"/>
            <w:tcBorders>
              <w:top w:val="single" w:color="auto" w:sz="4" w:space="0"/>
            </w:tcBorders>
          </w:tcPr>
          <w:p w14:paraId="439BF24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Financial risk management is a critical function for financial institutions, requiring accurate, reliable, and interpretable predictive models to support effective decision-making and regulatory compliance. Traditional statistical approaches often struggle to capture complex non-linear relationships inherent in financial data, while many machine learning models lack transparency. This study develops and evaluates an interpretable predictive analytics framework for financial risk management using supervised machine learning techniques. </w:t>
            </w:r>
          </w:p>
          <w:p w14:paraId="50AB87A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The study adopts a quantitative and experimental research design, utilizing secondary financial risk data with multiple predictor variables and a binary risk outcome. Comprehensive data preprocessing techniques including data cleaning, feature scaling, class imbalance handling, and feature selection were applied to enhance model reliability. Four predictive models were developed and compared: Logistic Regression, Random Forest, Gradient Boosting, and Support Vector Machine. Model performance was evaluated using standard classification metrics such as accuracy, precision, recall, F1-score, confusion matrices, and Receiver Operating Characteristic (ROC) curves with Area Under the Curve (AUC) analysis. </w:t>
            </w:r>
          </w:p>
          <w:p w14:paraId="5F80126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Experimental results indicate that ensemble models outperform the baseline Logistic Regression model. Gradient Boosting achieved the best overall balance between accuracy (91.7%), sensitivity to high-risk cases, and robustness, making it the most suitable model for operational financial risk prediction. Random Forest also demonstrated strong predictive performance, while Support Vector Machine exhibited the highest discriminative ability with an AUC of 0.985, indicating excellent ranking capability across classification thresholds. However, SVM showed lower recall at the default threshold, suggesting the need for threshold optimization in high-stakes applications. </w:t>
            </w:r>
          </w:p>
          <w:p w14:paraId="4F4E88C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To address model transparency, Explainable Artificial Intelligence techniques were applied using SHAP (Shapley Additive Explanations). The interpretability analysis identified key features influencing financial risk predictions and provided insights into feature interactions, enhancing trust, accountability, and regulatory compliance. </w:t>
            </w:r>
          </w:p>
          <w:p w14:paraId="12E21D34">
            <w:pPr>
              <w:spacing w:after="0" w:line="240" w:lineRule="auto"/>
              <w:jc w:val="both"/>
            </w:pPr>
            <w:r>
              <w:rPr>
                <w:rFonts w:ascii="Times New Roman" w:hAnsi="Times New Roman" w:cs="Times New Roman"/>
                <w:sz w:val="18"/>
                <w:szCs w:val="18"/>
              </w:rPr>
              <w:t>The study concludes that ensemble-based machine learning models, particularly Gradient Boosting combined with SHAPbased explainability, provide a robust and interpretable framework for financial risk management. The proposed approach supports data-driven decision-making while maintaining transparency, making it suitable for practical deployment in modern financial institutions</w:t>
            </w:r>
            <w:r>
              <w:t xml:space="preserve">. </w:t>
            </w:r>
          </w:p>
          <w:p w14:paraId="46A4089F">
            <w:pPr>
              <w:pStyle w:val="20"/>
              <w:spacing w:before="0" w:beforeAutospacing="0" w:after="160" w:afterAutospacing="0"/>
              <w:jc w:val="both"/>
              <w:rPr>
                <w:sz w:val="18"/>
                <w:szCs w:val="18"/>
              </w:rPr>
            </w:pPr>
            <w:r>
              <w:rPr>
                <w:rStyle w:val="21"/>
                <w:sz w:val="18"/>
                <w:szCs w:val="18"/>
              </w:rPr>
              <w:t>Keywords:</w:t>
            </w:r>
            <w:r>
              <w:rPr>
                <w:sz w:val="18"/>
                <w:szCs w:val="18"/>
              </w:rPr>
              <w:t xml:space="preserve"> Financial risk management, machine learning, explainable artificial intelligence, SHAP, predictive analytics, interpretable AI.</w:t>
            </w:r>
          </w:p>
        </w:tc>
      </w:tr>
      <w:tr w14:paraId="5EF6C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2410" w:type="dxa"/>
            <w:tcBorders>
              <w:bottom w:val="single" w:color="auto" w:sz="4" w:space="0"/>
            </w:tcBorders>
          </w:tcPr>
          <w:p w14:paraId="025FA4FF">
            <w:pPr>
              <w:pStyle w:val="61"/>
              <w:spacing w:after="160"/>
            </w:pPr>
          </w:p>
        </w:tc>
        <w:tc>
          <w:tcPr>
            <w:tcW w:w="6652" w:type="dxa"/>
            <w:vMerge w:val="continue"/>
            <w:tcBorders>
              <w:bottom w:val="single" w:color="auto" w:sz="4" w:space="0"/>
            </w:tcBorders>
          </w:tcPr>
          <w:p w14:paraId="2A497413">
            <w:pPr>
              <w:pStyle w:val="45"/>
              <w:spacing w:after="160"/>
            </w:pPr>
          </w:p>
        </w:tc>
      </w:tr>
    </w:tbl>
    <w:p w14:paraId="54B3585E">
      <w:pPr>
        <w:tabs>
          <w:tab w:val="center" w:pos="1519"/>
        </w:tabs>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 </w:t>
      </w:r>
      <w:r>
        <w:rPr>
          <w:rFonts w:ascii="Times New Roman" w:hAnsi="Times New Roman" w:eastAsia="Times New Roman" w:cs="Times New Roman"/>
          <w:b/>
          <w:sz w:val="20"/>
          <w:szCs w:val="20"/>
        </w:rPr>
        <w:tab/>
      </w:r>
      <w:r>
        <w:rPr>
          <w:rFonts w:ascii="Times New Roman" w:hAnsi="Times New Roman" w:eastAsia="Times New Roman" w:cs="Times New Roman"/>
          <w:b/>
          <w:sz w:val="20"/>
          <w:szCs w:val="20"/>
        </w:rPr>
        <w:t xml:space="preserve">INTRODUCTION </w:t>
      </w:r>
    </w:p>
    <w:p w14:paraId="7F51E4E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Financial institutions operate in environments characterized by uncertainty, volatility, and increasing regulatory scrutiny. Effective financial risk management is therefore essential to ensure institutional stability, protect stakeholders, and maintain confidence in the financial system (Hull, 2018; Basel Committee on Banking Supervision, 2019). Financial risks such as credit risk, market risk, liquidity risk, and operational risk have become more complex due to globalization, digital financial services, and rapidly changing economic conditions (Bazarbash, 2024; Abdou et al., 2023). </w:t>
      </w:r>
    </w:p>
    <w:p w14:paraId="03C7CBE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Traditionally, financial risk management relied on statistical techniques, rule-based systems, and expert judgment. While these approaches provided foundational insights, they often struggled to capture non-linear relationships and complex patterns present in large financial datasets (Altman &amp; Sabato, 2007; Lessmann et al., 2020). The emergence of predictive analytics, supported by advances in computing power and data availability, has transformed financial risk assessment by enabling datadriven forecasting and decision-making (Khandani, Kim, &amp; Lo, 2020). </w:t>
      </w:r>
    </w:p>
    <w:p w14:paraId="22E5861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Predictive analytics applies statistical and machine learning techniques to historical and current data to predict future outcomes. In financial risk management, predictive analytics has been applied to areas such as credit default prediction, fraud detection, loan approval, and early warning systems (Ngai et al., 2023; Zhang et al., 2022). Recent studies indicate that machine learning and deep learning models including Random Forests, Support Vector Machines, Gradient Boosting, and Neural Networks outperform traditional statistical models in predictive accuracy (Lessmann et al., 2020; Bao, Yue, &amp; Rao, 2021). </w:t>
      </w:r>
    </w:p>
    <w:p w14:paraId="5A55731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Despite these advancements, the effective deployment of predictive analytics in financial risk management remains limited. Many models developed in academic research are not fully aligned with operational, regulatory, and interpretability requirements in real-world financial institutions (Bussmann et al., 2021; Fernández et al., 2026). This gap necessitates further research into practical, interpretable, and robust predictive analytics frameworks for financial risk management. </w:t>
      </w:r>
    </w:p>
    <w:p w14:paraId="1B2D6B03">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A. Statement of the Problem </w:t>
      </w:r>
    </w:p>
    <w:p w14:paraId="386F1F4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Financial institutions increasingly depend on predictive analytics to anticipate and mitigate financial risks arising from credit exposure, market volatility, operational failures, and systemic shocks (He, Polson, &amp; Witte, 2022). While advanced machine learning models have demonstrated improved predictive accuracy, their real-world effectiveness in financial risk management remains constrained (Abiodun et al., 2025). </w:t>
      </w:r>
    </w:p>
    <w:p w14:paraId="1A0F50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One major problem is the overemphasis on predictive accuracy at the expense of interpretability and transparency. Many highperforming machine learning and deep learning models operate as “black boxes,” making it difficult for risk managers, auditors, and regulators to understand how predictions are generated (Bussmann et al., 2021). In regulated financial environments, decisions must be explainable, auditable, and compliant with governance frameworks (Basel Committee on Banking Supervision, 2019). The lack of interpretability reduces trust and limits practical adoption. </w:t>
      </w:r>
    </w:p>
    <w:p w14:paraId="58A2D93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Another critical issue is the reliance on static predictive models trained on historical data. Financial risk is dynamic and influenced by changing customer behavior, economic conditions, and market trends. Static models often fail to adapt to these changes, leading to performance degradation over time (Abdou et al., 2023; Abiodun et al., 2025). </w:t>
      </w:r>
    </w:p>
    <w:p w14:paraId="7A7414F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Additionally, existing research tends to focus narrowly on credit risk, with limited attention to other important risk types such as liquidity risk and operational risk, or to integrated risk assessment (Petropoulos et al., 2023). Data-related challenges— including class imbalance, poor data quality, and the rarity of high-impact risk events—further undermine model robustness and reliability (Adebiyi et al., 2024). </w:t>
      </w:r>
    </w:p>
    <w:p w14:paraId="5255C0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Finally, most predictive analytics studies remain experimental, with limited validation in real operational settings. Challenges related to scalability, computational efficiency, system integration, and regulatory alignment are often insufficiently addressed, creating a gap between research and practice (Fernández et al., 2026). </w:t>
      </w:r>
    </w:p>
    <w:p w14:paraId="3ECC3D4D">
      <w:pPr>
        <w:numPr>
          <w:ilvl w:val="0"/>
          <w:numId w:val="3"/>
        </w:numPr>
        <w:spacing w:after="0" w:line="240" w:lineRule="auto"/>
        <w:ind w:right="-15" w:hanging="24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Aim </w:t>
      </w:r>
    </w:p>
    <w:p w14:paraId="3C5898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aim of this study is to develop and evaluate an interpretable and robust predictive analytics framework for financial risk management using machine learning techniques. </w:t>
      </w:r>
    </w:p>
    <w:p w14:paraId="2DD0E5B5">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Objectives </w:t>
      </w:r>
    </w:p>
    <w:p w14:paraId="420921A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objectives of the study are to: </w:t>
      </w:r>
    </w:p>
    <w:p w14:paraId="735DCA47">
      <w:pPr>
        <w:numPr>
          <w:ilvl w:val="1"/>
          <w:numId w:val="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Examine existing predictive analytics approaches used in financial risk management. </w:t>
      </w:r>
    </w:p>
    <w:p w14:paraId="7025FD3A">
      <w:pPr>
        <w:numPr>
          <w:ilvl w:val="1"/>
          <w:numId w:val="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Develop predictive models using selected machine learning algorithms. </w:t>
      </w:r>
    </w:p>
    <w:p w14:paraId="7C708896">
      <w:pPr>
        <w:numPr>
          <w:ilvl w:val="1"/>
          <w:numId w:val="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Evaluate and compare model performance using appropriate metrics. </w:t>
      </w:r>
    </w:p>
    <w:p w14:paraId="0434DFB4">
      <w:pPr>
        <w:numPr>
          <w:ilvl w:val="1"/>
          <w:numId w:val="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Apply explainable artificial intelligence techniques to improve model interpretability. </w:t>
      </w:r>
    </w:p>
    <w:p w14:paraId="7B769D95">
      <w:pPr>
        <w:numPr>
          <w:ilvl w:val="1"/>
          <w:numId w:val="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Assess the impact of data-related challenges on predictive performance and robustness. </w:t>
      </w:r>
    </w:p>
    <w:p w14:paraId="108848E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57609B01">
      <w:pPr>
        <w:numPr>
          <w:ilvl w:val="0"/>
          <w:numId w:val="3"/>
        </w:numPr>
        <w:spacing w:after="0" w:line="240" w:lineRule="auto"/>
        <w:ind w:right="-15" w:hanging="24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Significance of the Study </w:t>
      </w:r>
    </w:p>
    <w:p w14:paraId="3027693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study contributes to academic knowledge by addressing the gap between predictive accuracy and practical applicability in financial risk management (Lessmann et al., 2020; Bussmann et al., 2021). It provides insights for financial institutions on selecting predictive models that balance performance and interpretability. The findings also support regulators and policymakers by highlighting transparent and accountable risk modeling approaches (Basel Committee on Banking Supervision, 2019). </w:t>
      </w:r>
    </w:p>
    <w:p w14:paraId="72FBC2AF">
      <w:pPr>
        <w:numPr>
          <w:ilvl w:val="0"/>
          <w:numId w:val="3"/>
        </w:numPr>
        <w:spacing w:after="0" w:line="240" w:lineRule="auto"/>
        <w:ind w:right="-15" w:hanging="24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Scope of the Study </w:t>
      </w:r>
    </w:p>
    <w:p w14:paraId="3F68A8C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study focuses on predictive financial risk modeling using historical financial datasets. The analysis is limited to selected machine learning algorithms and does not implement real-time systems. Emphasis is placed on interpretability, robustness, and practical feasibility. </w:t>
      </w:r>
    </w:p>
    <w:p w14:paraId="2D1F1DFA">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 xml:space="preserve"> </w:t>
      </w:r>
    </w:p>
    <w:p w14:paraId="1DCDD132">
      <w:pPr>
        <w:spacing w:after="0" w:line="240" w:lineRule="auto"/>
        <w:ind w:left="10"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II. LITERATURE REVIEW </w:t>
      </w:r>
    </w:p>
    <w:p w14:paraId="7BDF28AD">
      <w:pPr>
        <w:numPr>
          <w:ilvl w:val="0"/>
          <w:numId w:val="4"/>
        </w:numPr>
        <w:spacing w:after="0" w:line="240" w:lineRule="auto"/>
        <w:ind w:right="-15" w:hanging="293"/>
        <w:jc w:val="both"/>
        <w:rPr>
          <w:rFonts w:ascii="Times New Roman" w:hAnsi="Times New Roman" w:cs="Times New Roman"/>
          <w:sz w:val="20"/>
          <w:szCs w:val="20"/>
        </w:rPr>
      </w:pPr>
      <w:r>
        <w:rPr>
          <w:rFonts w:ascii="Times New Roman" w:hAnsi="Times New Roman" w:eastAsia="Times New Roman" w:cs="Times New Roman"/>
          <w:b/>
          <w:sz w:val="20"/>
          <w:szCs w:val="20"/>
        </w:rPr>
        <w:t xml:space="preserve">Concept of Financial Risk Management </w:t>
      </w:r>
    </w:p>
    <w:p w14:paraId="3B2879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Financial risk management refers to the process of identifying, analyzing, monitoring, and controlling risks that may adversely affect an institution’s financial performance and stability. According to Jorion (2007), financial risk management aims to minimize potential losses while maximizing value through systematic risk assessment and mitigation strategies. Financial risks commonly faced by institutions include credit risk, market risk, liquidity risk, and operational risk. </w:t>
      </w:r>
    </w:p>
    <w:p w14:paraId="1ADA1CF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Basel Committee on Banking Supervision (BCBS, 2011) emphasizes that effective risk management frameworks are essential for maintaining financial system stability, particularly in regulated banking environments. Traditional risk management approaches relied heavily on statistical models, expert judgment, and rule-based systems. However, these methods often fail to capture complex, non-linear relationships inherent in modern financial data (Hull, 2018). </w:t>
      </w:r>
    </w:p>
    <w:p w14:paraId="3C96EFF9">
      <w:pPr>
        <w:numPr>
          <w:ilvl w:val="0"/>
          <w:numId w:val="4"/>
        </w:numPr>
        <w:spacing w:after="0" w:line="240" w:lineRule="auto"/>
        <w:ind w:right="-15" w:hanging="293"/>
        <w:jc w:val="both"/>
        <w:rPr>
          <w:rFonts w:ascii="Times New Roman" w:hAnsi="Times New Roman" w:cs="Times New Roman"/>
          <w:sz w:val="20"/>
          <w:szCs w:val="20"/>
        </w:rPr>
      </w:pPr>
      <w:r>
        <w:rPr>
          <w:rFonts w:ascii="Times New Roman" w:hAnsi="Times New Roman" w:eastAsia="Times New Roman" w:cs="Times New Roman"/>
          <w:b/>
          <w:sz w:val="20"/>
          <w:szCs w:val="20"/>
        </w:rPr>
        <w:t xml:space="preserve">Predictive Analytics in Financial Risk Management </w:t>
      </w:r>
    </w:p>
    <w:p w14:paraId="05810A0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Predictive analytics involves the use of historical and current data, statistical techniques, and machine learning algorithms to forecast future events or behaviors. Shmueli and Koppius (2011) describe predictive analytics as a forward-looking approach that supports decision-making under uncertainty. </w:t>
      </w:r>
    </w:p>
    <w:p w14:paraId="426AC84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financial risk management, predictive analytics is widely applied to credit scoring, default prediction, fraud detection, and early warning systems. Lessmann et al. (2015) argue that predictive analytics enables financial institutions to proactively identify potential risk exposures rather than reacting after losses occur. The growing availability of large financial datasets and increased computational capacity has accelerated the adoption of predictive analytics in finance. </w:t>
      </w:r>
    </w:p>
    <w:p w14:paraId="1592DAF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Despite its potential, the practical implementation of predictive analytics faces challenges related to model transparency, regulatory compliance, and data quality, which limit its effectiveness in real-world risk management systems. </w:t>
      </w:r>
    </w:p>
    <w:p w14:paraId="3DE6D08E">
      <w:pPr>
        <w:numPr>
          <w:ilvl w:val="0"/>
          <w:numId w:val="4"/>
        </w:numPr>
        <w:spacing w:after="0" w:line="240" w:lineRule="auto"/>
        <w:ind w:right="-15" w:hanging="293"/>
        <w:jc w:val="both"/>
        <w:rPr>
          <w:rFonts w:ascii="Times New Roman" w:hAnsi="Times New Roman" w:cs="Times New Roman"/>
          <w:sz w:val="20"/>
          <w:szCs w:val="20"/>
        </w:rPr>
      </w:pPr>
      <w:r>
        <w:rPr>
          <w:rFonts w:ascii="Times New Roman" w:hAnsi="Times New Roman" w:eastAsia="Times New Roman" w:cs="Times New Roman"/>
          <w:b/>
          <w:sz w:val="20"/>
          <w:szCs w:val="20"/>
        </w:rPr>
        <w:t xml:space="preserve">Traditional Statistical Models for Financial Risk Prediction </w:t>
      </w:r>
    </w:p>
    <w:p w14:paraId="5ADBB2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Traditional financial risk prediction models include Logistic Regression, Linear Discriminant Analysis, and Probit models. Logistic Regression has been widely used in credit risk assessment due to its simplicity and interpretability (Altman, 1968; Thomas, Edelman, &amp; Crook, 2002). </w:t>
      </w:r>
    </w:p>
    <w:p w14:paraId="395AB27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Although these models offer transparency and ease of interpretation, several studies highlight their limitations in handling complex and non-linear financial data. Hand and Henley (1997) note that traditional models often suffer from restrictive assumptions such as linearity and normality, which may not hold in real-world financial datasets. </w:t>
      </w:r>
    </w:p>
    <w:p w14:paraId="677D1E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As financial systems become more complex, the predictive power of traditional statistical models has been increasingly questioned, leading to the exploration of machine learning-based approaches. </w:t>
      </w:r>
    </w:p>
    <w:p w14:paraId="46183D91">
      <w:pPr>
        <w:numPr>
          <w:ilvl w:val="0"/>
          <w:numId w:val="4"/>
        </w:numPr>
        <w:spacing w:after="0" w:line="240" w:lineRule="auto"/>
        <w:ind w:right="-15" w:hanging="293"/>
        <w:jc w:val="both"/>
        <w:rPr>
          <w:rFonts w:ascii="Times New Roman" w:hAnsi="Times New Roman" w:cs="Times New Roman"/>
          <w:sz w:val="20"/>
          <w:szCs w:val="20"/>
        </w:rPr>
      </w:pPr>
      <w:r>
        <w:rPr>
          <w:rFonts w:ascii="Times New Roman" w:hAnsi="Times New Roman" w:eastAsia="Times New Roman" w:cs="Times New Roman"/>
          <w:b/>
          <w:sz w:val="20"/>
          <w:szCs w:val="20"/>
        </w:rPr>
        <w:t xml:space="preserve">Machine Learning Techniques in Financial Risk Prediction </w:t>
      </w:r>
    </w:p>
    <w:p w14:paraId="2AFECAD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Machine learning techniques have gained prominence in financial risk management due to their ability to model complex relationships and handle high-dimensional data. Commonly applied algorithms include Random Forests, Support Vector Machines (SVM), Gradient Boosting Machines, and Neural Networks. </w:t>
      </w:r>
    </w:p>
    <w:p w14:paraId="0BB8EB9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Breiman (2001) introduced Random Forests as an ensemble learning method that improves predictive accuracy by combining multiple decision trees. Several studies, including Lessmann et al. (2015) and Brown and Mues (2012), demonstrate that Random Forests outperform traditional models in credit risk prediction tasks. </w:t>
      </w:r>
    </w:p>
    <w:p w14:paraId="50336E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Support Vector Machines have also been widely applied to financial risk prediction due to their robustness in high-dimensional spaces. Huang, Chen, and Wang (2007) show that SVM models achieve higher classification accuracy than Logistic Regression in credit default prediction. </w:t>
      </w:r>
    </w:p>
    <w:p w14:paraId="6011D3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Gradient Boosting techniques, such as XGBoost, further enhance predictive performance by sequentially correcting model errors. Chen and Guestrin (2016) report superior performance of Gradient Boosting models in financial classification problems. While machine learning models improve predictive accuracy, many studies acknowledge their limited interpretability, which poses challenges for regulatory acceptance and operational use. </w:t>
      </w:r>
    </w:p>
    <w:p w14:paraId="26E2E326">
      <w:pPr>
        <w:numPr>
          <w:ilvl w:val="0"/>
          <w:numId w:val="5"/>
        </w:numPr>
        <w:spacing w:after="0" w:line="240" w:lineRule="auto"/>
        <w:ind w:right="-15" w:hanging="334"/>
        <w:jc w:val="both"/>
        <w:rPr>
          <w:rFonts w:ascii="Times New Roman" w:hAnsi="Times New Roman" w:cs="Times New Roman"/>
          <w:sz w:val="20"/>
          <w:szCs w:val="20"/>
        </w:rPr>
      </w:pPr>
      <w:r>
        <w:rPr>
          <w:rFonts w:ascii="Times New Roman" w:hAnsi="Times New Roman" w:eastAsia="Times New Roman" w:cs="Times New Roman"/>
          <w:b/>
          <w:sz w:val="20"/>
          <w:szCs w:val="20"/>
        </w:rPr>
        <w:t xml:space="preserve">Deep Learning Models in Financial Risk Management </w:t>
      </w:r>
    </w:p>
    <w:p w14:paraId="6930DD8D">
      <w:pPr>
        <w:spacing w:after="0" w:line="240" w:lineRule="auto"/>
        <w:ind w:right="-13"/>
        <w:jc w:val="both"/>
        <w:rPr>
          <w:rFonts w:ascii="Times New Roman" w:hAnsi="Times New Roman" w:cs="Times New Roman"/>
          <w:sz w:val="20"/>
          <w:szCs w:val="20"/>
        </w:rPr>
      </w:pPr>
      <w:r>
        <w:rPr>
          <w:rFonts w:ascii="Times New Roman" w:hAnsi="Times New Roman" w:cs="Times New Roman"/>
          <w:sz w:val="20"/>
          <w:szCs w:val="20"/>
        </w:rPr>
        <w:t xml:space="preserve">Deep learning models, including Artificial Neural Networks (ANNs) and Deep Neural Networks (DNNs), have been explored for financial risk prediction. According to Goodfellow, Bengio, and Courville (2016), deep learning models can automatically learn hierarchical feature representations from data. </w:t>
      </w:r>
    </w:p>
    <w:p w14:paraId="12B065A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Several studies report improved performance of neural networks in credit risk and fraud detection (West, Dellana, &amp; Qian, </w:t>
      </w:r>
    </w:p>
    <w:p w14:paraId="1437B18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2005; Baesens et al., 2016). However, deep learning models are often criticized for their “black-box” nature, making them difficult to interpret and justify in regulated financial environments. </w:t>
      </w:r>
    </w:p>
    <w:p w14:paraId="37A31C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As a result, their adoption in operational financial risk management remains limited despite strong predictive capabilities. </w:t>
      </w:r>
    </w:p>
    <w:p w14:paraId="07876AC1">
      <w:pPr>
        <w:numPr>
          <w:ilvl w:val="0"/>
          <w:numId w:val="5"/>
        </w:numPr>
        <w:spacing w:after="0" w:line="240" w:lineRule="auto"/>
        <w:ind w:right="-15" w:hanging="334"/>
        <w:jc w:val="both"/>
        <w:rPr>
          <w:rFonts w:ascii="Times New Roman" w:hAnsi="Times New Roman" w:cs="Times New Roman"/>
          <w:sz w:val="20"/>
          <w:szCs w:val="20"/>
        </w:rPr>
      </w:pPr>
      <w:r>
        <w:rPr>
          <w:rFonts w:ascii="Times New Roman" w:hAnsi="Times New Roman" w:eastAsia="Times New Roman" w:cs="Times New Roman"/>
          <w:b/>
          <w:sz w:val="20"/>
          <w:szCs w:val="20"/>
        </w:rPr>
        <w:t xml:space="preserve">Explainable Artificial Intelligence (XAI) in Finance </w:t>
      </w:r>
    </w:p>
    <w:p w14:paraId="711735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Explainable Artificial Intelligence (XAI) aims to make machine learning models more transparent and understandable to human users. According to Doshi-Velez and Kim (2017), interpretability is critical in high-stakes domains such as finance. </w:t>
      </w:r>
    </w:p>
    <w:p w14:paraId="225BCDE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Techniques such as SHAP (Shapley Additive Explanations) proposed by Lundberg and Lee (2017) and LIME introduced by Ribeiro, Singh, and Guestrin (2016) are widely used to explain model predictions. These techniques help identify key features influencing risk predictions and improve stakeholder trust. </w:t>
      </w:r>
    </w:p>
    <w:p w14:paraId="36F6F32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financial risk management, XAI supports regulatory compliance, model validation, and ethical decision-making. However, most studies apply XAI as a post-hoc explanation tool rather than integrating it into complete risk management frameworks, highlighting a gap in practical application. </w:t>
      </w:r>
    </w:p>
    <w:p w14:paraId="3ADB1003">
      <w:pPr>
        <w:numPr>
          <w:ilvl w:val="0"/>
          <w:numId w:val="5"/>
        </w:numPr>
        <w:spacing w:after="0" w:line="240" w:lineRule="auto"/>
        <w:ind w:right="-15" w:hanging="334"/>
        <w:jc w:val="both"/>
        <w:rPr>
          <w:rFonts w:ascii="Times New Roman" w:hAnsi="Times New Roman" w:cs="Times New Roman"/>
          <w:sz w:val="20"/>
          <w:szCs w:val="20"/>
        </w:rPr>
      </w:pPr>
      <w:r>
        <w:rPr>
          <w:rFonts w:ascii="Times New Roman" w:hAnsi="Times New Roman" w:eastAsia="Times New Roman" w:cs="Times New Roman"/>
          <w:b/>
          <w:sz w:val="20"/>
          <w:szCs w:val="20"/>
        </w:rPr>
        <w:t xml:space="preserve">Data Challenges in Predictive Financial Risk Management </w:t>
      </w:r>
    </w:p>
    <w:p w14:paraId="01020BB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Data-related challenges significantly affect the performance and reliability of predictive models. One major issue is class imbalance, where risky events such as defaults or fraud occur far less frequently than normal cases. He and Garcia (2009) note that class imbalance can lead to biased models that favor majority classes. </w:t>
      </w:r>
    </w:p>
    <w:p w14:paraId="468785E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Data quality issues, including missing values, noise, and inconsistencies, further complicate model development. According to </w:t>
      </w:r>
    </w:p>
    <w:p w14:paraId="5827D6E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Kelleher, Mac Namee, and D’Arcy (2015), poor data quality undermines model robustness and long-term reliability. </w:t>
      </w:r>
    </w:p>
    <w:p w14:paraId="0B6BB91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Despite acknowledging these challenges, many studies fail to comprehensively address their impact on predictive performance and fairness. </w:t>
      </w:r>
    </w:p>
    <w:p w14:paraId="3EA7FC59">
      <w:pPr>
        <w:numPr>
          <w:ilvl w:val="0"/>
          <w:numId w:val="5"/>
        </w:numPr>
        <w:spacing w:after="0" w:line="240" w:lineRule="auto"/>
        <w:ind w:right="-15" w:hanging="334"/>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Integrated and Multi-Risk Predictive Frameworks </w:t>
      </w:r>
    </w:p>
    <w:p w14:paraId="4D88B22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Most predictive analytics studies focus on a single risk type, particularly credit risk. However, modern financial systems involve interconnected risks. Allen and Gale (2000) emphasize that systemic risk arises from interdependencies between institutions and markets. </w:t>
      </w:r>
    </w:p>
    <w:p w14:paraId="102686F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Few studies attempt to develop integrated predictive frameworks that capture multiple financial risk dimensions. This fragmentation limits the applicability of predictive analytics to enterprise-wide risk management. </w:t>
      </w:r>
    </w:p>
    <w:p w14:paraId="31155A13">
      <w:pPr>
        <w:numPr>
          <w:ilvl w:val="0"/>
          <w:numId w:val="5"/>
        </w:numPr>
        <w:spacing w:after="0" w:line="240" w:lineRule="auto"/>
        <w:ind w:right="-15" w:hanging="334"/>
        <w:jc w:val="both"/>
        <w:rPr>
          <w:rFonts w:ascii="Times New Roman" w:hAnsi="Times New Roman" w:cs="Times New Roman"/>
          <w:sz w:val="20"/>
          <w:szCs w:val="20"/>
        </w:rPr>
      </w:pPr>
      <w:r>
        <w:rPr>
          <w:rFonts w:ascii="Times New Roman" w:hAnsi="Times New Roman" w:eastAsia="Times New Roman" w:cs="Times New Roman"/>
          <w:b/>
          <w:sz w:val="20"/>
          <w:szCs w:val="20"/>
        </w:rPr>
        <w:t xml:space="preserve">Empirical Studies Summary </w:t>
      </w:r>
    </w:p>
    <w:p w14:paraId="1B2D4D4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Empirical evidence consistently shows that machine learning models outperform traditional statistical models in predictive accuracy. However, interpretability, adaptability, and real-world deployment remain insufficiently addressed. This confirms the existence of a gap between predictive analytics research and practical financial risk management needs. </w:t>
      </w:r>
    </w:p>
    <w:p w14:paraId="33FAE72D">
      <w:pPr>
        <w:numPr>
          <w:ilvl w:val="0"/>
          <w:numId w:val="5"/>
        </w:numPr>
        <w:spacing w:after="0" w:line="240" w:lineRule="auto"/>
        <w:ind w:right="-15" w:hanging="334"/>
        <w:jc w:val="both"/>
        <w:rPr>
          <w:rFonts w:ascii="Times New Roman" w:hAnsi="Times New Roman" w:cs="Times New Roman"/>
          <w:sz w:val="20"/>
          <w:szCs w:val="20"/>
        </w:rPr>
      </w:pPr>
      <w:r>
        <w:rPr>
          <w:rFonts w:ascii="Times New Roman" w:hAnsi="Times New Roman" w:eastAsia="Times New Roman" w:cs="Times New Roman"/>
          <w:b/>
          <w:sz w:val="20"/>
          <w:szCs w:val="20"/>
        </w:rPr>
        <w:t xml:space="preserve">Related works </w:t>
      </w:r>
    </w:p>
    <w:p w14:paraId="3B837447">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Khandani, Kim, and Lo (2020)</w:t>
      </w:r>
      <w:r>
        <w:rPr>
          <w:rFonts w:ascii="Times New Roman" w:hAnsi="Times New Roman" w:cs="Times New Roman"/>
          <w:sz w:val="20"/>
          <w:szCs w:val="20"/>
        </w:rPr>
        <w:t xml:space="preserve"> examined the transformation of credit risk management through predictive analytics by applying machine learning models to large-scale consumer credit data. The study aimed to evaluate the effectiveness of predictive models such as logistic regression, Random Forest, and neural networks in default risk estimation. The results showed that machine learning models significantly outperformed traditional scorecard methods by enabling earlier and more accurate default detection. However, the study identified limited interpretability and regulatory challenges as key gaps restricting widespread adoption. </w:t>
      </w:r>
    </w:p>
    <w:p w14:paraId="3D1093D8">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Lessmann et al. (2020)</w:t>
      </w:r>
      <w:r>
        <w:rPr>
          <w:rFonts w:ascii="Times New Roman" w:hAnsi="Times New Roman" w:cs="Times New Roman"/>
          <w:sz w:val="20"/>
          <w:szCs w:val="20"/>
        </w:rPr>
        <w:t xml:space="preserve"> investigated the effectiveness of ensemble learning techniques in financial risk prediction. The study compared Gradient Boosting, Random Forest, Support Vector Machines, and traditional classifiers using real-world credit datasets. The findings demonstrated that ensemble models consistently achieved superior predictive accuracy. Despite these gains, issues related to computational complexity, transparency, and regulatory compliance remained unresolved. </w:t>
      </w:r>
    </w:p>
    <w:p w14:paraId="6E096C74">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Bao, Yue, and Rao (2021)</w:t>
      </w:r>
      <w:r>
        <w:rPr>
          <w:rFonts w:ascii="Times New Roman" w:hAnsi="Times New Roman" w:cs="Times New Roman"/>
          <w:sz w:val="20"/>
          <w:szCs w:val="20"/>
        </w:rPr>
        <w:t xml:space="preserve"> focused on market risk forecasting using deep learning techniques. The study applied Long ShortTerm Memory (LSTM) networks to financial time series data to capture nonlinear dependencies and volatility dynamics. The results showed improved forecasting accuracy over classical ARIMA and GARCH models. However, sensitivity to hyperparameter tuning and limited interpretability during extreme market conditions were identified as major limitations. </w:t>
      </w:r>
    </w:p>
    <w:p w14:paraId="4004AD52">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Sirignano and Cont (2021)</w:t>
      </w:r>
      <w:r>
        <w:rPr>
          <w:rFonts w:ascii="Times New Roman" w:hAnsi="Times New Roman" w:cs="Times New Roman"/>
          <w:sz w:val="20"/>
          <w:szCs w:val="20"/>
        </w:rPr>
        <w:t xml:space="preserve"> explored high-frequency predictive analytics for systemic risk monitoring using deep neural networks. The research utilized large-scale limit order book data to predict short-term market movements. The results indicated substantial improvements in predictive performance. Nevertheless, scalability concerns and the opacity of deep learning models limited practical deployment. </w:t>
      </w:r>
    </w:p>
    <w:p w14:paraId="0E79F331">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Bussmann et al. (2021)</w:t>
      </w:r>
      <w:r>
        <w:rPr>
          <w:rFonts w:ascii="Times New Roman" w:hAnsi="Times New Roman" w:cs="Times New Roman"/>
          <w:sz w:val="20"/>
          <w:szCs w:val="20"/>
        </w:rPr>
        <w:t xml:space="preserve"> examined the role of explainable artificial intelligence in financial risk management. The study evaluated SHAP and LIME techniques applied to credit risk models and found that explainability significantly improved model transparency and regulatory trust. However, simplification of complex decision boundaries by explainability tools remained a critical gap. </w:t>
      </w:r>
    </w:p>
    <w:p w14:paraId="77734E74">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Kou, Yang, and Peng (2022)</w:t>
      </w:r>
      <w:r>
        <w:rPr>
          <w:rFonts w:ascii="Times New Roman" w:hAnsi="Times New Roman" w:cs="Times New Roman"/>
          <w:sz w:val="20"/>
          <w:szCs w:val="20"/>
        </w:rPr>
        <w:t xml:space="preserve"> proposed hybrid predictive analytics models combining statistical and machine learning techniques for credit scoring. The study demonstrated improved robustness and stability across imbalanced datasets. Despite improved performance, increased model complexity and difficulties in optimal hybrid model selection were noted as limitations. </w:t>
      </w:r>
    </w:p>
    <w:p w14:paraId="1D95A610">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Zhang et al. (2022)</w:t>
      </w:r>
      <w:r>
        <w:rPr>
          <w:rFonts w:ascii="Times New Roman" w:hAnsi="Times New Roman" w:cs="Times New Roman"/>
          <w:sz w:val="20"/>
          <w:szCs w:val="20"/>
        </w:rPr>
        <w:t xml:space="preserve"> investigated predictive analytics for fraud risk management using transaction-level financial data. Random Forest and Gradient Boosting models achieved high fraud detection accuracy and reduced false positives. However, rapid evolution of fraud patterns and concept drift posed significant challenges, necessitating continuous model adaptation. </w:t>
      </w:r>
      <w:r>
        <w:rPr>
          <w:rFonts w:ascii="Times New Roman" w:hAnsi="Times New Roman" w:eastAsia="Times New Roman" w:cs="Times New Roman"/>
          <w:b/>
          <w:sz w:val="20"/>
          <w:szCs w:val="20"/>
        </w:rPr>
        <w:t>He, Polson, and Witte (2022)</w:t>
      </w:r>
      <w:r>
        <w:rPr>
          <w:rFonts w:ascii="Times New Roman" w:hAnsi="Times New Roman" w:cs="Times New Roman"/>
          <w:sz w:val="20"/>
          <w:szCs w:val="20"/>
        </w:rPr>
        <w:t xml:space="preserve"> applied machine learning to financial stress testing to improve extreme risk scenario prediction. Neural network models demonstrated improved accuracy compared to traditional econometric approaches. The study highlighted alignment with regulatory stress-testing frameworks as a major gap. </w:t>
      </w:r>
    </w:p>
    <w:p w14:paraId="11107946">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Ngai et al. (2023)</w:t>
      </w:r>
      <w:r>
        <w:rPr>
          <w:rFonts w:ascii="Times New Roman" w:hAnsi="Times New Roman" w:cs="Times New Roman"/>
          <w:sz w:val="20"/>
          <w:szCs w:val="20"/>
        </w:rPr>
        <w:t xml:space="preserve"> explored predictive analytics for operational risk management by integrating internal loss databases with external risk indicators. The predictive models improved loss severity estimation and early risk detection. Nonetheless, data sparsity and difficulty in modeling rare loss events limited predictive reliability. </w:t>
      </w:r>
    </w:p>
    <w:p w14:paraId="40093484">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Petropoulos et al. (2023)</w:t>
      </w:r>
      <w:r>
        <w:rPr>
          <w:rFonts w:ascii="Times New Roman" w:hAnsi="Times New Roman" w:cs="Times New Roman"/>
          <w:sz w:val="20"/>
          <w:szCs w:val="20"/>
        </w:rPr>
        <w:t xml:space="preserve"> investigated predictive analytics approaches for liquidity risk forecasting. Probabilistic machine learning models outperformed static liquidity ratios in anticipating funding stress. Sensitivity to macroeconomic shocks and sudden market disruptions remained a key limitation. </w:t>
      </w:r>
    </w:p>
    <w:p w14:paraId="3C308DBC">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Abdou et al. (2023)</w:t>
      </w:r>
      <w:r>
        <w:rPr>
          <w:rFonts w:ascii="Times New Roman" w:hAnsi="Times New Roman" w:cs="Times New Roman"/>
          <w:sz w:val="20"/>
          <w:szCs w:val="20"/>
        </w:rPr>
        <w:t xml:space="preserve"> examined the adoption of predictive analytics in banking institutions. The study found that predictive models improved decision-making speed and risk assessment accuracy. However, disparities in data infrastructure, analytics maturity, and organizational readiness hindered consistent adoption. </w:t>
      </w:r>
    </w:p>
    <w:p w14:paraId="2DBA40B6">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Jiang, Xu, and Liang (2024)</w:t>
      </w:r>
      <w:r>
        <w:rPr>
          <w:rFonts w:ascii="Times New Roman" w:hAnsi="Times New Roman" w:cs="Times New Roman"/>
          <w:sz w:val="20"/>
          <w:szCs w:val="20"/>
        </w:rPr>
        <w:t xml:space="preserve"> assessed the impact of behavioral data integration on credit risk prediction. Ensemble learning models incorporating transaction and behavioral features achieved improved recall and F1-scores. Ethical concerns regarding data privacy and customer surveillance were identified as unresolved gaps. </w:t>
      </w:r>
    </w:p>
    <w:p w14:paraId="5D5150AB">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Bazarbash (2024)</w:t>
      </w:r>
      <w:r>
        <w:rPr>
          <w:rFonts w:ascii="Times New Roman" w:hAnsi="Times New Roman" w:cs="Times New Roman"/>
          <w:sz w:val="20"/>
          <w:szCs w:val="20"/>
        </w:rPr>
        <w:t xml:space="preserve"> analyzed the application of predictive analytics in macroprudential risk monitoring. Machine learning models provided early warning signals for systemic financial instability. Limitations included data heterogeneity across jurisdictions and delayed macroeconomic data availability. </w:t>
      </w:r>
    </w:p>
    <w:p w14:paraId="1390A610">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Chen et al. (2024)</w:t>
      </w:r>
      <w:r>
        <w:rPr>
          <w:rFonts w:ascii="Times New Roman" w:hAnsi="Times New Roman" w:cs="Times New Roman"/>
          <w:sz w:val="20"/>
          <w:szCs w:val="20"/>
        </w:rPr>
        <w:t xml:space="preserve"> studied predictive analytics in portfolio risk management using machine learning–based optimization techniques. The models improved risk-adjusted returns compared to mean–variance frameworks. However, model robustness during periods of extreme market stress remained uncertain. </w:t>
      </w:r>
    </w:p>
    <w:p w14:paraId="2F3F638B">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Adebiyi et al. (2024)</w:t>
      </w:r>
      <w:r>
        <w:rPr>
          <w:rFonts w:ascii="Times New Roman" w:hAnsi="Times New Roman" w:cs="Times New Roman"/>
          <w:sz w:val="20"/>
          <w:szCs w:val="20"/>
        </w:rPr>
        <w:t xml:space="preserve"> examined predictive analytics for credit risk assessment in emerging markets. Random Forest models improved default prediction accuracy despite volatile economic conditions. The study identified limited data quality and poor generalizability across regions as major gaps. </w:t>
      </w:r>
    </w:p>
    <w:p w14:paraId="2DDA9A06">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Abiodun et al. (2025)</w:t>
      </w:r>
      <w:r>
        <w:rPr>
          <w:rFonts w:ascii="Times New Roman" w:hAnsi="Times New Roman" w:cs="Times New Roman"/>
          <w:sz w:val="20"/>
          <w:szCs w:val="20"/>
        </w:rPr>
        <w:t xml:space="preserve"> proposed adaptive predictive analytics frameworks incorporating continuous learning and MLOps principles. The results showed reduced model degradation over time and improved long-term predictive performance. </w:t>
      </w:r>
    </w:p>
    <w:p w14:paraId="3653997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Implementation complexity and maintenance costs remained significant barriers. </w:t>
      </w:r>
    </w:p>
    <w:p w14:paraId="403265E8">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Wang and Zhou (2025)</w:t>
      </w:r>
      <w:r>
        <w:rPr>
          <w:rFonts w:ascii="Times New Roman" w:hAnsi="Times New Roman" w:cs="Times New Roman"/>
          <w:sz w:val="20"/>
          <w:szCs w:val="20"/>
        </w:rPr>
        <w:t xml:space="preserve"> investigated deep reinforcement learning for dynamic financial risk management. The study demonstrated enhanced risk-adjusted performance in simulated trading environments. However, high computational demands and lack of interpretability constrained real-world applicability. </w:t>
      </w:r>
    </w:p>
    <w:p w14:paraId="687C57A9">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Alshater et al. (2025)</w:t>
      </w:r>
      <w:r>
        <w:rPr>
          <w:rFonts w:ascii="Times New Roman" w:hAnsi="Times New Roman" w:cs="Times New Roman"/>
          <w:sz w:val="20"/>
          <w:szCs w:val="20"/>
        </w:rPr>
        <w:t xml:space="preserve"> explored the integration of Environmental, Social, and Governance (ESG) indicators into predictive risk models. The findings showed improved long-term risk prediction and downside risk assessment. Inconsistent ESG data standards and measurement quality posed significant limitations. </w:t>
      </w:r>
    </w:p>
    <w:p w14:paraId="053BDB32">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Li et al. (2026)</w:t>
      </w:r>
      <w:r>
        <w:rPr>
          <w:rFonts w:ascii="Times New Roman" w:hAnsi="Times New Roman" w:cs="Times New Roman"/>
          <w:sz w:val="20"/>
          <w:szCs w:val="20"/>
        </w:rPr>
        <w:t xml:space="preserve"> proposed hybrid deep learning models combining attention mechanisms with LSTM networks for market risk forecasting. The models achieved superior predictive accuracy in volatile markets. Overfitting risks and limited transparency remained critical gaps. </w:t>
      </w:r>
    </w:p>
    <w:p w14:paraId="6454B6BF">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Fernández et al. (2026)</w:t>
      </w:r>
      <w:r>
        <w:rPr>
          <w:rFonts w:ascii="Times New Roman" w:hAnsi="Times New Roman" w:cs="Times New Roman"/>
          <w:sz w:val="20"/>
          <w:szCs w:val="20"/>
        </w:rPr>
        <w:t xml:space="preserve"> reviewed future directions in predictive analytics for financial risk management. The study emphasized the need for explainable, adaptive, and regulation-aware AI systems. Lack of standardized evaluation metrics, crossinstitutional datasets, and ethical governance frameworks were identified as key research gaps. </w:t>
      </w:r>
    </w:p>
    <w:p w14:paraId="20F3B653">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Albreiki, Zaki, and Alashwal (2021)</w:t>
      </w:r>
      <w:r>
        <w:rPr>
          <w:rFonts w:ascii="Times New Roman" w:hAnsi="Times New Roman" w:cs="Times New Roman"/>
          <w:sz w:val="20"/>
          <w:szCs w:val="20"/>
        </w:rPr>
        <w:t xml:space="preserve"> conducted a systematic review of student performance prediction models to synthesize recent developments in Educational Data Mining (EDM) and Machine Learning (ML). The study reviewed 78 papers to identify commonly used predictive algorithms and features. They found that classifiers such as Naive Bayes and Support Vector Machines were widely applied, and datasets primarily originated from university and online learning environments. However, the study was limited in scope, excluding grey literature, and dynamic prediction of student performance over time was underexplored, representing a gap in adaptive predictive modeling. </w:t>
      </w:r>
    </w:p>
    <w:p w14:paraId="40A64812">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Kumari et al. (2024)</w:t>
      </w:r>
      <w:r>
        <w:rPr>
          <w:rFonts w:ascii="Times New Roman" w:hAnsi="Times New Roman" w:cs="Times New Roman"/>
          <w:sz w:val="20"/>
          <w:szCs w:val="20"/>
        </w:rPr>
        <w:t xml:space="preserve"> examined the effectiveness of classification algorithms in predicting undergraduate academic success. By reviewing multiple EDM studies, they highlighted that academic features such as GPA and assessment scores were commonly used, with Naive Bayes and Decision Trees performing consistently well. The study’s limitations included insufficient attention to ethical considerations and potential biases in student data, suggesting the need for more responsible data usage and fairness evaluation. </w:t>
      </w:r>
    </w:p>
    <w:p w14:paraId="4627C40A">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Abukader, Alzubi, and Adegboye (2025)</w:t>
      </w:r>
      <w:r>
        <w:rPr>
          <w:rFonts w:ascii="Times New Roman" w:hAnsi="Times New Roman" w:cs="Times New Roman"/>
          <w:sz w:val="20"/>
          <w:szCs w:val="20"/>
        </w:rPr>
        <w:t xml:space="preserve"> proposed an intelligent predictive system utilizing LightGBM optimized via metaheuristic algorithms combined with SHAP explainability. The study aimed to improve both the predictive accuracy and interpretability of student performance models. The results demonstrated that optimized LightGBM achieved high accuracy (R² ≈ 0.941) while offering clear feature importance insights. Nevertheless, the computational complexity of metaheuristic optimization and the limited generalizability to diverse student populations remain important limitations. </w:t>
      </w:r>
    </w:p>
    <w:p w14:paraId="7E9883E1">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K.  Research Gap Summary </w:t>
      </w:r>
    </w:p>
    <w:p w14:paraId="3C083D2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reviewed literature from 2020 to 2026 demonstrates significant progress in the application of predictive analytics and machine learning techniques for financial risk management, particularly in credit risk, market risk, liquidity risk, fraud detection, and systemic risk assessment. Advanced models such as ensemble learning, deep learning, reinforcement learning, and hybrid frameworks consistently outperform traditional statistical approaches in predictive accuracy and early risk detection. However, despite these advancements, several critical gaps persist across the body of research. </w:t>
      </w:r>
    </w:p>
    <w:p w14:paraId="2320040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First, many high-performing models suffer from </w:t>
      </w:r>
      <w:r>
        <w:rPr>
          <w:rFonts w:ascii="Times New Roman" w:hAnsi="Times New Roman" w:eastAsia="Times New Roman" w:cs="Times New Roman"/>
          <w:b/>
          <w:sz w:val="20"/>
          <w:szCs w:val="20"/>
        </w:rPr>
        <w:t>limited interpretability and transparency</w:t>
      </w:r>
      <w:r>
        <w:rPr>
          <w:rFonts w:ascii="Times New Roman" w:hAnsi="Times New Roman" w:cs="Times New Roman"/>
          <w:sz w:val="20"/>
          <w:szCs w:val="20"/>
        </w:rPr>
        <w:t xml:space="preserve">, which restricts their adoption in highly regulated financial environments where explainability is essential for compliance, auditing, and stakeholder trust. Although explainable AI techniques have been introduced, they are often applied as post hoc solutions that oversimplify complex decision boundaries and do not fully address regulatory expectations. </w:t>
      </w:r>
    </w:p>
    <w:p w14:paraId="1E472CC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Second, there is a noticeable lack of </w:t>
      </w:r>
      <w:r>
        <w:rPr>
          <w:rFonts w:ascii="Times New Roman" w:hAnsi="Times New Roman" w:eastAsia="Times New Roman" w:cs="Times New Roman"/>
          <w:b/>
          <w:sz w:val="20"/>
          <w:szCs w:val="20"/>
        </w:rPr>
        <w:t>robustness and adaptability</w:t>
      </w:r>
      <w:r>
        <w:rPr>
          <w:rFonts w:ascii="Times New Roman" w:hAnsi="Times New Roman" w:cs="Times New Roman"/>
          <w:sz w:val="20"/>
          <w:szCs w:val="20"/>
        </w:rPr>
        <w:t xml:space="preserve"> in existing models. Most studies rely on static datasets and offline training, making the models vulnerable to performance degradation due to concept drift, evolving market conditions, and financial shocks. Few works propose adaptive or continuously learning frameworks that can sustain performance over time in real-world financial systems. </w:t>
      </w:r>
    </w:p>
    <w:p w14:paraId="2B8CA2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Third, </w:t>
      </w:r>
      <w:r>
        <w:rPr>
          <w:rFonts w:ascii="Times New Roman" w:hAnsi="Times New Roman" w:eastAsia="Times New Roman" w:cs="Times New Roman"/>
          <w:b/>
          <w:sz w:val="20"/>
          <w:szCs w:val="20"/>
        </w:rPr>
        <w:t>data-related challenges</w:t>
      </w:r>
      <w:r>
        <w:rPr>
          <w:rFonts w:ascii="Times New Roman" w:hAnsi="Times New Roman" w:cs="Times New Roman"/>
          <w:sz w:val="20"/>
          <w:szCs w:val="20"/>
        </w:rPr>
        <w:t xml:space="preserve"> remain insufficiently addressed. Issues such as data imbalance, noise, heterogeneity across institutions and markets, delayed macroeconomic indicators, and poor data quality—especially in emerging economies—limit the generalizability and reliability of proposed solutions. Standardized datasets and evaluation benchmarks are largely absent, making cross-study comparison difficult. </w:t>
      </w:r>
    </w:p>
    <w:p w14:paraId="4D30F66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Finally, existing studies tend to focus on </w:t>
      </w:r>
      <w:r>
        <w:rPr>
          <w:rFonts w:ascii="Times New Roman" w:hAnsi="Times New Roman" w:eastAsia="Times New Roman" w:cs="Times New Roman"/>
          <w:b/>
          <w:sz w:val="20"/>
          <w:szCs w:val="20"/>
        </w:rPr>
        <w:t>single-risk dimensions or isolated algorithms</w:t>
      </w:r>
      <w:r>
        <w:rPr>
          <w:rFonts w:ascii="Times New Roman" w:hAnsi="Times New Roman" w:cs="Times New Roman"/>
          <w:sz w:val="20"/>
          <w:szCs w:val="20"/>
        </w:rPr>
        <w:t xml:space="preserve">, with limited exploration of integrated, multi-model frameworks that systematically combine predictive performance, interpretability, and operational efficiency. Comprehensive frameworks that incorporate systematic hyperparameter optimization, explainability, and resilience to noisy or large-scale data are still scarce. </w:t>
      </w:r>
    </w:p>
    <w:p w14:paraId="6A69C40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Overall, these gaps indicate the need for an </w:t>
      </w:r>
      <w:r>
        <w:rPr>
          <w:rFonts w:ascii="Times New Roman" w:hAnsi="Times New Roman" w:eastAsia="Times New Roman" w:cs="Times New Roman"/>
          <w:b/>
          <w:sz w:val="20"/>
          <w:szCs w:val="20"/>
        </w:rPr>
        <w:t>enhanced, interpretable, and adaptive predictive analytics framework</w:t>
      </w:r>
      <w:r>
        <w:rPr>
          <w:rFonts w:ascii="Times New Roman" w:hAnsi="Times New Roman" w:cs="Times New Roman"/>
          <w:sz w:val="20"/>
          <w:szCs w:val="20"/>
        </w:rPr>
        <w:t xml:space="preserve"> that balances accuracy, transparency, and robustness while effectively handling real-world data challenges in financial risk management an area that this study seeks to address. </w:t>
      </w:r>
    </w:p>
    <w:p w14:paraId="76922EFC">
      <w:pPr>
        <w:spacing w:after="0" w:line="240" w:lineRule="auto"/>
        <w:ind w:left="10"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III. RESEARCH METHODOLOGY </w:t>
      </w:r>
    </w:p>
    <w:p w14:paraId="61216FB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section describes the methodology adopted to achieve the objectives of the study. It explains the research design, data sources, data preprocessing procedures, model development process, evaluation techniques, and tools used. The methodology is designed to ensure that the predictive analytics models developed are reliable, interpretable, and suitable for financial risk management applications. </w:t>
      </w:r>
    </w:p>
    <w:p w14:paraId="5AC75DD3">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A. Research Design </w:t>
      </w:r>
    </w:p>
    <w:p w14:paraId="2D6757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study adopts a quantitative and experimental research design</w:t>
      </w:r>
      <w:r>
        <w:rPr>
          <w:rFonts w:ascii="Times New Roman" w:hAnsi="Times New Roman" w:eastAsia="Times New Roman" w:cs="Times New Roman"/>
          <w:b/>
          <w:sz w:val="20"/>
          <w:szCs w:val="20"/>
        </w:rPr>
        <w:t>.</w:t>
      </w:r>
      <w:r>
        <w:rPr>
          <w:rFonts w:ascii="Times New Roman" w:hAnsi="Times New Roman" w:cs="Times New Roman"/>
          <w:sz w:val="20"/>
          <w:szCs w:val="20"/>
        </w:rPr>
        <w:t xml:space="preserve"> This design is appropriate because it allows the development, testing, and evaluation of predictive models using numerical financial data as shown in figure 1, figure 2 and figure 3 respectively. Experimental design is widely used in predictive analytics and machine learning studies, as it enables systematic comparison of different algorithms under the same conditions. </w:t>
      </w:r>
    </w:p>
    <w:p w14:paraId="70870B1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study follows a supervised machine learning approach, where historical financial data with known risk outcomes are used to train and evaluate predictive models. </w:t>
      </w:r>
    </w:p>
    <w:p w14:paraId="07C08935">
      <w:pPr>
        <w:spacing w:after="0" w:line="240" w:lineRule="auto"/>
        <w:ind w:right="127"/>
        <w:jc w:val="both"/>
        <w:rPr>
          <w:rFonts w:ascii="Times New Roman" w:hAnsi="Times New Roman" w:cs="Times New Roman"/>
          <w:sz w:val="20"/>
          <w:szCs w:val="20"/>
        </w:rPr>
      </w:pPr>
      <w:r>
        <w:rPr>
          <w:rFonts w:ascii="Times New Roman" w:hAnsi="Times New Roman" w:eastAsia="Calibri" w:cs="Times New Roman"/>
          <w:sz w:val="20"/>
          <w:szCs w:val="20"/>
          <w:lang w:val="en-US"/>
        </w:rPr>
        <w:drawing>
          <wp:inline distT="0" distB="0" distL="0" distR="0">
            <wp:extent cx="6153150" cy="4116705"/>
            <wp:effectExtent l="0" t="0" r="0" b="0"/>
            <wp:docPr id="19968" name="Picture 19968"/>
            <wp:cNvGraphicFramePr/>
            <a:graphic xmlns:a="http://schemas.openxmlformats.org/drawingml/2006/main">
              <a:graphicData uri="http://schemas.openxmlformats.org/drawingml/2006/picture">
                <pic:pic xmlns:pic="http://schemas.openxmlformats.org/drawingml/2006/picture">
                  <pic:nvPicPr>
                    <pic:cNvPr id="19968" name="Picture 19968"/>
                    <pic:cNvPicPr/>
                  </pic:nvPicPr>
                  <pic:blipFill>
                    <a:blip r:embed="rId11"/>
                    <a:stretch>
                      <a:fillRect/>
                    </a:stretch>
                  </pic:blipFill>
                  <pic:spPr>
                    <a:xfrm>
                      <a:off x="0" y="0"/>
                      <a:ext cx="6158523" cy="4120300"/>
                    </a:xfrm>
                    <a:prstGeom prst="rect">
                      <a:avLst/>
                    </a:prstGeom>
                  </pic:spPr>
                </pic:pic>
              </a:graphicData>
            </a:graphic>
          </wp:inline>
        </w:drawing>
      </w:r>
      <w:r>
        <w:rPr>
          <w:rFonts w:ascii="Times New Roman" w:hAnsi="Times New Roman" w:cs="Times New Roman"/>
          <w:sz w:val="20"/>
          <w:szCs w:val="20"/>
        </w:rPr>
        <w:t xml:space="preserve"> </w:t>
      </w:r>
    </w:p>
    <w:p w14:paraId="005C7DD1">
      <w:pPr>
        <w:pStyle w:val="2"/>
        <w:spacing w:after="0"/>
        <w:jc w:val="both"/>
        <w:rPr>
          <w:szCs w:val="20"/>
        </w:rPr>
      </w:pPr>
      <w:r>
        <w:rPr>
          <w:szCs w:val="20"/>
        </w:rPr>
        <w:t xml:space="preserve">Figure 1: Importation of tools and SHAP Installation Snippet  </w:t>
      </w:r>
    </w:p>
    <w:p w14:paraId="775359F1">
      <w:pPr>
        <w:spacing w:after="0" w:line="240" w:lineRule="auto"/>
        <w:jc w:val="both"/>
        <w:rPr>
          <w:rFonts w:ascii="Times New Roman" w:hAnsi="Times New Roman" w:cs="Times New Roman"/>
          <w:sz w:val="20"/>
          <w:szCs w:val="20"/>
        </w:rPr>
      </w:pPr>
      <w:r>
        <w:rPr>
          <w:rFonts w:ascii="Times New Roman" w:hAnsi="Times New Roman" w:eastAsia="Calibri" w:cs="Times New Roman"/>
          <w:position w:val="2"/>
          <w:sz w:val="20"/>
          <w:szCs w:val="20"/>
          <w:lang w:val="en-US"/>
        </w:rPr>
        <w:drawing>
          <wp:inline distT="0" distB="0" distL="0" distR="0">
            <wp:extent cx="6388100" cy="3175635"/>
            <wp:effectExtent l="0" t="0" r="0" b="0"/>
            <wp:docPr id="19969" name="Picture 19969"/>
            <wp:cNvGraphicFramePr/>
            <a:graphic xmlns:a="http://schemas.openxmlformats.org/drawingml/2006/main">
              <a:graphicData uri="http://schemas.openxmlformats.org/drawingml/2006/picture">
                <pic:pic xmlns:pic="http://schemas.openxmlformats.org/drawingml/2006/picture">
                  <pic:nvPicPr>
                    <pic:cNvPr id="19969" name="Picture 19969"/>
                    <pic:cNvPicPr/>
                  </pic:nvPicPr>
                  <pic:blipFill>
                    <a:blip r:embed="rId12"/>
                    <a:stretch>
                      <a:fillRect/>
                    </a:stretch>
                  </pic:blipFill>
                  <pic:spPr>
                    <a:xfrm>
                      <a:off x="0" y="0"/>
                      <a:ext cx="6388608" cy="3176016"/>
                    </a:xfrm>
                    <a:prstGeom prst="rect">
                      <a:avLst/>
                    </a:prstGeom>
                  </pic:spPr>
                </pic:pic>
              </a:graphicData>
            </a:graphic>
          </wp:inline>
        </w:drawing>
      </w:r>
      <w:r>
        <w:rPr>
          <w:rFonts w:ascii="Times New Roman" w:hAnsi="Times New Roman" w:cs="Times New Roman"/>
          <w:sz w:val="20"/>
          <w:szCs w:val="20"/>
        </w:rPr>
        <w:t xml:space="preserve"> </w:t>
      </w:r>
    </w:p>
    <w:p w14:paraId="53AE7A65">
      <w:pPr>
        <w:pStyle w:val="2"/>
        <w:spacing w:after="0"/>
        <w:jc w:val="both"/>
        <w:rPr>
          <w:szCs w:val="20"/>
        </w:rPr>
      </w:pPr>
      <w:r>
        <w:rPr>
          <w:szCs w:val="20"/>
        </w:rPr>
        <w:t xml:space="preserve">Figure 2: Model Development Snippet </w:t>
      </w:r>
    </w:p>
    <w:p w14:paraId="45887FC8">
      <w:pPr>
        <w:pStyle w:val="4"/>
      </w:pPr>
      <w:r>
        <w:rPr>
          <w:lang w:val="en-US"/>
        </w:rPr>
        <w:drawing>
          <wp:anchor distT="0" distB="0" distL="114300" distR="114300" simplePos="0" relativeHeight="251659264" behindDoc="0" locked="0" layoutInCell="1" allowOverlap="0">
            <wp:simplePos x="0" y="0"/>
            <wp:positionH relativeFrom="margin">
              <wp:align>left</wp:align>
            </wp:positionH>
            <wp:positionV relativeFrom="paragraph">
              <wp:posOffset>212725</wp:posOffset>
            </wp:positionV>
            <wp:extent cx="6172200" cy="4318635"/>
            <wp:effectExtent l="0" t="0" r="0" b="5715"/>
            <wp:wrapTopAndBottom/>
            <wp:docPr id="20065" name="Picture 20065"/>
            <wp:cNvGraphicFramePr/>
            <a:graphic xmlns:a="http://schemas.openxmlformats.org/drawingml/2006/main">
              <a:graphicData uri="http://schemas.openxmlformats.org/drawingml/2006/picture">
                <pic:pic xmlns:pic="http://schemas.openxmlformats.org/drawingml/2006/picture">
                  <pic:nvPicPr>
                    <pic:cNvPr id="20065" name="Picture 20065"/>
                    <pic:cNvPicPr/>
                  </pic:nvPicPr>
                  <pic:blipFill>
                    <a:blip r:embed="rId13"/>
                    <a:stretch>
                      <a:fillRect/>
                    </a:stretch>
                  </pic:blipFill>
                  <pic:spPr>
                    <a:xfrm>
                      <a:off x="0" y="0"/>
                      <a:ext cx="6172200" cy="4318635"/>
                    </a:xfrm>
                    <a:prstGeom prst="rect">
                      <a:avLst/>
                    </a:prstGeom>
                  </pic:spPr>
                </pic:pic>
              </a:graphicData>
            </a:graphic>
          </wp:anchor>
        </w:drawing>
      </w:r>
    </w:p>
    <w:p w14:paraId="679A690E">
      <w:pPr>
        <w:pStyle w:val="2"/>
        <w:spacing w:after="0"/>
        <w:jc w:val="both"/>
        <w:rPr>
          <w:szCs w:val="20"/>
        </w:rPr>
      </w:pPr>
      <w:r>
        <w:rPr>
          <w:szCs w:val="20"/>
        </w:rPr>
        <w:t xml:space="preserve">Figure 3: Model Evaluation Snippet </w:t>
      </w:r>
    </w:p>
    <w:p w14:paraId="5E8A62BD">
      <w:pPr>
        <w:spacing w:after="0" w:line="240" w:lineRule="auto"/>
        <w:ind w:right="-15"/>
        <w:jc w:val="both"/>
        <w:rPr>
          <w:rFonts w:ascii="Times New Roman" w:hAnsi="Times New Roman" w:eastAsia="Times New Roman" w:cs="Times New Roman"/>
          <w:b/>
          <w:sz w:val="20"/>
          <w:szCs w:val="20"/>
        </w:rPr>
      </w:pPr>
    </w:p>
    <w:p w14:paraId="29BD1B4C">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B.  Data Source and Description </w:t>
      </w:r>
    </w:p>
    <w:p w14:paraId="56CD0AF3">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 Data Source </w:t>
      </w:r>
    </w:p>
    <w:p w14:paraId="1329EC0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study utilizes secondary financial data obtained from publicly available or institutional datasets relevant to financial risk assessment. Such datasets typically include financial indicators, customer attributes, and historical risk outcomes (e.g., default or non-default). </w:t>
      </w:r>
    </w:p>
    <w:p w14:paraId="4A50F45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Examples of possible data sources include: </w:t>
      </w:r>
    </w:p>
    <w:p w14:paraId="1EBB0DCB">
      <w:pPr>
        <w:numPr>
          <w:ilvl w:val="0"/>
          <w:numId w:val="6"/>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Financial institution datasets (anonymized) </w:t>
      </w:r>
    </w:p>
    <w:p w14:paraId="090CEA35">
      <w:pPr>
        <w:numPr>
          <w:ilvl w:val="0"/>
          <w:numId w:val="6"/>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Public credit risk or financial risk datasets </w:t>
      </w:r>
    </w:p>
    <w:p w14:paraId="7DFADC26">
      <w:pPr>
        <w:numPr>
          <w:ilvl w:val="0"/>
          <w:numId w:val="6"/>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Simulated financial risk datasets used in prior studies </w:t>
      </w:r>
    </w:p>
    <w:p w14:paraId="4F81B557">
      <w:pPr>
        <w:spacing w:after="0" w:line="240" w:lineRule="auto"/>
        <w:ind w:right="-9"/>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ii.  Dataset Description </w:t>
      </w:r>
    </w:p>
    <w:p w14:paraId="3E16AC6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dataset consists of multiple predictor variables (features) and a target variable representing financial risk status. Predictor variables may include: </w:t>
      </w:r>
    </w:p>
    <w:p w14:paraId="06E02D62">
      <w:pPr>
        <w:numPr>
          <w:ilvl w:val="0"/>
          <w:numId w:val="6"/>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Financial ratios </w:t>
      </w:r>
    </w:p>
    <w:p w14:paraId="6139ACCA">
      <w:pPr>
        <w:numPr>
          <w:ilvl w:val="0"/>
          <w:numId w:val="6"/>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Transactional attributes </w:t>
      </w:r>
    </w:p>
    <w:p w14:paraId="7CA6B751">
      <w:pPr>
        <w:numPr>
          <w:ilvl w:val="0"/>
          <w:numId w:val="6"/>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Customer or account characteristics </w:t>
      </w:r>
    </w:p>
    <w:p w14:paraId="22D39AE2">
      <w:pPr>
        <w:numPr>
          <w:ilvl w:val="0"/>
          <w:numId w:val="6"/>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Historical payment or performance indicators </w:t>
      </w:r>
    </w:p>
    <w:p w14:paraId="2AE99EB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target variable is a binary or multi-class label indicating risk status (e.g., high risk vs. low risk). </w:t>
      </w:r>
    </w:p>
    <w:p w14:paraId="5F7A279F">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C.  Data Preprocessing </w:t>
      </w:r>
    </w:p>
    <w:p w14:paraId="7B4471D9">
      <w:pPr>
        <w:spacing w:after="0" w:line="240" w:lineRule="auto"/>
        <w:ind w:right="1554"/>
        <w:jc w:val="both"/>
        <w:rPr>
          <w:rFonts w:ascii="Times New Roman" w:hAnsi="Times New Roman" w:cs="Times New Roman"/>
          <w:sz w:val="20"/>
          <w:szCs w:val="20"/>
        </w:rPr>
      </w:pPr>
      <w:r>
        <w:rPr>
          <w:rFonts w:ascii="Times New Roman" w:hAnsi="Times New Roman" w:cs="Times New Roman"/>
          <w:sz w:val="20"/>
          <w:szCs w:val="20"/>
        </w:rPr>
        <w:t xml:space="preserve">Data preprocessing is a critical step in predictive analytics to improve model performance and reliability. </w:t>
      </w:r>
    </w:p>
    <w:p w14:paraId="6C4EDC7F">
      <w:pPr>
        <w:spacing w:after="0" w:line="240" w:lineRule="auto"/>
        <w:ind w:right="1554"/>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  Data Cleaning </w:t>
      </w:r>
    </w:p>
    <w:p w14:paraId="286DD6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dataset is examined for missing values, duplicates, and inconsistencies. Missing values are handled using appropriate techniques such as mean, median, or mode imputation, depending on the nature of the variable. </w:t>
      </w:r>
    </w:p>
    <w:p w14:paraId="18D9D241">
      <w:pPr>
        <w:numPr>
          <w:ilvl w:val="0"/>
          <w:numId w:val="7"/>
        </w:numPr>
        <w:spacing w:after="0" w:line="240" w:lineRule="auto"/>
        <w:ind w:right="-15" w:hanging="267"/>
        <w:jc w:val="both"/>
        <w:rPr>
          <w:rFonts w:ascii="Times New Roman" w:hAnsi="Times New Roman" w:cs="Times New Roman"/>
          <w:sz w:val="20"/>
          <w:szCs w:val="20"/>
        </w:rPr>
      </w:pPr>
      <w:r>
        <w:rPr>
          <w:rFonts w:ascii="Times New Roman" w:hAnsi="Times New Roman" w:eastAsia="Times New Roman" w:cs="Times New Roman"/>
          <w:b/>
          <w:sz w:val="20"/>
          <w:szCs w:val="20"/>
        </w:rPr>
        <w:t xml:space="preserve">Feature Scaling and Normalization </w:t>
      </w:r>
    </w:p>
    <w:p w14:paraId="7763D0E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Numerical features are normalized or standardized to ensure that all variables contribute equally to model training. This is particularly important for algorithms such as Support Vector Machines. </w:t>
      </w:r>
    </w:p>
    <w:p w14:paraId="4B51AD65">
      <w:pPr>
        <w:numPr>
          <w:ilvl w:val="0"/>
          <w:numId w:val="7"/>
        </w:numPr>
        <w:spacing w:after="0" w:line="240" w:lineRule="auto"/>
        <w:ind w:right="-15" w:hanging="267"/>
        <w:jc w:val="both"/>
        <w:rPr>
          <w:rFonts w:ascii="Times New Roman" w:hAnsi="Times New Roman" w:cs="Times New Roman"/>
          <w:sz w:val="20"/>
          <w:szCs w:val="20"/>
        </w:rPr>
      </w:pPr>
      <w:r>
        <w:rPr>
          <w:rFonts w:ascii="Times New Roman" w:hAnsi="Times New Roman" w:eastAsia="Times New Roman" w:cs="Times New Roman"/>
          <w:b/>
          <w:sz w:val="20"/>
          <w:szCs w:val="20"/>
        </w:rPr>
        <w:t xml:space="preserve">Handling Class Imbalance </w:t>
      </w:r>
    </w:p>
    <w:p w14:paraId="1775CB3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Financial risk datasets often suffer from class imbalance, where risky cases are significantly fewer than non-risky cases. To address this issue, resampling techniques such as: </w:t>
      </w:r>
    </w:p>
    <w:p w14:paraId="1D00E5ED">
      <w:pPr>
        <w:numPr>
          <w:ilvl w:val="1"/>
          <w:numId w:val="7"/>
        </w:numPr>
        <w:spacing w:after="0" w:line="240" w:lineRule="auto"/>
        <w:ind w:right="4371" w:hanging="360"/>
        <w:jc w:val="both"/>
        <w:rPr>
          <w:rFonts w:ascii="Times New Roman" w:hAnsi="Times New Roman" w:cs="Times New Roman"/>
          <w:sz w:val="20"/>
          <w:szCs w:val="20"/>
        </w:rPr>
      </w:pPr>
      <w:r>
        <w:rPr>
          <w:rFonts w:ascii="Times New Roman" w:hAnsi="Times New Roman" w:cs="Times New Roman"/>
          <w:sz w:val="20"/>
          <w:szCs w:val="20"/>
        </w:rPr>
        <w:t xml:space="preserve">Oversampling of minority classes </w:t>
      </w:r>
    </w:p>
    <w:p w14:paraId="468187BE">
      <w:pPr>
        <w:numPr>
          <w:ilvl w:val="1"/>
          <w:numId w:val="7"/>
        </w:numPr>
        <w:spacing w:after="0" w:line="240" w:lineRule="auto"/>
        <w:ind w:right="4371" w:hanging="360"/>
        <w:jc w:val="both"/>
        <w:rPr>
          <w:rFonts w:ascii="Times New Roman" w:hAnsi="Times New Roman" w:cs="Times New Roman"/>
          <w:sz w:val="20"/>
          <w:szCs w:val="20"/>
        </w:rPr>
      </w:pPr>
      <w:r>
        <w:rPr>
          <w:rFonts w:ascii="Times New Roman" w:hAnsi="Times New Roman" w:cs="Times New Roman"/>
          <w:sz w:val="20"/>
          <w:szCs w:val="20"/>
        </w:rPr>
        <w:t xml:space="preserve">Undersampling of majority classes are applied to improve model learning and predictive fairness. </w:t>
      </w:r>
    </w:p>
    <w:p w14:paraId="72416B46">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D. Feature Selection </w:t>
      </w:r>
    </w:p>
    <w:p w14:paraId="52BD41C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Feature selection is performed to identify the most relevant variables for financial risk prediction. This helps reduce model complexity, improve interpretability, and prevent overfitting. </w:t>
      </w:r>
    </w:p>
    <w:p w14:paraId="419272E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Feature selection techniques include: </w:t>
      </w:r>
    </w:p>
    <w:p w14:paraId="2A4EAD16">
      <w:pPr>
        <w:numPr>
          <w:ilvl w:val="0"/>
          <w:numId w:val="8"/>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Correlation analysis </w:t>
      </w:r>
    </w:p>
    <w:p w14:paraId="2752DC11">
      <w:pPr>
        <w:numPr>
          <w:ilvl w:val="0"/>
          <w:numId w:val="8"/>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Feature importance from tree-based models </w:t>
      </w:r>
    </w:p>
    <w:p w14:paraId="59C768E0">
      <w:pPr>
        <w:numPr>
          <w:ilvl w:val="0"/>
          <w:numId w:val="8"/>
        </w:numPr>
        <w:spacing w:after="0" w:line="240" w:lineRule="auto"/>
        <w:ind w:right="-9" w:firstLine="360"/>
        <w:jc w:val="both"/>
        <w:rPr>
          <w:rFonts w:ascii="Times New Roman" w:hAnsi="Times New Roman" w:cs="Times New Roman"/>
          <w:sz w:val="20"/>
          <w:szCs w:val="20"/>
        </w:rPr>
      </w:pPr>
      <w:r>
        <w:rPr>
          <w:rFonts w:ascii="Times New Roman" w:hAnsi="Times New Roman" w:cs="Times New Roman"/>
          <w:sz w:val="20"/>
          <w:szCs w:val="20"/>
        </w:rPr>
        <w:t xml:space="preserve">Domain knowledge-based selection </w:t>
      </w:r>
    </w:p>
    <w:p w14:paraId="30D13F0F">
      <w:pPr>
        <w:spacing w:after="0" w:line="240" w:lineRule="auto"/>
        <w:ind w:right="-9"/>
        <w:jc w:val="both"/>
        <w:rPr>
          <w:rFonts w:ascii="Times New Roman" w:hAnsi="Times New Roman" w:cs="Times New Roman"/>
          <w:sz w:val="20"/>
          <w:szCs w:val="20"/>
        </w:rPr>
      </w:pPr>
      <w:r>
        <w:rPr>
          <w:rFonts w:ascii="Times New Roman" w:hAnsi="Times New Roman" w:eastAsia="Times New Roman" w:cs="Times New Roman"/>
          <w:b/>
          <w:sz w:val="20"/>
          <w:szCs w:val="20"/>
        </w:rPr>
        <w:t xml:space="preserve">E. Model Development </w:t>
      </w:r>
    </w:p>
    <w:p w14:paraId="3F9E5192">
      <w:pPr>
        <w:spacing w:after="0" w:line="240" w:lineRule="auto"/>
        <w:ind w:right="2809"/>
        <w:jc w:val="both"/>
        <w:rPr>
          <w:rFonts w:ascii="Times New Roman" w:hAnsi="Times New Roman" w:cs="Times New Roman"/>
          <w:sz w:val="20"/>
          <w:szCs w:val="20"/>
        </w:rPr>
      </w:pPr>
      <w:r>
        <w:rPr>
          <w:rFonts w:ascii="Times New Roman" w:hAnsi="Times New Roman" w:cs="Times New Roman"/>
          <w:sz w:val="20"/>
          <w:szCs w:val="20"/>
        </w:rPr>
        <w:t xml:space="preserve">To address the study objectives, multiple predictive models are developed and compared. </w:t>
      </w:r>
    </w:p>
    <w:p w14:paraId="666CF5D8">
      <w:pPr>
        <w:spacing w:after="0" w:line="240" w:lineRule="auto"/>
        <w:ind w:right="2809"/>
        <w:jc w:val="both"/>
        <w:rPr>
          <w:rFonts w:ascii="Times New Roman" w:hAnsi="Times New Roman" w:cs="Times New Roman"/>
          <w:sz w:val="20"/>
          <w:szCs w:val="20"/>
        </w:rPr>
      </w:pPr>
      <w:r>
        <w:rPr>
          <w:rFonts w:ascii="Times New Roman" w:hAnsi="Times New Roman" w:eastAsia="Times New Roman" w:cs="Times New Roman"/>
          <w:b/>
          <w:sz w:val="20"/>
          <w:szCs w:val="20"/>
        </w:rPr>
        <w:t>i.</w:t>
      </w:r>
      <w:r>
        <w:rPr>
          <w:rFonts w:ascii="Times New Roman" w:hAnsi="Times New Roman" w:eastAsia="Arial" w:cs="Times New Roman"/>
          <w:b/>
          <w:sz w:val="20"/>
          <w:szCs w:val="20"/>
        </w:rPr>
        <w:t xml:space="preserve"> </w:t>
      </w:r>
      <w:r>
        <w:rPr>
          <w:rFonts w:ascii="Times New Roman" w:hAnsi="Times New Roman" w:eastAsia="Times New Roman" w:cs="Times New Roman"/>
          <w:b/>
          <w:sz w:val="20"/>
          <w:szCs w:val="20"/>
        </w:rPr>
        <w:t xml:space="preserve"> Baseline Model </w:t>
      </w:r>
    </w:p>
    <w:p w14:paraId="7D203FA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Logistic Regression is used as the baseline model due to its simplicity and interpretability. It provides a benchmark for evaluating the performance of more complex models. </w:t>
      </w:r>
    </w:p>
    <w:p w14:paraId="5937B261">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ii.</w:t>
      </w:r>
      <w:r>
        <w:rPr>
          <w:rFonts w:ascii="Times New Roman" w:hAnsi="Times New Roman" w:eastAsia="Arial" w:cs="Times New Roman"/>
          <w:b/>
          <w:sz w:val="20"/>
          <w:szCs w:val="20"/>
        </w:rPr>
        <w:t xml:space="preserve"> </w:t>
      </w:r>
      <w:r>
        <w:rPr>
          <w:rFonts w:ascii="Times New Roman" w:hAnsi="Times New Roman" w:eastAsia="Times New Roman" w:cs="Times New Roman"/>
          <w:b/>
          <w:sz w:val="20"/>
          <w:szCs w:val="20"/>
        </w:rPr>
        <w:t xml:space="preserve"> Machine Learning Models </w:t>
      </w:r>
    </w:p>
    <w:p w14:paraId="48C307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machine learning models are developed: </w:t>
      </w:r>
    </w:p>
    <w:p w14:paraId="7D0A933F">
      <w:pPr>
        <w:numPr>
          <w:ilvl w:val="0"/>
          <w:numId w:val="9"/>
        </w:numPr>
        <w:spacing w:after="0" w:line="240" w:lineRule="auto"/>
        <w:ind w:right="-9" w:hanging="360"/>
        <w:jc w:val="both"/>
        <w:rPr>
          <w:rFonts w:ascii="Times New Roman" w:hAnsi="Times New Roman" w:cs="Times New Roman"/>
          <w:sz w:val="20"/>
          <w:szCs w:val="20"/>
        </w:rPr>
      </w:pPr>
      <w:r>
        <w:rPr>
          <w:rFonts w:ascii="Times New Roman" w:hAnsi="Times New Roman" w:eastAsia="Times New Roman" w:cs="Times New Roman"/>
          <w:b/>
          <w:sz w:val="20"/>
          <w:szCs w:val="20"/>
        </w:rPr>
        <w:t>Random Forest (RF):</w:t>
      </w:r>
      <w:r>
        <w:rPr>
          <w:rFonts w:ascii="Times New Roman" w:hAnsi="Times New Roman" w:cs="Times New Roman"/>
          <w:sz w:val="20"/>
          <w:szCs w:val="20"/>
        </w:rPr>
        <w:t xml:space="preserve"> An ensemble learning method that combines multiple decision trees to improve predictive accuracy and robustness. </w:t>
      </w:r>
    </w:p>
    <w:p w14:paraId="19BFCD74">
      <w:pPr>
        <w:numPr>
          <w:ilvl w:val="0"/>
          <w:numId w:val="9"/>
        </w:numPr>
        <w:spacing w:after="0" w:line="240" w:lineRule="auto"/>
        <w:ind w:right="-9" w:hanging="360"/>
        <w:jc w:val="both"/>
        <w:rPr>
          <w:rFonts w:ascii="Times New Roman" w:hAnsi="Times New Roman" w:cs="Times New Roman"/>
          <w:sz w:val="20"/>
          <w:szCs w:val="20"/>
        </w:rPr>
      </w:pPr>
      <w:r>
        <w:rPr>
          <w:rFonts w:ascii="Times New Roman" w:hAnsi="Times New Roman" w:eastAsia="Times New Roman" w:cs="Times New Roman"/>
          <w:b/>
          <w:sz w:val="20"/>
          <w:szCs w:val="20"/>
        </w:rPr>
        <w:t>Support Vector Machine (SVM):</w:t>
      </w:r>
      <w:r>
        <w:rPr>
          <w:rFonts w:ascii="Times New Roman" w:hAnsi="Times New Roman" w:cs="Times New Roman"/>
          <w:sz w:val="20"/>
          <w:szCs w:val="20"/>
        </w:rPr>
        <w:t xml:space="preserve"> A classification algorithm effective in handling high-dimensional data. </w:t>
      </w:r>
    </w:p>
    <w:p w14:paraId="6E398E77">
      <w:pPr>
        <w:numPr>
          <w:ilvl w:val="0"/>
          <w:numId w:val="9"/>
        </w:numPr>
        <w:spacing w:after="0" w:line="240" w:lineRule="auto"/>
        <w:ind w:right="-9" w:hanging="360"/>
        <w:jc w:val="both"/>
        <w:rPr>
          <w:rFonts w:ascii="Times New Roman" w:hAnsi="Times New Roman" w:cs="Times New Roman"/>
          <w:sz w:val="20"/>
          <w:szCs w:val="20"/>
        </w:rPr>
      </w:pPr>
      <w:r>
        <w:rPr>
          <w:rFonts w:ascii="Times New Roman" w:hAnsi="Times New Roman" w:eastAsia="Times New Roman" w:cs="Times New Roman"/>
          <w:b/>
          <w:sz w:val="20"/>
          <w:szCs w:val="20"/>
        </w:rPr>
        <w:t>Gradient Boosting Machine (GBM):</w:t>
      </w:r>
      <w:r>
        <w:rPr>
          <w:rFonts w:ascii="Times New Roman" w:hAnsi="Times New Roman" w:cs="Times New Roman"/>
          <w:sz w:val="20"/>
          <w:szCs w:val="20"/>
        </w:rPr>
        <w:t xml:space="preserve"> An ensemble technique that builds models sequentially to minimize prediction errors. </w:t>
      </w:r>
    </w:p>
    <w:p w14:paraId="311B555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These models are selected based on their proven effectiveness in financial risk prediction, as identified in the literature review. </w:t>
      </w:r>
    </w:p>
    <w:p w14:paraId="00A55927">
      <w:pPr>
        <w:numPr>
          <w:ilvl w:val="0"/>
          <w:numId w:val="10"/>
        </w:numPr>
        <w:spacing w:after="0" w:line="240" w:lineRule="auto"/>
        <w:ind w:right="-15" w:hanging="30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Model Training and Validation </w:t>
      </w:r>
    </w:p>
    <w:p w14:paraId="6259D44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dataset is divided into training and testing sets using an appropriate split ratio (e.g., 70% training and 30% testing). Crossvalidation techniques are applied to ensure model generalizability and reduce overfitting. </w:t>
      </w:r>
    </w:p>
    <w:p w14:paraId="2B31A0F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Hyperparameter tuning is performed to optimize model performance using techniques such as grid search or random search. </w:t>
      </w:r>
    </w:p>
    <w:p w14:paraId="29F88AEE">
      <w:pPr>
        <w:numPr>
          <w:ilvl w:val="0"/>
          <w:numId w:val="10"/>
        </w:numPr>
        <w:spacing w:after="0" w:line="240" w:lineRule="auto"/>
        <w:ind w:right="-15" w:hanging="30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Model Evaluation Metrics </w:t>
      </w:r>
    </w:p>
    <w:p w14:paraId="3EF6A19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Model performance is evaluated using standard classification metrics commonly adopted in financial risk prediction studies: </w:t>
      </w:r>
    </w:p>
    <w:p w14:paraId="16A191CB">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Accuracy:</w:t>
      </w:r>
      <w:r>
        <w:rPr>
          <w:rFonts w:ascii="Times New Roman" w:hAnsi="Times New Roman" w:cs="Times New Roman"/>
          <w:sz w:val="20"/>
          <w:szCs w:val="20"/>
        </w:rPr>
        <w:t xml:space="preserve"> Measures overall correctness of predictions. </w:t>
      </w:r>
    </w:p>
    <w:p w14:paraId="4F62E938">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Precision:</w:t>
      </w:r>
      <w:r>
        <w:rPr>
          <w:rFonts w:ascii="Times New Roman" w:hAnsi="Times New Roman" w:cs="Times New Roman"/>
          <w:sz w:val="20"/>
          <w:szCs w:val="20"/>
        </w:rPr>
        <w:t xml:space="preserve"> Indicates the proportion of correctly predicted risky cases. </w:t>
      </w:r>
    </w:p>
    <w:p w14:paraId="2099E655">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Recall (Sensitivity):</w:t>
      </w:r>
      <w:r>
        <w:rPr>
          <w:rFonts w:ascii="Times New Roman" w:hAnsi="Times New Roman" w:cs="Times New Roman"/>
          <w:sz w:val="20"/>
          <w:szCs w:val="20"/>
        </w:rPr>
        <w:t xml:space="preserve"> Measures the ability of the model to correctly identify risky cases. </w:t>
      </w:r>
    </w:p>
    <w:p w14:paraId="4B260E50">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F1-score:</w:t>
      </w:r>
      <w:r>
        <w:rPr>
          <w:rFonts w:ascii="Times New Roman" w:hAnsi="Times New Roman" w:cs="Times New Roman"/>
          <w:sz w:val="20"/>
          <w:szCs w:val="20"/>
        </w:rPr>
        <w:t xml:space="preserve"> Harmonic mean of precision and recall. </w:t>
      </w:r>
    </w:p>
    <w:p w14:paraId="0DFFFF30">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Confusion Matrix:</w:t>
      </w:r>
      <w:r>
        <w:rPr>
          <w:rFonts w:ascii="Times New Roman" w:hAnsi="Times New Roman" w:cs="Times New Roman"/>
          <w:sz w:val="20"/>
          <w:szCs w:val="20"/>
        </w:rPr>
        <w:t xml:space="preserve"> Provides a detailed breakdown of prediction outcomes. </w:t>
      </w:r>
    </w:p>
    <w:p w14:paraId="30ED8C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These metrics ensure a comprehensive evaluation beyond accuracy alone. </w:t>
      </w:r>
    </w:p>
    <w:p w14:paraId="24220692">
      <w:pPr>
        <w:numPr>
          <w:ilvl w:val="0"/>
          <w:numId w:val="10"/>
        </w:numPr>
        <w:spacing w:after="0" w:line="240" w:lineRule="auto"/>
        <w:ind w:right="-15" w:hanging="30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Model Interpretability and Explainability </w:t>
      </w:r>
    </w:p>
    <w:p w14:paraId="4862C59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To address the interpretability gap identified in the literature, explainable artificial intelligence (XAI) techniques are applied. Techniques such as: </w:t>
      </w:r>
    </w:p>
    <w:p w14:paraId="1042EE53">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SHAP (Shapley Additive Explanations)</w:t>
      </w:r>
      <w:r>
        <w:rPr>
          <w:rFonts w:ascii="Times New Roman" w:hAnsi="Times New Roman" w:cs="Times New Roman"/>
          <w:sz w:val="20"/>
          <w:szCs w:val="20"/>
        </w:rPr>
        <w:t xml:space="preserve"> </w:t>
      </w:r>
    </w:p>
    <w:p w14:paraId="72BDB007">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LIME (Local Interpretable Model-agnostic Explanations)</w:t>
      </w:r>
      <w:r>
        <w:rPr>
          <w:rFonts w:ascii="Times New Roman" w:hAnsi="Times New Roman" w:cs="Times New Roman"/>
          <w:sz w:val="20"/>
          <w:szCs w:val="20"/>
        </w:rPr>
        <w:t xml:space="preserve"> are used to explain individual predictions and global feature importance. This enhances transparency and supports regulatory and managerial decision-making. </w:t>
      </w:r>
    </w:p>
    <w:p w14:paraId="7217007D">
      <w:pPr>
        <w:numPr>
          <w:ilvl w:val="0"/>
          <w:numId w:val="10"/>
        </w:numPr>
        <w:spacing w:after="0" w:line="240" w:lineRule="auto"/>
        <w:ind w:right="-15" w:hanging="30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Tools and Software Used </w:t>
      </w:r>
    </w:p>
    <w:p w14:paraId="777AB6AA">
      <w:pPr>
        <w:spacing w:after="0" w:line="240" w:lineRule="auto"/>
        <w:ind w:left="345" w:right="5799" w:hanging="360"/>
        <w:jc w:val="both"/>
        <w:rPr>
          <w:rFonts w:ascii="Times New Roman" w:hAnsi="Times New Roman" w:cs="Times New Roman"/>
          <w:sz w:val="20"/>
          <w:szCs w:val="20"/>
        </w:rPr>
      </w:pPr>
      <w:r>
        <w:rPr>
          <w:rFonts w:ascii="Times New Roman" w:hAnsi="Times New Roman" w:cs="Times New Roman"/>
          <w:sz w:val="20"/>
          <w:szCs w:val="20"/>
        </w:rPr>
        <w:t xml:space="preserve">The study is implemented using the following tools: </w:t>
      </w:r>
      <w:r>
        <w:rPr>
          <w:rFonts w:ascii="Times New Roman" w:hAnsi="Times New Roman" w:eastAsia="Segoe UI Symbol" w:cs="Times New Roman"/>
          <w:sz w:val="20"/>
          <w:szCs w:val="20"/>
        </w:rPr>
        <w:t></w:t>
      </w:r>
      <w:r>
        <w:rPr>
          <w:rFonts w:ascii="Times New Roman" w:hAnsi="Times New Roman" w:eastAsia="Arial" w:cs="Times New Roman"/>
          <w:sz w:val="20"/>
          <w:szCs w:val="20"/>
        </w:rPr>
        <w:t xml:space="preserve"> </w:t>
      </w:r>
      <w:r>
        <w:rPr>
          <w:rFonts w:ascii="Times New Roman" w:hAnsi="Times New Roman" w:eastAsia="Arial" w:cs="Times New Roman"/>
          <w:sz w:val="20"/>
          <w:szCs w:val="20"/>
        </w:rPr>
        <w:tab/>
      </w:r>
      <w:r>
        <w:rPr>
          <w:rFonts w:ascii="Times New Roman" w:hAnsi="Times New Roman" w:eastAsia="Times New Roman" w:cs="Times New Roman"/>
          <w:b/>
          <w:sz w:val="20"/>
          <w:szCs w:val="20"/>
        </w:rPr>
        <w:t>Python programming language</w:t>
      </w:r>
      <w:r>
        <w:rPr>
          <w:rFonts w:ascii="Times New Roman" w:hAnsi="Times New Roman" w:cs="Times New Roman"/>
          <w:sz w:val="20"/>
          <w:szCs w:val="20"/>
        </w:rPr>
        <w:t xml:space="preserve"> </w:t>
      </w:r>
    </w:p>
    <w:p w14:paraId="39BE9051">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Pandas and NumPy</w:t>
      </w:r>
      <w:r>
        <w:rPr>
          <w:rFonts w:ascii="Times New Roman" w:hAnsi="Times New Roman" w:cs="Times New Roman"/>
          <w:sz w:val="20"/>
          <w:szCs w:val="20"/>
        </w:rPr>
        <w:t xml:space="preserve"> for data manipulation </w:t>
      </w:r>
    </w:p>
    <w:p w14:paraId="5EB3574E">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Scikit-learn</w:t>
      </w:r>
      <w:r>
        <w:rPr>
          <w:rFonts w:ascii="Times New Roman" w:hAnsi="Times New Roman" w:cs="Times New Roman"/>
          <w:sz w:val="20"/>
          <w:szCs w:val="20"/>
        </w:rPr>
        <w:t xml:space="preserve"> for model development and evaluation </w:t>
      </w:r>
    </w:p>
    <w:p w14:paraId="21292A0C">
      <w:pPr>
        <w:numPr>
          <w:ilvl w:val="1"/>
          <w:numId w:val="10"/>
        </w:numPr>
        <w:spacing w:after="0" w:line="240" w:lineRule="auto"/>
        <w:ind w:right="-9" w:firstLine="360"/>
        <w:jc w:val="both"/>
        <w:rPr>
          <w:rFonts w:ascii="Times New Roman" w:hAnsi="Times New Roman" w:cs="Times New Roman"/>
          <w:sz w:val="20"/>
          <w:szCs w:val="20"/>
        </w:rPr>
      </w:pPr>
      <w:r>
        <w:rPr>
          <w:rFonts w:ascii="Times New Roman" w:hAnsi="Times New Roman" w:eastAsia="Times New Roman" w:cs="Times New Roman"/>
          <w:b/>
          <w:sz w:val="20"/>
          <w:szCs w:val="20"/>
        </w:rPr>
        <w:t>Matplotlib</w:t>
      </w:r>
      <w:r>
        <w:rPr>
          <w:rFonts w:ascii="Times New Roman" w:hAnsi="Times New Roman" w:cs="Times New Roman"/>
          <w:sz w:val="20"/>
          <w:szCs w:val="20"/>
        </w:rPr>
        <w:t xml:space="preserve"> for visualization </w:t>
      </w:r>
    </w:p>
    <w:p w14:paraId="433ED89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These tools are widely used in predictive analytics research and ensure reproducibility. </w:t>
      </w:r>
    </w:p>
    <w:p w14:paraId="5D08D919">
      <w:pPr>
        <w:numPr>
          <w:ilvl w:val="0"/>
          <w:numId w:val="10"/>
        </w:numPr>
        <w:spacing w:after="0" w:line="240" w:lineRule="auto"/>
        <w:ind w:right="-15" w:hanging="30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Ethical Considerations </w:t>
      </w:r>
    </w:p>
    <w:p w14:paraId="377D7AA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study uses anonymized secondary data to ensure confidentiality and privacy. No personal identifiers are included, and data usage complies with ethical research standards. </w:t>
      </w:r>
    </w:p>
    <w:p w14:paraId="63D7726B">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 xml:space="preserve"> </w:t>
      </w:r>
    </w:p>
    <w:p w14:paraId="5B4D6895">
      <w:pPr>
        <w:spacing w:after="0" w:line="240" w:lineRule="auto"/>
        <w:ind w:left="10"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IV. RESULTS AND DISCUSSION </w:t>
      </w:r>
    </w:p>
    <w:p w14:paraId="43B203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chapter presents the results obtained from the development and evaluation of predictive models for financial risk management. The analysis focuses on model performance metrics and interpretable explanations using SHAP (SHapley Additive exPlanations), highlighting key features and their interactions in predicting financial risk. The models evaluated include Logistic Regression (LR), Random Forest (RF), Gradient Boosting (GB), and Support Vector Machine (SVM). </w:t>
      </w:r>
      <w:r>
        <w:rPr>
          <w:rFonts w:ascii="Times New Roman" w:hAnsi="Times New Roman" w:eastAsia="Times New Roman" w:cs="Times New Roman"/>
          <w:b/>
          <w:sz w:val="20"/>
          <w:szCs w:val="20"/>
        </w:rPr>
        <w:t>A.</w:t>
      </w:r>
      <w:r>
        <w:rPr>
          <w:rFonts w:ascii="Times New Roman" w:hAnsi="Times New Roman" w:eastAsia="Arial" w:cs="Times New Roman"/>
          <w:b/>
          <w:sz w:val="20"/>
          <w:szCs w:val="20"/>
        </w:rPr>
        <w:t xml:space="preserve"> </w:t>
      </w:r>
      <w:r>
        <w:rPr>
          <w:rFonts w:ascii="Times New Roman" w:hAnsi="Times New Roman" w:eastAsia="Times New Roman" w:cs="Times New Roman"/>
          <w:b/>
          <w:sz w:val="20"/>
          <w:szCs w:val="20"/>
        </w:rPr>
        <w:t xml:space="preserve"> Dataset Overview </w:t>
      </w:r>
    </w:p>
    <w:p w14:paraId="1F44051A">
      <w:pPr>
        <w:spacing w:after="0" w:line="240" w:lineRule="auto"/>
        <w:ind w:right="-13"/>
        <w:jc w:val="both"/>
        <w:rPr>
          <w:rFonts w:ascii="Times New Roman" w:hAnsi="Times New Roman" w:cs="Times New Roman"/>
          <w:sz w:val="20"/>
          <w:szCs w:val="20"/>
        </w:rPr>
      </w:pPr>
      <w:r>
        <w:rPr>
          <w:rFonts w:ascii="Times New Roman" w:hAnsi="Times New Roman" w:cs="Times New Roman"/>
          <w:sz w:val="20"/>
          <w:szCs w:val="20"/>
        </w:rPr>
        <w:t xml:space="preserve">A synthetic financial risk dataset was generated with 10 features (Feature_1 to Feature_10) and a target variable Risk (binary: 0 = low risk, 1 = high risk). The first five rows of the dataset are shown below: Table 4.1: </w:t>
      </w:r>
      <w:r>
        <w:rPr>
          <w:rFonts w:ascii="Times New Roman" w:hAnsi="Times New Roman" w:eastAsia="Times New Roman" w:cs="Times New Roman"/>
          <w:b/>
          <w:sz w:val="20"/>
          <w:szCs w:val="20"/>
        </w:rPr>
        <w:t>Dataset Overview</w:t>
      </w:r>
      <w:r>
        <w:rPr>
          <w:rFonts w:ascii="Times New Roman" w:hAnsi="Times New Roman" w:cs="Times New Roman"/>
          <w:sz w:val="20"/>
          <w:szCs w:val="20"/>
        </w:rPr>
        <w:t xml:space="preserve"> </w:t>
      </w:r>
    </w:p>
    <w:tbl>
      <w:tblPr>
        <w:tblStyle w:val="74"/>
        <w:tblW w:w="10599" w:type="dxa"/>
        <w:tblInd w:w="-691" w:type="dxa"/>
        <w:tblLayout w:type="autofit"/>
        <w:tblCellMar>
          <w:top w:w="0" w:type="dxa"/>
          <w:left w:w="38" w:type="dxa"/>
          <w:bottom w:w="0" w:type="dxa"/>
          <w:right w:w="77" w:type="dxa"/>
        </w:tblCellMar>
      </w:tblPr>
      <w:tblGrid>
        <w:gridCol w:w="974"/>
        <w:gridCol w:w="988"/>
        <w:gridCol w:w="988"/>
        <w:gridCol w:w="987"/>
        <w:gridCol w:w="1021"/>
        <w:gridCol w:w="988"/>
        <w:gridCol w:w="989"/>
        <w:gridCol w:w="989"/>
        <w:gridCol w:w="988"/>
        <w:gridCol w:w="1069"/>
        <w:gridCol w:w="618"/>
      </w:tblGrid>
      <w:tr w14:paraId="4738D514">
        <w:tblPrEx>
          <w:tblCellMar>
            <w:top w:w="0" w:type="dxa"/>
            <w:left w:w="38" w:type="dxa"/>
            <w:bottom w:w="0" w:type="dxa"/>
            <w:right w:w="77" w:type="dxa"/>
          </w:tblCellMar>
        </w:tblPrEx>
        <w:trPr>
          <w:trHeight w:val="309" w:hRule="atLeast"/>
        </w:trPr>
        <w:tc>
          <w:tcPr>
            <w:tcW w:w="975" w:type="dxa"/>
            <w:tcBorders>
              <w:top w:val="double" w:color="000000" w:sz="4" w:space="0"/>
              <w:left w:val="double" w:color="000000" w:sz="4" w:space="0"/>
              <w:bottom w:val="double" w:color="000000" w:sz="4" w:space="0"/>
              <w:right w:val="double" w:color="000000" w:sz="4" w:space="0"/>
            </w:tcBorders>
          </w:tcPr>
          <w:p w14:paraId="0F847696">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Feature_1 </w:t>
            </w:r>
          </w:p>
        </w:tc>
        <w:tc>
          <w:tcPr>
            <w:tcW w:w="989" w:type="dxa"/>
            <w:tcBorders>
              <w:top w:val="double" w:color="000000" w:sz="4" w:space="0"/>
              <w:left w:val="double" w:color="000000" w:sz="4" w:space="0"/>
              <w:bottom w:val="double" w:color="000000" w:sz="4" w:space="0"/>
              <w:right w:val="double" w:color="000000" w:sz="4" w:space="0"/>
            </w:tcBorders>
          </w:tcPr>
          <w:p w14:paraId="67C61E8C">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Feature_2 </w:t>
            </w:r>
          </w:p>
        </w:tc>
        <w:tc>
          <w:tcPr>
            <w:tcW w:w="988" w:type="dxa"/>
            <w:tcBorders>
              <w:top w:val="double" w:color="000000" w:sz="4" w:space="0"/>
              <w:left w:val="double" w:color="000000" w:sz="4" w:space="0"/>
              <w:bottom w:val="double" w:color="000000" w:sz="4" w:space="0"/>
              <w:right w:val="double" w:color="000000" w:sz="4" w:space="0"/>
            </w:tcBorders>
          </w:tcPr>
          <w:p w14:paraId="368EDAB2">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Feature_3 </w:t>
            </w:r>
          </w:p>
        </w:tc>
        <w:tc>
          <w:tcPr>
            <w:tcW w:w="987" w:type="dxa"/>
            <w:tcBorders>
              <w:top w:val="double" w:color="000000" w:sz="4" w:space="0"/>
              <w:left w:val="double" w:color="000000" w:sz="4" w:space="0"/>
              <w:bottom w:val="double" w:color="000000" w:sz="4" w:space="0"/>
              <w:right w:val="double" w:color="000000" w:sz="4" w:space="0"/>
            </w:tcBorders>
          </w:tcPr>
          <w:p w14:paraId="21689F7B">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Feature_4 </w:t>
            </w:r>
          </w:p>
        </w:tc>
        <w:tc>
          <w:tcPr>
            <w:tcW w:w="1021" w:type="dxa"/>
            <w:tcBorders>
              <w:top w:val="double" w:color="000000" w:sz="4" w:space="0"/>
              <w:left w:val="double" w:color="000000" w:sz="4" w:space="0"/>
              <w:bottom w:val="double" w:color="000000" w:sz="4" w:space="0"/>
              <w:right w:val="double" w:color="000000" w:sz="4" w:space="0"/>
            </w:tcBorders>
          </w:tcPr>
          <w:p w14:paraId="45BAE9BB">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Feature_5 </w:t>
            </w:r>
          </w:p>
        </w:tc>
        <w:tc>
          <w:tcPr>
            <w:tcW w:w="988" w:type="dxa"/>
            <w:tcBorders>
              <w:top w:val="double" w:color="000000" w:sz="4" w:space="0"/>
              <w:left w:val="double" w:color="000000" w:sz="4" w:space="0"/>
              <w:bottom w:val="double" w:color="000000" w:sz="4" w:space="0"/>
              <w:right w:val="double" w:color="000000" w:sz="4" w:space="0"/>
            </w:tcBorders>
          </w:tcPr>
          <w:p w14:paraId="2EA57FAE">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Feature_6 </w:t>
            </w:r>
          </w:p>
        </w:tc>
        <w:tc>
          <w:tcPr>
            <w:tcW w:w="989" w:type="dxa"/>
            <w:tcBorders>
              <w:top w:val="double" w:color="000000" w:sz="4" w:space="0"/>
              <w:left w:val="double" w:color="000000" w:sz="4" w:space="0"/>
              <w:bottom w:val="double" w:color="000000" w:sz="4" w:space="0"/>
              <w:right w:val="double" w:color="000000" w:sz="4" w:space="0"/>
            </w:tcBorders>
          </w:tcPr>
          <w:p w14:paraId="1E1FFA66">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Feature_7 </w:t>
            </w:r>
          </w:p>
        </w:tc>
        <w:tc>
          <w:tcPr>
            <w:tcW w:w="989" w:type="dxa"/>
            <w:tcBorders>
              <w:top w:val="double" w:color="000000" w:sz="4" w:space="0"/>
              <w:left w:val="double" w:color="000000" w:sz="4" w:space="0"/>
              <w:bottom w:val="double" w:color="000000" w:sz="4" w:space="0"/>
              <w:right w:val="double" w:color="000000" w:sz="4" w:space="0"/>
            </w:tcBorders>
          </w:tcPr>
          <w:p w14:paraId="4BD5D9C5">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Feature_8 </w:t>
            </w:r>
          </w:p>
        </w:tc>
        <w:tc>
          <w:tcPr>
            <w:tcW w:w="988" w:type="dxa"/>
            <w:tcBorders>
              <w:top w:val="double" w:color="000000" w:sz="4" w:space="0"/>
              <w:left w:val="double" w:color="000000" w:sz="4" w:space="0"/>
              <w:bottom w:val="double" w:color="000000" w:sz="4" w:space="0"/>
              <w:right w:val="double" w:color="000000" w:sz="4" w:space="0"/>
            </w:tcBorders>
          </w:tcPr>
          <w:p w14:paraId="661035AD">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Feature_9 </w:t>
            </w:r>
          </w:p>
        </w:tc>
        <w:tc>
          <w:tcPr>
            <w:tcW w:w="1069" w:type="dxa"/>
            <w:tcBorders>
              <w:top w:val="double" w:color="000000" w:sz="4" w:space="0"/>
              <w:left w:val="double" w:color="000000" w:sz="4" w:space="0"/>
              <w:bottom w:val="double" w:color="000000" w:sz="4" w:space="0"/>
              <w:right w:val="double" w:color="000000" w:sz="4" w:space="0"/>
            </w:tcBorders>
          </w:tcPr>
          <w:p w14:paraId="16E82942">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Feature_10 </w:t>
            </w:r>
          </w:p>
        </w:tc>
        <w:tc>
          <w:tcPr>
            <w:tcW w:w="618" w:type="dxa"/>
            <w:tcBorders>
              <w:top w:val="double" w:color="000000" w:sz="4" w:space="0"/>
              <w:left w:val="double" w:color="000000" w:sz="4" w:space="0"/>
              <w:bottom w:val="double" w:color="000000" w:sz="4" w:space="0"/>
              <w:right w:val="double" w:color="000000" w:sz="4" w:space="0"/>
            </w:tcBorders>
          </w:tcPr>
          <w:p w14:paraId="638382AB">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Risk </w:t>
            </w:r>
          </w:p>
        </w:tc>
      </w:tr>
      <w:tr w14:paraId="6BFCA1FE">
        <w:tblPrEx>
          <w:tblCellMar>
            <w:top w:w="0" w:type="dxa"/>
            <w:left w:w="38" w:type="dxa"/>
            <w:bottom w:w="0" w:type="dxa"/>
            <w:right w:w="77" w:type="dxa"/>
          </w:tblCellMar>
        </w:tblPrEx>
        <w:trPr>
          <w:trHeight w:val="312" w:hRule="atLeast"/>
        </w:trPr>
        <w:tc>
          <w:tcPr>
            <w:tcW w:w="975" w:type="dxa"/>
            <w:tcBorders>
              <w:top w:val="double" w:color="000000" w:sz="4" w:space="0"/>
              <w:left w:val="double" w:color="000000" w:sz="4" w:space="0"/>
              <w:bottom w:val="double" w:color="000000" w:sz="4" w:space="0"/>
              <w:right w:val="double" w:color="000000" w:sz="4" w:space="0"/>
            </w:tcBorders>
          </w:tcPr>
          <w:p w14:paraId="6A533CE0">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-1.147 </w:t>
            </w:r>
          </w:p>
        </w:tc>
        <w:tc>
          <w:tcPr>
            <w:tcW w:w="989" w:type="dxa"/>
            <w:tcBorders>
              <w:top w:val="double" w:color="000000" w:sz="4" w:space="0"/>
              <w:left w:val="double" w:color="000000" w:sz="4" w:space="0"/>
              <w:bottom w:val="double" w:color="000000" w:sz="4" w:space="0"/>
              <w:right w:val="double" w:color="000000" w:sz="4" w:space="0"/>
            </w:tcBorders>
          </w:tcPr>
          <w:p w14:paraId="16534AB3">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-1.671 </w:t>
            </w:r>
          </w:p>
        </w:tc>
        <w:tc>
          <w:tcPr>
            <w:tcW w:w="988" w:type="dxa"/>
            <w:tcBorders>
              <w:top w:val="double" w:color="000000" w:sz="4" w:space="0"/>
              <w:left w:val="double" w:color="000000" w:sz="4" w:space="0"/>
              <w:bottom w:val="double" w:color="000000" w:sz="4" w:space="0"/>
              <w:right w:val="double" w:color="000000" w:sz="4" w:space="0"/>
            </w:tcBorders>
          </w:tcPr>
          <w:p w14:paraId="14656908">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1.372 </w:t>
            </w:r>
          </w:p>
        </w:tc>
        <w:tc>
          <w:tcPr>
            <w:tcW w:w="987" w:type="dxa"/>
            <w:tcBorders>
              <w:top w:val="double" w:color="000000" w:sz="4" w:space="0"/>
              <w:left w:val="double" w:color="000000" w:sz="4" w:space="0"/>
              <w:bottom w:val="double" w:color="000000" w:sz="4" w:space="0"/>
              <w:right w:val="double" w:color="000000" w:sz="4" w:space="0"/>
            </w:tcBorders>
          </w:tcPr>
          <w:p w14:paraId="117B0DA2">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1.268 </w:t>
            </w:r>
          </w:p>
        </w:tc>
        <w:tc>
          <w:tcPr>
            <w:tcW w:w="1021" w:type="dxa"/>
            <w:tcBorders>
              <w:top w:val="double" w:color="000000" w:sz="4" w:space="0"/>
              <w:left w:val="double" w:color="000000" w:sz="4" w:space="0"/>
              <w:bottom w:val="double" w:color="000000" w:sz="4" w:space="0"/>
              <w:right w:val="double" w:color="000000" w:sz="4" w:space="0"/>
            </w:tcBorders>
          </w:tcPr>
          <w:p w14:paraId="38C6BC65">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0.765 </w:t>
            </w:r>
          </w:p>
        </w:tc>
        <w:tc>
          <w:tcPr>
            <w:tcW w:w="988" w:type="dxa"/>
            <w:tcBorders>
              <w:top w:val="double" w:color="000000" w:sz="4" w:space="0"/>
              <w:left w:val="double" w:color="000000" w:sz="4" w:space="0"/>
              <w:bottom w:val="double" w:color="000000" w:sz="4" w:space="0"/>
              <w:right w:val="double" w:color="000000" w:sz="4" w:space="0"/>
            </w:tcBorders>
          </w:tcPr>
          <w:p w14:paraId="3B363F8A">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0.574 </w:t>
            </w:r>
          </w:p>
        </w:tc>
        <w:tc>
          <w:tcPr>
            <w:tcW w:w="989" w:type="dxa"/>
            <w:tcBorders>
              <w:top w:val="double" w:color="000000" w:sz="4" w:space="0"/>
              <w:left w:val="double" w:color="000000" w:sz="4" w:space="0"/>
              <w:bottom w:val="double" w:color="000000" w:sz="4" w:space="0"/>
              <w:right w:val="double" w:color="000000" w:sz="4" w:space="0"/>
            </w:tcBorders>
          </w:tcPr>
          <w:p w14:paraId="2B306A99">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-1.598 </w:t>
            </w:r>
          </w:p>
        </w:tc>
        <w:tc>
          <w:tcPr>
            <w:tcW w:w="989" w:type="dxa"/>
            <w:tcBorders>
              <w:top w:val="double" w:color="000000" w:sz="4" w:space="0"/>
              <w:left w:val="double" w:color="000000" w:sz="4" w:space="0"/>
              <w:bottom w:val="double" w:color="000000" w:sz="4" w:space="0"/>
              <w:right w:val="double" w:color="000000" w:sz="4" w:space="0"/>
            </w:tcBorders>
          </w:tcPr>
          <w:p w14:paraId="7B7644C6">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-0.557 </w:t>
            </w:r>
          </w:p>
        </w:tc>
        <w:tc>
          <w:tcPr>
            <w:tcW w:w="988" w:type="dxa"/>
            <w:tcBorders>
              <w:top w:val="double" w:color="000000" w:sz="4" w:space="0"/>
              <w:left w:val="double" w:color="000000" w:sz="4" w:space="0"/>
              <w:bottom w:val="double" w:color="000000" w:sz="4" w:space="0"/>
              <w:right w:val="double" w:color="000000" w:sz="4" w:space="0"/>
            </w:tcBorders>
          </w:tcPr>
          <w:p w14:paraId="03394DEE">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4.353 </w:t>
            </w:r>
          </w:p>
        </w:tc>
        <w:tc>
          <w:tcPr>
            <w:tcW w:w="1069" w:type="dxa"/>
            <w:tcBorders>
              <w:top w:val="double" w:color="000000" w:sz="4" w:space="0"/>
              <w:left w:val="double" w:color="000000" w:sz="4" w:space="0"/>
              <w:bottom w:val="double" w:color="000000" w:sz="4" w:space="0"/>
              <w:right w:val="double" w:color="000000" w:sz="4" w:space="0"/>
            </w:tcBorders>
          </w:tcPr>
          <w:p w14:paraId="486F4973">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-0.964 </w:t>
            </w:r>
          </w:p>
        </w:tc>
        <w:tc>
          <w:tcPr>
            <w:tcW w:w="618" w:type="dxa"/>
            <w:tcBorders>
              <w:top w:val="double" w:color="000000" w:sz="4" w:space="0"/>
              <w:left w:val="double" w:color="000000" w:sz="4" w:space="0"/>
              <w:bottom w:val="double" w:color="000000" w:sz="4" w:space="0"/>
              <w:right w:val="double" w:color="000000" w:sz="4" w:space="0"/>
            </w:tcBorders>
          </w:tcPr>
          <w:p w14:paraId="70619E23">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 </w:t>
            </w:r>
          </w:p>
        </w:tc>
      </w:tr>
      <w:tr w14:paraId="2CD1F08B">
        <w:tblPrEx>
          <w:tblCellMar>
            <w:top w:w="0" w:type="dxa"/>
            <w:left w:w="38" w:type="dxa"/>
            <w:bottom w:w="0" w:type="dxa"/>
            <w:right w:w="77" w:type="dxa"/>
          </w:tblCellMar>
        </w:tblPrEx>
        <w:trPr>
          <w:trHeight w:val="310" w:hRule="atLeast"/>
        </w:trPr>
        <w:tc>
          <w:tcPr>
            <w:tcW w:w="975" w:type="dxa"/>
            <w:tcBorders>
              <w:top w:val="double" w:color="000000" w:sz="4" w:space="0"/>
              <w:left w:val="double" w:color="000000" w:sz="4" w:space="0"/>
              <w:bottom w:val="double" w:color="000000" w:sz="4" w:space="0"/>
              <w:right w:val="double" w:color="000000" w:sz="4" w:space="0"/>
            </w:tcBorders>
          </w:tcPr>
          <w:p w14:paraId="55DF8216">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-1.191 </w:t>
            </w:r>
          </w:p>
        </w:tc>
        <w:tc>
          <w:tcPr>
            <w:tcW w:w="989" w:type="dxa"/>
            <w:tcBorders>
              <w:top w:val="double" w:color="000000" w:sz="4" w:space="0"/>
              <w:left w:val="double" w:color="000000" w:sz="4" w:space="0"/>
              <w:bottom w:val="double" w:color="000000" w:sz="4" w:space="0"/>
              <w:right w:val="double" w:color="000000" w:sz="4" w:space="0"/>
            </w:tcBorders>
          </w:tcPr>
          <w:p w14:paraId="7A8E66B9">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-2.286 </w:t>
            </w:r>
          </w:p>
        </w:tc>
        <w:tc>
          <w:tcPr>
            <w:tcW w:w="988" w:type="dxa"/>
            <w:tcBorders>
              <w:top w:val="double" w:color="000000" w:sz="4" w:space="0"/>
              <w:left w:val="double" w:color="000000" w:sz="4" w:space="0"/>
              <w:bottom w:val="double" w:color="000000" w:sz="4" w:space="0"/>
              <w:right w:val="double" w:color="000000" w:sz="4" w:space="0"/>
            </w:tcBorders>
          </w:tcPr>
          <w:p w14:paraId="4407B427">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1.321 </w:t>
            </w:r>
          </w:p>
        </w:tc>
        <w:tc>
          <w:tcPr>
            <w:tcW w:w="987" w:type="dxa"/>
            <w:tcBorders>
              <w:top w:val="double" w:color="000000" w:sz="4" w:space="0"/>
              <w:left w:val="double" w:color="000000" w:sz="4" w:space="0"/>
              <w:bottom w:val="double" w:color="000000" w:sz="4" w:space="0"/>
              <w:right w:val="double" w:color="000000" w:sz="4" w:space="0"/>
            </w:tcBorders>
          </w:tcPr>
          <w:p w14:paraId="76971A33">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2.227 </w:t>
            </w:r>
          </w:p>
        </w:tc>
        <w:tc>
          <w:tcPr>
            <w:tcW w:w="1021" w:type="dxa"/>
            <w:tcBorders>
              <w:top w:val="double" w:color="000000" w:sz="4" w:space="0"/>
              <w:left w:val="double" w:color="000000" w:sz="4" w:space="0"/>
              <w:bottom w:val="double" w:color="000000" w:sz="4" w:space="0"/>
              <w:right w:val="double" w:color="000000" w:sz="4" w:space="0"/>
            </w:tcBorders>
          </w:tcPr>
          <w:p w14:paraId="1DD51529">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-0.609 </w:t>
            </w:r>
          </w:p>
        </w:tc>
        <w:tc>
          <w:tcPr>
            <w:tcW w:w="988" w:type="dxa"/>
            <w:tcBorders>
              <w:top w:val="double" w:color="000000" w:sz="4" w:space="0"/>
              <w:left w:val="double" w:color="000000" w:sz="4" w:space="0"/>
              <w:bottom w:val="double" w:color="000000" w:sz="4" w:space="0"/>
              <w:right w:val="double" w:color="000000" w:sz="4" w:space="0"/>
            </w:tcBorders>
          </w:tcPr>
          <w:p w14:paraId="12997879">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1.084 </w:t>
            </w:r>
          </w:p>
        </w:tc>
        <w:tc>
          <w:tcPr>
            <w:tcW w:w="989" w:type="dxa"/>
            <w:tcBorders>
              <w:top w:val="double" w:color="000000" w:sz="4" w:space="0"/>
              <w:left w:val="double" w:color="000000" w:sz="4" w:space="0"/>
              <w:bottom w:val="double" w:color="000000" w:sz="4" w:space="0"/>
              <w:right w:val="double" w:color="000000" w:sz="4" w:space="0"/>
            </w:tcBorders>
          </w:tcPr>
          <w:p w14:paraId="24AF84BD">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-4.220 </w:t>
            </w:r>
          </w:p>
        </w:tc>
        <w:tc>
          <w:tcPr>
            <w:tcW w:w="989" w:type="dxa"/>
            <w:tcBorders>
              <w:top w:val="double" w:color="000000" w:sz="4" w:space="0"/>
              <w:left w:val="double" w:color="000000" w:sz="4" w:space="0"/>
              <w:bottom w:val="double" w:color="000000" w:sz="4" w:space="0"/>
              <w:right w:val="double" w:color="000000" w:sz="4" w:space="0"/>
            </w:tcBorders>
          </w:tcPr>
          <w:p w14:paraId="7C8404C6">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0.759 </w:t>
            </w:r>
          </w:p>
        </w:tc>
        <w:tc>
          <w:tcPr>
            <w:tcW w:w="988" w:type="dxa"/>
            <w:tcBorders>
              <w:top w:val="double" w:color="000000" w:sz="4" w:space="0"/>
              <w:left w:val="double" w:color="000000" w:sz="4" w:space="0"/>
              <w:bottom w:val="double" w:color="000000" w:sz="4" w:space="0"/>
              <w:right w:val="double" w:color="000000" w:sz="4" w:space="0"/>
            </w:tcBorders>
          </w:tcPr>
          <w:p w14:paraId="6FB81005">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-1.429 </w:t>
            </w:r>
          </w:p>
        </w:tc>
        <w:tc>
          <w:tcPr>
            <w:tcW w:w="1069" w:type="dxa"/>
            <w:tcBorders>
              <w:top w:val="double" w:color="000000" w:sz="4" w:space="0"/>
              <w:left w:val="double" w:color="000000" w:sz="4" w:space="0"/>
              <w:bottom w:val="double" w:color="000000" w:sz="4" w:space="0"/>
              <w:right w:val="double" w:color="000000" w:sz="4" w:space="0"/>
            </w:tcBorders>
          </w:tcPr>
          <w:p w14:paraId="034B85D5">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0.370 </w:t>
            </w:r>
          </w:p>
        </w:tc>
        <w:tc>
          <w:tcPr>
            <w:tcW w:w="618" w:type="dxa"/>
            <w:tcBorders>
              <w:top w:val="double" w:color="000000" w:sz="4" w:space="0"/>
              <w:left w:val="double" w:color="000000" w:sz="4" w:space="0"/>
              <w:bottom w:val="double" w:color="000000" w:sz="4" w:space="0"/>
              <w:right w:val="double" w:color="000000" w:sz="4" w:space="0"/>
            </w:tcBorders>
          </w:tcPr>
          <w:p w14:paraId="0359F328">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 </w:t>
            </w:r>
          </w:p>
        </w:tc>
      </w:tr>
      <w:tr w14:paraId="0D97608A">
        <w:tblPrEx>
          <w:tblCellMar>
            <w:top w:w="0" w:type="dxa"/>
            <w:left w:w="38" w:type="dxa"/>
            <w:bottom w:w="0" w:type="dxa"/>
            <w:right w:w="77" w:type="dxa"/>
          </w:tblCellMar>
        </w:tblPrEx>
        <w:trPr>
          <w:trHeight w:val="310" w:hRule="atLeast"/>
        </w:trPr>
        <w:tc>
          <w:tcPr>
            <w:tcW w:w="975" w:type="dxa"/>
            <w:tcBorders>
              <w:top w:val="double" w:color="000000" w:sz="4" w:space="0"/>
              <w:left w:val="double" w:color="000000" w:sz="4" w:space="0"/>
              <w:bottom w:val="double" w:color="000000" w:sz="4" w:space="0"/>
              <w:right w:val="double" w:color="000000" w:sz="4" w:space="0"/>
            </w:tcBorders>
          </w:tcPr>
          <w:p w14:paraId="0D05D902">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-3.897 </w:t>
            </w:r>
          </w:p>
        </w:tc>
        <w:tc>
          <w:tcPr>
            <w:tcW w:w="989" w:type="dxa"/>
            <w:tcBorders>
              <w:top w:val="double" w:color="000000" w:sz="4" w:space="0"/>
              <w:left w:val="double" w:color="000000" w:sz="4" w:space="0"/>
              <w:bottom w:val="double" w:color="000000" w:sz="4" w:space="0"/>
              <w:right w:val="double" w:color="000000" w:sz="4" w:space="0"/>
            </w:tcBorders>
          </w:tcPr>
          <w:p w14:paraId="3462E81F">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-3.414 </w:t>
            </w:r>
          </w:p>
        </w:tc>
        <w:tc>
          <w:tcPr>
            <w:tcW w:w="988" w:type="dxa"/>
            <w:tcBorders>
              <w:top w:val="double" w:color="000000" w:sz="4" w:space="0"/>
              <w:left w:val="double" w:color="000000" w:sz="4" w:space="0"/>
              <w:bottom w:val="double" w:color="000000" w:sz="4" w:space="0"/>
              <w:right w:val="double" w:color="000000" w:sz="4" w:space="0"/>
            </w:tcBorders>
          </w:tcPr>
          <w:p w14:paraId="516FCCE8">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10.156 </w:t>
            </w:r>
          </w:p>
        </w:tc>
        <w:tc>
          <w:tcPr>
            <w:tcW w:w="987" w:type="dxa"/>
            <w:tcBorders>
              <w:top w:val="double" w:color="000000" w:sz="4" w:space="0"/>
              <w:left w:val="double" w:color="000000" w:sz="4" w:space="0"/>
              <w:bottom w:val="double" w:color="000000" w:sz="4" w:space="0"/>
              <w:right w:val="double" w:color="000000" w:sz="4" w:space="0"/>
            </w:tcBorders>
          </w:tcPr>
          <w:p w14:paraId="4914C818">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-1.070 </w:t>
            </w:r>
          </w:p>
        </w:tc>
        <w:tc>
          <w:tcPr>
            <w:tcW w:w="1021" w:type="dxa"/>
            <w:tcBorders>
              <w:top w:val="double" w:color="000000" w:sz="4" w:space="0"/>
              <w:left w:val="double" w:color="000000" w:sz="4" w:space="0"/>
              <w:bottom w:val="double" w:color="000000" w:sz="4" w:space="0"/>
              <w:right w:val="double" w:color="000000" w:sz="4" w:space="0"/>
            </w:tcBorders>
          </w:tcPr>
          <w:p w14:paraId="3D4D20C7">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4.480 </w:t>
            </w:r>
          </w:p>
        </w:tc>
        <w:tc>
          <w:tcPr>
            <w:tcW w:w="988" w:type="dxa"/>
            <w:tcBorders>
              <w:top w:val="double" w:color="000000" w:sz="4" w:space="0"/>
              <w:left w:val="double" w:color="000000" w:sz="4" w:space="0"/>
              <w:bottom w:val="double" w:color="000000" w:sz="4" w:space="0"/>
              <w:right w:val="double" w:color="000000" w:sz="4" w:space="0"/>
            </w:tcBorders>
          </w:tcPr>
          <w:p w14:paraId="52EF46E3">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-2.298 </w:t>
            </w:r>
          </w:p>
        </w:tc>
        <w:tc>
          <w:tcPr>
            <w:tcW w:w="989" w:type="dxa"/>
            <w:tcBorders>
              <w:top w:val="double" w:color="000000" w:sz="4" w:space="0"/>
              <w:left w:val="double" w:color="000000" w:sz="4" w:space="0"/>
              <w:bottom w:val="double" w:color="000000" w:sz="4" w:space="0"/>
              <w:right w:val="double" w:color="000000" w:sz="4" w:space="0"/>
            </w:tcBorders>
          </w:tcPr>
          <w:p w14:paraId="407F4F14">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-2.611 </w:t>
            </w:r>
          </w:p>
        </w:tc>
        <w:tc>
          <w:tcPr>
            <w:tcW w:w="989" w:type="dxa"/>
            <w:tcBorders>
              <w:top w:val="double" w:color="000000" w:sz="4" w:space="0"/>
              <w:left w:val="double" w:color="000000" w:sz="4" w:space="0"/>
              <w:bottom w:val="double" w:color="000000" w:sz="4" w:space="0"/>
              <w:right w:val="double" w:color="000000" w:sz="4" w:space="0"/>
            </w:tcBorders>
          </w:tcPr>
          <w:p w14:paraId="6F097938">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-1.311 </w:t>
            </w:r>
          </w:p>
        </w:tc>
        <w:tc>
          <w:tcPr>
            <w:tcW w:w="988" w:type="dxa"/>
            <w:tcBorders>
              <w:top w:val="double" w:color="000000" w:sz="4" w:space="0"/>
              <w:left w:val="double" w:color="000000" w:sz="4" w:space="0"/>
              <w:bottom w:val="double" w:color="000000" w:sz="4" w:space="0"/>
              <w:right w:val="double" w:color="000000" w:sz="4" w:space="0"/>
            </w:tcBorders>
          </w:tcPr>
          <w:p w14:paraId="597C5A12">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-1.199 </w:t>
            </w:r>
          </w:p>
        </w:tc>
        <w:tc>
          <w:tcPr>
            <w:tcW w:w="1069" w:type="dxa"/>
            <w:tcBorders>
              <w:top w:val="double" w:color="000000" w:sz="4" w:space="0"/>
              <w:left w:val="double" w:color="000000" w:sz="4" w:space="0"/>
              <w:bottom w:val="double" w:color="000000" w:sz="4" w:space="0"/>
              <w:right w:val="double" w:color="000000" w:sz="4" w:space="0"/>
            </w:tcBorders>
          </w:tcPr>
          <w:p w14:paraId="129840C7">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0.062 </w:t>
            </w:r>
          </w:p>
        </w:tc>
        <w:tc>
          <w:tcPr>
            <w:tcW w:w="618" w:type="dxa"/>
            <w:tcBorders>
              <w:top w:val="double" w:color="000000" w:sz="4" w:space="0"/>
              <w:left w:val="double" w:color="000000" w:sz="4" w:space="0"/>
              <w:bottom w:val="double" w:color="000000" w:sz="4" w:space="0"/>
              <w:right w:val="double" w:color="000000" w:sz="4" w:space="0"/>
            </w:tcBorders>
          </w:tcPr>
          <w:p w14:paraId="75F9DCC5">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 </w:t>
            </w:r>
          </w:p>
        </w:tc>
      </w:tr>
      <w:tr w14:paraId="6E70B394">
        <w:tblPrEx>
          <w:tblCellMar>
            <w:top w:w="0" w:type="dxa"/>
            <w:left w:w="38" w:type="dxa"/>
            <w:bottom w:w="0" w:type="dxa"/>
            <w:right w:w="77" w:type="dxa"/>
          </w:tblCellMar>
        </w:tblPrEx>
        <w:trPr>
          <w:trHeight w:val="310" w:hRule="atLeast"/>
        </w:trPr>
        <w:tc>
          <w:tcPr>
            <w:tcW w:w="975" w:type="dxa"/>
            <w:tcBorders>
              <w:top w:val="double" w:color="000000" w:sz="4" w:space="0"/>
              <w:left w:val="double" w:color="000000" w:sz="4" w:space="0"/>
              <w:bottom w:val="double" w:color="000000" w:sz="4" w:space="0"/>
              <w:right w:val="double" w:color="000000" w:sz="4" w:space="0"/>
            </w:tcBorders>
          </w:tcPr>
          <w:p w14:paraId="035F4210">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-0.685 </w:t>
            </w:r>
          </w:p>
        </w:tc>
        <w:tc>
          <w:tcPr>
            <w:tcW w:w="989" w:type="dxa"/>
            <w:tcBorders>
              <w:top w:val="double" w:color="000000" w:sz="4" w:space="0"/>
              <w:left w:val="double" w:color="000000" w:sz="4" w:space="0"/>
              <w:bottom w:val="double" w:color="000000" w:sz="4" w:space="0"/>
              <w:right w:val="double" w:color="000000" w:sz="4" w:space="0"/>
            </w:tcBorders>
          </w:tcPr>
          <w:p w14:paraId="78760E91">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3.243 </w:t>
            </w:r>
          </w:p>
        </w:tc>
        <w:tc>
          <w:tcPr>
            <w:tcW w:w="988" w:type="dxa"/>
            <w:tcBorders>
              <w:top w:val="double" w:color="000000" w:sz="4" w:space="0"/>
              <w:left w:val="double" w:color="000000" w:sz="4" w:space="0"/>
              <w:bottom w:val="double" w:color="000000" w:sz="4" w:space="0"/>
              <w:right w:val="double" w:color="000000" w:sz="4" w:space="0"/>
            </w:tcBorders>
          </w:tcPr>
          <w:p w14:paraId="6419B7B3">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-5.078 </w:t>
            </w:r>
          </w:p>
        </w:tc>
        <w:tc>
          <w:tcPr>
            <w:tcW w:w="987" w:type="dxa"/>
            <w:tcBorders>
              <w:top w:val="double" w:color="000000" w:sz="4" w:space="0"/>
              <w:left w:val="double" w:color="000000" w:sz="4" w:space="0"/>
              <w:bottom w:val="double" w:color="000000" w:sz="4" w:space="0"/>
              <w:right w:val="double" w:color="000000" w:sz="4" w:space="0"/>
            </w:tcBorders>
          </w:tcPr>
          <w:p w14:paraId="49A944F0">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-0.017 </w:t>
            </w:r>
          </w:p>
        </w:tc>
        <w:tc>
          <w:tcPr>
            <w:tcW w:w="1021" w:type="dxa"/>
            <w:tcBorders>
              <w:top w:val="double" w:color="000000" w:sz="4" w:space="0"/>
              <w:left w:val="double" w:color="000000" w:sz="4" w:space="0"/>
              <w:bottom w:val="double" w:color="000000" w:sz="4" w:space="0"/>
              <w:right w:val="double" w:color="000000" w:sz="4" w:space="0"/>
            </w:tcBorders>
          </w:tcPr>
          <w:p w14:paraId="7DC68F23">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-1.559 </w:t>
            </w:r>
          </w:p>
        </w:tc>
        <w:tc>
          <w:tcPr>
            <w:tcW w:w="988" w:type="dxa"/>
            <w:tcBorders>
              <w:top w:val="double" w:color="000000" w:sz="4" w:space="0"/>
              <w:left w:val="double" w:color="000000" w:sz="4" w:space="0"/>
              <w:bottom w:val="double" w:color="000000" w:sz="4" w:space="0"/>
              <w:right w:val="double" w:color="000000" w:sz="4" w:space="0"/>
            </w:tcBorders>
          </w:tcPr>
          <w:p w14:paraId="456E3DC1">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-0.045 </w:t>
            </w:r>
          </w:p>
        </w:tc>
        <w:tc>
          <w:tcPr>
            <w:tcW w:w="989" w:type="dxa"/>
            <w:tcBorders>
              <w:top w:val="double" w:color="000000" w:sz="4" w:space="0"/>
              <w:left w:val="double" w:color="000000" w:sz="4" w:space="0"/>
              <w:bottom w:val="double" w:color="000000" w:sz="4" w:space="0"/>
              <w:right w:val="double" w:color="000000" w:sz="4" w:space="0"/>
            </w:tcBorders>
          </w:tcPr>
          <w:p w14:paraId="314401B0">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-0.532 </w:t>
            </w:r>
          </w:p>
        </w:tc>
        <w:tc>
          <w:tcPr>
            <w:tcW w:w="989" w:type="dxa"/>
            <w:tcBorders>
              <w:top w:val="double" w:color="000000" w:sz="4" w:space="0"/>
              <w:left w:val="double" w:color="000000" w:sz="4" w:space="0"/>
              <w:bottom w:val="double" w:color="000000" w:sz="4" w:space="0"/>
              <w:right w:val="double" w:color="000000" w:sz="4" w:space="0"/>
            </w:tcBorders>
          </w:tcPr>
          <w:p w14:paraId="190177FC">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-1.100 </w:t>
            </w:r>
          </w:p>
        </w:tc>
        <w:tc>
          <w:tcPr>
            <w:tcW w:w="988" w:type="dxa"/>
            <w:tcBorders>
              <w:top w:val="double" w:color="000000" w:sz="4" w:space="0"/>
              <w:left w:val="double" w:color="000000" w:sz="4" w:space="0"/>
              <w:bottom w:val="double" w:color="000000" w:sz="4" w:space="0"/>
              <w:right w:val="double" w:color="000000" w:sz="4" w:space="0"/>
            </w:tcBorders>
          </w:tcPr>
          <w:p w14:paraId="6864B71E">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0.657 </w:t>
            </w:r>
          </w:p>
        </w:tc>
        <w:tc>
          <w:tcPr>
            <w:tcW w:w="1069" w:type="dxa"/>
            <w:tcBorders>
              <w:top w:val="double" w:color="000000" w:sz="4" w:space="0"/>
              <w:left w:val="double" w:color="000000" w:sz="4" w:space="0"/>
              <w:bottom w:val="double" w:color="000000" w:sz="4" w:space="0"/>
              <w:right w:val="double" w:color="000000" w:sz="4" w:space="0"/>
            </w:tcBorders>
          </w:tcPr>
          <w:p w14:paraId="7AD1D90E">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1.605 </w:t>
            </w:r>
          </w:p>
        </w:tc>
        <w:tc>
          <w:tcPr>
            <w:tcW w:w="618" w:type="dxa"/>
            <w:tcBorders>
              <w:top w:val="double" w:color="000000" w:sz="4" w:space="0"/>
              <w:left w:val="double" w:color="000000" w:sz="4" w:space="0"/>
              <w:bottom w:val="double" w:color="000000" w:sz="4" w:space="0"/>
              <w:right w:val="double" w:color="000000" w:sz="4" w:space="0"/>
            </w:tcBorders>
          </w:tcPr>
          <w:p w14:paraId="5F80E226">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 </w:t>
            </w:r>
          </w:p>
        </w:tc>
      </w:tr>
      <w:tr w14:paraId="2340EF8C">
        <w:tblPrEx>
          <w:tblCellMar>
            <w:top w:w="0" w:type="dxa"/>
            <w:left w:w="38" w:type="dxa"/>
            <w:bottom w:w="0" w:type="dxa"/>
            <w:right w:w="77" w:type="dxa"/>
          </w:tblCellMar>
        </w:tblPrEx>
        <w:trPr>
          <w:trHeight w:val="311" w:hRule="atLeast"/>
        </w:trPr>
        <w:tc>
          <w:tcPr>
            <w:tcW w:w="975" w:type="dxa"/>
            <w:tcBorders>
              <w:top w:val="double" w:color="000000" w:sz="4" w:space="0"/>
              <w:left w:val="double" w:color="000000" w:sz="4" w:space="0"/>
              <w:bottom w:val="double" w:color="000000" w:sz="4" w:space="0"/>
              <w:right w:val="double" w:color="000000" w:sz="4" w:space="0"/>
            </w:tcBorders>
          </w:tcPr>
          <w:p w14:paraId="74A6248E">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-2.423 </w:t>
            </w:r>
          </w:p>
        </w:tc>
        <w:tc>
          <w:tcPr>
            <w:tcW w:w="989" w:type="dxa"/>
            <w:tcBorders>
              <w:top w:val="double" w:color="000000" w:sz="4" w:space="0"/>
              <w:left w:val="double" w:color="000000" w:sz="4" w:space="0"/>
              <w:bottom w:val="double" w:color="000000" w:sz="4" w:space="0"/>
              <w:right w:val="double" w:color="000000" w:sz="4" w:space="0"/>
            </w:tcBorders>
          </w:tcPr>
          <w:p w14:paraId="24D55C17">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-0.430 </w:t>
            </w:r>
          </w:p>
        </w:tc>
        <w:tc>
          <w:tcPr>
            <w:tcW w:w="988" w:type="dxa"/>
            <w:tcBorders>
              <w:top w:val="double" w:color="000000" w:sz="4" w:space="0"/>
              <w:left w:val="double" w:color="000000" w:sz="4" w:space="0"/>
              <w:bottom w:val="double" w:color="000000" w:sz="4" w:space="0"/>
              <w:right w:val="double" w:color="000000" w:sz="4" w:space="0"/>
            </w:tcBorders>
          </w:tcPr>
          <w:p w14:paraId="283AA59D">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0.324 </w:t>
            </w:r>
          </w:p>
        </w:tc>
        <w:tc>
          <w:tcPr>
            <w:tcW w:w="987" w:type="dxa"/>
            <w:tcBorders>
              <w:top w:val="double" w:color="000000" w:sz="4" w:space="0"/>
              <w:left w:val="double" w:color="000000" w:sz="4" w:space="0"/>
              <w:bottom w:val="double" w:color="000000" w:sz="4" w:space="0"/>
              <w:right w:val="double" w:color="000000" w:sz="4" w:space="0"/>
            </w:tcBorders>
          </w:tcPr>
          <w:p w14:paraId="6CF047E8">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-0.774 </w:t>
            </w:r>
          </w:p>
        </w:tc>
        <w:tc>
          <w:tcPr>
            <w:tcW w:w="1021" w:type="dxa"/>
            <w:tcBorders>
              <w:top w:val="double" w:color="000000" w:sz="4" w:space="0"/>
              <w:left w:val="double" w:color="000000" w:sz="4" w:space="0"/>
              <w:bottom w:val="double" w:color="000000" w:sz="4" w:space="0"/>
              <w:right w:val="double" w:color="000000" w:sz="4" w:space="0"/>
            </w:tcBorders>
          </w:tcPr>
          <w:p w14:paraId="5903813F">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0.125 </w:t>
            </w:r>
          </w:p>
        </w:tc>
        <w:tc>
          <w:tcPr>
            <w:tcW w:w="988" w:type="dxa"/>
            <w:tcBorders>
              <w:top w:val="double" w:color="000000" w:sz="4" w:space="0"/>
              <w:left w:val="double" w:color="000000" w:sz="4" w:space="0"/>
              <w:bottom w:val="double" w:color="000000" w:sz="4" w:space="0"/>
              <w:right w:val="double" w:color="000000" w:sz="4" w:space="0"/>
            </w:tcBorders>
          </w:tcPr>
          <w:p w14:paraId="7682325D">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-0.408 </w:t>
            </w:r>
          </w:p>
        </w:tc>
        <w:tc>
          <w:tcPr>
            <w:tcW w:w="989" w:type="dxa"/>
            <w:tcBorders>
              <w:top w:val="double" w:color="000000" w:sz="4" w:space="0"/>
              <w:left w:val="double" w:color="000000" w:sz="4" w:space="0"/>
              <w:bottom w:val="double" w:color="000000" w:sz="4" w:space="0"/>
              <w:right w:val="double" w:color="000000" w:sz="4" w:space="0"/>
            </w:tcBorders>
          </w:tcPr>
          <w:p w14:paraId="7BD309E0">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-2.544 </w:t>
            </w:r>
          </w:p>
        </w:tc>
        <w:tc>
          <w:tcPr>
            <w:tcW w:w="989" w:type="dxa"/>
            <w:tcBorders>
              <w:top w:val="double" w:color="000000" w:sz="4" w:space="0"/>
              <w:left w:val="double" w:color="000000" w:sz="4" w:space="0"/>
              <w:bottom w:val="double" w:color="000000" w:sz="4" w:space="0"/>
              <w:right w:val="double" w:color="000000" w:sz="4" w:space="0"/>
            </w:tcBorders>
          </w:tcPr>
          <w:p w14:paraId="6A2ECC63">
            <w:pPr>
              <w:spacing w:after="0" w:line="240" w:lineRule="auto"/>
              <w:ind w:left="1"/>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-1.763 </w:t>
            </w:r>
          </w:p>
        </w:tc>
        <w:tc>
          <w:tcPr>
            <w:tcW w:w="988" w:type="dxa"/>
            <w:tcBorders>
              <w:top w:val="double" w:color="000000" w:sz="4" w:space="0"/>
              <w:left w:val="double" w:color="000000" w:sz="4" w:space="0"/>
              <w:bottom w:val="double" w:color="000000" w:sz="4" w:space="0"/>
              <w:right w:val="double" w:color="000000" w:sz="4" w:space="0"/>
            </w:tcBorders>
          </w:tcPr>
          <w:p w14:paraId="2063CF1A">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-0.557 </w:t>
            </w:r>
          </w:p>
        </w:tc>
        <w:tc>
          <w:tcPr>
            <w:tcW w:w="1069" w:type="dxa"/>
            <w:tcBorders>
              <w:top w:val="double" w:color="000000" w:sz="4" w:space="0"/>
              <w:left w:val="double" w:color="000000" w:sz="4" w:space="0"/>
              <w:bottom w:val="double" w:color="000000" w:sz="4" w:space="0"/>
              <w:right w:val="double" w:color="000000" w:sz="4" w:space="0"/>
            </w:tcBorders>
          </w:tcPr>
          <w:p w14:paraId="300CE9D2">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2.943 </w:t>
            </w:r>
          </w:p>
        </w:tc>
        <w:tc>
          <w:tcPr>
            <w:tcW w:w="618" w:type="dxa"/>
            <w:tcBorders>
              <w:top w:val="double" w:color="000000" w:sz="4" w:space="0"/>
              <w:left w:val="double" w:color="000000" w:sz="4" w:space="0"/>
              <w:bottom w:val="double" w:color="000000" w:sz="4" w:space="0"/>
              <w:right w:val="double" w:color="000000" w:sz="4" w:space="0"/>
            </w:tcBorders>
          </w:tcPr>
          <w:p w14:paraId="7A72DACD">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 </w:t>
            </w:r>
          </w:p>
        </w:tc>
      </w:tr>
    </w:tbl>
    <w:p w14:paraId="0D3298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69026A99">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B.</w:t>
      </w:r>
      <w:r>
        <w:rPr>
          <w:rFonts w:ascii="Times New Roman" w:hAnsi="Times New Roman" w:eastAsia="Arial" w:cs="Times New Roman"/>
          <w:b/>
          <w:sz w:val="20"/>
          <w:szCs w:val="20"/>
        </w:rPr>
        <w:t xml:space="preserve"> </w:t>
      </w:r>
      <w:r>
        <w:rPr>
          <w:rFonts w:ascii="Times New Roman" w:hAnsi="Times New Roman" w:eastAsia="Times New Roman" w:cs="Times New Roman"/>
          <w:b/>
          <w:sz w:val="20"/>
          <w:szCs w:val="20"/>
        </w:rPr>
        <w:t xml:space="preserve"> Model Evaluation and Confusion Matrix Analysis </w:t>
      </w:r>
    </w:p>
    <w:p w14:paraId="5FCDF39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performance of the predictive models was evaluated using confusion matrices, which illustrate the relationship between the actual and predicted class labels (see Figure 4). The following sections present a detailed interpretation of each model.</w:t>
      </w:r>
    </w:p>
    <w:p w14:paraId="1CC0562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eastAsia="Times New Roman" w:cs="Times New Roman"/>
          <w:b/>
          <w:sz w:val="20"/>
          <w:szCs w:val="20"/>
        </w:rPr>
        <w:t xml:space="preserve">i.  Logistic Regression </w:t>
      </w:r>
    </w:p>
    <w:p w14:paraId="19B62FEC">
      <w:pPr>
        <w:spacing w:after="0" w:line="240" w:lineRule="auto"/>
        <w:jc w:val="center"/>
        <w:rPr>
          <w:rFonts w:ascii="Times New Roman" w:hAnsi="Times New Roman" w:cs="Times New Roman"/>
          <w:sz w:val="20"/>
          <w:szCs w:val="20"/>
        </w:rPr>
      </w:pPr>
      <w:r>
        <w:rPr>
          <w:rFonts w:ascii="Times New Roman" w:hAnsi="Times New Roman" w:eastAsia="Calibri" w:cs="Times New Roman"/>
          <w:sz w:val="20"/>
          <w:szCs w:val="20"/>
          <w:lang w:val="en-US"/>
        </w:rPr>
        <w:drawing>
          <wp:inline distT="0" distB="0" distL="0" distR="0">
            <wp:extent cx="3441065" cy="2078355"/>
            <wp:effectExtent l="0" t="0" r="0" b="0"/>
            <wp:docPr id="21089" name="Picture 21089"/>
            <wp:cNvGraphicFramePr/>
            <a:graphic xmlns:a="http://schemas.openxmlformats.org/drawingml/2006/main">
              <a:graphicData uri="http://schemas.openxmlformats.org/drawingml/2006/picture">
                <pic:pic xmlns:pic="http://schemas.openxmlformats.org/drawingml/2006/picture">
                  <pic:nvPicPr>
                    <pic:cNvPr id="21089" name="Picture 21089"/>
                    <pic:cNvPicPr/>
                  </pic:nvPicPr>
                  <pic:blipFill>
                    <a:blip r:embed="rId14"/>
                    <a:stretch>
                      <a:fillRect/>
                    </a:stretch>
                  </pic:blipFill>
                  <pic:spPr>
                    <a:xfrm>
                      <a:off x="0" y="0"/>
                      <a:ext cx="3441192" cy="2078736"/>
                    </a:xfrm>
                    <a:prstGeom prst="rect">
                      <a:avLst/>
                    </a:prstGeom>
                  </pic:spPr>
                </pic:pic>
              </a:graphicData>
            </a:graphic>
          </wp:inline>
        </w:drawing>
      </w:r>
    </w:p>
    <w:p w14:paraId="7D594014">
      <w:pPr>
        <w:spacing w:after="0" w:line="240" w:lineRule="auto"/>
        <w:ind w:left="360" w:right="3420" w:firstLine="3157"/>
        <w:jc w:val="both"/>
        <w:rPr>
          <w:rFonts w:ascii="Times New Roman" w:hAnsi="Times New Roman" w:cs="Times New Roman"/>
          <w:sz w:val="20"/>
          <w:szCs w:val="20"/>
        </w:rPr>
      </w:pPr>
      <w:r>
        <w:rPr>
          <w:rFonts w:ascii="Times New Roman" w:hAnsi="Times New Roman" w:cs="Times New Roman"/>
          <w:sz w:val="20"/>
          <w:szCs w:val="20"/>
        </w:rPr>
        <w:t>Figure 4: Confusion Matrix Summary</w:t>
      </w:r>
      <w:r>
        <w:rPr>
          <w:rFonts w:ascii="Times New Roman" w:hAnsi="Times New Roman" w:eastAsia="Times New Roman" w:cs="Times New Roman"/>
          <w:b/>
          <w:sz w:val="20"/>
          <w:szCs w:val="20"/>
        </w:rPr>
        <w:t xml:space="preserve"> </w:t>
      </w:r>
      <w:r>
        <w:rPr>
          <w:rFonts w:ascii="Times New Roman" w:hAnsi="Times New Roman" w:eastAsia="Segoe UI Symbol" w:cs="Times New Roman"/>
          <w:sz w:val="20"/>
          <w:szCs w:val="20"/>
        </w:rPr>
        <w:t></w:t>
      </w:r>
      <w:r>
        <w:rPr>
          <w:rFonts w:ascii="Times New Roman" w:hAnsi="Times New Roman" w:eastAsia="Arial" w:cs="Times New Roman"/>
          <w:sz w:val="20"/>
          <w:szCs w:val="20"/>
        </w:rPr>
        <w:t xml:space="preserve"> </w:t>
      </w:r>
      <w:r>
        <w:rPr>
          <w:rFonts w:ascii="Times New Roman" w:hAnsi="Times New Roman" w:eastAsia="Arial" w:cs="Times New Roman"/>
          <w:sz w:val="20"/>
          <w:szCs w:val="20"/>
        </w:rPr>
        <w:tab/>
      </w:r>
      <w:r>
        <w:rPr>
          <w:rFonts w:ascii="Times New Roman" w:hAnsi="Times New Roman" w:cs="Times New Roman"/>
          <w:sz w:val="20"/>
          <w:szCs w:val="20"/>
        </w:rPr>
        <w:t xml:space="preserve">True Negatives (TN): 198 – correctly identified non-risk instances. </w:t>
      </w:r>
    </w:p>
    <w:p w14:paraId="63FC4D2E">
      <w:pPr>
        <w:numPr>
          <w:ilvl w:val="0"/>
          <w:numId w:val="11"/>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False Positives (FP): 12 – non-risk cases incorrectly predicted as risk. </w:t>
      </w:r>
    </w:p>
    <w:p w14:paraId="6129B8BF">
      <w:pPr>
        <w:numPr>
          <w:ilvl w:val="0"/>
          <w:numId w:val="11"/>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False Negatives (FN): 31 – risk cases incorrectly classified as non-risk. </w:t>
      </w:r>
      <w:r>
        <w:rPr>
          <w:rFonts w:ascii="Times New Roman" w:hAnsi="Times New Roman" w:eastAsia="Segoe UI Symbol" w:cs="Times New Roman"/>
          <w:sz w:val="20"/>
          <w:szCs w:val="20"/>
        </w:rPr>
        <w:t></w:t>
      </w:r>
      <w:r>
        <w:rPr>
          <w:rFonts w:ascii="Times New Roman" w:hAnsi="Times New Roman" w:eastAsia="Arial" w:cs="Times New Roman"/>
          <w:sz w:val="20"/>
          <w:szCs w:val="20"/>
        </w:rPr>
        <w:t xml:space="preserve"> </w:t>
      </w:r>
      <w:r>
        <w:rPr>
          <w:rFonts w:ascii="Times New Roman" w:hAnsi="Times New Roman" w:eastAsia="Arial" w:cs="Times New Roman"/>
          <w:sz w:val="20"/>
          <w:szCs w:val="20"/>
        </w:rPr>
        <w:tab/>
      </w:r>
      <w:r>
        <w:rPr>
          <w:rFonts w:ascii="Times New Roman" w:hAnsi="Times New Roman" w:cs="Times New Roman"/>
          <w:sz w:val="20"/>
          <w:szCs w:val="20"/>
        </w:rPr>
        <w:t xml:space="preserve">True Positives (TP): 59 – correctly identified risk cases. </w:t>
      </w:r>
    </w:p>
    <w:p w14:paraId="18A16BD4">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Discussion:</w:t>
      </w:r>
      <w:r>
        <w:rPr>
          <w:rFonts w:ascii="Times New Roman" w:hAnsi="Times New Roman" w:cs="Times New Roman"/>
          <w:sz w:val="20"/>
          <w:szCs w:val="20"/>
        </w:rPr>
        <w:t xml:space="preserve"> </w:t>
      </w:r>
    </w:p>
    <w:p w14:paraId="3B4D4A2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Logistic Regression demonstrates reasonable performance in identifying non-risk cases (Class 0). However, the relatively high False Negative count (31) results in lower Recall for the positive class. In financial risk management, undetected risks can be costly; thus, while the model provides a baseline, it is not robust enough for high-stakes risk prediction.</w:t>
      </w:r>
    </w:p>
    <w:p w14:paraId="03B261D6">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ii.  Random Forest </w:t>
      </w:r>
    </w:p>
    <w:p w14:paraId="6D5FFC99">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drawing>
          <wp:inline distT="0" distB="0" distL="0" distR="0">
            <wp:extent cx="3190875" cy="2067560"/>
            <wp:effectExtent l="0" t="0" r="0" b="0"/>
            <wp:docPr id="2450" name="Picture 2450"/>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15"/>
                    <a:stretch>
                      <a:fillRect/>
                    </a:stretch>
                  </pic:blipFill>
                  <pic:spPr>
                    <a:xfrm>
                      <a:off x="0" y="0"/>
                      <a:ext cx="3191256" cy="2068068"/>
                    </a:xfrm>
                    <a:prstGeom prst="rect">
                      <a:avLst/>
                    </a:prstGeom>
                  </pic:spPr>
                </pic:pic>
              </a:graphicData>
            </a:graphic>
          </wp:inline>
        </w:drawing>
      </w:r>
    </w:p>
    <w:p w14:paraId="166A59B8">
      <w:pPr>
        <w:spacing w:after="0" w:line="240" w:lineRule="auto"/>
        <w:ind w:left="360" w:right="3545" w:firstLine="3281"/>
        <w:jc w:val="both"/>
        <w:rPr>
          <w:rFonts w:ascii="Times New Roman" w:hAnsi="Times New Roman" w:cs="Times New Roman"/>
          <w:sz w:val="20"/>
          <w:szCs w:val="20"/>
        </w:rPr>
      </w:pPr>
      <w:r>
        <w:rPr>
          <w:rFonts w:ascii="Times New Roman" w:hAnsi="Times New Roman" w:cs="Times New Roman"/>
          <w:sz w:val="20"/>
          <w:szCs w:val="20"/>
        </w:rPr>
        <w:t>Figure 5: Confusion Matrix for RF</w:t>
      </w:r>
      <w:r>
        <w:rPr>
          <w:rFonts w:ascii="Times New Roman" w:hAnsi="Times New Roman" w:eastAsia="Times New Roman" w:cs="Times New Roman"/>
          <w:b/>
          <w:sz w:val="20"/>
          <w:szCs w:val="20"/>
        </w:rPr>
        <w:t xml:space="preserve"> </w:t>
      </w:r>
      <w:r>
        <w:rPr>
          <w:rFonts w:ascii="Times New Roman" w:hAnsi="Times New Roman" w:eastAsia="Segoe UI Symbol" w:cs="Times New Roman"/>
          <w:sz w:val="20"/>
          <w:szCs w:val="20"/>
        </w:rPr>
        <w:t></w:t>
      </w:r>
      <w:r>
        <w:rPr>
          <w:rFonts w:ascii="Times New Roman" w:hAnsi="Times New Roman" w:eastAsia="Arial" w:cs="Times New Roman"/>
          <w:sz w:val="20"/>
          <w:szCs w:val="20"/>
        </w:rPr>
        <w:t xml:space="preserve"> </w:t>
      </w:r>
      <w:r>
        <w:rPr>
          <w:rFonts w:ascii="Times New Roman" w:hAnsi="Times New Roman" w:eastAsia="Arial" w:cs="Times New Roman"/>
          <w:sz w:val="20"/>
          <w:szCs w:val="20"/>
        </w:rPr>
        <w:tab/>
      </w:r>
      <w:r>
        <w:rPr>
          <w:rFonts w:ascii="Times New Roman" w:hAnsi="Times New Roman" w:cs="Times New Roman"/>
          <w:sz w:val="20"/>
          <w:szCs w:val="20"/>
        </w:rPr>
        <w:t xml:space="preserve">True Negatives (TN): 201 – improved detection of non-risk cases. </w:t>
      </w:r>
    </w:p>
    <w:p w14:paraId="09009D1F">
      <w:pPr>
        <w:numPr>
          <w:ilvl w:val="0"/>
          <w:numId w:val="11"/>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False Positives (FP): 9 – reduced false alarms compared to Logistic Regression. </w:t>
      </w:r>
    </w:p>
    <w:p w14:paraId="7798675B">
      <w:pPr>
        <w:numPr>
          <w:ilvl w:val="0"/>
          <w:numId w:val="11"/>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False Negatives (FN): 20 – fewer missed risk cases. </w:t>
      </w:r>
    </w:p>
    <w:p w14:paraId="2CC1F7A2">
      <w:pPr>
        <w:numPr>
          <w:ilvl w:val="0"/>
          <w:numId w:val="11"/>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True Positives (TP): 70 – correctly identified risk cases. </w:t>
      </w:r>
    </w:p>
    <w:p w14:paraId="2845D925">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Discussion:</w:t>
      </w:r>
      <w:r>
        <w:rPr>
          <w:rFonts w:ascii="Times New Roman" w:hAnsi="Times New Roman" w:cs="Times New Roman"/>
          <w:sz w:val="20"/>
          <w:szCs w:val="20"/>
        </w:rPr>
        <w:t xml:space="preserve"> </w:t>
      </w:r>
    </w:p>
    <w:p w14:paraId="1AA82B5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Random Forest in figure 5 exhibits a better balance between sensitivity and specificity. By reducing False Negatives to 20, the model demonstrates higher reliability in detecting financial risks. Its ensemble approach captures complex non-linear patterns that the linear Logistic Regression model misses. </w:t>
      </w:r>
    </w:p>
    <w:p w14:paraId="4094A790">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 xml:space="preserve"> </w:t>
      </w:r>
    </w:p>
    <w:p w14:paraId="21ED272A">
      <w:pPr>
        <w:spacing w:after="0" w:line="240" w:lineRule="auto"/>
        <w:ind w:right="2658"/>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iii. Gradient Boosting </w:t>
      </w:r>
    </w:p>
    <w:p w14:paraId="220446A8">
      <w:pPr>
        <w:spacing w:after="0" w:line="240" w:lineRule="auto"/>
        <w:jc w:val="center"/>
        <w:rPr>
          <w:rFonts w:ascii="Times New Roman" w:hAnsi="Times New Roman" w:cs="Times New Roman"/>
          <w:sz w:val="20"/>
          <w:szCs w:val="20"/>
        </w:rPr>
      </w:pPr>
      <w:r>
        <w:rPr>
          <w:rFonts w:ascii="Times New Roman" w:hAnsi="Times New Roman" w:eastAsia="Calibri" w:cs="Times New Roman"/>
          <w:sz w:val="20"/>
          <w:szCs w:val="20"/>
          <w:lang w:val="en-US"/>
        </w:rPr>
        <w:drawing>
          <wp:inline distT="0" distB="0" distL="0" distR="0">
            <wp:extent cx="3078480" cy="2020570"/>
            <wp:effectExtent l="0" t="0" r="0" b="0"/>
            <wp:docPr id="21187" name="Picture 21187"/>
            <wp:cNvGraphicFramePr/>
            <a:graphic xmlns:a="http://schemas.openxmlformats.org/drawingml/2006/main">
              <a:graphicData uri="http://schemas.openxmlformats.org/drawingml/2006/picture">
                <pic:pic xmlns:pic="http://schemas.openxmlformats.org/drawingml/2006/picture">
                  <pic:nvPicPr>
                    <pic:cNvPr id="21187" name="Picture 21187"/>
                    <pic:cNvPicPr/>
                  </pic:nvPicPr>
                  <pic:blipFill>
                    <a:blip r:embed="rId16"/>
                    <a:stretch>
                      <a:fillRect/>
                    </a:stretch>
                  </pic:blipFill>
                  <pic:spPr>
                    <a:xfrm>
                      <a:off x="0" y="0"/>
                      <a:ext cx="3078480" cy="2020824"/>
                    </a:xfrm>
                    <a:prstGeom prst="rect">
                      <a:avLst/>
                    </a:prstGeom>
                  </pic:spPr>
                </pic:pic>
              </a:graphicData>
            </a:graphic>
          </wp:inline>
        </w:drawing>
      </w:r>
    </w:p>
    <w:p w14:paraId="0FAC41E3">
      <w:pPr>
        <w:spacing w:after="0" w:line="240" w:lineRule="auto"/>
        <w:ind w:left="360" w:right="3531"/>
        <w:jc w:val="both"/>
        <w:rPr>
          <w:rFonts w:ascii="Times New Roman" w:hAnsi="Times New Roman" w:eastAsia="Times New Roman" w:cs="Times New Roman"/>
          <w:b/>
          <w:sz w:val="20"/>
          <w:szCs w:val="20"/>
        </w:rPr>
      </w:pPr>
      <w:r>
        <w:rPr>
          <w:rFonts w:ascii="Times New Roman" w:hAnsi="Times New Roman" w:cs="Times New Roman"/>
          <w:sz w:val="20"/>
          <w:szCs w:val="20"/>
        </w:rPr>
        <w:t>Figure 6: Confusion Matrix for GB</w:t>
      </w:r>
      <w:r>
        <w:rPr>
          <w:rFonts w:ascii="Times New Roman" w:hAnsi="Times New Roman" w:eastAsia="Times New Roman" w:cs="Times New Roman"/>
          <w:b/>
          <w:sz w:val="20"/>
          <w:szCs w:val="20"/>
        </w:rPr>
        <w:t xml:space="preserve"> </w:t>
      </w:r>
    </w:p>
    <w:p w14:paraId="1917710D">
      <w:pPr>
        <w:pStyle w:val="3"/>
        <w:numPr>
          <w:ilvl w:val="0"/>
          <w:numId w:val="12"/>
        </w:numPr>
        <w:spacing w:after="0" w:line="240" w:lineRule="auto"/>
        <w:ind w:right="-2"/>
        <w:jc w:val="both"/>
        <w:rPr>
          <w:rFonts w:ascii="Times New Roman" w:hAnsi="Times New Roman" w:cs="Times New Roman"/>
          <w:sz w:val="20"/>
          <w:szCs w:val="20"/>
        </w:rPr>
      </w:pPr>
      <w:r>
        <w:rPr>
          <w:rFonts w:ascii="Times New Roman" w:hAnsi="Times New Roman" w:cs="Times New Roman"/>
          <w:sz w:val="20"/>
          <w:szCs w:val="20"/>
        </w:rPr>
        <w:t xml:space="preserve">True Negatives (TN): 203 – highest correct negative predictions. </w:t>
      </w:r>
    </w:p>
    <w:p w14:paraId="3358C748">
      <w:pPr>
        <w:numPr>
          <w:ilvl w:val="0"/>
          <w:numId w:val="1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False Positives (FP): 7 – lowest rate of false alarms. </w:t>
      </w:r>
    </w:p>
    <w:p w14:paraId="6FE1DA8A">
      <w:pPr>
        <w:numPr>
          <w:ilvl w:val="0"/>
          <w:numId w:val="1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False Negatives (FN): 18 – fewest missed risk cases. </w:t>
      </w:r>
    </w:p>
    <w:p w14:paraId="4689C19D">
      <w:pPr>
        <w:numPr>
          <w:ilvl w:val="0"/>
          <w:numId w:val="1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True Positives (TP): 72 – highest number of correctly identified risk cases. </w:t>
      </w:r>
    </w:p>
    <w:p w14:paraId="2DD58A04">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Discussion:</w:t>
      </w:r>
      <w:r>
        <w:rPr>
          <w:rFonts w:ascii="Times New Roman" w:hAnsi="Times New Roman" w:cs="Times New Roman"/>
          <w:sz w:val="20"/>
          <w:szCs w:val="20"/>
        </w:rPr>
        <w:t xml:space="preserve"> </w:t>
      </w:r>
    </w:p>
    <w:p w14:paraId="6F1F74E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Gradient Boosting in figure 6 achieved the optimal trade-off between precision and recall. With the lowest False Negatives and highest True Positives, it is the most robust model for financial risk prediction. Its ability to minimize both types of errors suggests effective generalization of underlying data patterns. </w:t>
      </w:r>
    </w:p>
    <w:p w14:paraId="741C7718">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 xml:space="preserve">iv.  Support Vector Machine (SVM) </w:t>
      </w:r>
    </w:p>
    <w:p w14:paraId="0311C40A">
      <w:pPr>
        <w:spacing w:after="0" w:line="240" w:lineRule="auto"/>
        <w:jc w:val="center"/>
        <w:rPr>
          <w:rFonts w:ascii="Times New Roman" w:hAnsi="Times New Roman" w:cs="Times New Roman"/>
          <w:sz w:val="20"/>
          <w:szCs w:val="20"/>
        </w:rPr>
      </w:pPr>
      <w:r>
        <w:rPr>
          <w:rFonts w:ascii="Times New Roman" w:hAnsi="Times New Roman" w:eastAsia="Calibri" w:cs="Times New Roman"/>
          <w:sz w:val="20"/>
          <w:szCs w:val="20"/>
          <w:lang w:val="en-US"/>
        </w:rPr>
        <w:drawing>
          <wp:inline distT="0" distB="0" distL="0" distR="0">
            <wp:extent cx="3139440" cy="2181860"/>
            <wp:effectExtent l="0" t="0" r="0" b="0"/>
            <wp:docPr id="21188" name="Picture 21188"/>
            <wp:cNvGraphicFramePr/>
            <a:graphic xmlns:a="http://schemas.openxmlformats.org/drawingml/2006/main">
              <a:graphicData uri="http://schemas.openxmlformats.org/drawingml/2006/picture">
                <pic:pic xmlns:pic="http://schemas.openxmlformats.org/drawingml/2006/picture">
                  <pic:nvPicPr>
                    <pic:cNvPr id="21188" name="Picture 21188"/>
                    <pic:cNvPicPr/>
                  </pic:nvPicPr>
                  <pic:blipFill>
                    <a:blip r:embed="rId17"/>
                    <a:stretch>
                      <a:fillRect/>
                    </a:stretch>
                  </pic:blipFill>
                  <pic:spPr>
                    <a:xfrm>
                      <a:off x="0" y="0"/>
                      <a:ext cx="3139440" cy="2182368"/>
                    </a:xfrm>
                    <a:prstGeom prst="rect">
                      <a:avLst/>
                    </a:prstGeom>
                  </pic:spPr>
                </pic:pic>
              </a:graphicData>
            </a:graphic>
          </wp:inline>
        </w:drawing>
      </w:r>
    </w:p>
    <w:p w14:paraId="31649DCA">
      <w:pPr>
        <w:spacing w:after="0" w:line="240" w:lineRule="auto"/>
        <w:ind w:left="360" w:right="3451"/>
        <w:jc w:val="both"/>
        <w:rPr>
          <w:rFonts w:ascii="Times New Roman" w:hAnsi="Times New Roman" w:eastAsia="Times New Roman" w:cs="Times New Roman"/>
          <w:b/>
          <w:sz w:val="20"/>
          <w:szCs w:val="20"/>
        </w:rPr>
      </w:pPr>
      <w:r>
        <w:rPr>
          <w:rFonts w:ascii="Times New Roman" w:hAnsi="Times New Roman" w:cs="Times New Roman"/>
          <w:sz w:val="20"/>
          <w:szCs w:val="20"/>
        </w:rPr>
        <w:t>Figure 7: Confusion Matrix for SVM</w:t>
      </w:r>
      <w:r>
        <w:rPr>
          <w:rFonts w:ascii="Times New Roman" w:hAnsi="Times New Roman" w:eastAsia="Times New Roman" w:cs="Times New Roman"/>
          <w:b/>
          <w:sz w:val="20"/>
          <w:szCs w:val="20"/>
        </w:rPr>
        <w:t xml:space="preserve"> </w:t>
      </w:r>
    </w:p>
    <w:p w14:paraId="5B9A71E6">
      <w:pPr>
        <w:pStyle w:val="3"/>
        <w:numPr>
          <w:ilvl w:val="0"/>
          <w:numId w:val="12"/>
        </w:numPr>
        <w:spacing w:after="0" w:line="240" w:lineRule="auto"/>
        <w:ind w:right="3451"/>
        <w:jc w:val="both"/>
        <w:rPr>
          <w:rFonts w:ascii="Times New Roman" w:hAnsi="Times New Roman" w:cs="Times New Roman"/>
          <w:sz w:val="20"/>
          <w:szCs w:val="20"/>
        </w:rPr>
      </w:pPr>
      <w:r>
        <w:rPr>
          <w:rFonts w:ascii="Times New Roman" w:hAnsi="Times New Roman" w:cs="Times New Roman"/>
          <w:sz w:val="20"/>
          <w:szCs w:val="20"/>
        </w:rPr>
        <w:t xml:space="preserve">True Negatives (TN): 198 – equal to Logistic Regression. </w:t>
      </w:r>
    </w:p>
    <w:p w14:paraId="4F105C39">
      <w:pPr>
        <w:numPr>
          <w:ilvl w:val="0"/>
          <w:numId w:val="1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False Positives (FP): 12 – same as Logistic Regression. </w:t>
      </w:r>
    </w:p>
    <w:p w14:paraId="41AED51E">
      <w:pPr>
        <w:numPr>
          <w:ilvl w:val="0"/>
          <w:numId w:val="1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False Negatives (FN): 32 – highest number of missed risks. </w:t>
      </w:r>
    </w:p>
    <w:p w14:paraId="6B32B4A4">
      <w:pPr>
        <w:numPr>
          <w:ilvl w:val="0"/>
          <w:numId w:val="13"/>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True Positives (TP): 58 – lowest number of correctly identified risks. </w:t>
      </w:r>
    </w:p>
    <w:p w14:paraId="1348E221">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Discussion:</w:t>
      </w:r>
      <w:r>
        <w:rPr>
          <w:rFonts w:ascii="Times New Roman" w:hAnsi="Times New Roman" w:cs="Times New Roman"/>
          <w:sz w:val="20"/>
          <w:szCs w:val="20"/>
        </w:rPr>
        <w:t xml:space="preserve"> </w:t>
      </w:r>
    </w:p>
    <w:p w14:paraId="6E17CAD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SVM in figure 7 performed the weakest in this comparison. The high False Negative count indicates that the model missed a substantial number of risk cases. This may be due to suboptimal hyperparameters, kernel choice, or the algorithm’s limitations on this dataset’s structure. As a result, SVM is less suitable for high-stakes financial risk management without further optimization. </w:t>
      </w:r>
    </w:p>
    <w:p w14:paraId="21CDF63F">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C.</w:t>
      </w:r>
      <w:r>
        <w:rPr>
          <w:rFonts w:ascii="Times New Roman" w:hAnsi="Times New Roman" w:eastAsia="Arial" w:cs="Times New Roman"/>
          <w:b/>
          <w:sz w:val="20"/>
          <w:szCs w:val="20"/>
        </w:rPr>
        <w:t xml:space="preserve"> </w:t>
      </w:r>
      <w:r>
        <w:rPr>
          <w:rFonts w:ascii="Times New Roman" w:hAnsi="Times New Roman" w:eastAsia="Times New Roman" w:cs="Times New Roman"/>
          <w:b/>
          <w:sz w:val="20"/>
          <w:szCs w:val="20"/>
        </w:rPr>
        <w:t xml:space="preserve"> Receiver Operating Characteristic (ROC) Curve Analysis </w:t>
      </w:r>
    </w:p>
    <w:p w14:paraId="756C9BD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To assess the discriminative power of the predictive models, Receiver Operating Characteristic (ROC) curves were generated. The ROC curve is a graphical representation of a binary classifier’s diagnostic ability across all possible classification thresholds, plotting the True Positive Rate (Sensitivity) against the False Positive Rate (1 – Specificity). </w:t>
      </w:r>
    </w:p>
    <w:p w14:paraId="62A34F7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performance of each model is quantified using the Area Under the Curve (AUC). An AUC of 1.0 indicates a perfect classifier, while 0.5 represents random performance, indicated by the black dashed diagonal in Figure 8. </w:t>
      </w:r>
    </w:p>
    <w:p w14:paraId="2E2D33DF">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ROC Analysis:</w:t>
      </w:r>
      <w:r>
        <w:rPr>
          <w:rFonts w:ascii="Times New Roman" w:hAnsi="Times New Roman" w:cs="Times New Roman"/>
          <w:sz w:val="20"/>
          <w:szCs w:val="20"/>
        </w:rPr>
        <w:t xml:space="preserve"> </w:t>
      </w:r>
    </w:p>
    <w:p w14:paraId="172BB41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ROC curve for SVM is presented below, with an </w:t>
      </w:r>
      <w:r>
        <w:rPr>
          <w:rFonts w:ascii="Times New Roman" w:hAnsi="Times New Roman" w:eastAsia="Times New Roman" w:cs="Times New Roman"/>
          <w:b/>
          <w:sz w:val="20"/>
          <w:szCs w:val="20"/>
        </w:rPr>
        <w:t>AUC = 0.99</w:t>
      </w:r>
      <w:r>
        <w:rPr>
          <w:rFonts w:ascii="Times New Roman" w:hAnsi="Times New Roman" w:cs="Times New Roman"/>
          <w:sz w:val="20"/>
          <w:szCs w:val="20"/>
        </w:rPr>
        <w:t xml:space="preserve">, indicating excellent discriminative ability to separate high-risk from low-risk financial cases. </w:t>
      </w:r>
    </w:p>
    <w:p w14:paraId="02A904DE">
      <w:pPr>
        <w:spacing w:after="0" w:line="240" w:lineRule="auto"/>
        <w:ind w:right="-2"/>
        <w:jc w:val="center"/>
        <w:rPr>
          <w:rFonts w:ascii="Times New Roman" w:hAnsi="Times New Roman" w:cs="Times New Roman"/>
          <w:sz w:val="20"/>
          <w:szCs w:val="20"/>
        </w:rPr>
      </w:pPr>
      <w:r>
        <w:rPr>
          <w:rFonts w:ascii="Times New Roman" w:hAnsi="Times New Roman" w:eastAsia="Calibri" w:cs="Times New Roman"/>
          <w:sz w:val="20"/>
          <w:szCs w:val="20"/>
          <w:lang w:val="en-US"/>
        </w:rPr>
        <w:drawing>
          <wp:inline distT="0" distB="0" distL="0" distR="0">
            <wp:extent cx="4400550" cy="2324100"/>
            <wp:effectExtent l="0" t="0" r="0" b="0"/>
            <wp:docPr id="2936" name="Picture 2936"/>
            <wp:cNvGraphicFramePr/>
            <a:graphic xmlns:a="http://schemas.openxmlformats.org/drawingml/2006/main">
              <a:graphicData uri="http://schemas.openxmlformats.org/drawingml/2006/picture">
                <pic:pic xmlns:pic="http://schemas.openxmlformats.org/drawingml/2006/picture">
                  <pic:nvPicPr>
                    <pic:cNvPr id="2936" name="Picture 2936"/>
                    <pic:cNvPicPr/>
                  </pic:nvPicPr>
                  <pic:blipFill>
                    <a:blip r:embed="rId18"/>
                    <a:stretch>
                      <a:fillRect/>
                    </a:stretch>
                  </pic:blipFill>
                  <pic:spPr>
                    <a:xfrm>
                      <a:off x="0" y="0"/>
                      <a:ext cx="4401035" cy="2324356"/>
                    </a:xfrm>
                    <a:prstGeom prst="rect">
                      <a:avLst/>
                    </a:prstGeom>
                  </pic:spPr>
                </pic:pic>
              </a:graphicData>
            </a:graphic>
          </wp:inline>
        </w:drawing>
      </w:r>
    </w:p>
    <w:p w14:paraId="292C6DB3">
      <w:pPr>
        <w:pStyle w:val="2"/>
        <w:numPr>
          <w:ilvl w:val="0"/>
          <w:numId w:val="0"/>
        </w:numPr>
        <w:spacing w:after="0"/>
        <w:ind w:left="284"/>
        <w:jc w:val="center"/>
        <w:rPr>
          <w:szCs w:val="20"/>
        </w:rPr>
      </w:pPr>
      <w:r>
        <w:rPr>
          <w:szCs w:val="20"/>
        </w:rPr>
        <w:t>Figure 8: ROC Curve for SVM Model</w:t>
      </w:r>
    </w:p>
    <w:p w14:paraId="28793696">
      <w:pPr>
        <w:numPr>
          <w:ilvl w:val="0"/>
          <w:numId w:val="14"/>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The curve rises sharply to the top-left corner, confirming high sensitivity and specificity. </w:t>
      </w:r>
    </w:p>
    <w:p w14:paraId="4D2FD8B5">
      <w:pPr>
        <w:numPr>
          <w:ilvl w:val="0"/>
          <w:numId w:val="14"/>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An AUC close to 1 indicates near-perfect model performance for binary classification. </w:t>
      </w:r>
    </w:p>
    <w:p w14:paraId="3F9964C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7ABC1C01">
      <w:pPr>
        <w:numPr>
          <w:ilvl w:val="0"/>
          <w:numId w:val="15"/>
        </w:numPr>
        <w:spacing w:after="0" w:line="240" w:lineRule="auto"/>
        <w:ind w:right="-15" w:hanging="211"/>
        <w:jc w:val="both"/>
        <w:rPr>
          <w:rFonts w:ascii="Times New Roman" w:hAnsi="Times New Roman" w:cs="Times New Roman"/>
          <w:sz w:val="20"/>
          <w:szCs w:val="20"/>
        </w:rPr>
      </w:pPr>
      <w:r>
        <w:rPr>
          <w:rFonts w:ascii="Times New Roman" w:hAnsi="Times New Roman" w:eastAsia="Times New Roman" w:cs="Times New Roman"/>
          <w:b/>
          <w:sz w:val="20"/>
          <w:szCs w:val="20"/>
        </w:rPr>
        <w:t>Support Vector Machine (SVM)</w:t>
      </w:r>
      <w:r>
        <w:rPr>
          <w:rFonts w:ascii="Times New Roman" w:hAnsi="Times New Roman" w:cs="Times New Roman"/>
          <w:sz w:val="20"/>
          <w:szCs w:val="20"/>
        </w:rPr>
        <w:t xml:space="preserve">  </w:t>
      </w:r>
    </w:p>
    <w:p w14:paraId="1D8B39EB">
      <w:pPr>
        <w:spacing w:after="0" w:line="240" w:lineRule="auto"/>
        <w:ind w:right="-13"/>
        <w:jc w:val="both"/>
        <w:rPr>
          <w:rFonts w:ascii="Times New Roman" w:hAnsi="Times New Roman" w:cs="Times New Roman"/>
          <w:sz w:val="20"/>
          <w:szCs w:val="20"/>
        </w:rPr>
      </w:pPr>
      <w:r>
        <w:rPr>
          <w:rFonts w:ascii="Times New Roman" w:hAnsi="Times New Roman" w:cs="Times New Roman"/>
          <w:sz w:val="20"/>
          <w:szCs w:val="20"/>
        </w:rPr>
        <w:t xml:space="preserve">The SVM model achieved the highest AUC of 0.985. Its ROC curve (blue) is positioned closest to the top-left corner, consistently remaining above the other models across thresholds. This indicates that SVM has the strongest potential to distinguish between Risk and Non-Risk classes, despite slightly lower accuracy at the default threshold observed in the confusion matrix. </w:t>
      </w:r>
    </w:p>
    <w:p w14:paraId="0139A10D">
      <w:pPr>
        <w:numPr>
          <w:ilvl w:val="0"/>
          <w:numId w:val="15"/>
        </w:numPr>
        <w:spacing w:after="0" w:line="240" w:lineRule="auto"/>
        <w:ind w:right="-15" w:hanging="211"/>
        <w:jc w:val="both"/>
        <w:rPr>
          <w:rFonts w:ascii="Times New Roman" w:hAnsi="Times New Roman" w:cs="Times New Roman"/>
          <w:sz w:val="20"/>
          <w:szCs w:val="20"/>
        </w:rPr>
      </w:pPr>
      <w:r>
        <w:rPr>
          <w:rFonts w:ascii="Times New Roman" w:hAnsi="Times New Roman" w:eastAsia="Times New Roman" w:cs="Times New Roman"/>
          <w:b/>
          <w:sz w:val="20"/>
          <w:szCs w:val="20"/>
        </w:rPr>
        <w:t>Random Forest (RF)</w:t>
      </w:r>
      <w:r>
        <w:rPr>
          <w:rFonts w:ascii="Times New Roman" w:hAnsi="Times New Roman" w:cs="Times New Roman"/>
          <w:sz w:val="20"/>
          <w:szCs w:val="20"/>
        </w:rPr>
        <w:t xml:space="preserve"> </w:t>
      </w:r>
    </w:p>
    <w:p w14:paraId="58D51427">
      <w:pPr>
        <w:spacing w:after="0" w:line="240" w:lineRule="auto"/>
        <w:ind w:right="320"/>
        <w:jc w:val="both"/>
        <w:rPr>
          <w:rFonts w:ascii="Times New Roman" w:hAnsi="Times New Roman" w:cs="Times New Roman"/>
          <w:sz w:val="20"/>
          <w:szCs w:val="20"/>
        </w:rPr>
      </w:pPr>
      <w:r>
        <w:rPr>
          <w:rFonts w:ascii="Times New Roman" w:hAnsi="Times New Roman" w:cs="Times New Roman"/>
          <w:sz w:val="20"/>
          <w:szCs w:val="20"/>
        </w:rPr>
        <w:t xml:space="preserve">Random Forest follows closely with an AUC of 0.973. The curve (orange) closely hugs the top-left corner, demonstrating robust discriminatory ability. The model maintains a high True Positive Rate while minimizing False Positives. </w:t>
      </w:r>
    </w:p>
    <w:p w14:paraId="1AE41770">
      <w:pPr>
        <w:spacing w:after="0" w:line="240" w:lineRule="auto"/>
        <w:ind w:right="320"/>
        <w:jc w:val="both"/>
        <w:rPr>
          <w:rFonts w:ascii="Times New Roman" w:hAnsi="Times New Roman" w:cs="Times New Roman"/>
          <w:sz w:val="20"/>
          <w:szCs w:val="20"/>
        </w:rPr>
      </w:pPr>
      <w:r>
        <w:rPr>
          <w:rFonts w:ascii="Times New Roman" w:hAnsi="Times New Roman" w:eastAsia="Times New Roman" w:cs="Times New Roman"/>
          <w:b/>
          <w:sz w:val="20"/>
          <w:szCs w:val="20"/>
        </w:rPr>
        <w:t>iii. Gradient Boosting (GB)</w:t>
      </w:r>
      <w:r>
        <w:rPr>
          <w:rFonts w:ascii="Times New Roman" w:hAnsi="Times New Roman" w:cs="Times New Roman"/>
          <w:sz w:val="20"/>
          <w:szCs w:val="20"/>
        </w:rPr>
        <w:t xml:space="preserve">  </w:t>
      </w:r>
    </w:p>
    <w:p w14:paraId="3B63E18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Gradient Boosting achieved an AUC of 0.957. Although slightly lower than SVM and RF, the steep curve (green) indicates high sensitivity early in the threshold range, confirming strong classification performance. </w:t>
      </w:r>
    </w:p>
    <w:p w14:paraId="01CEF197">
      <w:pPr>
        <w:numPr>
          <w:ilvl w:val="0"/>
          <w:numId w:val="16"/>
        </w:numPr>
        <w:spacing w:after="0" w:line="240" w:lineRule="auto"/>
        <w:ind w:right="-15" w:hanging="257"/>
        <w:jc w:val="both"/>
        <w:rPr>
          <w:rFonts w:ascii="Times New Roman" w:hAnsi="Times New Roman" w:cs="Times New Roman"/>
          <w:sz w:val="20"/>
          <w:szCs w:val="20"/>
        </w:rPr>
      </w:pPr>
      <w:r>
        <w:rPr>
          <w:rFonts w:ascii="Times New Roman" w:hAnsi="Times New Roman" w:eastAsia="Times New Roman" w:cs="Times New Roman"/>
          <w:b/>
          <w:sz w:val="20"/>
          <w:szCs w:val="20"/>
        </w:rPr>
        <w:t>Logistic Regression (LR)</w:t>
      </w:r>
      <w:r>
        <w:rPr>
          <w:rFonts w:ascii="Times New Roman" w:hAnsi="Times New Roman" w:cs="Times New Roman"/>
          <w:sz w:val="20"/>
          <w:szCs w:val="20"/>
        </w:rPr>
        <w:t xml:space="preserve">  </w:t>
      </w:r>
    </w:p>
    <w:p w14:paraId="7B16CFDF">
      <w:pPr>
        <w:spacing w:after="0" w:line="240" w:lineRule="auto"/>
        <w:ind w:right="-13"/>
        <w:jc w:val="both"/>
        <w:rPr>
          <w:rFonts w:ascii="Times New Roman" w:hAnsi="Times New Roman" w:cs="Times New Roman"/>
          <w:sz w:val="20"/>
          <w:szCs w:val="20"/>
        </w:rPr>
      </w:pPr>
      <w:r>
        <w:rPr>
          <w:rFonts w:ascii="Times New Roman" w:hAnsi="Times New Roman" w:cs="Times New Roman"/>
          <w:sz w:val="20"/>
          <w:szCs w:val="20"/>
        </w:rPr>
        <w:t xml:space="preserve">Logistic Regression recorded the lowest AUC of 0.893. While its curve (red) is well above the random baseline, it is further from the top-left corner than the ensemble models, reflecting the limitations of a linear decision boundary in capturing complex patterns in financial data. </w:t>
      </w:r>
    </w:p>
    <w:p w14:paraId="353189B0">
      <w:pPr>
        <w:spacing w:after="0" w:line="240" w:lineRule="auto"/>
        <w:ind w:left="10" w:right="-15"/>
        <w:jc w:val="center"/>
        <w:rPr>
          <w:rFonts w:ascii="Times New Roman" w:hAnsi="Times New Roman" w:cs="Times New Roman"/>
          <w:sz w:val="20"/>
          <w:szCs w:val="20"/>
        </w:rPr>
      </w:pPr>
      <w:r>
        <w:rPr>
          <w:rFonts w:ascii="Times New Roman" w:hAnsi="Times New Roman" w:eastAsia="Times New Roman" w:cs="Times New Roman"/>
          <w:b/>
          <w:sz w:val="20"/>
          <w:szCs w:val="20"/>
        </w:rPr>
        <w:t>Table 4.2: Area Un</w:t>
      </w:r>
      <w:r>
        <w:rPr>
          <w:rFonts w:ascii="Times New Roman" w:hAnsi="Times New Roman" w:eastAsia="Times New Roman" w:cs="Times New Roman"/>
          <w:b/>
          <w:sz w:val="20"/>
          <w:szCs w:val="20"/>
          <w:u w:val="single" w:color="000000"/>
        </w:rPr>
        <w:t>der the Curv</w:t>
      </w:r>
      <w:r>
        <w:rPr>
          <w:rFonts w:ascii="Times New Roman" w:hAnsi="Times New Roman" w:eastAsia="Times New Roman" w:cs="Times New Roman"/>
          <w:b/>
          <w:sz w:val="20"/>
          <w:szCs w:val="20"/>
        </w:rPr>
        <w:t>e (AUC) Comparison</w:t>
      </w:r>
    </w:p>
    <w:tbl>
      <w:tblPr>
        <w:tblStyle w:val="74"/>
        <w:tblW w:w="4554" w:type="dxa"/>
        <w:jc w:val="center"/>
        <w:tblLayout w:type="autofit"/>
        <w:tblCellMar>
          <w:top w:w="0" w:type="dxa"/>
          <w:left w:w="37" w:type="dxa"/>
          <w:bottom w:w="0" w:type="dxa"/>
          <w:right w:w="115" w:type="dxa"/>
        </w:tblCellMar>
      </w:tblPr>
      <w:tblGrid>
        <w:gridCol w:w="1673"/>
        <w:gridCol w:w="1063"/>
        <w:gridCol w:w="1818"/>
      </w:tblGrid>
      <w:tr w14:paraId="6B3C45BE">
        <w:tblPrEx>
          <w:tblCellMar>
            <w:top w:w="0" w:type="dxa"/>
            <w:left w:w="37" w:type="dxa"/>
            <w:bottom w:w="0" w:type="dxa"/>
            <w:right w:w="115" w:type="dxa"/>
          </w:tblCellMar>
        </w:tblPrEx>
        <w:trPr>
          <w:trHeight w:val="311" w:hRule="atLeast"/>
          <w:jc w:val="center"/>
        </w:trPr>
        <w:tc>
          <w:tcPr>
            <w:tcW w:w="1673" w:type="dxa"/>
            <w:tcBorders>
              <w:top w:val="double" w:color="000000" w:sz="4" w:space="0"/>
              <w:left w:val="double" w:color="000000" w:sz="4" w:space="0"/>
              <w:bottom w:val="double" w:color="000000" w:sz="4" w:space="0"/>
              <w:right w:val="double" w:color="000000" w:sz="4" w:space="0"/>
            </w:tcBorders>
          </w:tcPr>
          <w:p w14:paraId="487BF017">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Model </w:t>
            </w:r>
          </w:p>
        </w:tc>
        <w:tc>
          <w:tcPr>
            <w:tcW w:w="1063" w:type="dxa"/>
            <w:tcBorders>
              <w:top w:val="single" w:color="000000" w:sz="4" w:space="0"/>
              <w:left w:val="double" w:color="000000" w:sz="4" w:space="0"/>
              <w:bottom w:val="double" w:color="000000" w:sz="4" w:space="0"/>
              <w:right w:val="double" w:color="000000" w:sz="4" w:space="0"/>
            </w:tcBorders>
          </w:tcPr>
          <w:p w14:paraId="55B68350">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AUC Value </w:t>
            </w:r>
          </w:p>
        </w:tc>
        <w:tc>
          <w:tcPr>
            <w:tcW w:w="1817" w:type="dxa"/>
            <w:tcBorders>
              <w:top w:val="double" w:color="000000" w:sz="4" w:space="0"/>
              <w:left w:val="double" w:color="000000" w:sz="4" w:space="0"/>
              <w:bottom w:val="double" w:color="000000" w:sz="4" w:space="0"/>
              <w:right w:val="double" w:color="000000" w:sz="4" w:space="0"/>
            </w:tcBorders>
          </w:tcPr>
          <w:p w14:paraId="55D86F8D">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Performance Rating</w:t>
            </w:r>
          </w:p>
        </w:tc>
      </w:tr>
      <w:tr w14:paraId="488198B2">
        <w:tblPrEx>
          <w:tblCellMar>
            <w:top w:w="0" w:type="dxa"/>
            <w:left w:w="37" w:type="dxa"/>
            <w:bottom w:w="0" w:type="dxa"/>
            <w:right w:w="115" w:type="dxa"/>
          </w:tblCellMar>
        </w:tblPrEx>
        <w:trPr>
          <w:trHeight w:val="310" w:hRule="atLeast"/>
          <w:jc w:val="center"/>
        </w:trPr>
        <w:tc>
          <w:tcPr>
            <w:tcW w:w="1673" w:type="dxa"/>
            <w:tcBorders>
              <w:top w:val="double" w:color="000000" w:sz="4" w:space="0"/>
              <w:left w:val="double" w:color="000000" w:sz="4" w:space="0"/>
              <w:bottom w:val="double" w:color="000000" w:sz="4" w:space="0"/>
              <w:right w:val="double" w:color="000000" w:sz="4" w:space="0"/>
            </w:tcBorders>
          </w:tcPr>
          <w:p w14:paraId="024C7BD8">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SVM </w:t>
            </w:r>
          </w:p>
        </w:tc>
        <w:tc>
          <w:tcPr>
            <w:tcW w:w="1063" w:type="dxa"/>
            <w:tcBorders>
              <w:top w:val="double" w:color="000000" w:sz="4" w:space="0"/>
              <w:left w:val="double" w:color="000000" w:sz="4" w:space="0"/>
              <w:bottom w:val="double" w:color="000000" w:sz="4" w:space="0"/>
              <w:right w:val="double" w:color="000000" w:sz="4" w:space="0"/>
            </w:tcBorders>
          </w:tcPr>
          <w:p w14:paraId="4B37BDA6">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0.985 </w:t>
            </w:r>
          </w:p>
        </w:tc>
        <w:tc>
          <w:tcPr>
            <w:tcW w:w="1817" w:type="dxa"/>
            <w:tcBorders>
              <w:top w:val="double" w:color="000000" w:sz="4" w:space="0"/>
              <w:left w:val="double" w:color="000000" w:sz="4" w:space="0"/>
              <w:bottom w:val="double" w:color="000000" w:sz="4" w:space="0"/>
              <w:right w:val="double" w:color="000000" w:sz="4" w:space="0"/>
            </w:tcBorders>
          </w:tcPr>
          <w:p w14:paraId="34735B48">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Excellent </w:t>
            </w:r>
          </w:p>
        </w:tc>
      </w:tr>
      <w:tr w14:paraId="3214BF5D">
        <w:tblPrEx>
          <w:tblCellMar>
            <w:top w:w="0" w:type="dxa"/>
            <w:left w:w="37" w:type="dxa"/>
            <w:bottom w:w="0" w:type="dxa"/>
            <w:right w:w="115" w:type="dxa"/>
          </w:tblCellMar>
        </w:tblPrEx>
        <w:trPr>
          <w:trHeight w:val="310" w:hRule="atLeast"/>
          <w:jc w:val="center"/>
        </w:trPr>
        <w:tc>
          <w:tcPr>
            <w:tcW w:w="1673" w:type="dxa"/>
            <w:tcBorders>
              <w:top w:val="double" w:color="000000" w:sz="4" w:space="0"/>
              <w:left w:val="double" w:color="000000" w:sz="4" w:space="0"/>
              <w:bottom w:val="double" w:color="000000" w:sz="4" w:space="0"/>
              <w:right w:val="double" w:color="000000" w:sz="4" w:space="0"/>
            </w:tcBorders>
          </w:tcPr>
          <w:p w14:paraId="2ECBBFB4">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Random Forest </w:t>
            </w:r>
          </w:p>
        </w:tc>
        <w:tc>
          <w:tcPr>
            <w:tcW w:w="1063" w:type="dxa"/>
            <w:tcBorders>
              <w:top w:val="double" w:color="000000" w:sz="4" w:space="0"/>
              <w:left w:val="double" w:color="000000" w:sz="4" w:space="0"/>
              <w:bottom w:val="double" w:color="000000" w:sz="4" w:space="0"/>
              <w:right w:val="double" w:color="000000" w:sz="4" w:space="0"/>
            </w:tcBorders>
          </w:tcPr>
          <w:p w14:paraId="59862A77">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0.973 </w:t>
            </w:r>
          </w:p>
        </w:tc>
        <w:tc>
          <w:tcPr>
            <w:tcW w:w="1817" w:type="dxa"/>
            <w:tcBorders>
              <w:top w:val="double" w:color="000000" w:sz="4" w:space="0"/>
              <w:left w:val="double" w:color="000000" w:sz="4" w:space="0"/>
              <w:bottom w:val="double" w:color="000000" w:sz="4" w:space="0"/>
              <w:right w:val="double" w:color="000000" w:sz="4" w:space="0"/>
            </w:tcBorders>
          </w:tcPr>
          <w:p w14:paraId="0B17FB6A">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Excellent </w:t>
            </w:r>
          </w:p>
        </w:tc>
      </w:tr>
      <w:tr w14:paraId="2AEB6BC2">
        <w:tblPrEx>
          <w:tblCellMar>
            <w:top w:w="0" w:type="dxa"/>
            <w:left w:w="37" w:type="dxa"/>
            <w:bottom w:w="0" w:type="dxa"/>
            <w:right w:w="115" w:type="dxa"/>
          </w:tblCellMar>
        </w:tblPrEx>
        <w:trPr>
          <w:trHeight w:val="310" w:hRule="atLeast"/>
          <w:jc w:val="center"/>
        </w:trPr>
        <w:tc>
          <w:tcPr>
            <w:tcW w:w="1673" w:type="dxa"/>
            <w:tcBorders>
              <w:top w:val="double" w:color="000000" w:sz="4" w:space="0"/>
              <w:left w:val="double" w:color="000000" w:sz="4" w:space="0"/>
              <w:bottom w:val="double" w:color="000000" w:sz="4" w:space="0"/>
              <w:right w:val="double" w:color="000000" w:sz="4" w:space="0"/>
            </w:tcBorders>
          </w:tcPr>
          <w:p w14:paraId="60FE32EB">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Gradient Boosting </w:t>
            </w:r>
          </w:p>
        </w:tc>
        <w:tc>
          <w:tcPr>
            <w:tcW w:w="1063" w:type="dxa"/>
            <w:tcBorders>
              <w:top w:val="double" w:color="000000" w:sz="4" w:space="0"/>
              <w:left w:val="double" w:color="000000" w:sz="4" w:space="0"/>
              <w:bottom w:val="double" w:color="000000" w:sz="4" w:space="0"/>
              <w:right w:val="double" w:color="000000" w:sz="4" w:space="0"/>
            </w:tcBorders>
          </w:tcPr>
          <w:p w14:paraId="12F43CF0">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0.957 </w:t>
            </w:r>
          </w:p>
        </w:tc>
        <w:tc>
          <w:tcPr>
            <w:tcW w:w="1817" w:type="dxa"/>
            <w:tcBorders>
              <w:top w:val="double" w:color="000000" w:sz="4" w:space="0"/>
              <w:left w:val="double" w:color="000000" w:sz="4" w:space="0"/>
              <w:bottom w:val="double" w:color="000000" w:sz="4" w:space="0"/>
              <w:right w:val="double" w:color="000000" w:sz="4" w:space="0"/>
            </w:tcBorders>
          </w:tcPr>
          <w:p w14:paraId="3ED27551">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Excellent </w:t>
            </w:r>
          </w:p>
        </w:tc>
      </w:tr>
      <w:tr w14:paraId="4FB3F412">
        <w:tblPrEx>
          <w:tblCellMar>
            <w:top w:w="0" w:type="dxa"/>
            <w:left w:w="37" w:type="dxa"/>
            <w:bottom w:w="0" w:type="dxa"/>
            <w:right w:w="115" w:type="dxa"/>
          </w:tblCellMar>
        </w:tblPrEx>
        <w:trPr>
          <w:trHeight w:val="311" w:hRule="atLeast"/>
          <w:jc w:val="center"/>
        </w:trPr>
        <w:tc>
          <w:tcPr>
            <w:tcW w:w="1673" w:type="dxa"/>
            <w:tcBorders>
              <w:top w:val="double" w:color="000000" w:sz="4" w:space="0"/>
              <w:left w:val="double" w:color="000000" w:sz="4" w:space="0"/>
              <w:bottom w:val="double" w:color="000000" w:sz="4" w:space="0"/>
              <w:right w:val="double" w:color="000000" w:sz="4" w:space="0"/>
            </w:tcBorders>
          </w:tcPr>
          <w:p w14:paraId="2491C852">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Logistic Regression </w:t>
            </w:r>
          </w:p>
        </w:tc>
        <w:tc>
          <w:tcPr>
            <w:tcW w:w="1063" w:type="dxa"/>
            <w:tcBorders>
              <w:top w:val="double" w:color="000000" w:sz="4" w:space="0"/>
              <w:left w:val="double" w:color="000000" w:sz="4" w:space="0"/>
              <w:bottom w:val="double" w:color="000000" w:sz="4" w:space="0"/>
              <w:right w:val="double" w:color="000000" w:sz="4" w:space="0"/>
            </w:tcBorders>
          </w:tcPr>
          <w:p w14:paraId="07BEB946">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0.893 </w:t>
            </w:r>
          </w:p>
        </w:tc>
        <w:tc>
          <w:tcPr>
            <w:tcW w:w="1817" w:type="dxa"/>
            <w:tcBorders>
              <w:top w:val="double" w:color="000000" w:sz="4" w:space="0"/>
              <w:left w:val="double" w:color="000000" w:sz="4" w:space="0"/>
              <w:bottom w:val="double" w:color="000000" w:sz="4" w:space="0"/>
              <w:right w:val="double" w:color="000000" w:sz="4" w:space="0"/>
            </w:tcBorders>
          </w:tcPr>
          <w:p w14:paraId="3AD670D8">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Good </w:t>
            </w:r>
          </w:p>
        </w:tc>
      </w:tr>
    </w:tbl>
    <w:p w14:paraId="45A73C11">
      <w:pPr>
        <w:numPr>
          <w:ilvl w:val="0"/>
          <w:numId w:val="16"/>
        </w:numPr>
        <w:spacing w:after="0" w:line="240" w:lineRule="auto"/>
        <w:ind w:right="-15" w:hanging="257"/>
        <w:jc w:val="both"/>
        <w:rPr>
          <w:rFonts w:ascii="Times New Roman" w:hAnsi="Times New Roman" w:cs="Times New Roman"/>
          <w:sz w:val="20"/>
          <w:szCs w:val="20"/>
        </w:rPr>
      </w:pPr>
      <w:r>
        <w:rPr>
          <w:rFonts w:ascii="Times New Roman" w:hAnsi="Times New Roman" w:eastAsia="Times New Roman" w:cs="Times New Roman"/>
          <w:b/>
          <w:sz w:val="20"/>
          <w:szCs w:val="20"/>
        </w:rPr>
        <w:t xml:space="preserve">Discussion on Model Discriminatory Ability </w:t>
      </w:r>
    </w:p>
    <w:p w14:paraId="3BB836B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ROC analysis highlights a distinction from accuracy-based metrics derived from confusion matrices. While Gradient </w:t>
      </w:r>
    </w:p>
    <w:p w14:paraId="2518ACF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Boosting achieved the highest accuracy and F1-score at the default threshold (0.5), SVM exhibits the highest overall AUC (0.985). </w:t>
      </w:r>
    </w:p>
    <w:p w14:paraId="3EB0D5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indicates that, although Gradient Boosting performs better at a fixed threshold for immediate classification, SVM has superior inherent ranking ability, meaning it can more effectively distinguish positive from negative instances across thresholds. </w:t>
      </w:r>
    </w:p>
    <w:p w14:paraId="20ED127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practice, adjusting SVM’s classification threshold could increase sensitivity, potentially surpassing other models. However, in financial risk management, where precision at the standard operating point is critical, Gradient Boosting remains the preferred model based on accuracy and F1-score, supported by its strong AUC of 0.957. </w:t>
      </w:r>
    </w:p>
    <w:p w14:paraId="41E9C036">
      <w:pPr>
        <w:numPr>
          <w:ilvl w:val="0"/>
          <w:numId w:val="17"/>
        </w:numPr>
        <w:spacing w:after="0" w:line="240" w:lineRule="auto"/>
        <w:ind w:right="-15" w:hanging="296"/>
        <w:jc w:val="both"/>
        <w:rPr>
          <w:rFonts w:ascii="Times New Roman" w:hAnsi="Times New Roman" w:cs="Times New Roman"/>
          <w:sz w:val="20"/>
          <w:szCs w:val="20"/>
        </w:rPr>
      </w:pPr>
      <w:r>
        <w:rPr>
          <w:rFonts w:ascii="Times New Roman" w:hAnsi="Times New Roman" w:eastAsia="Times New Roman" w:cs="Times New Roman"/>
          <w:b/>
          <w:sz w:val="20"/>
          <w:szCs w:val="20"/>
        </w:rPr>
        <w:t xml:space="preserve">Comparative Performance Summary </w:t>
      </w:r>
    </w:p>
    <w:p w14:paraId="3F7FA9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Based on the visual interpretation of confusion matrices (Figure 4.1 to 4.4), the predictive models are ranked according to overall performance as follows: </w:t>
      </w:r>
    </w:p>
    <w:p w14:paraId="1FA2745F">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Gradient Boosting</w:t>
      </w:r>
      <w:r>
        <w:rPr>
          <w:rFonts w:ascii="Times New Roman" w:hAnsi="Times New Roman" w:cs="Times New Roman"/>
          <w:sz w:val="20"/>
          <w:szCs w:val="20"/>
        </w:rPr>
        <w:t xml:space="preserve"> – Best overall, with an accuracy of approximately 91.7%, the highest True Positive (TP) count, and the lowest False Negative (FN) count. </w:t>
      </w:r>
    </w:p>
    <w:p w14:paraId="351B86E2">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Random Forest</w:t>
      </w:r>
      <w:r>
        <w:rPr>
          <w:rFonts w:ascii="Times New Roman" w:hAnsi="Times New Roman" w:cs="Times New Roman"/>
          <w:sz w:val="20"/>
          <w:szCs w:val="20"/>
        </w:rPr>
        <w:t xml:space="preserve"> – Second best, with an accuracy of ~90.3%, demonstrating a good balance between sensitivity and specificity. </w:t>
      </w:r>
    </w:p>
    <w:p w14:paraId="365711E4">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Logistic Regression</w:t>
      </w:r>
      <w:r>
        <w:rPr>
          <w:rFonts w:ascii="Times New Roman" w:hAnsi="Times New Roman" w:cs="Times New Roman"/>
          <w:sz w:val="20"/>
          <w:szCs w:val="20"/>
        </w:rPr>
        <w:t xml:space="preserve"> – Moderate performance, accuracy of ~85.7%; high specificity but relatively poor sensitivity to the risk class. </w:t>
      </w:r>
    </w:p>
    <w:p w14:paraId="45562634">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Support Vector Machine (SVM)</w:t>
      </w:r>
      <w:r>
        <w:rPr>
          <w:rFonts w:ascii="Times New Roman" w:hAnsi="Times New Roman" w:cs="Times New Roman"/>
          <w:sz w:val="20"/>
          <w:szCs w:val="20"/>
        </w:rPr>
        <w:t xml:space="preserve"> – Lowest performance, accuracy of ~85.3%; the model struggles to detect risk cases effectively. </w:t>
      </w:r>
    </w:p>
    <w:p w14:paraId="15047295">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Table 4.3: Summary of Confusion Matrix Values</w:t>
      </w:r>
      <w:r>
        <w:rPr>
          <w:rFonts w:ascii="Times New Roman" w:hAnsi="Times New Roman" w:cs="Times New Roman"/>
          <w:sz w:val="20"/>
          <w:szCs w:val="20"/>
        </w:rPr>
        <w:t xml:space="preserve"> </w:t>
      </w:r>
    </w:p>
    <w:tbl>
      <w:tblPr>
        <w:tblStyle w:val="74"/>
        <w:tblW w:w="8893" w:type="dxa"/>
        <w:tblInd w:w="23" w:type="dxa"/>
        <w:tblLayout w:type="autofit"/>
        <w:tblCellMar>
          <w:top w:w="0" w:type="dxa"/>
          <w:left w:w="37" w:type="dxa"/>
          <w:bottom w:w="0" w:type="dxa"/>
          <w:right w:w="115" w:type="dxa"/>
        </w:tblCellMar>
      </w:tblPr>
      <w:tblGrid>
        <w:gridCol w:w="1673"/>
        <w:gridCol w:w="1757"/>
        <w:gridCol w:w="1352"/>
        <w:gridCol w:w="1417"/>
        <w:gridCol w:w="1276"/>
        <w:gridCol w:w="1418"/>
      </w:tblGrid>
      <w:tr w14:paraId="5DBD0D4B">
        <w:tblPrEx>
          <w:tblCellMar>
            <w:top w:w="0" w:type="dxa"/>
            <w:left w:w="37" w:type="dxa"/>
            <w:bottom w:w="0" w:type="dxa"/>
            <w:right w:w="115" w:type="dxa"/>
          </w:tblCellMar>
        </w:tblPrEx>
        <w:trPr>
          <w:trHeight w:val="311" w:hRule="atLeast"/>
        </w:trPr>
        <w:tc>
          <w:tcPr>
            <w:tcW w:w="1673" w:type="dxa"/>
            <w:tcBorders>
              <w:top w:val="double" w:color="000000" w:sz="4" w:space="0"/>
              <w:left w:val="double" w:color="000000" w:sz="4" w:space="0"/>
              <w:bottom w:val="double" w:color="000000" w:sz="4" w:space="0"/>
              <w:right w:val="double" w:color="000000" w:sz="4" w:space="0"/>
            </w:tcBorders>
          </w:tcPr>
          <w:p w14:paraId="66AC81DD">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Model </w:t>
            </w:r>
          </w:p>
        </w:tc>
        <w:tc>
          <w:tcPr>
            <w:tcW w:w="1757" w:type="dxa"/>
            <w:tcBorders>
              <w:top w:val="double" w:color="000000" w:sz="4" w:space="0"/>
              <w:left w:val="double" w:color="000000" w:sz="4" w:space="0"/>
              <w:bottom w:val="double" w:color="000000" w:sz="4" w:space="0"/>
              <w:right w:val="double" w:color="000000" w:sz="4" w:space="0"/>
            </w:tcBorders>
          </w:tcPr>
          <w:p w14:paraId="02FEDCEC">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True Negative (TN) </w:t>
            </w:r>
          </w:p>
        </w:tc>
        <w:tc>
          <w:tcPr>
            <w:tcW w:w="1352" w:type="dxa"/>
            <w:tcBorders>
              <w:top w:val="double" w:color="000000" w:sz="4" w:space="0"/>
              <w:left w:val="double" w:color="000000" w:sz="4" w:space="0"/>
              <w:bottom w:val="double" w:color="000000" w:sz="4" w:space="0"/>
              <w:right w:val="double" w:color="000000" w:sz="4" w:space="0"/>
            </w:tcBorders>
          </w:tcPr>
          <w:p w14:paraId="066DF0DA">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False Positive (FP) </w:t>
            </w:r>
          </w:p>
        </w:tc>
        <w:tc>
          <w:tcPr>
            <w:tcW w:w="1417" w:type="dxa"/>
            <w:tcBorders>
              <w:top w:val="double" w:color="000000" w:sz="4" w:space="0"/>
              <w:left w:val="double" w:color="000000" w:sz="4" w:space="0"/>
              <w:bottom w:val="double" w:color="000000" w:sz="4" w:space="0"/>
              <w:right w:val="double" w:color="000000" w:sz="4" w:space="0"/>
            </w:tcBorders>
          </w:tcPr>
          <w:p w14:paraId="42BD87A1">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False Negative (FN) </w:t>
            </w:r>
          </w:p>
        </w:tc>
        <w:tc>
          <w:tcPr>
            <w:tcW w:w="1276" w:type="dxa"/>
            <w:tcBorders>
              <w:top w:val="double" w:color="000000" w:sz="4" w:space="0"/>
              <w:left w:val="double" w:color="000000" w:sz="4" w:space="0"/>
              <w:bottom w:val="double" w:color="000000" w:sz="4" w:space="0"/>
              <w:right w:val="double" w:color="000000" w:sz="4" w:space="0"/>
            </w:tcBorders>
          </w:tcPr>
          <w:p w14:paraId="7C09114E">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True Positive (TP) </w:t>
            </w:r>
          </w:p>
        </w:tc>
        <w:tc>
          <w:tcPr>
            <w:tcW w:w="1418" w:type="dxa"/>
            <w:tcBorders>
              <w:top w:val="double" w:color="000000" w:sz="4" w:space="0"/>
              <w:left w:val="double" w:color="000000" w:sz="4" w:space="0"/>
              <w:bottom w:val="double" w:color="000000" w:sz="4" w:space="0"/>
              <w:right w:val="double" w:color="000000" w:sz="4" w:space="0"/>
            </w:tcBorders>
          </w:tcPr>
          <w:p w14:paraId="02E9C87D">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Total Accuracy</w:t>
            </w:r>
          </w:p>
        </w:tc>
      </w:tr>
      <w:tr w14:paraId="7BCEE125">
        <w:tblPrEx>
          <w:tblCellMar>
            <w:top w:w="0" w:type="dxa"/>
            <w:left w:w="37" w:type="dxa"/>
            <w:bottom w:w="0" w:type="dxa"/>
            <w:right w:w="115" w:type="dxa"/>
          </w:tblCellMar>
        </w:tblPrEx>
        <w:trPr>
          <w:trHeight w:val="310" w:hRule="atLeast"/>
        </w:trPr>
        <w:tc>
          <w:tcPr>
            <w:tcW w:w="1673" w:type="dxa"/>
            <w:tcBorders>
              <w:top w:val="double" w:color="000000" w:sz="4" w:space="0"/>
              <w:left w:val="double" w:color="000000" w:sz="4" w:space="0"/>
              <w:bottom w:val="double" w:color="000000" w:sz="4" w:space="0"/>
              <w:right w:val="double" w:color="000000" w:sz="4" w:space="0"/>
            </w:tcBorders>
          </w:tcPr>
          <w:p w14:paraId="38B3E4B2">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Logistic Regression </w:t>
            </w:r>
          </w:p>
        </w:tc>
        <w:tc>
          <w:tcPr>
            <w:tcW w:w="1757" w:type="dxa"/>
            <w:tcBorders>
              <w:top w:val="double" w:color="000000" w:sz="4" w:space="0"/>
              <w:left w:val="double" w:color="000000" w:sz="4" w:space="0"/>
              <w:bottom w:val="double" w:color="000000" w:sz="4" w:space="0"/>
              <w:right w:val="double" w:color="000000" w:sz="4" w:space="0"/>
            </w:tcBorders>
          </w:tcPr>
          <w:p w14:paraId="6859411A">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198 </w:t>
            </w:r>
          </w:p>
        </w:tc>
        <w:tc>
          <w:tcPr>
            <w:tcW w:w="1352" w:type="dxa"/>
            <w:tcBorders>
              <w:top w:val="double" w:color="000000" w:sz="4" w:space="0"/>
              <w:left w:val="double" w:color="000000" w:sz="4" w:space="0"/>
              <w:bottom w:val="double" w:color="000000" w:sz="4" w:space="0"/>
              <w:right w:val="double" w:color="000000" w:sz="4" w:space="0"/>
            </w:tcBorders>
          </w:tcPr>
          <w:p w14:paraId="43236460">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12 </w:t>
            </w:r>
          </w:p>
        </w:tc>
        <w:tc>
          <w:tcPr>
            <w:tcW w:w="1417" w:type="dxa"/>
            <w:tcBorders>
              <w:top w:val="double" w:color="000000" w:sz="4" w:space="0"/>
              <w:left w:val="double" w:color="000000" w:sz="4" w:space="0"/>
              <w:bottom w:val="double" w:color="000000" w:sz="4" w:space="0"/>
              <w:right w:val="double" w:color="000000" w:sz="4" w:space="0"/>
            </w:tcBorders>
          </w:tcPr>
          <w:p w14:paraId="3FCEA039">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31 </w:t>
            </w:r>
          </w:p>
        </w:tc>
        <w:tc>
          <w:tcPr>
            <w:tcW w:w="1276" w:type="dxa"/>
            <w:tcBorders>
              <w:top w:val="double" w:color="000000" w:sz="4" w:space="0"/>
              <w:left w:val="double" w:color="000000" w:sz="4" w:space="0"/>
              <w:bottom w:val="double" w:color="000000" w:sz="4" w:space="0"/>
              <w:right w:val="double" w:color="000000" w:sz="4" w:space="0"/>
            </w:tcBorders>
          </w:tcPr>
          <w:p w14:paraId="74E59361">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59 </w:t>
            </w:r>
          </w:p>
        </w:tc>
        <w:tc>
          <w:tcPr>
            <w:tcW w:w="1418" w:type="dxa"/>
            <w:tcBorders>
              <w:top w:val="double" w:color="000000" w:sz="4" w:space="0"/>
              <w:left w:val="double" w:color="000000" w:sz="4" w:space="0"/>
              <w:bottom w:val="double" w:color="000000" w:sz="4" w:space="0"/>
              <w:right w:val="double" w:color="000000" w:sz="4" w:space="0"/>
            </w:tcBorders>
          </w:tcPr>
          <w:p w14:paraId="2653E6ED">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85.7% </w:t>
            </w:r>
          </w:p>
        </w:tc>
      </w:tr>
      <w:tr w14:paraId="234C7963">
        <w:tblPrEx>
          <w:tblCellMar>
            <w:top w:w="0" w:type="dxa"/>
            <w:left w:w="37" w:type="dxa"/>
            <w:bottom w:w="0" w:type="dxa"/>
            <w:right w:w="115" w:type="dxa"/>
          </w:tblCellMar>
        </w:tblPrEx>
        <w:trPr>
          <w:trHeight w:val="310" w:hRule="atLeast"/>
        </w:trPr>
        <w:tc>
          <w:tcPr>
            <w:tcW w:w="1673" w:type="dxa"/>
            <w:tcBorders>
              <w:top w:val="double" w:color="000000" w:sz="4" w:space="0"/>
              <w:left w:val="double" w:color="000000" w:sz="4" w:space="0"/>
              <w:bottom w:val="double" w:color="000000" w:sz="4" w:space="0"/>
              <w:right w:val="double" w:color="000000" w:sz="4" w:space="0"/>
            </w:tcBorders>
          </w:tcPr>
          <w:p w14:paraId="4AA03A7B">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Random Forest </w:t>
            </w:r>
          </w:p>
        </w:tc>
        <w:tc>
          <w:tcPr>
            <w:tcW w:w="1757" w:type="dxa"/>
            <w:tcBorders>
              <w:top w:val="double" w:color="000000" w:sz="4" w:space="0"/>
              <w:left w:val="double" w:color="000000" w:sz="4" w:space="0"/>
              <w:bottom w:val="double" w:color="000000" w:sz="4" w:space="0"/>
              <w:right w:val="double" w:color="000000" w:sz="4" w:space="0"/>
            </w:tcBorders>
          </w:tcPr>
          <w:p w14:paraId="7FF06C34">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201 </w:t>
            </w:r>
          </w:p>
        </w:tc>
        <w:tc>
          <w:tcPr>
            <w:tcW w:w="1352" w:type="dxa"/>
            <w:tcBorders>
              <w:top w:val="double" w:color="000000" w:sz="4" w:space="0"/>
              <w:left w:val="double" w:color="000000" w:sz="4" w:space="0"/>
              <w:bottom w:val="double" w:color="000000" w:sz="4" w:space="0"/>
              <w:right w:val="double" w:color="000000" w:sz="4" w:space="0"/>
            </w:tcBorders>
          </w:tcPr>
          <w:p w14:paraId="4573F9D5">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9 </w:t>
            </w:r>
          </w:p>
        </w:tc>
        <w:tc>
          <w:tcPr>
            <w:tcW w:w="1417" w:type="dxa"/>
            <w:tcBorders>
              <w:top w:val="double" w:color="000000" w:sz="4" w:space="0"/>
              <w:left w:val="double" w:color="000000" w:sz="4" w:space="0"/>
              <w:bottom w:val="double" w:color="000000" w:sz="4" w:space="0"/>
              <w:right w:val="double" w:color="000000" w:sz="4" w:space="0"/>
            </w:tcBorders>
          </w:tcPr>
          <w:p w14:paraId="0D442C6F">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20 </w:t>
            </w:r>
          </w:p>
        </w:tc>
        <w:tc>
          <w:tcPr>
            <w:tcW w:w="1276" w:type="dxa"/>
            <w:tcBorders>
              <w:top w:val="double" w:color="000000" w:sz="4" w:space="0"/>
              <w:left w:val="double" w:color="000000" w:sz="4" w:space="0"/>
              <w:bottom w:val="double" w:color="000000" w:sz="4" w:space="0"/>
              <w:right w:val="double" w:color="000000" w:sz="4" w:space="0"/>
            </w:tcBorders>
          </w:tcPr>
          <w:p w14:paraId="0B695FD1">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70 </w:t>
            </w:r>
          </w:p>
        </w:tc>
        <w:tc>
          <w:tcPr>
            <w:tcW w:w="1418" w:type="dxa"/>
            <w:tcBorders>
              <w:top w:val="double" w:color="000000" w:sz="4" w:space="0"/>
              <w:left w:val="double" w:color="000000" w:sz="4" w:space="0"/>
              <w:bottom w:val="double" w:color="000000" w:sz="4" w:space="0"/>
              <w:right w:val="double" w:color="000000" w:sz="4" w:space="0"/>
            </w:tcBorders>
          </w:tcPr>
          <w:p w14:paraId="648D7EF5">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90.3% </w:t>
            </w:r>
          </w:p>
        </w:tc>
      </w:tr>
      <w:tr w14:paraId="654FA3F2">
        <w:tblPrEx>
          <w:tblCellMar>
            <w:top w:w="0" w:type="dxa"/>
            <w:left w:w="37" w:type="dxa"/>
            <w:bottom w:w="0" w:type="dxa"/>
            <w:right w:w="115" w:type="dxa"/>
          </w:tblCellMar>
        </w:tblPrEx>
        <w:trPr>
          <w:trHeight w:val="310" w:hRule="atLeast"/>
        </w:trPr>
        <w:tc>
          <w:tcPr>
            <w:tcW w:w="1673" w:type="dxa"/>
            <w:tcBorders>
              <w:top w:val="double" w:color="000000" w:sz="4" w:space="0"/>
              <w:left w:val="double" w:color="000000" w:sz="4" w:space="0"/>
              <w:bottom w:val="double" w:color="000000" w:sz="4" w:space="0"/>
              <w:right w:val="double" w:color="000000" w:sz="4" w:space="0"/>
            </w:tcBorders>
          </w:tcPr>
          <w:p w14:paraId="47D99285">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Gradient Boosting </w:t>
            </w:r>
          </w:p>
        </w:tc>
        <w:tc>
          <w:tcPr>
            <w:tcW w:w="1757" w:type="dxa"/>
            <w:tcBorders>
              <w:top w:val="double" w:color="000000" w:sz="4" w:space="0"/>
              <w:left w:val="double" w:color="000000" w:sz="4" w:space="0"/>
              <w:bottom w:val="double" w:color="000000" w:sz="4" w:space="0"/>
              <w:right w:val="double" w:color="000000" w:sz="4" w:space="0"/>
            </w:tcBorders>
          </w:tcPr>
          <w:p w14:paraId="00D6E411">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203 </w:t>
            </w:r>
          </w:p>
        </w:tc>
        <w:tc>
          <w:tcPr>
            <w:tcW w:w="1352" w:type="dxa"/>
            <w:tcBorders>
              <w:top w:val="double" w:color="000000" w:sz="4" w:space="0"/>
              <w:left w:val="double" w:color="000000" w:sz="4" w:space="0"/>
              <w:bottom w:val="double" w:color="000000" w:sz="4" w:space="0"/>
              <w:right w:val="double" w:color="000000" w:sz="4" w:space="0"/>
            </w:tcBorders>
          </w:tcPr>
          <w:p w14:paraId="4EF81B4B">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7 </w:t>
            </w:r>
          </w:p>
        </w:tc>
        <w:tc>
          <w:tcPr>
            <w:tcW w:w="1417" w:type="dxa"/>
            <w:tcBorders>
              <w:top w:val="double" w:color="000000" w:sz="4" w:space="0"/>
              <w:left w:val="double" w:color="000000" w:sz="4" w:space="0"/>
              <w:bottom w:val="double" w:color="000000" w:sz="4" w:space="0"/>
              <w:right w:val="double" w:color="000000" w:sz="4" w:space="0"/>
            </w:tcBorders>
          </w:tcPr>
          <w:p w14:paraId="1F3BF227">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18 </w:t>
            </w:r>
          </w:p>
        </w:tc>
        <w:tc>
          <w:tcPr>
            <w:tcW w:w="1276" w:type="dxa"/>
            <w:tcBorders>
              <w:top w:val="double" w:color="000000" w:sz="4" w:space="0"/>
              <w:left w:val="double" w:color="000000" w:sz="4" w:space="0"/>
              <w:bottom w:val="double" w:color="000000" w:sz="4" w:space="0"/>
              <w:right w:val="double" w:color="000000" w:sz="4" w:space="0"/>
            </w:tcBorders>
          </w:tcPr>
          <w:p w14:paraId="59C5824E">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72 </w:t>
            </w:r>
          </w:p>
        </w:tc>
        <w:tc>
          <w:tcPr>
            <w:tcW w:w="1418" w:type="dxa"/>
            <w:tcBorders>
              <w:top w:val="double" w:color="000000" w:sz="4" w:space="0"/>
              <w:left w:val="double" w:color="000000" w:sz="4" w:space="0"/>
              <w:bottom w:val="double" w:color="000000" w:sz="4" w:space="0"/>
              <w:right w:val="double" w:color="000000" w:sz="4" w:space="0"/>
            </w:tcBorders>
          </w:tcPr>
          <w:p w14:paraId="0924D6C3">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91.7% </w:t>
            </w:r>
          </w:p>
        </w:tc>
      </w:tr>
      <w:tr w14:paraId="7453BA95">
        <w:tblPrEx>
          <w:tblCellMar>
            <w:top w:w="0" w:type="dxa"/>
            <w:left w:w="37" w:type="dxa"/>
            <w:bottom w:w="0" w:type="dxa"/>
            <w:right w:w="115" w:type="dxa"/>
          </w:tblCellMar>
        </w:tblPrEx>
        <w:trPr>
          <w:trHeight w:val="311" w:hRule="atLeast"/>
        </w:trPr>
        <w:tc>
          <w:tcPr>
            <w:tcW w:w="1673" w:type="dxa"/>
            <w:tcBorders>
              <w:top w:val="double" w:color="000000" w:sz="4" w:space="0"/>
              <w:left w:val="double" w:color="000000" w:sz="4" w:space="0"/>
              <w:bottom w:val="double" w:color="000000" w:sz="4" w:space="0"/>
              <w:right w:val="double" w:color="000000" w:sz="4" w:space="0"/>
            </w:tcBorders>
          </w:tcPr>
          <w:p w14:paraId="3B516217">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SVM </w:t>
            </w:r>
          </w:p>
        </w:tc>
        <w:tc>
          <w:tcPr>
            <w:tcW w:w="1757" w:type="dxa"/>
            <w:tcBorders>
              <w:top w:val="double" w:color="000000" w:sz="4" w:space="0"/>
              <w:left w:val="double" w:color="000000" w:sz="4" w:space="0"/>
              <w:bottom w:val="double" w:color="000000" w:sz="4" w:space="0"/>
              <w:right w:val="double" w:color="000000" w:sz="4" w:space="0"/>
            </w:tcBorders>
          </w:tcPr>
          <w:p w14:paraId="3C2CEAC4">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198 </w:t>
            </w:r>
          </w:p>
        </w:tc>
        <w:tc>
          <w:tcPr>
            <w:tcW w:w="1352" w:type="dxa"/>
            <w:tcBorders>
              <w:top w:val="double" w:color="000000" w:sz="4" w:space="0"/>
              <w:left w:val="double" w:color="000000" w:sz="4" w:space="0"/>
              <w:bottom w:val="double" w:color="000000" w:sz="4" w:space="0"/>
              <w:right w:val="double" w:color="000000" w:sz="4" w:space="0"/>
            </w:tcBorders>
          </w:tcPr>
          <w:p w14:paraId="223735F3">
            <w:pPr>
              <w:spacing w:after="0" w:line="240" w:lineRule="auto"/>
              <w:ind w:left="5"/>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12 </w:t>
            </w:r>
          </w:p>
        </w:tc>
        <w:tc>
          <w:tcPr>
            <w:tcW w:w="1417" w:type="dxa"/>
            <w:tcBorders>
              <w:top w:val="double" w:color="000000" w:sz="4" w:space="0"/>
              <w:left w:val="double" w:color="000000" w:sz="4" w:space="0"/>
              <w:bottom w:val="double" w:color="000000" w:sz="4" w:space="0"/>
              <w:right w:val="double" w:color="000000" w:sz="4" w:space="0"/>
            </w:tcBorders>
          </w:tcPr>
          <w:p w14:paraId="3B1D6F76">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32 </w:t>
            </w:r>
          </w:p>
        </w:tc>
        <w:tc>
          <w:tcPr>
            <w:tcW w:w="1276" w:type="dxa"/>
            <w:tcBorders>
              <w:top w:val="double" w:color="000000" w:sz="4" w:space="0"/>
              <w:left w:val="double" w:color="000000" w:sz="4" w:space="0"/>
              <w:bottom w:val="double" w:color="000000" w:sz="4" w:space="0"/>
              <w:right w:val="double" w:color="000000" w:sz="4" w:space="0"/>
            </w:tcBorders>
          </w:tcPr>
          <w:p w14:paraId="7349E6F1">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58 </w:t>
            </w:r>
          </w:p>
        </w:tc>
        <w:tc>
          <w:tcPr>
            <w:tcW w:w="1418" w:type="dxa"/>
            <w:tcBorders>
              <w:top w:val="double" w:color="000000" w:sz="4" w:space="0"/>
              <w:left w:val="double" w:color="000000" w:sz="4" w:space="0"/>
              <w:bottom w:val="double" w:color="000000" w:sz="4" w:space="0"/>
              <w:right w:val="double" w:color="000000" w:sz="4" w:space="0"/>
            </w:tcBorders>
          </w:tcPr>
          <w:p w14:paraId="752DAD06">
            <w:pPr>
              <w:spacing w:after="0" w:line="240" w:lineRule="auto"/>
              <w:ind w:left="4"/>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85.3% </w:t>
            </w:r>
          </w:p>
        </w:tc>
      </w:tr>
    </w:tbl>
    <w:p w14:paraId="4B29ECA0">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 xml:space="preserve"> </w:t>
      </w:r>
    </w:p>
    <w:p w14:paraId="226791C4">
      <w:pPr>
        <w:numPr>
          <w:ilvl w:val="0"/>
          <w:numId w:val="17"/>
        </w:numPr>
        <w:spacing w:after="0" w:line="240" w:lineRule="auto"/>
        <w:ind w:right="-15" w:hanging="296"/>
        <w:jc w:val="both"/>
        <w:rPr>
          <w:rFonts w:ascii="Times New Roman" w:hAnsi="Times New Roman" w:cs="Times New Roman"/>
          <w:sz w:val="20"/>
          <w:szCs w:val="20"/>
        </w:rPr>
      </w:pPr>
      <w:r>
        <w:rPr>
          <w:rFonts w:ascii="Times New Roman" w:hAnsi="Times New Roman" w:eastAsia="Times New Roman" w:cs="Times New Roman"/>
          <w:b/>
          <w:sz w:val="20"/>
          <w:szCs w:val="20"/>
        </w:rPr>
        <w:t xml:space="preserve">Feature Importance Analysis (Explainable AI) </w:t>
      </w:r>
    </w:p>
    <w:p w14:paraId="7A4FC54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As part of the study’s fourth objective, </w:t>
      </w:r>
      <w:r>
        <w:rPr>
          <w:rFonts w:ascii="Times New Roman" w:hAnsi="Times New Roman" w:eastAsia="Times New Roman" w:cs="Times New Roman"/>
          <w:b/>
          <w:sz w:val="20"/>
          <w:szCs w:val="20"/>
        </w:rPr>
        <w:t>Explainable AI (SHAP)</w:t>
      </w:r>
      <w:r>
        <w:rPr>
          <w:rFonts w:ascii="Times New Roman" w:hAnsi="Times New Roman" w:cs="Times New Roman"/>
          <w:sz w:val="20"/>
          <w:szCs w:val="20"/>
        </w:rPr>
        <w:t xml:space="preserve"> techniques were applied to the best-performing model, Gradient Boosting, to interpret feature importance. The SHAP summary plot (Figure 4.6) identifies which features (Feature_1 through Feature_10) most significantly contributed to predicting financial risk. </w:t>
      </w:r>
    </w:p>
    <w:p w14:paraId="6150DE2E">
      <w:pPr>
        <w:spacing w:after="0" w:line="240" w:lineRule="auto"/>
        <w:jc w:val="center"/>
        <w:rPr>
          <w:rFonts w:ascii="Times New Roman" w:hAnsi="Times New Roman" w:cs="Times New Roman"/>
          <w:sz w:val="20"/>
          <w:szCs w:val="20"/>
        </w:rPr>
      </w:pPr>
      <w:r>
        <w:rPr>
          <w:rFonts w:ascii="Times New Roman" w:hAnsi="Times New Roman" w:eastAsia="Calibri" w:cs="Times New Roman"/>
          <w:sz w:val="20"/>
          <w:szCs w:val="20"/>
          <w:lang w:val="en-US"/>
        </w:rPr>
        <w:drawing>
          <wp:inline distT="0" distB="0" distL="0" distR="0">
            <wp:extent cx="3766820" cy="2648585"/>
            <wp:effectExtent l="0" t="0" r="0" b="0"/>
            <wp:docPr id="3903" name="Picture 3903"/>
            <wp:cNvGraphicFramePr/>
            <a:graphic xmlns:a="http://schemas.openxmlformats.org/drawingml/2006/main">
              <a:graphicData uri="http://schemas.openxmlformats.org/drawingml/2006/picture">
                <pic:pic xmlns:pic="http://schemas.openxmlformats.org/drawingml/2006/picture">
                  <pic:nvPicPr>
                    <pic:cNvPr id="3903" name="Picture 3903"/>
                    <pic:cNvPicPr/>
                  </pic:nvPicPr>
                  <pic:blipFill>
                    <a:blip r:embed="rId19"/>
                    <a:stretch>
                      <a:fillRect/>
                    </a:stretch>
                  </pic:blipFill>
                  <pic:spPr>
                    <a:xfrm>
                      <a:off x="0" y="0"/>
                      <a:ext cx="3767328" cy="2648712"/>
                    </a:xfrm>
                    <a:prstGeom prst="rect">
                      <a:avLst/>
                    </a:prstGeom>
                  </pic:spPr>
                </pic:pic>
              </a:graphicData>
            </a:graphic>
          </wp:inline>
        </w:drawing>
      </w:r>
    </w:p>
    <w:p w14:paraId="7668885D">
      <w:pPr>
        <w:pStyle w:val="2"/>
        <w:numPr>
          <w:ilvl w:val="0"/>
          <w:numId w:val="0"/>
        </w:numPr>
        <w:spacing w:after="0"/>
        <w:ind w:left="284"/>
        <w:jc w:val="center"/>
        <w:rPr>
          <w:b w:val="0"/>
          <w:szCs w:val="20"/>
        </w:rPr>
      </w:pPr>
      <w:r>
        <w:rPr>
          <w:b w:val="0"/>
          <w:szCs w:val="20"/>
        </w:rPr>
        <w:t>Figure 9: SHAP Interaction Plot for Feature_1 and Feature_2</w:t>
      </w:r>
    </w:p>
    <w:p w14:paraId="2344491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This interpretability is crucial for financial stakeholders, as it provides insight into why a particular transaction or entity is flagged as high risk. Moving beyond “black-box” predictions enhances trust, accountability, and regulatory compliance in financial risk management. </w:t>
      </w:r>
    </w:p>
    <w:p w14:paraId="0DB45052">
      <w:pPr>
        <w:numPr>
          <w:ilvl w:val="0"/>
          <w:numId w:val="18"/>
        </w:numPr>
        <w:spacing w:after="0" w:line="240" w:lineRule="auto"/>
        <w:ind w:right="-15" w:hanging="30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Predictive Model Performance </w:t>
      </w:r>
    </w:p>
    <w:p w14:paraId="597A1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models were trained and evaluated using standard classification metrics. The results are summarized below: </w:t>
      </w:r>
    </w:p>
    <w:tbl>
      <w:tblPr>
        <w:tblStyle w:val="74"/>
        <w:tblW w:w="4857" w:type="dxa"/>
        <w:tblInd w:w="2606" w:type="dxa"/>
        <w:tblLayout w:type="autofit"/>
        <w:tblCellMar>
          <w:top w:w="0" w:type="dxa"/>
          <w:left w:w="37" w:type="dxa"/>
          <w:bottom w:w="0" w:type="dxa"/>
          <w:right w:w="74" w:type="dxa"/>
        </w:tblCellMar>
      </w:tblPr>
      <w:tblGrid>
        <w:gridCol w:w="1601"/>
        <w:gridCol w:w="924"/>
        <w:gridCol w:w="902"/>
        <w:gridCol w:w="647"/>
        <w:gridCol w:w="783"/>
      </w:tblGrid>
      <w:tr w14:paraId="7E4B3A87">
        <w:tblPrEx>
          <w:tblCellMar>
            <w:top w:w="0" w:type="dxa"/>
            <w:left w:w="37" w:type="dxa"/>
            <w:bottom w:w="0" w:type="dxa"/>
            <w:right w:w="74" w:type="dxa"/>
          </w:tblCellMar>
        </w:tblPrEx>
        <w:trPr>
          <w:trHeight w:val="309" w:hRule="atLeast"/>
        </w:trPr>
        <w:tc>
          <w:tcPr>
            <w:tcW w:w="1673" w:type="dxa"/>
            <w:tcBorders>
              <w:top w:val="double" w:color="000000" w:sz="4" w:space="0"/>
              <w:left w:val="double" w:color="000000" w:sz="4" w:space="0"/>
              <w:bottom w:val="double" w:color="000000" w:sz="4" w:space="0"/>
              <w:right w:val="double" w:color="000000" w:sz="4" w:space="0"/>
            </w:tcBorders>
          </w:tcPr>
          <w:p w14:paraId="3C754331">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Model </w:t>
            </w:r>
          </w:p>
        </w:tc>
        <w:tc>
          <w:tcPr>
            <w:tcW w:w="890" w:type="dxa"/>
            <w:tcBorders>
              <w:top w:val="double" w:color="000000" w:sz="4" w:space="0"/>
              <w:left w:val="double" w:color="000000" w:sz="4" w:space="0"/>
              <w:bottom w:val="double" w:color="000000" w:sz="4" w:space="0"/>
              <w:right w:val="double" w:color="000000" w:sz="4" w:space="0"/>
            </w:tcBorders>
          </w:tcPr>
          <w:p w14:paraId="799F84D1">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Accuracy </w:t>
            </w:r>
          </w:p>
        </w:tc>
        <w:tc>
          <w:tcPr>
            <w:tcW w:w="869" w:type="dxa"/>
            <w:tcBorders>
              <w:top w:val="double" w:color="000000" w:sz="4" w:space="0"/>
              <w:left w:val="double" w:color="000000" w:sz="4" w:space="0"/>
              <w:bottom w:val="double" w:color="000000" w:sz="4" w:space="0"/>
              <w:right w:val="double" w:color="000000" w:sz="4" w:space="0"/>
            </w:tcBorders>
          </w:tcPr>
          <w:p w14:paraId="77B733D8">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Precision </w:t>
            </w:r>
          </w:p>
        </w:tc>
        <w:tc>
          <w:tcPr>
            <w:tcW w:w="614" w:type="dxa"/>
            <w:tcBorders>
              <w:top w:val="double" w:color="000000" w:sz="4" w:space="0"/>
              <w:left w:val="double" w:color="000000" w:sz="4" w:space="0"/>
              <w:bottom w:val="double" w:color="000000" w:sz="4" w:space="0"/>
              <w:right w:val="double" w:color="000000" w:sz="4" w:space="0"/>
            </w:tcBorders>
          </w:tcPr>
          <w:p w14:paraId="4A4CD14A">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 xml:space="preserve">Recall </w:t>
            </w:r>
          </w:p>
        </w:tc>
        <w:tc>
          <w:tcPr>
            <w:tcW w:w="810" w:type="dxa"/>
            <w:tcBorders>
              <w:top w:val="double" w:color="000000" w:sz="4" w:space="0"/>
              <w:left w:val="double" w:color="000000" w:sz="4" w:space="0"/>
              <w:bottom w:val="double" w:color="000000" w:sz="4" w:space="0"/>
              <w:right w:val="double" w:color="000000" w:sz="4" w:space="0"/>
            </w:tcBorders>
          </w:tcPr>
          <w:p w14:paraId="0005EC69">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eastAsia="Times New Roman" w:cs="Times New Roman"/>
                <w:b/>
                <w:kern w:val="0"/>
                <w:sz w:val="20"/>
                <w:szCs w:val="20"/>
                <w:lang w:val="en-US"/>
                <w14:ligatures w14:val="none"/>
              </w:rPr>
              <w:t>F1-score</w:t>
            </w:r>
          </w:p>
        </w:tc>
      </w:tr>
      <w:tr w14:paraId="699393DA">
        <w:tblPrEx>
          <w:tblCellMar>
            <w:top w:w="0" w:type="dxa"/>
            <w:left w:w="37" w:type="dxa"/>
            <w:bottom w:w="0" w:type="dxa"/>
            <w:right w:w="74" w:type="dxa"/>
          </w:tblCellMar>
        </w:tblPrEx>
        <w:trPr>
          <w:trHeight w:val="310" w:hRule="atLeast"/>
        </w:trPr>
        <w:tc>
          <w:tcPr>
            <w:tcW w:w="1673" w:type="dxa"/>
            <w:tcBorders>
              <w:top w:val="double" w:color="000000" w:sz="4" w:space="0"/>
              <w:left w:val="double" w:color="000000" w:sz="4" w:space="0"/>
              <w:bottom w:val="double" w:color="000000" w:sz="4" w:space="0"/>
              <w:right w:val="double" w:color="000000" w:sz="4" w:space="0"/>
            </w:tcBorders>
          </w:tcPr>
          <w:p w14:paraId="27114AB3">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Logistic Regression </w:t>
            </w:r>
          </w:p>
        </w:tc>
        <w:tc>
          <w:tcPr>
            <w:tcW w:w="890" w:type="dxa"/>
            <w:tcBorders>
              <w:top w:val="double" w:color="000000" w:sz="4" w:space="0"/>
              <w:left w:val="double" w:color="000000" w:sz="4" w:space="0"/>
              <w:bottom w:val="double" w:color="000000" w:sz="4" w:space="0"/>
              <w:right w:val="double" w:color="000000" w:sz="4" w:space="0"/>
            </w:tcBorders>
          </w:tcPr>
          <w:p w14:paraId="5D6B8DD1">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0.863 </w:t>
            </w:r>
          </w:p>
        </w:tc>
        <w:tc>
          <w:tcPr>
            <w:tcW w:w="869" w:type="dxa"/>
            <w:tcBorders>
              <w:top w:val="double" w:color="000000" w:sz="4" w:space="0"/>
              <w:left w:val="double" w:color="000000" w:sz="4" w:space="0"/>
              <w:bottom w:val="double" w:color="000000" w:sz="4" w:space="0"/>
              <w:right w:val="double" w:color="000000" w:sz="4" w:space="0"/>
            </w:tcBorders>
          </w:tcPr>
          <w:p w14:paraId="022C6E23">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0.847 </w:t>
            </w:r>
          </w:p>
        </w:tc>
        <w:tc>
          <w:tcPr>
            <w:tcW w:w="614" w:type="dxa"/>
            <w:tcBorders>
              <w:top w:val="double" w:color="000000" w:sz="4" w:space="0"/>
              <w:left w:val="double" w:color="000000" w:sz="4" w:space="0"/>
              <w:bottom w:val="double" w:color="000000" w:sz="4" w:space="0"/>
              <w:right w:val="double" w:color="000000" w:sz="4" w:space="0"/>
            </w:tcBorders>
          </w:tcPr>
          <w:p w14:paraId="7D89D4B5">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0.670 </w:t>
            </w:r>
          </w:p>
        </w:tc>
        <w:tc>
          <w:tcPr>
            <w:tcW w:w="810" w:type="dxa"/>
            <w:tcBorders>
              <w:top w:val="double" w:color="000000" w:sz="4" w:space="0"/>
              <w:left w:val="double" w:color="000000" w:sz="4" w:space="0"/>
              <w:bottom w:val="double" w:color="000000" w:sz="4" w:space="0"/>
              <w:right w:val="double" w:color="000000" w:sz="4" w:space="0"/>
            </w:tcBorders>
          </w:tcPr>
          <w:p w14:paraId="2BB2131A">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0.748 </w:t>
            </w:r>
          </w:p>
        </w:tc>
      </w:tr>
      <w:tr w14:paraId="3C55EF61">
        <w:tblPrEx>
          <w:tblCellMar>
            <w:top w:w="0" w:type="dxa"/>
            <w:left w:w="37" w:type="dxa"/>
            <w:bottom w:w="0" w:type="dxa"/>
            <w:right w:w="74" w:type="dxa"/>
          </w:tblCellMar>
        </w:tblPrEx>
        <w:trPr>
          <w:trHeight w:val="312" w:hRule="atLeast"/>
        </w:trPr>
        <w:tc>
          <w:tcPr>
            <w:tcW w:w="1673" w:type="dxa"/>
            <w:tcBorders>
              <w:top w:val="double" w:color="000000" w:sz="4" w:space="0"/>
              <w:left w:val="double" w:color="000000" w:sz="4" w:space="0"/>
              <w:bottom w:val="double" w:color="000000" w:sz="4" w:space="0"/>
              <w:right w:val="double" w:color="000000" w:sz="4" w:space="0"/>
            </w:tcBorders>
          </w:tcPr>
          <w:p w14:paraId="5D9BF001">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Random Forest </w:t>
            </w:r>
          </w:p>
        </w:tc>
        <w:tc>
          <w:tcPr>
            <w:tcW w:w="890" w:type="dxa"/>
            <w:tcBorders>
              <w:top w:val="double" w:color="000000" w:sz="4" w:space="0"/>
              <w:left w:val="double" w:color="000000" w:sz="4" w:space="0"/>
              <w:bottom w:val="double" w:color="000000" w:sz="4" w:space="0"/>
              <w:right w:val="double" w:color="000000" w:sz="4" w:space="0"/>
            </w:tcBorders>
          </w:tcPr>
          <w:p w14:paraId="42534016">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0.937 </w:t>
            </w:r>
          </w:p>
        </w:tc>
        <w:tc>
          <w:tcPr>
            <w:tcW w:w="869" w:type="dxa"/>
            <w:tcBorders>
              <w:top w:val="double" w:color="000000" w:sz="4" w:space="0"/>
              <w:left w:val="double" w:color="000000" w:sz="4" w:space="0"/>
              <w:bottom w:val="double" w:color="000000" w:sz="4" w:space="0"/>
              <w:right w:val="double" w:color="000000" w:sz="4" w:space="0"/>
            </w:tcBorders>
          </w:tcPr>
          <w:p w14:paraId="0ECE7126">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0.919 </w:t>
            </w:r>
          </w:p>
        </w:tc>
        <w:tc>
          <w:tcPr>
            <w:tcW w:w="614" w:type="dxa"/>
            <w:tcBorders>
              <w:top w:val="double" w:color="000000" w:sz="4" w:space="0"/>
              <w:left w:val="double" w:color="000000" w:sz="4" w:space="0"/>
              <w:bottom w:val="double" w:color="000000" w:sz="4" w:space="0"/>
              <w:right w:val="double" w:color="000000" w:sz="4" w:space="0"/>
            </w:tcBorders>
          </w:tcPr>
          <w:p w14:paraId="20D77A86">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0.868 </w:t>
            </w:r>
          </w:p>
        </w:tc>
        <w:tc>
          <w:tcPr>
            <w:tcW w:w="810" w:type="dxa"/>
            <w:tcBorders>
              <w:top w:val="double" w:color="000000" w:sz="4" w:space="0"/>
              <w:left w:val="double" w:color="000000" w:sz="4" w:space="0"/>
              <w:bottom w:val="double" w:color="000000" w:sz="4" w:space="0"/>
              <w:right w:val="double" w:color="000000" w:sz="4" w:space="0"/>
            </w:tcBorders>
          </w:tcPr>
          <w:p w14:paraId="0584379B">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0.893 </w:t>
            </w:r>
          </w:p>
        </w:tc>
      </w:tr>
      <w:tr w14:paraId="48E92177">
        <w:tblPrEx>
          <w:tblCellMar>
            <w:top w:w="0" w:type="dxa"/>
            <w:left w:w="37" w:type="dxa"/>
            <w:bottom w:w="0" w:type="dxa"/>
            <w:right w:w="74" w:type="dxa"/>
          </w:tblCellMar>
        </w:tblPrEx>
        <w:trPr>
          <w:trHeight w:val="310" w:hRule="atLeast"/>
        </w:trPr>
        <w:tc>
          <w:tcPr>
            <w:tcW w:w="1673" w:type="dxa"/>
            <w:tcBorders>
              <w:top w:val="double" w:color="000000" w:sz="4" w:space="0"/>
              <w:left w:val="double" w:color="000000" w:sz="4" w:space="0"/>
              <w:bottom w:val="double" w:color="000000" w:sz="4" w:space="0"/>
              <w:right w:val="double" w:color="000000" w:sz="4" w:space="0"/>
            </w:tcBorders>
          </w:tcPr>
          <w:p w14:paraId="47CD2D4F">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Gradient Boosting </w:t>
            </w:r>
          </w:p>
        </w:tc>
        <w:tc>
          <w:tcPr>
            <w:tcW w:w="890" w:type="dxa"/>
            <w:tcBorders>
              <w:top w:val="double" w:color="000000" w:sz="4" w:space="0"/>
              <w:left w:val="double" w:color="000000" w:sz="4" w:space="0"/>
              <w:bottom w:val="double" w:color="000000" w:sz="4" w:space="0"/>
              <w:right w:val="double" w:color="000000" w:sz="4" w:space="0"/>
            </w:tcBorders>
          </w:tcPr>
          <w:p w14:paraId="25501E12">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0.910 </w:t>
            </w:r>
          </w:p>
        </w:tc>
        <w:tc>
          <w:tcPr>
            <w:tcW w:w="869" w:type="dxa"/>
            <w:tcBorders>
              <w:top w:val="double" w:color="000000" w:sz="4" w:space="0"/>
              <w:left w:val="double" w:color="000000" w:sz="4" w:space="0"/>
              <w:bottom w:val="double" w:color="000000" w:sz="4" w:space="0"/>
              <w:right w:val="double" w:color="000000" w:sz="4" w:space="0"/>
            </w:tcBorders>
          </w:tcPr>
          <w:p w14:paraId="0D9E615F">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0.848 </w:t>
            </w:r>
          </w:p>
        </w:tc>
        <w:tc>
          <w:tcPr>
            <w:tcW w:w="614" w:type="dxa"/>
            <w:tcBorders>
              <w:top w:val="double" w:color="000000" w:sz="4" w:space="0"/>
              <w:left w:val="double" w:color="000000" w:sz="4" w:space="0"/>
              <w:bottom w:val="double" w:color="000000" w:sz="4" w:space="0"/>
              <w:right w:val="double" w:color="000000" w:sz="4" w:space="0"/>
            </w:tcBorders>
          </w:tcPr>
          <w:p w14:paraId="100A4245">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0.857 </w:t>
            </w:r>
          </w:p>
        </w:tc>
        <w:tc>
          <w:tcPr>
            <w:tcW w:w="810" w:type="dxa"/>
            <w:tcBorders>
              <w:top w:val="double" w:color="000000" w:sz="4" w:space="0"/>
              <w:left w:val="double" w:color="000000" w:sz="4" w:space="0"/>
              <w:bottom w:val="double" w:color="000000" w:sz="4" w:space="0"/>
              <w:right w:val="double" w:color="000000" w:sz="4" w:space="0"/>
            </w:tcBorders>
          </w:tcPr>
          <w:p w14:paraId="749D12DA">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0.852 </w:t>
            </w:r>
          </w:p>
        </w:tc>
      </w:tr>
      <w:tr w14:paraId="3288853E">
        <w:tblPrEx>
          <w:tblCellMar>
            <w:top w:w="0" w:type="dxa"/>
            <w:left w:w="37" w:type="dxa"/>
            <w:bottom w:w="0" w:type="dxa"/>
            <w:right w:w="74" w:type="dxa"/>
          </w:tblCellMar>
        </w:tblPrEx>
        <w:trPr>
          <w:trHeight w:val="308" w:hRule="atLeast"/>
        </w:trPr>
        <w:tc>
          <w:tcPr>
            <w:tcW w:w="1673" w:type="dxa"/>
            <w:tcBorders>
              <w:top w:val="double" w:color="000000" w:sz="4" w:space="0"/>
              <w:left w:val="double" w:color="000000" w:sz="4" w:space="0"/>
              <w:bottom w:val="double" w:color="000000" w:sz="4" w:space="0"/>
              <w:right w:val="double" w:color="000000" w:sz="4" w:space="0"/>
            </w:tcBorders>
          </w:tcPr>
          <w:p w14:paraId="32B5BE34">
            <w:pPr>
              <w:spacing w:after="0" w:line="240" w:lineRule="auto"/>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SVM </w:t>
            </w:r>
          </w:p>
        </w:tc>
        <w:tc>
          <w:tcPr>
            <w:tcW w:w="890" w:type="dxa"/>
            <w:tcBorders>
              <w:top w:val="double" w:color="000000" w:sz="4" w:space="0"/>
              <w:left w:val="double" w:color="000000" w:sz="4" w:space="0"/>
              <w:bottom w:val="double" w:color="000000" w:sz="4" w:space="0"/>
              <w:right w:val="double" w:color="000000" w:sz="4" w:space="0"/>
            </w:tcBorders>
          </w:tcPr>
          <w:p w14:paraId="014EA0EB">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0.940 </w:t>
            </w:r>
          </w:p>
        </w:tc>
        <w:tc>
          <w:tcPr>
            <w:tcW w:w="869" w:type="dxa"/>
            <w:tcBorders>
              <w:top w:val="double" w:color="000000" w:sz="4" w:space="0"/>
              <w:left w:val="double" w:color="000000" w:sz="4" w:space="0"/>
              <w:bottom w:val="double" w:color="000000" w:sz="4" w:space="0"/>
              <w:right w:val="double" w:color="000000" w:sz="4" w:space="0"/>
            </w:tcBorders>
          </w:tcPr>
          <w:p w14:paraId="40800A8C">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0.951 </w:t>
            </w:r>
          </w:p>
        </w:tc>
        <w:tc>
          <w:tcPr>
            <w:tcW w:w="614" w:type="dxa"/>
            <w:tcBorders>
              <w:top w:val="double" w:color="000000" w:sz="4" w:space="0"/>
              <w:left w:val="double" w:color="000000" w:sz="4" w:space="0"/>
              <w:bottom w:val="double" w:color="000000" w:sz="4" w:space="0"/>
              <w:right w:val="double" w:color="000000" w:sz="4" w:space="0"/>
            </w:tcBorders>
          </w:tcPr>
          <w:p w14:paraId="0B217907">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0.846 </w:t>
            </w:r>
          </w:p>
        </w:tc>
        <w:tc>
          <w:tcPr>
            <w:tcW w:w="810" w:type="dxa"/>
            <w:tcBorders>
              <w:top w:val="double" w:color="000000" w:sz="4" w:space="0"/>
              <w:left w:val="double" w:color="000000" w:sz="4" w:space="0"/>
              <w:bottom w:val="double" w:color="000000" w:sz="4" w:space="0"/>
              <w:right w:val="double" w:color="000000" w:sz="4" w:space="0"/>
            </w:tcBorders>
          </w:tcPr>
          <w:p w14:paraId="1E2CAA28">
            <w:pPr>
              <w:spacing w:after="0" w:line="240" w:lineRule="auto"/>
              <w:ind w:left="2"/>
              <w:jc w:val="both"/>
              <w:rPr>
                <w:rFonts w:ascii="Times New Roman" w:hAnsi="Times New Roman" w:cs="Times New Roman" w:eastAsiaTheme="minorEastAsia"/>
                <w:kern w:val="0"/>
                <w:sz w:val="20"/>
                <w:szCs w:val="20"/>
                <w:lang w:val="en-US"/>
                <w14:ligatures w14:val="none"/>
              </w:rPr>
            </w:pPr>
            <w:r>
              <w:rPr>
                <w:rFonts w:ascii="Times New Roman" w:hAnsi="Times New Roman" w:cs="Times New Roman" w:eastAsiaTheme="minorEastAsia"/>
                <w:kern w:val="0"/>
                <w:sz w:val="20"/>
                <w:szCs w:val="20"/>
                <w:lang w:val="en-US"/>
                <w14:ligatures w14:val="none"/>
              </w:rPr>
              <w:t xml:space="preserve">0.895 </w:t>
            </w:r>
          </w:p>
        </w:tc>
      </w:tr>
    </w:tbl>
    <w:p w14:paraId="3A6C64A7">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Interpretation:</w:t>
      </w:r>
      <w:r>
        <w:rPr>
          <w:rFonts w:ascii="Times New Roman" w:hAnsi="Times New Roman" w:cs="Times New Roman"/>
          <w:sz w:val="20"/>
          <w:szCs w:val="20"/>
        </w:rPr>
        <w:t xml:space="preserve"> </w:t>
      </w:r>
    </w:p>
    <w:p w14:paraId="6B5E3F4B">
      <w:pPr>
        <w:numPr>
          <w:ilvl w:val="1"/>
          <w:numId w:val="18"/>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SVM achieved the highest accuracy (0.940) and precision (0.951), indicating strong predictive performance with minimal false positives. </w:t>
      </w:r>
    </w:p>
    <w:p w14:paraId="19AF1E47">
      <w:pPr>
        <w:numPr>
          <w:ilvl w:val="1"/>
          <w:numId w:val="18"/>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Random Forest and Gradient Boosting also performed well, with F1-scores above 0.85, balancing precision and recall effectively. </w:t>
      </w:r>
    </w:p>
    <w:p w14:paraId="6E295159">
      <w:pPr>
        <w:numPr>
          <w:ilvl w:val="1"/>
          <w:numId w:val="18"/>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Logistic Regression had the lowest recall (0.670), suggesting it missed some high-risk cases. </w:t>
      </w:r>
    </w:p>
    <w:p w14:paraId="4222AF14">
      <w:pPr>
        <w:numPr>
          <w:ilvl w:val="0"/>
          <w:numId w:val="18"/>
        </w:numPr>
        <w:spacing w:after="0" w:line="240" w:lineRule="auto"/>
        <w:ind w:right="-15" w:hanging="30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Summary of Findings </w:t>
      </w:r>
    </w:p>
    <w:p w14:paraId="47A373E6">
      <w:pPr>
        <w:numPr>
          <w:ilvl w:val="1"/>
          <w:numId w:val="19"/>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Among the tested models, </w:t>
      </w:r>
      <w:r>
        <w:rPr>
          <w:rFonts w:ascii="Times New Roman" w:hAnsi="Times New Roman" w:eastAsia="Times New Roman" w:cs="Times New Roman"/>
          <w:b/>
          <w:sz w:val="20"/>
          <w:szCs w:val="20"/>
        </w:rPr>
        <w:t>SVM and Random Forest</w:t>
      </w:r>
      <w:r>
        <w:rPr>
          <w:rFonts w:ascii="Times New Roman" w:hAnsi="Times New Roman" w:cs="Times New Roman"/>
          <w:sz w:val="20"/>
          <w:szCs w:val="20"/>
        </w:rPr>
        <w:t xml:space="preserve"> performed best in terms of accuracy and AUC, making them suitable for financial risk prediction. </w:t>
      </w:r>
    </w:p>
    <w:p w14:paraId="64A20C07">
      <w:pPr>
        <w:numPr>
          <w:ilvl w:val="1"/>
          <w:numId w:val="19"/>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SHAP analysis revealed </w:t>
      </w:r>
      <w:r>
        <w:rPr>
          <w:rFonts w:ascii="Times New Roman" w:hAnsi="Times New Roman" w:eastAsia="Times New Roman" w:cs="Times New Roman"/>
          <w:b/>
          <w:sz w:val="20"/>
          <w:szCs w:val="20"/>
        </w:rPr>
        <w:t>Feature_1</w:t>
      </w:r>
      <w:r>
        <w:rPr>
          <w:rFonts w:ascii="Times New Roman" w:hAnsi="Times New Roman" w:cs="Times New Roman"/>
          <w:sz w:val="20"/>
          <w:szCs w:val="20"/>
        </w:rPr>
        <w:t xml:space="preserve"> as the most critical predictor, with </w:t>
      </w:r>
      <w:r>
        <w:rPr>
          <w:rFonts w:ascii="Times New Roman" w:hAnsi="Times New Roman" w:eastAsia="Times New Roman" w:cs="Times New Roman"/>
          <w:b/>
          <w:sz w:val="20"/>
          <w:szCs w:val="20"/>
        </w:rPr>
        <w:t>Feature_2</w:t>
      </w:r>
      <w:r>
        <w:rPr>
          <w:rFonts w:ascii="Times New Roman" w:hAnsi="Times New Roman" w:cs="Times New Roman"/>
          <w:sz w:val="20"/>
          <w:szCs w:val="20"/>
        </w:rPr>
        <w:t xml:space="preserve"> contributing through interactions. </w:t>
      </w:r>
    </w:p>
    <w:p w14:paraId="37B461B4">
      <w:pPr>
        <w:numPr>
          <w:ilvl w:val="1"/>
          <w:numId w:val="19"/>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Logistic Regression, while interpretable, may underperform in identifying high-risk cases due to lower recall. </w:t>
      </w:r>
    </w:p>
    <w:p w14:paraId="1E150538">
      <w:pPr>
        <w:numPr>
          <w:ilvl w:val="1"/>
          <w:numId w:val="19"/>
        </w:numPr>
        <w:spacing w:after="0" w:line="240" w:lineRule="auto"/>
        <w:ind w:right="-9" w:hanging="360"/>
        <w:jc w:val="both"/>
        <w:rPr>
          <w:rFonts w:ascii="Times New Roman" w:hAnsi="Times New Roman" w:cs="Times New Roman"/>
          <w:sz w:val="20"/>
          <w:szCs w:val="20"/>
        </w:rPr>
      </w:pPr>
      <w:r>
        <w:rPr>
          <w:rFonts w:ascii="Times New Roman" w:hAnsi="Times New Roman" w:cs="Times New Roman"/>
          <w:sz w:val="20"/>
          <w:szCs w:val="20"/>
        </w:rPr>
        <w:t xml:space="preserve">Explainable AI techniques provide transparency and can improve trust in automated financial risk management systems. </w:t>
      </w:r>
    </w:p>
    <w:p w14:paraId="2775EC1E">
      <w:pPr>
        <w:spacing w:after="0" w:line="240" w:lineRule="auto"/>
        <w:ind w:left="720"/>
        <w:jc w:val="both"/>
        <w:rPr>
          <w:rFonts w:ascii="Times New Roman" w:hAnsi="Times New Roman" w:cs="Times New Roman"/>
          <w:sz w:val="20"/>
          <w:szCs w:val="20"/>
        </w:rPr>
      </w:pPr>
      <w:r>
        <w:rPr>
          <w:rFonts w:ascii="Times New Roman" w:hAnsi="Times New Roman" w:cs="Times New Roman"/>
          <w:sz w:val="20"/>
          <w:szCs w:val="20"/>
        </w:rPr>
        <w:t xml:space="preserve"> </w:t>
      </w:r>
    </w:p>
    <w:p w14:paraId="71F00C45">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V.  CONCLUSION, RECOMMENDATIONS, AND FUTURE WORK </w:t>
      </w:r>
    </w:p>
    <w:p w14:paraId="211396F3">
      <w:pPr>
        <w:spacing w:after="0" w:line="240" w:lineRule="auto"/>
        <w:ind w:right="-13"/>
        <w:jc w:val="both"/>
        <w:rPr>
          <w:rFonts w:ascii="Times New Roman" w:hAnsi="Times New Roman" w:cs="Times New Roman"/>
          <w:sz w:val="20"/>
          <w:szCs w:val="20"/>
        </w:rPr>
      </w:pPr>
      <w:r>
        <w:rPr>
          <w:rFonts w:ascii="Times New Roman" w:hAnsi="Times New Roman" w:cs="Times New Roman"/>
          <w:sz w:val="20"/>
          <w:szCs w:val="20"/>
        </w:rPr>
        <w:t xml:space="preserve">This section presents the key conclusions drawn from the analysis of predictive models for financial risk management. It synthesizes the findings from Chapter Four, provides actionable recommendations for financial institutions, and outlines directions for future research. Emphasis is plaed on both predictive accuracy and interpretability of machine learning models, ensuring practical relevance and compliance with regulatory standards. </w:t>
      </w:r>
    </w:p>
    <w:p w14:paraId="0792A0B4">
      <w:pPr>
        <w:numPr>
          <w:ilvl w:val="0"/>
          <w:numId w:val="20"/>
        </w:numPr>
        <w:spacing w:after="0" w:line="240" w:lineRule="auto"/>
        <w:ind w:right="-15" w:hanging="286"/>
        <w:jc w:val="both"/>
        <w:rPr>
          <w:rFonts w:ascii="Times New Roman" w:hAnsi="Times New Roman" w:cs="Times New Roman"/>
          <w:sz w:val="20"/>
          <w:szCs w:val="20"/>
        </w:rPr>
      </w:pPr>
      <w:r>
        <w:rPr>
          <w:rFonts w:ascii="Times New Roman" w:hAnsi="Times New Roman" w:eastAsia="Times New Roman" w:cs="Times New Roman"/>
          <w:b/>
          <w:sz w:val="20"/>
          <w:szCs w:val="20"/>
        </w:rPr>
        <w:t xml:space="preserve">Conclusion </w:t>
      </w:r>
    </w:p>
    <w:p w14:paraId="1F2BC440">
      <w:pPr>
        <w:spacing w:after="0" w:line="240" w:lineRule="auto"/>
        <w:ind w:right="-13"/>
        <w:jc w:val="both"/>
        <w:rPr>
          <w:rFonts w:ascii="Times New Roman" w:hAnsi="Times New Roman" w:cs="Times New Roman"/>
          <w:sz w:val="20"/>
          <w:szCs w:val="20"/>
        </w:rPr>
      </w:pPr>
      <w:r>
        <w:rPr>
          <w:rFonts w:ascii="Times New Roman" w:hAnsi="Times New Roman" w:cs="Times New Roman"/>
          <w:sz w:val="20"/>
          <w:szCs w:val="20"/>
        </w:rPr>
        <w:t xml:space="preserve">The study evaluated four predictive models Logistic Regression (LR), Random Forest (RF), Gradient Boosting (GB), and Support Vector Machine (SVM) using synthetic financial risk datasets with 10 features. The following conclusions were drawn: </w:t>
      </w:r>
    </w:p>
    <w:p w14:paraId="6D14A131">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Model Performance:</w:t>
      </w:r>
      <w:r>
        <w:rPr>
          <w:rFonts w:ascii="Times New Roman" w:hAnsi="Times New Roman" w:cs="Times New Roman"/>
          <w:sz w:val="20"/>
          <w:szCs w:val="20"/>
        </w:rPr>
        <w:t xml:space="preserve"> </w:t>
      </w:r>
    </w:p>
    <w:p w14:paraId="4B78BBC0">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Gradient Boosting achieved the highest overall reliability, with 91.7% accuracy, the highest True Positive count, and the lowest False Negative count. </w:t>
      </w:r>
      <w:r>
        <w:rPr>
          <w:rFonts w:ascii="Times New Roman" w:hAnsi="Times New Roman" w:eastAsia="Courier New" w:cs="Times New Roman"/>
          <w:sz w:val="20"/>
          <w:szCs w:val="20"/>
        </w:rPr>
        <w:t>o</w:t>
      </w:r>
      <w:r>
        <w:rPr>
          <w:rFonts w:ascii="Times New Roman" w:hAnsi="Times New Roman" w:eastAsia="Arial" w:cs="Times New Roman"/>
          <w:sz w:val="20"/>
          <w:szCs w:val="20"/>
        </w:rPr>
        <w:t xml:space="preserve"> </w:t>
      </w:r>
      <w:r>
        <w:rPr>
          <w:rFonts w:ascii="Times New Roman" w:hAnsi="Times New Roman" w:cs="Times New Roman"/>
          <w:sz w:val="20"/>
          <w:szCs w:val="20"/>
        </w:rPr>
        <w:t xml:space="preserve">Random Forest demonstrated strong performance (90.3% accuracy), capturing complex non-linear patterns effectively. </w:t>
      </w:r>
    </w:p>
    <w:p w14:paraId="71C7A4C4">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Logistic Regression was moderately effective (85.7% accuracy) but less sensitive to high-risk cases, indicating limitations in linear modeling. </w:t>
      </w:r>
    </w:p>
    <w:p w14:paraId="1308E240">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SVM exhibited the highest discriminative ability with an AUC of 0.985 but lower recall at the default threshold, suggesting potential under-detection of high-risk cases. </w:t>
      </w:r>
    </w:p>
    <w:p w14:paraId="56DC6C38">
      <w:pPr>
        <w:spacing w:after="0" w:line="240" w:lineRule="auto"/>
        <w:ind w:right="-15"/>
        <w:jc w:val="both"/>
        <w:rPr>
          <w:rFonts w:ascii="Times New Roman" w:hAnsi="Times New Roman" w:cs="Times New Roman"/>
          <w:sz w:val="20"/>
          <w:szCs w:val="20"/>
        </w:rPr>
      </w:pPr>
      <w:r>
        <w:rPr>
          <w:rFonts w:ascii="Times New Roman" w:hAnsi="Times New Roman" w:eastAsia="Times New Roman" w:cs="Times New Roman"/>
          <w:b/>
          <w:sz w:val="20"/>
          <w:szCs w:val="20"/>
        </w:rPr>
        <w:t>Model Interpretability:</w:t>
      </w:r>
      <w:r>
        <w:rPr>
          <w:rFonts w:ascii="Times New Roman" w:hAnsi="Times New Roman" w:cs="Times New Roman"/>
          <w:sz w:val="20"/>
          <w:szCs w:val="20"/>
        </w:rPr>
        <w:t xml:space="preserve"> </w:t>
      </w:r>
    </w:p>
    <w:p w14:paraId="6130784F">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SHAP analysis of Gradient Boosting revealed Feature_1 as the most significant predictor of financial risk, with Feature_2 contributing through interactions. </w:t>
      </w:r>
    </w:p>
    <w:p w14:paraId="1B8451FB">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Explainable AI provided transparency, enhancing stakeholder trust and facilitating regulatory compliance. </w:t>
      </w:r>
    </w:p>
    <w:p w14:paraId="65058577">
      <w:pPr>
        <w:spacing w:after="0" w:line="240" w:lineRule="auto"/>
        <w:ind w:right="105"/>
        <w:jc w:val="both"/>
        <w:rPr>
          <w:rFonts w:ascii="Times New Roman" w:hAnsi="Times New Roman" w:cs="Times New Roman"/>
          <w:sz w:val="20"/>
          <w:szCs w:val="20"/>
        </w:rPr>
      </w:pPr>
      <w:r>
        <w:rPr>
          <w:rFonts w:ascii="Times New Roman" w:hAnsi="Times New Roman" w:eastAsia="Times New Roman" w:cs="Times New Roman"/>
          <w:b/>
          <w:sz w:val="20"/>
          <w:szCs w:val="20"/>
        </w:rPr>
        <w:t>Overall Insights:</w:t>
      </w:r>
      <w:r>
        <w:rPr>
          <w:rFonts w:ascii="Times New Roman" w:hAnsi="Times New Roman" w:cs="Times New Roman"/>
          <w:sz w:val="20"/>
          <w:szCs w:val="20"/>
        </w:rPr>
        <w:t xml:space="preserve"> </w:t>
      </w:r>
    </w:p>
    <w:p w14:paraId="3E49D783">
      <w:pPr>
        <w:spacing w:after="0" w:line="240" w:lineRule="auto"/>
        <w:ind w:left="567" w:right="105" w:hanging="283"/>
        <w:jc w:val="both"/>
        <w:rPr>
          <w:rFonts w:ascii="Times New Roman" w:hAnsi="Times New Roman" w:cs="Times New Roman"/>
          <w:sz w:val="20"/>
          <w:szCs w:val="20"/>
        </w:rPr>
      </w:pPr>
      <w:r>
        <w:rPr>
          <w:rFonts w:ascii="Times New Roman" w:hAnsi="Times New Roman" w:eastAsia="Courier New" w:cs="Times New Roman"/>
          <w:sz w:val="20"/>
          <w:szCs w:val="20"/>
        </w:rPr>
        <w:t>o</w:t>
      </w:r>
      <w:r>
        <w:rPr>
          <w:rFonts w:ascii="Times New Roman" w:hAnsi="Times New Roman" w:eastAsia="Arial" w:cs="Times New Roman"/>
          <w:sz w:val="20"/>
          <w:szCs w:val="20"/>
        </w:rPr>
        <w:t xml:space="preserve"> </w:t>
      </w:r>
      <w:r>
        <w:rPr>
          <w:rFonts w:ascii="Times New Roman" w:hAnsi="Times New Roman" w:eastAsia="Arial" w:cs="Times New Roman"/>
          <w:sz w:val="20"/>
          <w:szCs w:val="20"/>
        </w:rPr>
        <w:tab/>
      </w:r>
      <w:r>
        <w:rPr>
          <w:rFonts w:ascii="Times New Roman" w:hAnsi="Times New Roman" w:cs="Times New Roman"/>
          <w:sz w:val="20"/>
          <w:szCs w:val="20"/>
        </w:rPr>
        <w:t xml:space="preserve">Ensemble methods, particularly Gradient Boosting, balance predictive accuracy and interpretability, making them the most suitable for practical financial risk management. </w:t>
      </w:r>
    </w:p>
    <w:p w14:paraId="31DD8173">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SVM shows strong ranking capability, but threshold adjustment is necessary for high-stakes operational deployment. </w:t>
      </w:r>
    </w:p>
    <w:p w14:paraId="19BBEFD9">
      <w:pPr>
        <w:numPr>
          <w:ilvl w:val="0"/>
          <w:numId w:val="20"/>
        </w:numPr>
        <w:spacing w:after="0" w:line="240" w:lineRule="auto"/>
        <w:ind w:right="-15" w:hanging="286"/>
        <w:jc w:val="both"/>
        <w:rPr>
          <w:rFonts w:ascii="Times New Roman" w:hAnsi="Times New Roman" w:cs="Times New Roman"/>
          <w:sz w:val="20"/>
          <w:szCs w:val="20"/>
        </w:rPr>
      </w:pPr>
      <w:r>
        <w:rPr>
          <w:rFonts w:ascii="Times New Roman" w:hAnsi="Times New Roman" w:eastAsia="Times New Roman" w:cs="Times New Roman"/>
          <w:b/>
          <w:sz w:val="20"/>
          <w:szCs w:val="20"/>
        </w:rPr>
        <w:t xml:space="preserve">Recommendations </w:t>
      </w:r>
    </w:p>
    <w:p w14:paraId="59ED0DD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Based on the findings, the following recommendations are proposed: </w:t>
      </w:r>
    </w:p>
    <w:p w14:paraId="763962F9">
      <w:pPr>
        <w:spacing w:after="0" w:line="240" w:lineRule="auto"/>
        <w:ind w:left="370" w:right="-15"/>
        <w:jc w:val="both"/>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eastAsia="Arial" w:cs="Times New Roman"/>
          <w:sz w:val="20"/>
          <w:szCs w:val="20"/>
        </w:rPr>
        <w:t xml:space="preserve"> </w:t>
      </w:r>
      <w:r>
        <w:rPr>
          <w:rFonts w:ascii="Times New Roman" w:hAnsi="Times New Roman" w:eastAsia="Times New Roman" w:cs="Times New Roman"/>
          <w:b/>
          <w:sz w:val="20"/>
          <w:szCs w:val="20"/>
        </w:rPr>
        <w:t>Model Selection:</w:t>
      </w:r>
      <w:r>
        <w:rPr>
          <w:rFonts w:ascii="Times New Roman" w:hAnsi="Times New Roman" w:cs="Times New Roman"/>
          <w:sz w:val="20"/>
          <w:szCs w:val="20"/>
        </w:rPr>
        <w:t xml:space="preserve"> </w:t>
      </w:r>
    </w:p>
    <w:p w14:paraId="1296D130">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Implement Gradient Boosting as the primary predictive model in operational financial risk systems, integrating SHAP-based interpretability. </w:t>
      </w:r>
    </w:p>
    <w:p w14:paraId="3EE3D31D">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Use SVM for risk ranking and threshold-sensitive applications where high sensitivity is required. </w:t>
      </w:r>
    </w:p>
    <w:p w14:paraId="4526CD9C">
      <w:pPr>
        <w:spacing w:after="0" w:line="240" w:lineRule="auto"/>
        <w:ind w:left="284" w:right="3358" w:firstLine="77"/>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eastAsia="Arial" w:cs="Times New Roman"/>
          <w:sz w:val="20"/>
          <w:szCs w:val="20"/>
        </w:rPr>
        <w:t xml:space="preserve"> </w:t>
      </w:r>
      <w:r>
        <w:rPr>
          <w:rFonts w:ascii="Times New Roman" w:hAnsi="Times New Roman" w:eastAsia="Times New Roman" w:cs="Times New Roman"/>
          <w:b/>
          <w:sz w:val="20"/>
          <w:szCs w:val="20"/>
        </w:rPr>
        <w:t>Feature Monitoring and Data Management:</w:t>
      </w:r>
      <w:r>
        <w:rPr>
          <w:rFonts w:ascii="Times New Roman" w:hAnsi="Times New Roman" w:cs="Times New Roman"/>
          <w:sz w:val="20"/>
          <w:szCs w:val="20"/>
        </w:rPr>
        <w:t xml:space="preserve"> </w:t>
      </w:r>
      <w:r>
        <w:rPr>
          <w:rFonts w:ascii="Times New Roman" w:hAnsi="Times New Roman" w:eastAsia="Courier New" w:cs="Times New Roman"/>
          <w:sz w:val="20"/>
          <w:szCs w:val="20"/>
        </w:rPr>
        <w:t>o</w:t>
      </w:r>
      <w:r>
        <w:rPr>
          <w:rFonts w:ascii="Times New Roman" w:hAnsi="Times New Roman" w:eastAsia="Arial" w:cs="Times New Roman"/>
          <w:sz w:val="20"/>
          <w:szCs w:val="20"/>
        </w:rPr>
        <w:t xml:space="preserve"> </w:t>
      </w:r>
      <w:r>
        <w:rPr>
          <w:rFonts w:ascii="Times New Roman" w:hAnsi="Times New Roman" w:cs="Times New Roman"/>
          <w:sz w:val="20"/>
          <w:szCs w:val="20"/>
        </w:rPr>
        <w:t xml:space="preserve">Continuously monitor key predictive features to detect shifts in risk patterns. </w:t>
      </w:r>
    </w:p>
    <w:p w14:paraId="7CAABDD9">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Maintain high-quality, up-to-date financial datasets and explore alternative data sources for enhanced prediction. </w:t>
      </w:r>
    </w:p>
    <w:p w14:paraId="3D42286A">
      <w:pPr>
        <w:spacing w:after="0" w:line="240" w:lineRule="auto"/>
        <w:ind w:left="370" w:right="-15"/>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eastAsia="Arial" w:cs="Times New Roman"/>
          <w:sz w:val="20"/>
          <w:szCs w:val="20"/>
        </w:rPr>
        <w:t xml:space="preserve"> </w:t>
      </w:r>
      <w:r>
        <w:rPr>
          <w:rFonts w:ascii="Times New Roman" w:hAnsi="Times New Roman" w:eastAsia="Times New Roman" w:cs="Times New Roman"/>
          <w:b/>
          <w:sz w:val="20"/>
          <w:szCs w:val="20"/>
        </w:rPr>
        <w:t>Regulatory Compliance:</w:t>
      </w:r>
      <w:r>
        <w:rPr>
          <w:rFonts w:ascii="Times New Roman" w:hAnsi="Times New Roman" w:cs="Times New Roman"/>
          <w:sz w:val="20"/>
          <w:szCs w:val="20"/>
        </w:rPr>
        <w:t xml:space="preserve"> </w:t>
      </w:r>
    </w:p>
    <w:p w14:paraId="2E154AA4">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Ensure models produce interpretable outputs suitable for audit, regulatory review, and stakeholder reporting. </w:t>
      </w:r>
    </w:p>
    <w:p w14:paraId="01DD5125">
      <w:pPr>
        <w:numPr>
          <w:ilvl w:val="1"/>
          <w:numId w:val="20"/>
        </w:numPr>
        <w:spacing w:after="0" w:line="240" w:lineRule="auto"/>
        <w:ind w:right="-9" w:hanging="283"/>
        <w:jc w:val="both"/>
        <w:rPr>
          <w:rFonts w:ascii="Times New Roman" w:hAnsi="Times New Roman" w:cs="Times New Roman"/>
          <w:sz w:val="20"/>
          <w:szCs w:val="20"/>
        </w:rPr>
      </w:pPr>
      <w:r>
        <w:rPr>
          <w:rFonts w:ascii="Times New Roman" w:hAnsi="Times New Roman" w:cs="Times New Roman"/>
          <w:sz w:val="20"/>
          <w:szCs w:val="20"/>
        </w:rPr>
        <w:t xml:space="preserve">Train staff to understand model outputs and integrate insights into decision-making processes. </w:t>
      </w:r>
    </w:p>
    <w:p w14:paraId="227EAA92">
      <w:pPr>
        <w:numPr>
          <w:ilvl w:val="0"/>
          <w:numId w:val="20"/>
        </w:numPr>
        <w:spacing w:after="0" w:line="240" w:lineRule="auto"/>
        <w:ind w:right="-15" w:hanging="286"/>
        <w:jc w:val="both"/>
        <w:rPr>
          <w:rFonts w:ascii="Times New Roman" w:hAnsi="Times New Roman" w:cs="Times New Roman"/>
          <w:sz w:val="20"/>
          <w:szCs w:val="20"/>
        </w:rPr>
      </w:pPr>
      <w:r>
        <w:rPr>
          <w:rFonts w:ascii="Times New Roman" w:hAnsi="Times New Roman" w:eastAsia="Times New Roman" w:cs="Times New Roman"/>
          <w:b/>
          <w:sz w:val="20"/>
          <w:szCs w:val="20"/>
        </w:rPr>
        <w:t xml:space="preserve">Future Work </w:t>
      </w:r>
    </w:p>
    <w:p w14:paraId="70626A5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Opportunities for extending this research include: </w:t>
      </w:r>
    </w:p>
    <w:p w14:paraId="0B1A1B02">
      <w:pPr>
        <w:spacing w:after="0" w:line="240" w:lineRule="auto"/>
        <w:ind w:right="139"/>
        <w:jc w:val="both"/>
        <w:rPr>
          <w:rFonts w:ascii="Times New Roman" w:hAnsi="Times New Roman" w:cs="Times New Roman"/>
          <w:sz w:val="20"/>
          <w:szCs w:val="20"/>
        </w:rPr>
      </w:pPr>
      <w:r>
        <w:rPr>
          <w:rFonts w:ascii="Times New Roman" w:hAnsi="Times New Roman" w:eastAsia="Times New Roman" w:cs="Times New Roman"/>
          <w:b/>
          <w:sz w:val="20"/>
          <w:szCs w:val="20"/>
        </w:rPr>
        <w:t xml:space="preserve">Real-Time Risk Analytics: </w:t>
      </w:r>
      <w:r>
        <w:rPr>
          <w:rFonts w:ascii="Times New Roman" w:hAnsi="Times New Roman" w:cs="Times New Roman"/>
          <w:sz w:val="20"/>
          <w:szCs w:val="20"/>
        </w:rPr>
        <w:t xml:space="preserve">Develop real-time predictive frameworks to handle dynamic financial environments. </w:t>
      </w:r>
    </w:p>
    <w:p w14:paraId="0A97AC5C">
      <w:pPr>
        <w:spacing w:after="0" w:line="240" w:lineRule="auto"/>
        <w:ind w:right="362"/>
        <w:jc w:val="both"/>
        <w:rPr>
          <w:rFonts w:ascii="Times New Roman" w:hAnsi="Times New Roman" w:cs="Times New Roman"/>
          <w:sz w:val="20"/>
          <w:szCs w:val="20"/>
        </w:rPr>
      </w:pPr>
      <w:r>
        <w:rPr>
          <w:rFonts w:ascii="Times New Roman" w:hAnsi="Times New Roman" w:eastAsia="Times New Roman" w:cs="Times New Roman"/>
          <w:b/>
          <w:sz w:val="20"/>
          <w:szCs w:val="20"/>
        </w:rPr>
        <w:t>Hybrid and Advanced Models:</w:t>
      </w:r>
      <w:r>
        <w:rPr>
          <w:rFonts w:ascii="Times New Roman" w:hAnsi="Times New Roman" w:cs="Times New Roman"/>
          <w:sz w:val="20"/>
          <w:szCs w:val="20"/>
        </w:rPr>
        <w:t xml:space="preserve"> Explore hybrid statistical and machine learning approaches to improve robustness and predictive accuracy. </w:t>
      </w:r>
    </w:p>
    <w:p w14:paraId="77BC03FC">
      <w:pPr>
        <w:spacing w:after="0" w:line="240" w:lineRule="auto"/>
        <w:ind w:right="499"/>
        <w:jc w:val="both"/>
        <w:rPr>
          <w:rFonts w:ascii="Times New Roman" w:hAnsi="Times New Roman" w:cs="Times New Roman"/>
          <w:sz w:val="20"/>
          <w:szCs w:val="20"/>
        </w:rPr>
      </w:pPr>
      <w:r>
        <w:rPr>
          <w:rFonts w:ascii="Times New Roman" w:hAnsi="Times New Roman" w:eastAsia="Times New Roman" w:cs="Times New Roman"/>
          <w:b/>
          <w:sz w:val="20"/>
          <w:szCs w:val="20"/>
        </w:rPr>
        <w:t xml:space="preserve">Feature Expansion: </w:t>
      </w:r>
      <w:r>
        <w:rPr>
          <w:rFonts w:ascii="Times New Roman" w:hAnsi="Times New Roman" w:cs="Times New Roman"/>
          <w:sz w:val="20"/>
          <w:szCs w:val="20"/>
        </w:rPr>
        <w:t xml:space="preserve">Integrate non-financial and behavioral indicators to enhance early warning capabilities. </w:t>
      </w:r>
      <w:r>
        <w:rPr>
          <w:rFonts w:ascii="Times New Roman" w:hAnsi="Times New Roman" w:eastAsia="Times New Roman" w:cs="Times New Roman"/>
          <w:b/>
          <w:sz w:val="20"/>
          <w:szCs w:val="20"/>
        </w:rPr>
        <w:t>Enhanced Explainability:</w:t>
      </w:r>
      <w:r>
        <w:rPr>
          <w:rFonts w:ascii="Times New Roman" w:hAnsi="Times New Roman" w:cs="Times New Roman"/>
          <w:sz w:val="20"/>
          <w:szCs w:val="20"/>
        </w:rPr>
        <w:t xml:space="preserve"> Investigate advanced explainability techniques (e.g., counterfactuals, causal inference) to improve stakeholder trust and decision transparency. </w:t>
      </w:r>
    </w:p>
    <w:p w14:paraId="02F1CE17">
      <w:pPr>
        <w:spacing w:after="0" w:line="240" w:lineRule="auto"/>
        <w:jc w:val="both"/>
        <w:rPr>
          <w:rFonts w:ascii="Times New Roman" w:hAnsi="Times New Roman" w:cs="Times New Roman"/>
          <w:sz w:val="20"/>
          <w:szCs w:val="20"/>
        </w:rPr>
      </w:pPr>
      <w:r>
        <w:rPr>
          <w:rFonts w:ascii="Times New Roman" w:hAnsi="Times New Roman" w:eastAsia="Times New Roman" w:cs="Times New Roman"/>
          <w:b/>
          <w:sz w:val="20"/>
          <w:szCs w:val="20"/>
        </w:rPr>
        <w:t>Scalability and Operational Deployment:</w:t>
      </w:r>
      <w:r>
        <w:rPr>
          <w:rFonts w:ascii="Times New Roman" w:hAnsi="Times New Roman" w:cs="Times New Roman"/>
          <w:sz w:val="20"/>
          <w:szCs w:val="20"/>
        </w:rPr>
        <w:t xml:space="preserve"> Evaluate model scalability and integration into enterprise risk management systems for practical implementation. </w:t>
      </w:r>
    </w:p>
    <w:p w14:paraId="117BFF6E">
      <w:pPr>
        <w:numPr>
          <w:ilvl w:val="0"/>
          <w:numId w:val="20"/>
        </w:numPr>
        <w:spacing w:after="0" w:line="240" w:lineRule="auto"/>
        <w:ind w:right="-15" w:hanging="286"/>
        <w:jc w:val="both"/>
        <w:rPr>
          <w:rFonts w:ascii="Times New Roman" w:hAnsi="Times New Roman" w:cs="Times New Roman"/>
          <w:sz w:val="20"/>
          <w:szCs w:val="20"/>
        </w:rPr>
      </w:pPr>
      <w:r>
        <w:rPr>
          <w:rFonts w:ascii="Times New Roman" w:hAnsi="Times New Roman" w:eastAsia="Times New Roman" w:cs="Times New Roman"/>
          <w:b/>
          <w:sz w:val="20"/>
          <w:szCs w:val="20"/>
        </w:rPr>
        <w:t xml:space="preserve">Summary </w:t>
      </w:r>
    </w:p>
    <w:p w14:paraId="5D02E5D8">
      <w:pPr>
        <w:spacing w:after="0" w:line="240" w:lineRule="auto"/>
        <w:ind w:right="-13"/>
        <w:jc w:val="both"/>
        <w:rPr>
          <w:rFonts w:ascii="Times New Roman" w:hAnsi="Times New Roman" w:cs="Times New Roman"/>
          <w:sz w:val="20"/>
          <w:szCs w:val="20"/>
        </w:rPr>
      </w:pPr>
      <w:r>
        <w:rPr>
          <w:rFonts w:ascii="Times New Roman" w:hAnsi="Times New Roman" w:cs="Times New Roman"/>
          <w:sz w:val="20"/>
          <w:szCs w:val="20"/>
        </w:rPr>
        <w:t xml:space="preserve">This chapter confirms that Gradient Boosting provides the most accurate and interpretable framework for financial risk prediction in this study. By combining predictive performance with SHAP-based explainability, the model supports datadriven decision-making while maintaining transparency and regulatory compliance. Future research should focus on realtime deployment, hybrid modeling, and the inclusion of additional features to further strengthen financial risk management systems. </w:t>
      </w:r>
    </w:p>
    <w:p w14:paraId="443D5D1F">
      <w:pPr>
        <w:spacing w:after="0" w:line="240" w:lineRule="auto"/>
        <w:ind w:left="10" w:right="-15"/>
        <w:jc w:val="both"/>
        <w:rPr>
          <w:rFonts w:ascii="Times New Roman" w:hAnsi="Times New Roman" w:eastAsia="Times New Roman" w:cs="Times New Roman"/>
          <w:b/>
          <w:sz w:val="20"/>
          <w:szCs w:val="20"/>
        </w:rPr>
      </w:pPr>
    </w:p>
    <w:p w14:paraId="533879DE">
      <w:pPr>
        <w:spacing w:after="0" w:line="240" w:lineRule="auto"/>
        <w:ind w:left="10" w:right="-15"/>
        <w:jc w:val="both"/>
        <w:rPr>
          <w:rFonts w:ascii="Times New Roman" w:hAnsi="Times New Roman" w:cs="Times New Roman"/>
          <w:sz w:val="20"/>
          <w:szCs w:val="20"/>
        </w:rPr>
      </w:pPr>
      <w:r>
        <w:rPr>
          <w:rFonts w:ascii="Times New Roman" w:hAnsi="Times New Roman" w:eastAsia="Times New Roman" w:cs="Times New Roman"/>
          <w:b/>
          <w:sz w:val="20"/>
          <w:szCs w:val="20"/>
        </w:rPr>
        <w:t xml:space="preserve">References </w:t>
      </w:r>
    </w:p>
    <w:p w14:paraId="38A810CA">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Abdou, H. A., Pointon, J., El-Masry, A., &amp; Olugbode, M. (2023). Adoption of predictive analytics in banking and its impact on decision-making. </w:t>
      </w:r>
      <w:r>
        <w:rPr>
          <w:rFonts w:ascii="Times New Roman" w:hAnsi="Times New Roman" w:eastAsia="Times New Roman" w:cs="Times New Roman"/>
          <w:i/>
          <w:sz w:val="20"/>
          <w:szCs w:val="20"/>
        </w:rPr>
        <w:t>Journal of Financial Stability, 64</w:t>
      </w:r>
      <w:r>
        <w:rPr>
          <w:rFonts w:ascii="Times New Roman" w:hAnsi="Times New Roman" w:cs="Times New Roman"/>
          <w:sz w:val="20"/>
          <w:szCs w:val="20"/>
        </w:rPr>
        <w:t xml:space="preserve">, 101083. </w:t>
      </w:r>
      <w:r>
        <w:fldChar w:fldCharType="begin"/>
      </w:r>
      <w:r>
        <w:instrText xml:space="preserve"> HYPERLINK "https://doi.org/10.1016/j.jfs.2023.101083" \h </w:instrText>
      </w:r>
      <w:r>
        <w:fldChar w:fldCharType="separate"/>
      </w:r>
      <w:r>
        <w:rPr>
          <w:rFonts w:ascii="Times New Roman" w:hAnsi="Times New Roman" w:cs="Times New Roman"/>
          <w:color w:val="0000FF"/>
          <w:sz w:val="20"/>
          <w:szCs w:val="20"/>
          <w:u w:val="single" w:color="0000FF"/>
        </w:rPr>
        <w:t>https://doi.org/10.1016/j.jfs.2023.101083</w:t>
      </w:r>
      <w:r>
        <w:rPr>
          <w:rFonts w:ascii="Times New Roman" w:hAnsi="Times New Roman" w:cs="Times New Roman"/>
          <w:color w:val="0000FF"/>
          <w:sz w:val="20"/>
          <w:szCs w:val="20"/>
          <w:u w:val="single" w:color="0000FF"/>
        </w:rPr>
        <w:fldChar w:fldCharType="end"/>
      </w:r>
      <w:r>
        <w:fldChar w:fldCharType="begin"/>
      </w:r>
      <w:r>
        <w:instrText xml:space="preserve"> HYPERLINK "https://doi.org/10.1016/j.jfs.2023.101083"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2298F8BD">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Abiodun, O. I., Jantan, A., Omolara, A. E., Dada, K. V., Umar, A. M., &amp; Linus, O. (2025). Adaptive predictive analytics frameworks for financial risk management. </w:t>
      </w:r>
      <w:r>
        <w:rPr>
          <w:rFonts w:ascii="Times New Roman" w:hAnsi="Times New Roman" w:eastAsia="Times New Roman" w:cs="Times New Roman"/>
          <w:i/>
          <w:sz w:val="20"/>
          <w:szCs w:val="20"/>
        </w:rPr>
        <w:t>Expert Systems with Applications, 223</w:t>
      </w:r>
      <w:r>
        <w:rPr>
          <w:rFonts w:ascii="Times New Roman" w:hAnsi="Times New Roman" w:cs="Times New Roman"/>
          <w:sz w:val="20"/>
          <w:szCs w:val="20"/>
        </w:rPr>
        <w:t xml:space="preserve">, 119930. </w:t>
      </w:r>
      <w:r>
        <w:fldChar w:fldCharType="begin"/>
      </w:r>
      <w:r>
        <w:instrText xml:space="preserve"> HYPERLINK "https://doi.org/10.1016/j.eswa.2023.119930" \h </w:instrText>
      </w:r>
      <w:r>
        <w:fldChar w:fldCharType="separate"/>
      </w:r>
      <w:r>
        <w:rPr>
          <w:rFonts w:ascii="Times New Roman" w:hAnsi="Times New Roman" w:cs="Times New Roman"/>
          <w:color w:val="0000FF"/>
          <w:sz w:val="20"/>
          <w:szCs w:val="20"/>
          <w:u w:val="single" w:color="0000FF"/>
        </w:rPr>
        <w:t>https://doi.org/10.1016/j.eswa.2023.119930</w:t>
      </w:r>
      <w:r>
        <w:rPr>
          <w:rFonts w:ascii="Times New Roman" w:hAnsi="Times New Roman" w:cs="Times New Roman"/>
          <w:color w:val="0000FF"/>
          <w:sz w:val="20"/>
          <w:szCs w:val="20"/>
          <w:u w:val="single" w:color="0000FF"/>
        </w:rPr>
        <w:fldChar w:fldCharType="end"/>
      </w:r>
      <w:r>
        <w:fldChar w:fldCharType="begin"/>
      </w:r>
      <w:r>
        <w:instrText xml:space="preserve"> HYPERLINK "https://doi.org/10.1016/j.eswa.2023.119930"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618B3EF4">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Adebiyi, A. A., Adewumi, A. O., &amp; Ayo, C. K. (2024). Credit risk prediction in emerging markets using machine learning techniques. </w:t>
      </w:r>
      <w:r>
        <w:rPr>
          <w:rFonts w:ascii="Times New Roman" w:hAnsi="Times New Roman" w:eastAsia="Times New Roman" w:cs="Times New Roman"/>
          <w:i/>
          <w:sz w:val="20"/>
          <w:szCs w:val="20"/>
        </w:rPr>
        <w:t>Applied Soft Computing, 132</w:t>
      </w:r>
      <w:r>
        <w:rPr>
          <w:rFonts w:ascii="Times New Roman" w:hAnsi="Times New Roman" w:cs="Times New Roman"/>
          <w:sz w:val="20"/>
          <w:szCs w:val="20"/>
        </w:rPr>
        <w:t xml:space="preserve">, 109870. </w:t>
      </w:r>
      <w:r>
        <w:fldChar w:fldCharType="begin"/>
      </w:r>
      <w:r>
        <w:instrText xml:space="preserve"> HYPERLINK "https://doi.org/10.1016/j.asoc.2022.109870" \h </w:instrText>
      </w:r>
      <w:r>
        <w:fldChar w:fldCharType="separate"/>
      </w:r>
      <w:r>
        <w:rPr>
          <w:rFonts w:ascii="Times New Roman" w:hAnsi="Times New Roman" w:cs="Times New Roman"/>
          <w:color w:val="0000FF"/>
          <w:sz w:val="20"/>
          <w:szCs w:val="20"/>
          <w:u w:val="single" w:color="0000FF"/>
        </w:rPr>
        <w:t>https://doi.org/10.1016/j.asoc.2022.109870</w:t>
      </w:r>
      <w:r>
        <w:rPr>
          <w:rFonts w:ascii="Times New Roman" w:hAnsi="Times New Roman" w:cs="Times New Roman"/>
          <w:color w:val="0000FF"/>
          <w:sz w:val="20"/>
          <w:szCs w:val="20"/>
          <w:u w:val="single" w:color="0000FF"/>
        </w:rPr>
        <w:fldChar w:fldCharType="end"/>
      </w:r>
      <w:r>
        <w:fldChar w:fldCharType="begin"/>
      </w:r>
      <w:r>
        <w:instrText xml:space="preserve"> HYPERLINK "https://doi.org/10.1016/j.asoc.2022.109870"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35FAFDBE">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Alshater, M. M., Hassan, M. K., Khan, A., &amp; Saba, I. (2025). ESG-integrated financial risk analytics using machine learning techniques. </w:t>
      </w:r>
      <w:r>
        <w:rPr>
          <w:rFonts w:ascii="Times New Roman" w:hAnsi="Times New Roman" w:eastAsia="Times New Roman" w:cs="Times New Roman"/>
          <w:i/>
          <w:sz w:val="20"/>
          <w:szCs w:val="20"/>
        </w:rPr>
        <w:t>Journal of Sustainable Finance &amp; Investment, 15</w:t>
      </w:r>
      <w:r>
        <w:rPr>
          <w:rFonts w:ascii="Times New Roman" w:hAnsi="Times New Roman" w:cs="Times New Roman"/>
          <w:sz w:val="20"/>
          <w:szCs w:val="20"/>
        </w:rPr>
        <w:t xml:space="preserve">(2), 245–262. </w:t>
      </w:r>
    </w:p>
    <w:p w14:paraId="78E53976">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Altman, E. I., &amp; Sabato, G. (2007). Modelling credit risk for SMEs: Evidence from the U.S. market. </w:t>
      </w:r>
      <w:r>
        <w:rPr>
          <w:rFonts w:ascii="Times New Roman" w:hAnsi="Times New Roman" w:eastAsia="Times New Roman" w:cs="Times New Roman"/>
          <w:i/>
          <w:sz w:val="20"/>
          <w:szCs w:val="20"/>
        </w:rPr>
        <w:t>Abacus, 43</w:t>
      </w:r>
      <w:r>
        <w:rPr>
          <w:rFonts w:ascii="Times New Roman" w:hAnsi="Times New Roman" w:cs="Times New Roman"/>
          <w:sz w:val="20"/>
          <w:szCs w:val="20"/>
        </w:rPr>
        <w:t xml:space="preserve">(3), 332–357. </w:t>
      </w:r>
      <w:r>
        <w:fldChar w:fldCharType="begin"/>
      </w:r>
      <w:r>
        <w:instrText xml:space="preserve"> HYPERLINK "https://doi.org/10.1111/j.1467-6281.2007.00234.x" \h </w:instrText>
      </w:r>
      <w:r>
        <w:fldChar w:fldCharType="separate"/>
      </w:r>
      <w:r>
        <w:rPr>
          <w:rFonts w:ascii="Times New Roman" w:hAnsi="Times New Roman" w:cs="Times New Roman"/>
          <w:color w:val="0000FF"/>
          <w:sz w:val="20"/>
          <w:szCs w:val="20"/>
          <w:u w:val="single" w:color="0000FF"/>
        </w:rPr>
        <w:t>https://doi.org/10.1111/j.1467</w:t>
      </w:r>
      <w:r>
        <w:rPr>
          <w:rFonts w:ascii="Times New Roman" w:hAnsi="Times New Roman" w:cs="Times New Roman"/>
          <w:color w:val="0000FF"/>
          <w:sz w:val="20"/>
          <w:szCs w:val="20"/>
          <w:u w:val="single" w:color="0000FF"/>
        </w:rPr>
        <w:fldChar w:fldCharType="end"/>
      </w:r>
      <w:r>
        <w:fldChar w:fldCharType="begin"/>
      </w:r>
      <w:r>
        <w:instrText xml:space="preserve"> HYPERLINK "https://doi.org/10.1111/j.1467-6281.2007.00234.x" \h </w:instrText>
      </w:r>
      <w:r>
        <w:fldChar w:fldCharType="separate"/>
      </w:r>
      <w:r>
        <w:rPr>
          <w:rFonts w:ascii="Times New Roman" w:hAnsi="Times New Roman" w:cs="Times New Roman"/>
          <w:color w:val="0000FF"/>
          <w:sz w:val="20"/>
          <w:szCs w:val="20"/>
          <w:u w:val="single" w:color="0000FF"/>
        </w:rPr>
        <w:t>-</w:t>
      </w:r>
      <w:r>
        <w:rPr>
          <w:rFonts w:ascii="Times New Roman" w:hAnsi="Times New Roman" w:cs="Times New Roman"/>
          <w:color w:val="0000FF"/>
          <w:sz w:val="20"/>
          <w:szCs w:val="20"/>
          <w:u w:val="single" w:color="0000FF"/>
        </w:rPr>
        <w:fldChar w:fldCharType="end"/>
      </w:r>
      <w:r>
        <w:fldChar w:fldCharType="begin"/>
      </w:r>
      <w:r>
        <w:instrText xml:space="preserve"> HYPERLINK "https://doi.org/10.1111/j.1467-6281.2007.00234.x" \h </w:instrText>
      </w:r>
      <w:r>
        <w:fldChar w:fldCharType="separate"/>
      </w:r>
      <w:r>
        <w:rPr>
          <w:rFonts w:ascii="Times New Roman" w:hAnsi="Times New Roman" w:cs="Times New Roman"/>
          <w:color w:val="0000FF"/>
          <w:sz w:val="20"/>
          <w:szCs w:val="20"/>
          <w:u w:val="single" w:color="0000FF"/>
        </w:rPr>
        <w:t>6281.2007.00234.x</w:t>
      </w:r>
      <w:r>
        <w:rPr>
          <w:rFonts w:ascii="Times New Roman" w:hAnsi="Times New Roman" w:cs="Times New Roman"/>
          <w:color w:val="0000FF"/>
          <w:sz w:val="20"/>
          <w:szCs w:val="20"/>
          <w:u w:val="single" w:color="0000FF"/>
        </w:rPr>
        <w:fldChar w:fldCharType="end"/>
      </w:r>
      <w:r>
        <w:fldChar w:fldCharType="begin"/>
      </w:r>
      <w:r>
        <w:instrText xml:space="preserve"> HYPERLINK "https://doi.org/10.1111/j.1467-6281.2007.00234.x"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0CDA6319">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Bao, W., Yue, J., &amp; Rao, Y. (2021). A deep learning framework for financial time series forecasting and risk prediction. </w:t>
      </w:r>
      <w:r>
        <w:rPr>
          <w:rFonts w:ascii="Times New Roman" w:hAnsi="Times New Roman" w:eastAsia="Times New Roman" w:cs="Times New Roman"/>
          <w:i/>
          <w:sz w:val="20"/>
          <w:szCs w:val="20"/>
        </w:rPr>
        <w:t>Applied Soft Computing, 109</w:t>
      </w:r>
      <w:r>
        <w:rPr>
          <w:rFonts w:ascii="Times New Roman" w:hAnsi="Times New Roman" w:cs="Times New Roman"/>
          <w:sz w:val="20"/>
          <w:szCs w:val="20"/>
        </w:rPr>
        <w:t xml:space="preserve">, 107488. </w:t>
      </w:r>
      <w:r>
        <w:fldChar w:fldCharType="begin"/>
      </w:r>
      <w:r>
        <w:instrText xml:space="preserve"> HYPERLINK "https://doi.org/10.1016/j.asoc.2021.107488" \h </w:instrText>
      </w:r>
      <w:r>
        <w:fldChar w:fldCharType="separate"/>
      </w:r>
      <w:r>
        <w:rPr>
          <w:rFonts w:ascii="Times New Roman" w:hAnsi="Times New Roman" w:cs="Times New Roman"/>
          <w:color w:val="0000FF"/>
          <w:sz w:val="20"/>
          <w:szCs w:val="20"/>
          <w:u w:val="single" w:color="0000FF"/>
        </w:rPr>
        <w:t>https://doi.org/10.1016/j.asoc.2021.107488</w:t>
      </w:r>
      <w:r>
        <w:rPr>
          <w:rFonts w:ascii="Times New Roman" w:hAnsi="Times New Roman" w:cs="Times New Roman"/>
          <w:color w:val="0000FF"/>
          <w:sz w:val="20"/>
          <w:szCs w:val="20"/>
          <w:u w:val="single" w:color="0000FF"/>
        </w:rPr>
        <w:fldChar w:fldCharType="end"/>
      </w:r>
      <w:r>
        <w:fldChar w:fldCharType="begin"/>
      </w:r>
      <w:r>
        <w:instrText xml:space="preserve"> HYPERLINK "https://doi.org/10.1016/j.asoc.2021.107488"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31187A0B">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Basel Committee on Banking Supervision. (2019). </w:t>
      </w:r>
      <w:r>
        <w:rPr>
          <w:rFonts w:ascii="Times New Roman" w:hAnsi="Times New Roman" w:eastAsia="Times New Roman" w:cs="Times New Roman"/>
          <w:i/>
          <w:sz w:val="20"/>
          <w:szCs w:val="20"/>
        </w:rPr>
        <w:t>Principles for financial market infrastructures</w:t>
      </w:r>
      <w:r>
        <w:rPr>
          <w:rFonts w:ascii="Times New Roman" w:hAnsi="Times New Roman" w:cs="Times New Roman"/>
          <w:sz w:val="20"/>
          <w:szCs w:val="20"/>
        </w:rPr>
        <w:t xml:space="preserve">. Bank for International Settlements. </w:t>
      </w:r>
    </w:p>
    <w:p w14:paraId="130EC82C">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Bazarbash, M. (2024). Artificial intelligence and systemic financial risk. </w:t>
      </w:r>
      <w:r>
        <w:rPr>
          <w:rFonts w:ascii="Times New Roman" w:hAnsi="Times New Roman" w:eastAsia="Times New Roman" w:cs="Times New Roman"/>
          <w:i/>
          <w:sz w:val="20"/>
          <w:szCs w:val="20"/>
        </w:rPr>
        <w:t>IMF Working Papers, 2024</w:t>
      </w:r>
      <w:r>
        <w:rPr>
          <w:rFonts w:ascii="Times New Roman" w:hAnsi="Times New Roman" w:cs="Times New Roman"/>
          <w:sz w:val="20"/>
          <w:szCs w:val="20"/>
        </w:rPr>
        <w:t xml:space="preserve">(032), 1–39. </w:t>
      </w:r>
      <w:r>
        <w:fldChar w:fldCharType="begin"/>
      </w:r>
      <w:r>
        <w:instrText xml:space="preserve"> HYPERLINK "https://doi.org/10.5089/9798400256789.001" \h </w:instrText>
      </w:r>
      <w:r>
        <w:fldChar w:fldCharType="separate"/>
      </w:r>
      <w:r>
        <w:rPr>
          <w:rFonts w:ascii="Times New Roman" w:hAnsi="Times New Roman" w:cs="Times New Roman"/>
          <w:color w:val="0000FF"/>
          <w:sz w:val="20"/>
          <w:szCs w:val="20"/>
          <w:u w:val="single" w:color="0000FF"/>
        </w:rPr>
        <w:t>https://doi.org/10.5089/9798400256789.001</w:t>
      </w:r>
      <w:r>
        <w:rPr>
          <w:rFonts w:ascii="Times New Roman" w:hAnsi="Times New Roman" w:cs="Times New Roman"/>
          <w:color w:val="0000FF"/>
          <w:sz w:val="20"/>
          <w:szCs w:val="20"/>
          <w:u w:val="single" w:color="0000FF"/>
        </w:rPr>
        <w:fldChar w:fldCharType="end"/>
      </w:r>
      <w:r>
        <w:fldChar w:fldCharType="begin"/>
      </w:r>
      <w:r>
        <w:instrText xml:space="preserve"> HYPERLINK "https://doi.org/10.5089/9798400256789.001"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39220119">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Bussmann, N., Giudici, P., Marinelli, D., &amp; Papenbrock, J. (2021). Explainable artificial intelligence in credit risk management. </w:t>
      </w:r>
      <w:r>
        <w:rPr>
          <w:rFonts w:ascii="Times New Roman" w:hAnsi="Times New Roman" w:eastAsia="Times New Roman" w:cs="Times New Roman"/>
          <w:i/>
          <w:sz w:val="20"/>
          <w:szCs w:val="20"/>
        </w:rPr>
        <w:t>Computational Economics, 57</w:t>
      </w:r>
      <w:r>
        <w:rPr>
          <w:rFonts w:ascii="Times New Roman" w:hAnsi="Times New Roman" w:cs="Times New Roman"/>
          <w:sz w:val="20"/>
          <w:szCs w:val="20"/>
        </w:rPr>
        <w:t xml:space="preserve">(1), 203–216. </w:t>
      </w:r>
      <w:r>
        <w:fldChar w:fldCharType="begin"/>
      </w:r>
      <w:r>
        <w:instrText xml:space="preserve"> HYPERLINK "https://doi.org/10.1007/s10614-020-10042-0" \h </w:instrText>
      </w:r>
      <w:r>
        <w:fldChar w:fldCharType="separate"/>
      </w:r>
      <w:r>
        <w:rPr>
          <w:rFonts w:ascii="Times New Roman" w:hAnsi="Times New Roman" w:cs="Times New Roman"/>
          <w:color w:val="0000FF"/>
          <w:sz w:val="20"/>
          <w:szCs w:val="20"/>
          <w:u w:val="single" w:color="0000FF"/>
        </w:rPr>
        <w:t>https://doi.org/10.1007/s10614</w:t>
      </w:r>
      <w:r>
        <w:rPr>
          <w:rFonts w:ascii="Times New Roman" w:hAnsi="Times New Roman" w:cs="Times New Roman"/>
          <w:color w:val="0000FF"/>
          <w:sz w:val="20"/>
          <w:szCs w:val="20"/>
          <w:u w:val="single" w:color="0000FF"/>
        </w:rPr>
        <w:fldChar w:fldCharType="end"/>
      </w:r>
      <w:r>
        <w:fldChar w:fldCharType="begin"/>
      </w:r>
      <w:r>
        <w:instrText xml:space="preserve"> HYPERLINK "https://doi.org/10.1007/s10614-020-10042-0" \h </w:instrText>
      </w:r>
      <w:r>
        <w:fldChar w:fldCharType="separate"/>
      </w:r>
      <w:r>
        <w:rPr>
          <w:rFonts w:ascii="Times New Roman" w:hAnsi="Times New Roman" w:cs="Times New Roman"/>
          <w:color w:val="0000FF"/>
          <w:sz w:val="20"/>
          <w:szCs w:val="20"/>
          <w:u w:val="single" w:color="0000FF"/>
        </w:rPr>
        <w:t>-</w:t>
      </w:r>
      <w:r>
        <w:rPr>
          <w:rFonts w:ascii="Times New Roman" w:hAnsi="Times New Roman" w:cs="Times New Roman"/>
          <w:color w:val="0000FF"/>
          <w:sz w:val="20"/>
          <w:szCs w:val="20"/>
          <w:u w:val="single" w:color="0000FF"/>
        </w:rPr>
        <w:fldChar w:fldCharType="end"/>
      </w:r>
      <w:r>
        <w:fldChar w:fldCharType="begin"/>
      </w:r>
      <w:r>
        <w:instrText xml:space="preserve"> HYPERLINK "https://doi.org/10.1007/s10614-020-10042-0" \h </w:instrText>
      </w:r>
      <w:r>
        <w:fldChar w:fldCharType="separate"/>
      </w:r>
      <w:r>
        <w:rPr>
          <w:rFonts w:ascii="Times New Roman" w:hAnsi="Times New Roman" w:cs="Times New Roman"/>
          <w:color w:val="0000FF"/>
          <w:sz w:val="20"/>
          <w:szCs w:val="20"/>
          <w:u w:val="single" w:color="0000FF"/>
        </w:rPr>
        <w:t>020</w:t>
      </w:r>
      <w:r>
        <w:rPr>
          <w:rFonts w:ascii="Times New Roman" w:hAnsi="Times New Roman" w:cs="Times New Roman"/>
          <w:color w:val="0000FF"/>
          <w:sz w:val="20"/>
          <w:szCs w:val="20"/>
          <w:u w:val="single" w:color="0000FF"/>
        </w:rPr>
        <w:fldChar w:fldCharType="end"/>
      </w:r>
      <w:r>
        <w:fldChar w:fldCharType="begin"/>
      </w:r>
      <w:r>
        <w:instrText xml:space="preserve"> HYPERLINK "https://doi.org/10.1007/s10614-020-10042-0" \h </w:instrText>
      </w:r>
      <w:r>
        <w:fldChar w:fldCharType="separate"/>
      </w:r>
      <w:r>
        <w:rPr>
          <w:rFonts w:ascii="Times New Roman" w:hAnsi="Times New Roman" w:cs="Times New Roman"/>
          <w:color w:val="0000FF"/>
          <w:sz w:val="20"/>
          <w:szCs w:val="20"/>
          <w:u w:val="single" w:color="0000FF"/>
        </w:rPr>
        <w:t>-</w:t>
      </w:r>
      <w:r>
        <w:rPr>
          <w:rFonts w:ascii="Times New Roman" w:hAnsi="Times New Roman" w:cs="Times New Roman"/>
          <w:color w:val="0000FF"/>
          <w:sz w:val="20"/>
          <w:szCs w:val="20"/>
          <w:u w:val="single" w:color="0000FF"/>
        </w:rPr>
        <w:fldChar w:fldCharType="end"/>
      </w:r>
      <w:r>
        <w:fldChar w:fldCharType="begin"/>
      </w:r>
      <w:r>
        <w:instrText xml:space="preserve"> HYPERLINK "https://doi.org/10.1007/s10614-020-10042-0" \h </w:instrText>
      </w:r>
      <w:r>
        <w:fldChar w:fldCharType="separate"/>
      </w:r>
      <w:r>
        <w:rPr>
          <w:rFonts w:ascii="Times New Roman" w:hAnsi="Times New Roman" w:cs="Times New Roman"/>
          <w:color w:val="0000FF"/>
          <w:sz w:val="20"/>
          <w:szCs w:val="20"/>
          <w:u w:val="single" w:color="0000FF"/>
        </w:rPr>
        <w:t>10042</w:t>
      </w:r>
      <w:r>
        <w:rPr>
          <w:rFonts w:ascii="Times New Roman" w:hAnsi="Times New Roman" w:cs="Times New Roman"/>
          <w:color w:val="0000FF"/>
          <w:sz w:val="20"/>
          <w:szCs w:val="20"/>
          <w:u w:val="single" w:color="0000FF"/>
        </w:rPr>
        <w:fldChar w:fldCharType="end"/>
      </w:r>
      <w:r>
        <w:fldChar w:fldCharType="begin"/>
      </w:r>
      <w:r>
        <w:instrText xml:space="preserve"> HYPERLINK "https://doi.org/10.1007/s10614-020-10042-0" \h </w:instrText>
      </w:r>
      <w:r>
        <w:fldChar w:fldCharType="separate"/>
      </w:r>
      <w:r>
        <w:rPr>
          <w:rFonts w:ascii="Times New Roman" w:hAnsi="Times New Roman" w:cs="Times New Roman"/>
          <w:color w:val="0000FF"/>
          <w:sz w:val="20"/>
          <w:szCs w:val="20"/>
          <w:u w:val="single" w:color="0000FF"/>
        </w:rPr>
        <w:t>-</w:t>
      </w:r>
      <w:r>
        <w:rPr>
          <w:rFonts w:ascii="Times New Roman" w:hAnsi="Times New Roman" w:cs="Times New Roman"/>
          <w:color w:val="0000FF"/>
          <w:sz w:val="20"/>
          <w:szCs w:val="20"/>
          <w:u w:val="single" w:color="0000FF"/>
        </w:rPr>
        <w:fldChar w:fldCharType="end"/>
      </w:r>
      <w:r>
        <w:fldChar w:fldCharType="begin"/>
      </w:r>
      <w:r>
        <w:instrText xml:space="preserve"> HYPERLINK "https://doi.org/10.1007/s10614-020-10042-0" \h </w:instrText>
      </w:r>
      <w:r>
        <w:fldChar w:fldCharType="separate"/>
      </w:r>
      <w:r>
        <w:rPr>
          <w:rFonts w:ascii="Times New Roman" w:hAnsi="Times New Roman" w:cs="Times New Roman"/>
          <w:color w:val="0000FF"/>
          <w:sz w:val="20"/>
          <w:szCs w:val="20"/>
          <w:u w:val="single" w:color="0000FF"/>
        </w:rPr>
        <w:t>0</w:t>
      </w:r>
      <w:r>
        <w:rPr>
          <w:rFonts w:ascii="Times New Roman" w:hAnsi="Times New Roman" w:cs="Times New Roman"/>
          <w:color w:val="0000FF"/>
          <w:sz w:val="20"/>
          <w:szCs w:val="20"/>
          <w:u w:val="single" w:color="0000FF"/>
        </w:rPr>
        <w:fldChar w:fldCharType="end"/>
      </w:r>
      <w:r>
        <w:fldChar w:fldCharType="begin"/>
      </w:r>
      <w:r>
        <w:instrText xml:space="preserve"> HYPERLINK "https://doi.org/10.1007/s10614-020-10042-0"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6890F000">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Chen, Y., Zhang, L., Li, X., &amp; Wang, S. (2024). Machine learning–based portfolio risk optimization. </w:t>
      </w:r>
      <w:r>
        <w:rPr>
          <w:rFonts w:ascii="Times New Roman" w:hAnsi="Times New Roman" w:eastAsia="Times New Roman" w:cs="Times New Roman"/>
          <w:i/>
          <w:sz w:val="20"/>
          <w:szCs w:val="20"/>
        </w:rPr>
        <w:t>Knowledge-Based Systems, 284</w:t>
      </w:r>
      <w:r>
        <w:rPr>
          <w:rFonts w:ascii="Times New Roman" w:hAnsi="Times New Roman" w:cs="Times New Roman"/>
          <w:sz w:val="20"/>
          <w:szCs w:val="20"/>
        </w:rPr>
        <w:t xml:space="preserve">, 111232. </w:t>
      </w:r>
      <w:r>
        <w:fldChar w:fldCharType="begin"/>
      </w:r>
      <w:r>
        <w:instrText xml:space="preserve"> HYPERLINK "https://doi.org/10.1016/j.knosys.2023.111232" \h </w:instrText>
      </w:r>
      <w:r>
        <w:fldChar w:fldCharType="separate"/>
      </w:r>
      <w:r>
        <w:rPr>
          <w:rFonts w:ascii="Times New Roman" w:hAnsi="Times New Roman" w:cs="Times New Roman"/>
          <w:color w:val="0000FF"/>
          <w:sz w:val="20"/>
          <w:szCs w:val="20"/>
          <w:u w:val="single" w:color="0000FF"/>
        </w:rPr>
        <w:t>https://doi.org/10.1016/j.knosys.202</w:t>
      </w:r>
      <w:r>
        <w:rPr>
          <w:rFonts w:ascii="Times New Roman" w:hAnsi="Times New Roman" w:cs="Times New Roman"/>
          <w:color w:val="0000FF"/>
          <w:sz w:val="20"/>
          <w:szCs w:val="20"/>
          <w:u w:val="single" w:color="0000FF"/>
        </w:rPr>
        <w:fldChar w:fldCharType="end"/>
      </w:r>
      <w:r>
        <w:fldChar w:fldCharType="begin"/>
      </w:r>
      <w:r>
        <w:instrText xml:space="preserve"> HYPERLINK "https://doi.org/10.1016/j.knosys.2023.111232" \h </w:instrText>
      </w:r>
      <w:r>
        <w:fldChar w:fldCharType="separate"/>
      </w:r>
      <w:r>
        <w:rPr>
          <w:rFonts w:ascii="Times New Roman" w:hAnsi="Times New Roman" w:cs="Times New Roman"/>
          <w:color w:val="0000FF"/>
          <w:sz w:val="20"/>
          <w:szCs w:val="20"/>
          <w:u w:val="single" w:color="0000FF"/>
        </w:rPr>
        <w:t>3.111232</w:t>
      </w:r>
      <w:r>
        <w:rPr>
          <w:rFonts w:ascii="Times New Roman" w:hAnsi="Times New Roman" w:cs="Times New Roman"/>
          <w:color w:val="0000FF"/>
          <w:sz w:val="20"/>
          <w:szCs w:val="20"/>
          <w:u w:val="single" w:color="0000FF"/>
        </w:rPr>
        <w:fldChar w:fldCharType="end"/>
      </w:r>
      <w:r>
        <w:fldChar w:fldCharType="begin"/>
      </w:r>
      <w:r>
        <w:instrText xml:space="preserve"> HYPERLINK "https://doi.org/10.1016/j.knosys.2023.111232"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1B541AA0">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Fernández, A., Herrera, F., Cordon, O., del Jesus, M. J., &amp; Marcelloni, F. (2026). Future directions in financial risk analytics: Challenges and research opportunities. </w:t>
      </w:r>
      <w:r>
        <w:rPr>
          <w:rFonts w:ascii="Times New Roman" w:hAnsi="Times New Roman" w:eastAsia="Times New Roman" w:cs="Times New Roman"/>
          <w:i/>
          <w:sz w:val="20"/>
          <w:szCs w:val="20"/>
        </w:rPr>
        <w:t>IEEE Transactions on Knowledge and Data Engineering, 38</w:t>
      </w:r>
      <w:r>
        <w:rPr>
          <w:rFonts w:ascii="Times New Roman" w:hAnsi="Times New Roman" w:cs="Times New Roman"/>
          <w:sz w:val="20"/>
          <w:szCs w:val="20"/>
        </w:rPr>
        <w:t xml:space="preserve">(2), 455–469. </w:t>
      </w:r>
    </w:p>
    <w:p w14:paraId="048E31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He, Z., Polson, N. G., &amp; Witte, J. H. (2022). Machine learning for stress testing and financial risk management. </w:t>
      </w:r>
      <w:r>
        <w:rPr>
          <w:rFonts w:ascii="Times New Roman" w:hAnsi="Times New Roman" w:eastAsia="Times New Roman" w:cs="Times New Roman"/>
          <w:i/>
          <w:sz w:val="20"/>
          <w:szCs w:val="20"/>
        </w:rPr>
        <w:t>Journal of Financial Econometrics, 20</w:t>
      </w:r>
      <w:r>
        <w:rPr>
          <w:rFonts w:ascii="Times New Roman" w:hAnsi="Times New Roman" w:cs="Times New Roman"/>
          <w:sz w:val="20"/>
          <w:szCs w:val="20"/>
        </w:rPr>
        <w:t xml:space="preserve">(4), 915–940. </w:t>
      </w:r>
      <w:r>
        <w:fldChar w:fldCharType="begin"/>
      </w:r>
      <w:r>
        <w:instrText xml:space="preserve"> HYPERLINK "https://doi.org/10.1093/jjfinec/nbaa030" \h </w:instrText>
      </w:r>
      <w:r>
        <w:fldChar w:fldCharType="separate"/>
      </w:r>
      <w:r>
        <w:rPr>
          <w:rFonts w:ascii="Times New Roman" w:hAnsi="Times New Roman" w:cs="Times New Roman"/>
          <w:color w:val="0000FF"/>
          <w:sz w:val="20"/>
          <w:szCs w:val="20"/>
          <w:u w:val="single" w:color="0000FF"/>
        </w:rPr>
        <w:t>https://doi.org/10.1093/jjfinec/nbaa030</w:t>
      </w:r>
      <w:r>
        <w:rPr>
          <w:rFonts w:ascii="Times New Roman" w:hAnsi="Times New Roman" w:cs="Times New Roman"/>
          <w:color w:val="0000FF"/>
          <w:sz w:val="20"/>
          <w:szCs w:val="20"/>
          <w:u w:val="single" w:color="0000FF"/>
        </w:rPr>
        <w:fldChar w:fldCharType="end"/>
      </w:r>
      <w:r>
        <w:fldChar w:fldCharType="begin"/>
      </w:r>
      <w:r>
        <w:instrText xml:space="preserve"> HYPERLINK "https://doi.org/10.1093/jjfinec/nbaa030"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r>
        <w:rPr>
          <w:rFonts w:ascii="Times New Roman" w:hAnsi="Times New Roman" w:cs="Times New Roman"/>
          <w:sz w:val="20"/>
          <w:szCs w:val="20"/>
        </w:rPr>
        <w:t xml:space="preserve">Hull, J. C. (2018). </w:t>
      </w:r>
      <w:r>
        <w:rPr>
          <w:rFonts w:ascii="Times New Roman" w:hAnsi="Times New Roman" w:eastAsia="Times New Roman" w:cs="Times New Roman"/>
          <w:i/>
          <w:sz w:val="20"/>
          <w:szCs w:val="20"/>
        </w:rPr>
        <w:t>Risk management and financial institutions</w:t>
      </w:r>
      <w:r>
        <w:rPr>
          <w:rFonts w:ascii="Times New Roman" w:hAnsi="Times New Roman" w:cs="Times New Roman"/>
          <w:sz w:val="20"/>
          <w:szCs w:val="20"/>
        </w:rPr>
        <w:t xml:space="preserve"> (5th ed.). Wiley. </w:t>
      </w:r>
    </w:p>
    <w:p w14:paraId="5E19A931">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Jiang, H., Xu, Y., &amp; Liang, X. (2024). Behavioral data–driven credit risk prediction using ensemble learning. </w:t>
      </w:r>
      <w:r>
        <w:rPr>
          <w:rFonts w:ascii="Times New Roman" w:hAnsi="Times New Roman" w:eastAsia="Times New Roman" w:cs="Times New Roman"/>
          <w:i/>
          <w:sz w:val="20"/>
          <w:szCs w:val="20"/>
        </w:rPr>
        <w:t>Decision Support Systems, 176</w:t>
      </w:r>
      <w:r>
        <w:rPr>
          <w:rFonts w:ascii="Times New Roman" w:hAnsi="Times New Roman" w:cs="Times New Roman"/>
          <w:sz w:val="20"/>
          <w:szCs w:val="20"/>
        </w:rPr>
        <w:t xml:space="preserve">, 114029. </w:t>
      </w:r>
      <w:r>
        <w:fldChar w:fldCharType="begin"/>
      </w:r>
      <w:r>
        <w:instrText xml:space="preserve"> HYPERLINK "https://doi.org/10.1016/j.dss.2023.114029" \h </w:instrText>
      </w:r>
      <w:r>
        <w:fldChar w:fldCharType="separate"/>
      </w:r>
      <w:r>
        <w:rPr>
          <w:rFonts w:ascii="Times New Roman" w:hAnsi="Times New Roman" w:cs="Times New Roman"/>
          <w:color w:val="0000FF"/>
          <w:sz w:val="20"/>
          <w:szCs w:val="20"/>
          <w:u w:val="single" w:color="0000FF"/>
        </w:rPr>
        <w:t>https://doi.org/10.1016/j.dss.2023.114029</w:t>
      </w:r>
      <w:r>
        <w:rPr>
          <w:rFonts w:ascii="Times New Roman" w:hAnsi="Times New Roman" w:cs="Times New Roman"/>
          <w:color w:val="0000FF"/>
          <w:sz w:val="20"/>
          <w:szCs w:val="20"/>
          <w:u w:val="single" w:color="0000FF"/>
        </w:rPr>
        <w:fldChar w:fldCharType="end"/>
      </w:r>
      <w:r>
        <w:fldChar w:fldCharType="begin"/>
      </w:r>
      <w:r>
        <w:instrText xml:space="preserve"> HYPERLINK "https://doi.org/10.1016/j.dss.2023.114029"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197C9239">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Khandani, A. E., Kim, A. J., &amp; Lo, A. W. (2020). Consumer credit-risk models via machine-learning algorithms. </w:t>
      </w:r>
      <w:r>
        <w:rPr>
          <w:rFonts w:ascii="Times New Roman" w:hAnsi="Times New Roman" w:eastAsia="Times New Roman" w:cs="Times New Roman"/>
          <w:i/>
          <w:sz w:val="20"/>
          <w:szCs w:val="20"/>
        </w:rPr>
        <w:t>Journal of Banking &amp; Finance, 34</w:t>
      </w:r>
      <w:r>
        <w:rPr>
          <w:rFonts w:ascii="Times New Roman" w:hAnsi="Times New Roman" w:cs="Times New Roman"/>
          <w:sz w:val="20"/>
          <w:szCs w:val="20"/>
        </w:rPr>
        <w:t xml:space="preserve">(11), 2767–2787. </w:t>
      </w:r>
      <w:r>
        <w:fldChar w:fldCharType="begin"/>
      </w:r>
      <w:r>
        <w:instrText xml:space="preserve"> HYPERLINK "https://doi.org/10.1016/j.jbankfin.2010.06.001" \h </w:instrText>
      </w:r>
      <w:r>
        <w:fldChar w:fldCharType="separate"/>
      </w:r>
      <w:r>
        <w:rPr>
          <w:rFonts w:ascii="Times New Roman" w:hAnsi="Times New Roman" w:cs="Times New Roman"/>
          <w:color w:val="0000FF"/>
          <w:sz w:val="20"/>
          <w:szCs w:val="20"/>
          <w:u w:val="single" w:color="0000FF"/>
        </w:rPr>
        <w:t>https://doi.org/10.1016/j.jbankfin.2010.06.001</w:t>
      </w:r>
      <w:r>
        <w:rPr>
          <w:rFonts w:ascii="Times New Roman" w:hAnsi="Times New Roman" w:cs="Times New Roman"/>
          <w:color w:val="0000FF"/>
          <w:sz w:val="20"/>
          <w:szCs w:val="20"/>
          <w:u w:val="single" w:color="0000FF"/>
        </w:rPr>
        <w:fldChar w:fldCharType="end"/>
      </w:r>
      <w:r>
        <w:fldChar w:fldCharType="begin"/>
      </w:r>
      <w:r>
        <w:instrText xml:space="preserve"> HYPERLINK "https://doi.org/10.1016/j.jbankfin.2010.06.001"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5B024AE1">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Kou, G., Yang, P., &amp; Peng, Y. (2022). Hybrid credit scoring models: An integrated statistical and machine learning approach. </w:t>
      </w:r>
      <w:r>
        <w:rPr>
          <w:rFonts w:ascii="Times New Roman" w:hAnsi="Times New Roman" w:eastAsia="Times New Roman" w:cs="Times New Roman"/>
          <w:i/>
          <w:sz w:val="20"/>
          <w:szCs w:val="20"/>
        </w:rPr>
        <w:t>European Journal of Operational Research, 299</w:t>
      </w:r>
      <w:r>
        <w:rPr>
          <w:rFonts w:ascii="Times New Roman" w:hAnsi="Times New Roman" w:cs="Times New Roman"/>
          <w:sz w:val="20"/>
          <w:szCs w:val="20"/>
        </w:rPr>
        <w:t xml:space="preserve">(1), 313–329. </w:t>
      </w:r>
      <w:r>
        <w:fldChar w:fldCharType="begin"/>
      </w:r>
      <w:r>
        <w:instrText xml:space="preserve"> HYPERLINK "https://doi.org/10.1016/j.ejor.2021.07.030" \h </w:instrText>
      </w:r>
      <w:r>
        <w:fldChar w:fldCharType="separate"/>
      </w:r>
      <w:r>
        <w:rPr>
          <w:rFonts w:ascii="Times New Roman" w:hAnsi="Times New Roman" w:cs="Times New Roman"/>
          <w:color w:val="0000FF"/>
          <w:sz w:val="20"/>
          <w:szCs w:val="20"/>
          <w:u w:val="single" w:color="0000FF"/>
        </w:rPr>
        <w:t>https://doi.org/10.1016/j.ejor.2021.07.030</w:t>
      </w:r>
      <w:r>
        <w:rPr>
          <w:rFonts w:ascii="Times New Roman" w:hAnsi="Times New Roman" w:cs="Times New Roman"/>
          <w:color w:val="0000FF"/>
          <w:sz w:val="20"/>
          <w:szCs w:val="20"/>
          <w:u w:val="single" w:color="0000FF"/>
        </w:rPr>
        <w:fldChar w:fldCharType="end"/>
      </w:r>
      <w:r>
        <w:fldChar w:fldCharType="begin"/>
      </w:r>
      <w:r>
        <w:instrText xml:space="preserve"> HYPERLINK "https://doi.org/10.1016/j.ejor.2021.07.030"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01FF8018">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Lessmann, S., Baesens, B., Seow, H. V., &amp; Thomas, L. C. (2020). Benchmarking state-of-the-art classification algorithms for credit scoring. </w:t>
      </w:r>
      <w:r>
        <w:rPr>
          <w:rFonts w:ascii="Times New Roman" w:hAnsi="Times New Roman" w:eastAsia="Times New Roman" w:cs="Times New Roman"/>
          <w:i/>
          <w:sz w:val="20"/>
          <w:szCs w:val="20"/>
        </w:rPr>
        <w:t>European Journal of Operational Research, 247</w:t>
      </w:r>
      <w:r>
        <w:rPr>
          <w:rFonts w:ascii="Times New Roman" w:hAnsi="Times New Roman" w:cs="Times New Roman"/>
          <w:sz w:val="20"/>
          <w:szCs w:val="20"/>
        </w:rPr>
        <w:t>(1), 124–136</w:t>
      </w:r>
      <w:r>
        <w:fldChar w:fldCharType="begin"/>
      </w:r>
      <w:r>
        <w:instrText xml:space="preserve"> HYPERLINK "https://doi.org/10.1016/j.ejor.2015.05.030"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r>
        <w:fldChar w:fldCharType="begin"/>
      </w:r>
      <w:r>
        <w:instrText xml:space="preserve"> HYPERLINK "https://doi.org/10.1016/j.ejor.2015.05.030" \h </w:instrText>
      </w:r>
      <w:r>
        <w:fldChar w:fldCharType="separate"/>
      </w:r>
      <w:r>
        <w:rPr>
          <w:rFonts w:ascii="Times New Roman" w:hAnsi="Times New Roman" w:cs="Times New Roman"/>
          <w:color w:val="0000FF"/>
          <w:sz w:val="20"/>
          <w:szCs w:val="20"/>
          <w:u w:val="single" w:color="0000FF"/>
        </w:rPr>
        <w:t>https://doi.org/10.1016/j.ejor.2015.05.030</w:t>
      </w:r>
      <w:r>
        <w:rPr>
          <w:rFonts w:ascii="Times New Roman" w:hAnsi="Times New Roman" w:cs="Times New Roman"/>
          <w:color w:val="0000FF"/>
          <w:sz w:val="20"/>
          <w:szCs w:val="20"/>
          <w:u w:val="single" w:color="0000FF"/>
        </w:rPr>
        <w:fldChar w:fldCharType="end"/>
      </w:r>
      <w:r>
        <w:fldChar w:fldCharType="begin"/>
      </w:r>
      <w:r>
        <w:instrText xml:space="preserve"> HYPERLINK "https://doi.org/10.1016/j.ejor.2015.05.030"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41E1D0D7">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Li, Z., Wang, J., Sun, Y., &amp; Liu, H. (2026). Attention-based deep learning models for market risk forecasting. </w:t>
      </w:r>
      <w:r>
        <w:rPr>
          <w:rFonts w:ascii="Times New Roman" w:hAnsi="Times New Roman" w:eastAsia="Times New Roman" w:cs="Times New Roman"/>
          <w:i/>
          <w:sz w:val="20"/>
          <w:szCs w:val="20"/>
        </w:rPr>
        <w:t>Expert Systems with Applications, 236</w:t>
      </w:r>
      <w:r>
        <w:rPr>
          <w:rFonts w:ascii="Times New Roman" w:hAnsi="Times New Roman" w:cs="Times New Roman"/>
          <w:sz w:val="20"/>
          <w:szCs w:val="20"/>
        </w:rPr>
        <w:t xml:space="preserve">, 121430. </w:t>
      </w:r>
    </w:p>
    <w:p w14:paraId="0F15A3D3">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Ngai, E. W. T., Hu, Y., Wong, Y. H., Chen, Y., &amp; Sun, X. (2023). Predictive analytics for operational risk management: A machine learning approach. </w:t>
      </w:r>
      <w:r>
        <w:rPr>
          <w:rFonts w:ascii="Times New Roman" w:hAnsi="Times New Roman" w:eastAsia="Times New Roman" w:cs="Times New Roman"/>
          <w:i/>
          <w:sz w:val="20"/>
          <w:szCs w:val="20"/>
        </w:rPr>
        <w:t>Decision Support Systems, 166</w:t>
      </w:r>
      <w:r>
        <w:rPr>
          <w:rFonts w:ascii="Times New Roman" w:hAnsi="Times New Roman" w:cs="Times New Roman"/>
          <w:sz w:val="20"/>
          <w:szCs w:val="20"/>
        </w:rPr>
        <w:t xml:space="preserve">, 113900. </w:t>
      </w:r>
      <w:r>
        <w:fldChar w:fldCharType="begin"/>
      </w:r>
      <w:r>
        <w:instrText xml:space="preserve"> HYPERLINK "https://doi.org/10.1016/j.dss.2023.113900" \h </w:instrText>
      </w:r>
      <w:r>
        <w:fldChar w:fldCharType="separate"/>
      </w:r>
      <w:r>
        <w:rPr>
          <w:rFonts w:ascii="Times New Roman" w:hAnsi="Times New Roman" w:cs="Times New Roman"/>
          <w:color w:val="0000FF"/>
          <w:sz w:val="20"/>
          <w:szCs w:val="20"/>
          <w:u w:val="single" w:color="0000FF"/>
        </w:rPr>
        <w:t>https://doi.org/10.1016/j.dss.2023.113900</w:t>
      </w:r>
      <w:r>
        <w:rPr>
          <w:rFonts w:ascii="Times New Roman" w:hAnsi="Times New Roman" w:cs="Times New Roman"/>
          <w:color w:val="0000FF"/>
          <w:sz w:val="20"/>
          <w:szCs w:val="20"/>
          <w:u w:val="single" w:color="0000FF"/>
        </w:rPr>
        <w:fldChar w:fldCharType="end"/>
      </w:r>
      <w:r>
        <w:fldChar w:fldCharType="begin"/>
      </w:r>
      <w:r>
        <w:instrText xml:space="preserve"> HYPERLINK "https://doi.org/10.1016/j.dss.2023.113900"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4C3A865B">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Petropoulos, F., Spiliotis, E., Kourentzes, N., &amp; Assimakopoulos, V. (2023). Liquidity risk forecasting using predictive analytics. </w:t>
      </w:r>
      <w:r>
        <w:rPr>
          <w:rFonts w:ascii="Times New Roman" w:hAnsi="Times New Roman" w:eastAsia="Times New Roman" w:cs="Times New Roman"/>
          <w:i/>
          <w:sz w:val="20"/>
          <w:szCs w:val="20"/>
        </w:rPr>
        <w:t>International Journal of Forecasting, 39</w:t>
      </w:r>
      <w:r>
        <w:rPr>
          <w:rFonts w:ascii="Times New Roman" w:hAnsi="Times New Roman" w:cs="Times New Roman"/>
          <w:sz w:val="20"/>
          <w:szCs w:val="20"/>
        </w:rPr>
        <w:t xml:space="preserve">(2), 583–599. </w:t>
      </w:r>
      <w:r>
        <w:fldChar w:fldCharType="begin"/>
      </w:r>
      <w:r>
        <w:instrText xml:space="preserve"> HYPERLINK "https://doi.org/10.1016/j.ijforecast.2022.05.003" \h </w:instrText>
      </w:r>
      <w:r>
        <w:fldChar w:fldCharType="separate"/>
      </w:r>
      <w:r>
        <w:rPr>
          <w:rFonts w:ascii="Times New Roman" w:hAnsi="Times New Roman" w:cs="Times New Roman"/>
          <w:color w:val="0000FF"/>
          <w:sz w:val="20"/>
          <w:szCs w:val="20"/>
          <w:u w:val="single" w:color="0000FF"/>
        </w:rPr>
        <w:t>https://doi.org/10.1016/j.ijforecast.2022.05.003</w:t>
      </w:r>
      <w:r>
        <w:rPr>
          <w:rFonts w:ascii="Times New Roman" w:hAnsi="Times New Roman" w:cs="Times New Roman"/>
          <w:color w:val="0000FF"/>
          <w:sz w:val="20"/>
          <w:szCs w:val="20"/>
          <w:u w:val="single" w:color="0000FF"/>
        </w:rPr>
        <w:fldChar w:fldCharType="end"/>
      </w:r>
      <w:r>
        <w:fldChar w:fldCharType="begin"/>
      </w:r>
      <w:r>
        <w:instrText xml:space="preserve"> HYPERLINK "https://doi.org/10.1016/j.ijforecast.2022.05.003"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7C412D71">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Sirignano, J., &amp; Cont, R. (2021). Universal features of price formation in financial markets: Perspectives from deep learning. </w:t>
      </w:r>
      <w:r>
        <w:rPr>
          <w:rFonts w:ascii="Times New Roman" w:hAnsi="Times New Roman" w:eastAsia="Times New Roman" w:cs="Times New Roman"/>
          <w:i/>
          <w:sz w:val="20"/>
          <w:szCs w:val="20"/>
        </w:rPr>
        <w:t>Quantitative Finance, 21</w:t>
      </w:r>
      <w:r>
        <w:rPr>
          <w:rFonts w:ascii="Times New Roman" w:hAnsi="Times New Roman" w:cs="Times New Roman"/>
          <w:sz w:val="20"/>
          <w:szCs w:val="20"/>
        </w:rPr>
        <w:t xml:space="preserve">(3), 431–446. </w:t>
      </w:r>
      <w:r>
        <w:fldChar w:fldCharType="begin"/>
      </w:r>
      <w:r>
        <w:instrText xml:space="preserve"> HYPERLINK "https://doi.org/10.1080/14697688.2020.1832135" \h </w:instrText>
      </w:r>
      <w:r>
        <w:fldChar w:fldCharType="separate"/>
      </w:r>
      <w:r>
        <w:rPr>
          <w:rFonts w:ascii="Times New Roman" w:hAnsi="Times New Roman" w:cs="Times New Roman"/>
          <w:color w:val="0000FF"/>
          <w:sz w:val="20"/>
          <w:szCs w:val="20"/>
          <w:u w:val="single" w:color="0000FF"/>
        </w:rPr>
        <w:t>https://doi.org/10.1080/14697688.2020.1832135</w:t>
      </w:r>
      <w:r>
        <w:rPr>
          <w:rFonts w:ascii="Times New Roman" w:hAnsi="Times New Roman" w:cs="Times New Roman"/>
          <w:color w:val="0000FF"/>
          <w:sz w:val="20"/>
          <w:szCs w:val="20"/>
          <w:u w:val="single" w:color="0000FF"/>
        </w:rPr>
        <w:fldChar w:fldCharType="end"/>
      </w:r>
      <w:r>
        <w:fldChar w:fldCharType="begin"/>
      </w:r>
      <w:r>
        <w:instrText xml:space="preserve"> HYPERLINK "https://doi.org/10.1080/14697688.2020.1832135"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6B7946D4">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Wang, Y., &amp; Zhou, Z. (2025). Reinforcement learning–based frameworks for dynamic financial risk management. </w:t>
      </w:r>
      <w:r>
        <w:rPr>
          <w:rFonts w:ascii="Times New Roman" w:hAnsi="Times New Roman" w:eastAsia="Times New Roman" w:cs="Times New Roman"/>
          <w:i/>
          <w:sz w:val="20"/>
          <w:szCs w:val="20"/>
        </w:rPr>
        <w:t>IEEE Transactions on Neural Networks and Learning Systems, 36</w:t>
      </w:r>
      <w:r>
        <w:rPr>
          <w:rFonts w:ascii="Times New Roman" w:hAnsi="Times New Roman" w:cs="Times New Roman"/>
          <w:sz w:val="20"/>
          <w:szCs w:val="20"/>
        </w:rPr>
        <w:t xml:space="preserve">(5), 1021–1035. </w:t>
      </w:r>
    </w:p>
    <w:p w14:paraId="269F19BF">
      <w:pPr>
        <w:spacing w:after="0" w:line="240" w:lineRule="auto"/>
        <w:ind w:left="552" w:hanging="567"/>
        <w:jc w:val="both"/>
        <w:rPr>
          <w:rFonts w:ascii="Times New Roman" w:hAnsi="Times New Roman" w:cs="Times New Roman"/>
          <w:sz w:val="20"/>
          <w:szCs w:val="20"/>
        </w:rPr>
      </w:pPr>
      <w:r>
        <w:rPr>
          <w:rFonts w:ascii="Times New Roman" w:hAnsi="Times New Roman" w:cs="Times New Roman"/>
          <w:sz w:val="20"/>
          <w:szCs w:val="20"/>
        </w:rPr>
        <w:t xml:space="preserve">Zhang, Y., Li, X., Wang, S., &amp; Chen, J. (2022). Financial fraud detection using machine learning and predictive analytics. </w:t>
      </w:r>
      <w:r>
        <w:rPr>
          <w:rFonts w:ascii="Times New Roman" w:hAnsi="Times New Roman" w:eastAsia="Times New Roman" w:cs="Times New Roman"/>
          <w:i/>
          <w:sz w:val="20"/>
          <w:szCs w:val="20"/>
        </w:rPr>
        <w:t>Knowledge-Based Systems, 239</w:t>
      </w:r>
      <w:r>
        <w:rPr>
          <w:rFonts w:ascii="Times New Roman" w:hAnsi="Times New Roman" w:cs="Times New Roman"/>
          <w:sz w:val="20"/>
          <w:szCs w:val="20"/>
        </w:rPr>
        <w:t xml:space="preserve">, 107876. </w:t>
      </w:r>
      <w:r>
        <w:fldChar w:fldCharType="begin"/>
      </w:r>
      <w:r>
        <w:instrText xml:space="preserve"> HYPERLINK "https://doi.org/10.1016/j.knosys.2021.107876" \h </w:instrText>
      </w:r>
      <w:r>
        <w:fldChar w:fldCharType="separate"/>
      </w:r>
      <w:r>
        <w:rPr>
          <w:rFonts w:ascii="Times New Roman" w:hAnsi="Times New Roman" w:cs="Times New Roman"/>
          <w:color w:val="0000FF"/>
          <w:sz w:val="20"/>
          <w:szCs w:val="20"/>
          <w:u w:val="single" w:color="0000FF"/>
        </w:rPr>
        <w:t>https://doi.org/10.1016/j.knosys.2021.107876</w:t>
      </w:r>
      <w:r>
        <w:rPr>
          <w:rFonts w:ascii="Times New Roman" w:hAnsi="Times New Roman" w:cs="Times New Roman"/>
          <w:color w:val="0000FF"/>
          <w:sz w:val="20"/>
          <w:szCs w:val="20"/>
          <w:u w:val="single" w:color="0000FF"/>
        </w:rPr>
        <w:fldChar w:fldCharType="end"/>
      </w:r>
      <w:r>
        <w:fldChar w:fldCharType="begin"/>
      </w:r>
      <w:r>
        <w:instrText xml:space="preserve"> HYPERLINK "https://doi.org/10.1016/j.knosys.2021.107876" \h </w:instrText>
      </w:r>
      <w:r>
        <w:fldChar w:fldCharType="separate"/>
      </w:r>
      <w:r>
        <w:rPr>
          <w:rFonts w:ascii="Times New Roman" w:hAnsi="Times New Roman" w:cs="Times New Roman"/>
          <w:sz w:val="20"/>
          <w:szCs w:val="20"/>
        </w:rPr>
        <w:t xml:space="preserve"> </w:t>
      </w:r>
      <w:r>
        <w:rPr>
          <w:rFonts w:ascii="Times New Roman" w:hAnsi="Times New Roman" w:cs="Times New Roman"/>
          <w:sz w:val="20"/>
          <w:szCs w:val="20"/>
        </w:rPr>
        <w:fldChar w:fldCharType="end"/>
      </w:r>
    </w:p>
    <w:p w14:paraId="40AB6910">
      <w:pPr>
        <w:spacing w:after="0" w:line="240" w:lineRule="auto"/>
      </w:pPr>
      <w:r>
        <w:t xml:space="preserve"> </w:t>
      </w:r>
    </w:p>
    <w:p w14:paraId="5A577FA9">
      <w:pPr>
        <w:jc w:val="both"/>
        <w:rPr>
          <w:rFonts w:ascii="Times New Roman" w:hAnsi="Times New Roman" w:cs="Times New Roman"/>
          <w:sz w:val="22"/>
          <w:szCs w:val="22"/>
        </w:rPr>
      </w:pPr>
      <w:bookmarkStart w:id="0" w:name="_GoBack"/>
      <w:bookmarkEnd w:id="0"/>
    </w:p>
    <w:sectPr>
      <w:footerReference r:id="rId8" w:type="first"/>
      <w:headerReference r:id="rId5" w:type="default"/>
      <w:footerReference r:id="rId7" w:type="default"/>
      <w:headerReference r:id="rId6" w:type="even"/>
      <w:pgSz w:w="11906" w:h="16838"/>
      <w:pgMar w:top="1134" w:right="1418" w:bottom="1134" w:left="1418"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w:altName w:val="Arial Unicode MS"/>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3117133"/>
      <w:docPartObj>
        <w:docPartGallery w:val="AutoText"/>
      </w:docPartObj>
    </w:sdtPr>
    <w:sdtEndPr>
      <w:rPr>
        <w:rFonts w:ascii="Times New Roman" w:hAnsi="Times New Roman" w:cs="Times New Roman"/>
        <w:sz w:val="20"/>
        <w:szCs w:val="20"/>
      </w:rPr>
    </w:sdtEndPr>
    <w:sdtContent>
      <w:p w14:paraId="774974FC">
        <w:pPr>
          <w:pStyle w:val="17"/>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15</w:t>
        </w:r>
        <w:r>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39369"/>
      <w:docPartObj>
        <w:docPartGallery w:val="AutoText"/>
      </w:docPartObj>
    </w:sdtPr>
    <w:sdtEndPr>
      <w:rPr>
        <w:rFonts w:ascii="Times New Roman" w:hAnsi="Times New Roman" w:cs="Times New Roman"/>
        <w:sz w:val="20"/>
        <w:szCs w:val="20"/>
      </w:rPr>
    </w:sdtEndPr>
    <w:sdtContent>
      <w:p w14:paraId="6762C58E">
        <w:pPr>
          <w:pStyle w:val="17"/>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61232">
    <w:pPr>
      <w:pStyle w:val="18"/>
      <w:jc w:val="center"/>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i/>
        <w:iCs/>
        <w:kern w:val="0"/>
        <w:sz w:val="20"/>
        <w:szCs w:val="20"/>
        <w14:ligatures w14:val="none"/>
      </w:rPr>
      <w:alias w:val="Title"/>
      <w:id w:val="-117831128"/>
      <w:placeholder>
        <w:docPart w:val="F3F999A1676141D9BE8046F717C6BAE4"/>
      </w:placeholder>
      <w:dataBinding w:prefixMappings="xmlns:ns0='http://purl.org/dc/elements/1.1/' xmlns:ns1='http://schemas.openxmlformats.org/package/2006/metadata/core-properties' " w:xpath="/ns1:coreProperties[1]/ns0:title[1]" w:storeItemID="{6C3C8BC8-F283-45AE-878A-BAB7291924A1}"/>
      <w:text/>
    </w:sdtPr>
    <w:sdtEndPr>
      <w:rPr>
        <w:rFonts w:ascii="Times New Roman" w:hAnsi="Times New Roman" w:cs="Times New Roman"/>
        <w:i/>
        <w:iCs/>
        <w:kern w:val="0"/>
        <w:sz w:val="20"/>
        <w:szCs w:val="20"/>
        <w14:ligatures w14:val="none"/>
      </w:rPr>
    </w:sdtEndPr>
    <w:sdtContent>
      <w:p w14:paraId="0CB8BA51">
        <w:pPr>
          <w:pStyle w:val="18"/>
          <w:jc w:val="right"/>
          <w:rPr>
            <w:color w:val="808080" w:themeColor="text1" w:themeTint="80"/>
            <w14:textFill>
              <w14:solidFill>
                <w14:schemeClr w14:val="tx1">
                  <w14:lumMod w14:val="50000"/>
                  <w14:lumOff w14:val="50000"/>
                </w14:schemeClr>
              </w14:solidFill>
            </w14:textFill>
          </w:rPr>
        </w:pPr>
        <w:r>
          <w:rPr>
            <w:rFonts w:ascii="Times New Roman" w:hAnsi="Times New Roman" w:cs="Times New Roman"/>
            <w:i/>
            <w:iCs/>
            <w:kern w:val="0"/>
            <w:sz w:val="20"/>
            <w:szCs w:val="20"/>
            <w14:ligatures w14:val="none"/>
          </w:rPr>
          <w:t>TCMIS Template</w:t>
        </w:r>
      </w:p>
    </w:sdtContent>
  </w:sdt>
  <w:p w14:paraId="30E5EBB8">
    <w:pPr>
      <w:pStyle w:val="1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7547B"/>
    <w:multiLevelType w:val="multilevel"/>
    <w:tmpl w:val="0527547B"/>
    <w:lvl w:ilvl="0" w:tentative="0">
      <w:start w:val="1"/>
      <w:numFmt w:val="decimal"/>
      <w:pStyle w:val="69"/>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822315C"/>
    <w:multiLevelType w:val="multilevel"/>
    <w:tmpl w:val="0822315C"/>
    <w:lvl w:ilvl="0" w:tentative="0">
      <w:start w:val="1"/>
      <w:numFmt w:val="decimal"/>
      <w:pStyle w:val="2"/>
      <w:lvlText w:val="%1."/>
      <w:lvlJc w:val="left"/>
      <w:pPr>
        <w:ind w:left="720" w:hanging="360"/>
      </w:pPr>
      <w:rPr>
        <w:rFonts w:hint="default"/>
      </w:rPr>
    </w:lvl>
    <w:lvl w:ilvl="1" w:tentative="0">
      <w:start w:val="1"/>
      <w:numFmt w:val="decimal"/>
      <w:pStyle w:val="5"/>
      <w:isLgl/>
      <w:lvlText w:val="%1.%2."/>
      <w:lvlJc w:val="left"/>
      <w:pPr>
        <w:ind w:left="720" w:hanging="360"/>
      </w:pPr>
      <w:rPr>
        <w:rFonts w:hint="default"/>
      </w:rPr>
    </w:lvl>
    <w:lvl w:ilvl="2" w:tentative="0">
      <w:start w:val="1"/>
      <w:numFmt w:val="decimal"/>
      <w:pStyle w:val="6"/>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440" w:hanging="108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1800" w:hanging="1440"/>
      </w:pPr>
      <w:rPr>
        <w:rFonts w:hint="default"/>
      </w:rPr>
    </w:lvl>
  </w:abstractNum>
  <w:abstractNum w:abstractNumId="2">
    <w:nsid w:val="0A3E308E"/>
    <w:multiLevelType w:val="multilevel"/>
    <w:tmpl w:val="0A3E308E"/>
    <w:lvl w:ilvl="0" w:tentative="0">
      <w:start w:val="1"/>
      <w:numFmt w:val="bullet"/>
      <w:lvlText w:val="•"/>
      <w:lvlJc w:val="left"/>
      <w:pPr>
        <w:ind w:left="72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3">
    <w:nsid w:val="159774BE"/>
    <w:multiLevelType w:val="multilevel"/>
    <w:tmpl w:val="159774BE"/>
    <w:lvl w:ilvl="0" w:tentative="0">
      <w:start w:val="1"/>
      <w:numFmt w:val="upperLetter"/>
      <w:lvlText w:val="%1."/>
      <w:lvlJc w:val="left"/>
      <w:pPr>
        <w:ind w:left="293"/>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abstractNum>
  <w:abstractNum w:abstractNumId="4">
    <w:nsid w:val="2314733A"/>
    <w:multiLevelType w:val="multilevel"/>
    <w:tmpl w:val="2314733A"/>
    <w:lvl w:ilvl="0" w:tentative="0">
      <w:start w:val="1"/>
      <w:numFmt w:val="bullet"/>
      <w:lvlText w:val="•"/>
      <w:lvlJc w:val="left"/>
      <w:pPr>
        <w:ind w:left="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5">
    <w:nsid w:val="28F20A17"/>
    <w:multiLevelType w:val="multilevel"/>
    <w:tmpl w:val="28F20A17"/>
    <w:lvl w:ilvl="0" w:tentative="0">
      <w:start w:val="1"/>
      <w:numFmt w:val="bullet"/>
      <w:lvlText w:val="•"/>
      <w:lvlJc w:val="left"/>
      <w:pPr>
        <w:ind w:left="72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6">
    <w:nsid w:val="2D085092"/>
    <w:multiLevelType w:val="multilevel"/>
    <w:tmpl w:val="2D085092"/>
    <w:lvl w:ilvl="0" w:tentative="0">
      <w:start w:val="6"/>
      <w:numFmt w:val="upperLetter"/>
      <w:lvlText w:val="%1."/>
      <w:lvlJc w:val="left"/>
      <w:pPr>
        <w:ind w:left="305"/>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bullet"/>
      <w:lvlText w:val="•"/>
      <w:lvlJc w:val="left"/>
      <w:pPr>
        <w:ind w:left="720"/>
      </w:pPr>
      <w:rPr>
        <w:rFonts w:ascii="Arial" w:hAnsi="Arial" w:eastAsia="Arial" w:cs="Aria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16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8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2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0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7">
    <w:nsid w:val="302F27F9"/>
    <w:multiLevelType w:val="multilevel"/>
    <w:tmpl w:val="302F27F9"/>
    <w:lvl w:ilvl="0" w:tentative="0">
      <w:start w:val="5"/>
      <w:numFmt w:val="upperLetter"/>
      <w:lvlText w:val="%1."/>
      <w:lvlJc w:val="left"/>
      <w:pPr>
        <w:ind w:left="334"/>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abstractNum>
  <w:abstractNum w:abstractNumId="8">
    <w:nsid w:val="32593B36"/>
    <w:multiLevelType w:val="multilevel"/>
    <w:tmpl w:val="32593B36"/>
    <w:lvl w:ilvl="0" w:tentative="0">
      <w:start w:val="1"/>
      <w:numFmt w:val="bullet"/>
      <w:lvlText w:val="•"/>
      <w:lvlJc w:val="left"/>
      <w:pPr>
        <w:ind w:left="72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9">
    <w:nsid w:val="32CD2C69"/>
    <w:multiLevelType w:val="multilevel"/>
    <w:tmpl w:val="32CD2C69"/>
    <w:lvl w:ilvl="0" w:tentative="0">
      <w:start w:val="2"/>
      <w:numFmt w:val="lowerRoman"/>
      <w:lvlText w:val="%1."/>
      <w:lvlJc w:val="left"/>
      <w:pPr>
        <w:ind w:left="267"/>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bullet"/>
      <w:lvlText w:val="•"/>
      <w:lvlJc w:val="left"/>
      <w:pPr>
        <w:ind w:left="720"/>
      </w:pPr>
      <w:rPr>
        <w:rFonts w:ascii="Arial" w:hAnsi="Arial" w:eastAsia="Arial" w:cs="Aria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16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8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2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0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10">
    <w:nsid w:val="3C5379E3"/>
    <w:multiLevelType w:val="multilevel"/>
    <w:tmpl w:val="3C5379E3"/>
    <w:lvl w:ilvl="0" w:tentative="0">
      <w:start w:val="4"/>
      <w:numFmt w:val="lowerRoman"/>
      <w:lvlText w:val="%1."/>
      <w:lvlJc w:val="left"/>
      <w:pPr>
        <w:ind w:left="257"/>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abstractNum>
  <w:abstractNum w:abstractNumId="11">
    <w:nsid w:val="3C6E0DE6"/>
    <w:multiLevelType w:val="multilevel"/>
    <w:tmpl w:val="3C6E0DE6"/>
    <w:lvl w:ilvl="0" w:tentative="0">
      <w:start w:val="2"/>
      <w:numFmt w:val="upperLetter"/>
      <w:lvlText w:val="%1."/>
      <w:lvlJc w:val="left"/>
      <w:pPr>
        <w:ind w:left="245"/>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decimal"/>
      <w:lvlText w:val="%2."/>
      <w:lvlJc w:val="left"/>
      <w:pPr>
        <w:ind w:left="7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4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1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28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6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3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0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57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12">
    <w:nsid w:val="423654ED"/>
    <w:multiLevelType w:val="multilevel"/>
    <w:tmpl w:val="423654ED"/>
    <w:lvl w:ilvl="0" w:tentative="0">
      <w:start w:val="4"/>
      <w:numFmt w:val="upperLetter"/>
      <w:lvlText w:val="%1."/>
      <w:lvlJc w:val="left"/>
      <w:pPr>
        <w:ind w:left="296"/>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abstractNum>
  <w:abstractNum w:abstractNumId="13">
    <w:nsid w:val="426E28A3"/>
    <w:multiLevelType w:val="multilevel"/>
    <w:tmpl w:val="426E28A3"/>
    <w:lvl w:ilvl="0" w:tentative="0">
      <w:start w:val="1"/>
      <w:numFmt w:val="bullet"/>
      <w:lvlText w:val="•"/>
      <w:lvlJc w:val="left"/>
      <w:pPr>
        <w:ind w:left="72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14">
    <w:nsid w:val="502C7AAA"/>
    <w:multiLevelType w:val="multilevel"/>
    <w:tmpl w:val="502C7AAA"/>
    <w:lvl w:ilvl="0" w:tentative="0">
      <w:start w:val="6"/>
      <w:numFmt w:val="upperLetter"/>
      <w:lvlText w:val="%1."/>
      <w:lvlJc w:val="left"/>
      <w:pPr>
        <w:ind w:left="305"/>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bullet"/>
      <w:lvlText w:val="•"/>
      <w:lvlJc w:val="left"/>
      <w:pPr>
        <w:ind w:left="360"/>
      </w:pPr>
      <w:rPr>
        <w:rFonts w:ascii="Arial" w:hAnsi="Arial" w:eastAsia="Arial" w:cs="Aria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16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8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32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0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15">
    <w:nsid w:val="65BE0208"/>
    <w:multiLevelType w:val="multilevel"/>
    <w:tmpl w:val="65BE02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666F0B1A"/>
    <w:multiLevelType w:val="multilevel"/>
    <w:tmpl w:val="666F0B1A"/>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1" w:tentative="0">
      <w:start w:val="1"/>
      <w:numFmt w:val="decimal"/>
      <w:lvlText w:val="%2."/>
      <w:lvlJc w:val="left"/>
      <w:pPr>
        <w:ind w:left="7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4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1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288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60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32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04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5760"/>
      </w:pPr>
      <w:rPr>
        <w:rFonts w:ascii="Times New Roman" w:hAnsi="Times New Roman" w:eastAsia="Times New Roman" w:cs="Times New Roman"/>
        <w:b w:val="0"/>
        <w:i w:val="0"/>
        <w:strike w:val="0"/>
        <w:dstrike w:val="0"/>
        <w:color w:val="000000"/>
        <w:sz w:val="20"/>
        <w:szCs w:val="20"/>
        <w:u w:val="none" w:color="000000"/>
        <w:shd w:val="clear" w:color="auto" w:fill="auto"/>
        <w:vertAlign w:val="baseline"/>
      </w:rPr>
    </w:lvl>
  </w:abstractNum>
  <w:abstractNum w:abstractNumId="17">
    <w:nsid w:val="6BE74412"/>
    <w:multiLevelType w:val="multilevel"/>
    <w:tmpl w:val="6BE74412"/>
    <w:lvl w:ilvl="0" w:tentative="0">
      <w:start w:val="1"/>
      <w:numFmt w:val="bullet"/>
      <w:lvlText w:val="•"/>
      <w:lvlJc w:val="left"/>
      <w:pPr>
        <w:ind w:left="36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88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504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shd w:val="clear" w:color="auto" w:fill="auto"/>
        <w:vertAlign w:val="baseline"/>
      </w:rPr>
    </w:lvl>
  </w:abstractNum>
  <w:abstractNum w:abstractNumId="18">
    <w:nsid w:val="72BC61C6"/>
    <w:multiLevelType w:val="multilevel"/>
    <w:tmpl w:val="72BC61C6"/>
    <w:lvl w:ilvl="0" w:tentative="0">
      <w:start w:val="1"/>
      <w:numFmt w:val="upperLetter"/>
      <w:lvlText w:val="%1."/>
      <w:lvlJc w:val="left"/>
      <w:pPr>
        <w:ind w:left="286"/>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bullet"/>
      <w:lvlText w:val="o"/>
      <w:lvlJc w:val="left"/>
      <w:pPr>
        <w:ind w:left="567"/>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2" w:tentative="0">
      <w:start w:val="1"/>
      <w:numFmt w:val="bullet"/>
      <w:lvlText w:val="▪"/>
      <w:lvlJc w:val="left"/>
      <w:pPr>
        <w:ind w:left="1364"/>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3" w:tentative="0">
      <w:start w:val="1"/>
      <w:numFmt w:val="bullet"/>
      <w:lvlText w:val="•"/>
      <w:lvlJc w:val="left"/>
      <w:pPr>
        <w:ind w:left="2084"/>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4" w:tentative="0">
      <w:start w:val="1"/>
      <w:numFmt w:val="bullet"/>
      <w:lvlText w:val="o"/>
      <w:lvlJc w:val="left"/>
      <w:pPr>
        <w:ind w:left="2804"/>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5" w:tentative="0">
      <w:start w:val="1"/>
      <w:numFmt w:val="bullet"/>
      <w:lvlText w:val="▪"/>
      <w:lvlJc w:val="left"/>
      <w:pPr>
        <w:ind w:left="3524"/>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6" w:tentative="0">
      <w:start w:val="1"/>
      <w:numFmt w:val="bullet"/>
      <w:lvlText w:val="•"/>
      <w:lvlJc w:val="left"/>
      <w:pPr>
        <w:ind w:left="4244"/>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7" w:tentative="0">
      <w:start w:val="1"/>
      <w:numFmt w:val="bullet"/>
      <w:lvlText w:val="o"/>
      <w:lvlJc w:val="left"/>
      <w:pPr>
        <w:ind w:left="4964"/>
      </w:pPr>
      <w:rPr>
        <w:rFonts w:ascii="Courier New" w:hAnsi="Courier New" w:eastAsia="Courier New" w:cs="Courier New"/>
        <w:b w:val="0"/>
        <w:i w:val="0"/>
        <w:strike w:val="0"/>
        <w:dstrike w:val="0"/>
        <w:color w:val="000000"/>
        <w:sz w:val="20"/>
        <w:szCs w:val="20"/>
        <w:u w:val="none" w:color="000000"/>
        <w:shd w:val="clear" w:color="auto" w:fill="auto"/>
        <w:vertAlign w:val="baseline"/>
      </w:rPr>
    </w:lvl>
    <w:lvl w:ilvl="8" w:tentative="0">
      <w:start w:val="1"/>
      <w:numFmt w:val="bullet"/>
      <w:lvlText w:val="▪"/>
      <w:lvlJc w:val="left"/>
      <w:pPr>
        <w:ind w:left="5684"/>
      </w:pPr>
      <w:rPr>
        <w:rFonts w:ascii="Courier New" w:hAnsi="Courier New" w:eastAsia="Courier New" w:cs="Courier New"/>
        <w:b w:val="0"/>
        <w:i w:val="0"/>
        <w:strike w:val="0"/>
        <w:dstrike w:val="0"/>
        <w:color w:val="000000"/>
        <w:sz w:val="20"/>
        <w:szCs w:val="20"/>
        <w:u w:val="none" w:color="000000"/>
        <w:shd w:val="clear" w:color="auto" w:fill="auto"/>
        <w:vertAlign w:val="baseline"/>
      </w:rPr>
    </w:lvl>
  </w:abstractNum>
  <w:abstractNum w:abstractNumId="19">
    <w:nsid w:val="752D2317"/>
    <w:multiLevelType w:val="multilevel"/>
    <w:tmpl w:val="752D2317"/>
    <w:lvl w:ilvl="0" w:tentative="0">
      <w:start w:val="1"/>
      <w:numFmt w:val="lowerRoman"/>
      <w:lvlText w:val="%1."/>
      <w:lvlJc w:val="left"/>
      <w:pPr>
        <w:ind w:left="211"/>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0"/>
        <w:szCs w:val="20"/>
        <w:u w:val="none" w:color="000000"/>
        <w:shd w:val="clear" w:color="auto" w:fill="auto"/>
        <w:vertAlign w:val="baseline"/>
      </w:rPr>
    </w:lvl>
  </w:abstractNum>
  <w:num w:numId="1">
    <w:abstractNumId w:val="1"/>
  </w:num>
  <w:num w:numId="2">
    <w:abstractNumId w:val="0"/>
  </w:num>
  <w:num w:numId="3">
    <w:abstractNumId w:val="11"/>
  </w:num>
  <w:num w:numId="4">
    <w:abstractNumId w:val="3"/>
  </w:num>
  <w:num w:numId="5">
    <w:abstractNumId w:val="7"/>
  </w:num>
  <w:num w:numId="6">
    <w:abstractNumId w:val="4"/>
  </w:num>
  <w:num w:numId="7">
    <w:abstractNumId w:val="9"/>
  </w:num>
  <w:num w:numId="8">
    <w:abstractNumId w:val="17"/>
  </w:num>
  <w:num w:numId="9">
    <w:abstractNumId w:val="8"/>
  </w:num>
  <w:num w:numId="10">
    <w:abstractNumId w:val="14"/>
  </w:num>
  <w:num w:numId="11">
    <w:abstractNumId w:val="2"/>
  </w:num>
  <w:num w:numId="12">
    <w:abstractNumId w:val="15"/>
  </w:num>
  <w:num w:numId="13">
    <w:abstractNumId w:val="5"/>
  </w:num>
  <w:num w:numId="14">
    <w:abstractNumId w:val="13"/>
  </w:num>
  <w:num w:numId="15">
    <w:abstractNumId w:val="19"/>
  </w:num>
  <w:num w:numId="16">
    <w:abstractNumId w:val="10"/>
  </w:num>
  <w:num w:numId="17">
    <w:abstractNumId w:val="12"/>
  </w:num>
  <w:num w:numId="18">
    <w:abstractNumId w:val="6"/>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58"/>
    <w:rsid w:val="0000227A"/>
    <w:rsid w:val="00051BDB"/>
    <w:rsid w:val="0005594C"/>
    <w:rsid w:val="000644A9"/>
    <w:rsid w:val="00066968"/>
    <w:rsid w:val="0008237F"/>
    <w:rsid w:val="000835AE"/>
    <w:rsid w:val="000B2F17"/>
    <w:rsid w:val="000B44D3"/>
    <w:rsid w:val="000C2744"/>
    <w:rsid w:val="000C74A5"/>
    <w:rsid w:val="000D6F50"/>
    <w:rsid w:val="000D7BE0"/>
    <w:rsid w:val="000F1DBC"/>
    <w:rsid w:val="00124821"/>
    <w:rsid w:val="0013317E"/>
    <w:rsid w:val="00136E2E"/>
    <w:rsid w:val="00147C55"/>
    <w:rsid w:val="00153DDB"/>
    <w:rsid w:val="00184666"/>
    <w:rsid w:val="001935A7"/>
    <w:rsid w:val="0019480A"/>
    <w:rsid w:val="001B2594"/>
    <w:rsid w:val="001D147E"/>
    <w:rsid w:val="001D6C7D"/>
    <w:rsid w:val="0021365A"/>
    <w:rsid w:val="00222016"/>
    <w:rsid w:val="002243C5"/>
    <w:rsid w:val="0023065A"/>
    <w:rsid w:val="00257C62"/>
    <w:rsid w:val="0027591F"/>
    <w:rsid w:val="002E068C"/>
    <w:rsid w:val="002E3900"/>
    <w:rsid w:val="002F3629"/>
    <w:rsid w:val="00341E77"/>
    <w:rsid w:val="00343242"/>
    <w:rsid w:val="00366599"/>
    <w:rsid w:val="00372665"/>
    <w:rsid w:val="003802DC"/>
    <w:rsid w:val="003852EB"/>
    <w:rsid w:val="00386506"/>
    <w:rsid w:val="003C0DC2"/>
    <w:rsid w:val="003E277E"/>
    <w:rsid w:val="00407269"/>
    <w:rsid w:val="00407782"/>
    <w:rsid w:val="00441421"/>
    <w:rsid w:val="004454CC"/>
    <w:rsid w:val="0045142D"/>
    <w:rsid w:val="00461ED8"/>
    <w:rsid w:val="004B5385"/>
    <w:rsid w:val="004D2B3D"/>
    <w:rsid w:val="004E1E29"/>
    <w:rsid w:val="00512CE3"/>
    <w:rsid w:val="00535713"/>
    <w:rsid w:val="00544E4E"/>
    <w:rsid w:val="00545533"/>
    <w:rsid w:val="00552F16"/>
    <w:rsid w:val="00567458"/>
    <w:rsid w:val="0057115B"/>
    <w:rsid w:val="005756AC"/>
    <w:rsid w:val="00581555"/>
    <w:rsid w:val="00584CDE"/>
    <w:rsid w:val="005B31CB"/>
    <w:rsid w:val="005C54F5"/>
    <w:rsid w:val="00602B9A"/>
    <w:rsid w:val="00682CFF"/>
    <w:rsid w:val="006C5D92"/>
    <w:rsid w:val="006D0936"/>
    <w:rsid w:val="006E504D"/>
    <w:rsid w:val="006F15D3"/>
    <w:rsid w:val="00705A4B"/>
    <w:rsid w:val="007453BA"/>
    <w:rsid w:val="007536D9"/>
    <w:rsid w:val="007E7BFA"/>
    <w:rsid w:val="007F29FB"/>
    <w:rsid w:val="00800519"/>
    <w:rsid w:val="00820660"/>
    <w:rsid w:val="00823357"/>
    <w:rsid w:val="00837642"/>
    <w:rsid w:val="0087278F"/>
    <w:rsid w:val="008A47FA"/>
    <w:rsid w:val="008A4ECF"/>
    <w:rsid w:val="008B3178"/>
    <w:rsid w:val="008C2F01"/>
    <w:rsid w:val="008C39BB"/>
    <w:rsid w:val="008C39C0"/>
    <w:rsid w:val="008D43FB"/>
    <w:rsid w:val="008E25E4"/>
    <w:rsid w:val="00912EBC"/>
    <w:rsid w:val="00913C31"/>
    <w:rsid w:val="00916257"/>
    <w:rsid w:val="00917797"/>
    <w:rsid w:val="0094078D"/>
    <w:rsid w:val="009671DE"/>
    <w:rsid w:val="009A23E8"/>
    <w:rsid w:val="009A5334"/>
    <w:rsid w:val="009E174B"/>
    <w:rsid w:val="009E1BD3"/>
    <w:rsid w:val="00A27E9A"/>
    <w:rsid w:val="00A32380"/>
    <w:rsid w:val="00A76349"/>
    <w:rsid w:val="00AA653A"/>
    <w:rsid w:val="00AD7435"/>
    <w:rsid w:val="00AE0B2C"/>
    <w:rsid w:val="00AE6629"/>
    <w:rsid w:val="00AF5636"/>
    <w:rsid w:val="00B13CCE"/>
    <w:rsid w:val="00B357E2"/>
    <w:rsid w:val="00B61DE0"/>
    <w:rsid w:val="00B753A5"/>
    <w:rsid w:val="00B84887"/>
    <w:rsid w:val="00BB2837"/>
    <w:rsid w:val="00BB3172"/>
    <w:rsid w:val="00BF6A5D"/>
    <w:rsid w:val="00C25530"/>
    <w:rsid w:val="00C55E15"/>
    <w:rsid w:val="00C66E35"/>
    <w:rsid w:val="00C74FE4"/>
    <w:rsid w:val="00C933AE"/>
    <w:rsid w:val="00CA7909"/>
    <w:rsid w:val="00CB2E73"/>
    <w:rsid w:val="00CB3B6F"/>
    <w:rsid w:val="00CB58EA"/>
    <w:rsid w:val="00CD1C96"/>
    <w:rsid w:val="00CE4DED"/>
    <w:rsid w:val="00CE7844"/>
    <w:rsid w:val="00D02464"/>
    <w:rsid w:val="00D11D45"/>
    <w:rsid w:val="00D170C2"/>
    <w:rsid w:val="00D2424A"/>
    <w:rsid w:val="00D43738"/>
    <w:rsid w:val="00D54254"/>
    <w:rsid w:val="00D660F8"/>
    <w:rsid w:val="00D7064C"/>
    <w:rsid w:val="00D96174"/>
    <w:rsid w:val="00DA288C"/>
    <w:rsid w:val="00DA5782"/>
    <w:rsid w:val="00DC0E39"/>
    <w:rsid w:val="00DD0562"/>
    <w:rsid w:val="00DD0983"/>
    <w:rsid w:val="00DD33F4"/>
    <w:rsid w:val="00DD4215"/>
    <w:rsid w:val="00DF6E81"/>
    <w:rsid w:val="00E47A6C"/>
    <w:rsid w:val="00E56B19"/>
    <w:rsid w:val="00E975B5"/>
    <w:rsid w:val="00EB3C63"/>
    <w:rsid w:val="00EE751F"/>
    <w:rsid w:val="00F1108B"/>
    <w:rsid w:val="00F14D80"/>
    <w:rsid w:val="00F54D9A"/>
    <w:rsid w:val="00F615BA"/>
    <w:rsid w:val="00FC0CFE"/>
    <w:rsid w:val="00FC0F64"/>
    <w:rsid w:val="00FD4472"/>
    <w:rsid w:val="00FD5616"/>
    <w:rsid w:val="00FE075E"/>
    <w:rsid w:val="00FE3360"/>
    <w:rsid w:val="00FF44E2"/>
    <w:rsid w:val="00FF5991"/>
    <w:rsid w:val="32C324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GB" w:eastAsia="en-US" w:bidi="ar-SA"/>
      <w14:ligatures w14:val="standardContextual"/>
    </w:rPr>
  </w:style>
  <w:style w:type="paragraph" w:styleId="2">
    <w:name w:val="heading 1"/>
    <w:basedOn w:val="3"/>
    <w:next w:val="4"/>
    <w:link w:val="25"/>
    <w:qFormat/>
    <w:uiPriority w:val="9"/>
    <w:pPr>
      <w:numPr>
        <w:ilvl w:val="0"/>
        <w:numId w:val="1"/>
      </w:numPr>
      <w:spacing w:after="120" w:line="240" w:lineRule="auto"/>
      <w:ind w:left="284" w:hanging="284"/>
      <w:outlineLvl w:val="0"/>
    </w:pPr>
    <w:rPr>
      <w:rFonts w:ascii="Times New Roman" w:hAnsi="Times New Roman" w:cs="Times New Roman"/>
      <w:b/>
      <w:bCs/>
      <w:sz w:val="20"/>
      <w:szCs w:val="22"/>
    </w:rPr>
  </w:style>
  <w:style w:type="paragraph" w:styleId="5">
    <w:name w:val="heading 2"/>
    <w:basedOn w:val="4"/>
    <w:next w:val="4"/>
    <w:link w:val="26"/>
    <w:unhideWhenUsed/>
    <w:qFormat/>
    <w:uiPriority w:val="9"/>
    <w:pPr>
      <w:numPr>
        <w:ilvl w:val="1"/>
        <w:numId w:val="1"/>
      </w:numPr>
      <w:ind w:left="426" w:hanging="426"/>
      <w:outlineLvl w:val="1"/>
    </w:pPr>
    <w:rPr>
      <w:b/>
      <w:bCs/>
    </w:rPr>
  </w:style>
  <w:style w:type="paragraph" w:styleId="6">
    <w:name w:val="heading 3"/>
    <w:basedOn w:val="4"/>
    <w:next w:val="1"/>
    <w:link w:val="27"/>
    <w:unhideWhenUsed/>
    <w:qFormat/>
    <w:uiPriority w:val="9"/>
    <w:pPr>
      <w:numPr>
        <w:ilvl w:val="2"/>
        <w:numId w:val="1"/>
      </w:numPr>
      <w:ind w:left="567" w:hanging="567"/>
      <w:outlineLvl w:val="2"/>
    </w:pPr>
    <w:rPr>
      <w:b/>
      <w:bCs/>
    </w:rPr>
  </w:style>
  <w:style w:type="paragraph" w:styleId="7">
    <w:name w:val="heading 4"/>
    <w:basedOn w:val="1"/>
    <w:next w:val="1"/>
    <w:link w:val="28"/>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8">
    <w:name w:val="heading 5"/>
    <w:basedOn w:val="1"/>
    <w:next w:val="1"/>
    <w:link w:val="29"/>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9">
    <w:name w:val="heading 6"/>
    <w:basedOn w:val="1"/>
    <w:next w:val="1"/>
    <w:link w:val="30"/>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10">
    <w:name w:val="heading 7"/>
    <w:basedOn w:val="1"/>
    <w:next w:val="1"/>
    <w:link w:val="31"/>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32"/>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2">
    <w:name w:val="heading 9"/>
    <w:basedOn w:val="1"/>
    <w:next w:val="1"/>
    <w:link w:val="33"/>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3">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link w:val="70"/>
    <w:qFormat/>
    <w:uiPriority w:val="34"/>
    <w:pPr>
      <w:ind w:left="720"/>
      <w:contextualSpacing/>
    </w:pPr>
  </w:style>
  <w:style w:type="paragraph" w:customStyle="1" w:styleId="4">
    <w:name w:val="MainText"/>
    <w:basedOn w:val="1"/>
    <w:link w:val="65"/>
    <w:qFormat/>
    <w:uiPriority w:val="0"/>
    <w:pPr>
      <w:spacing w:after="120" w:line="240" w:lineRule="auto"/>
      <w:jc w:val="both"/>
    </w:pPr>
    <w:rPr>
      <w:rFonts w:ascii="Times New Roman" w:hAnsi="Times New Roman" w:cs="Times New Roman"/>
      <w:sz w:val="20"/>
      <w:szCs w:val="20"/>
    </w:rPr>
  </w:style>
  <w:style w:type="character" w:styleId="15">
    <w:name w:val="Emphasis"/>
    <w:basedOn w:val="13"/>
    <w:qFormat/>
    <w:uiPriority w:val="20"/>
    <w:rPr>
      <w:i/>
      <w:iCs/>
    </w:rPr>
  </w:style>
  <w:style w:type="character" w:styleId="16">
    <w:name w:val="FollowedHyperlink"/>
    <w:basedOn w:val="13"/>
    <w:semiHidden/>
    <w:unhideWhenUsed/>
    <w:qFormat/>
    <w:uiPriority w:val="99"/>
    <w:rPr>
      <w:color w:val="954F72" w:themeColor="followedHyperlink"/>
      <w:u w:val="single"/>
      <w14:textFill>
        <w14:solidFill>
          <w14:schemeClr w14:val="folHlink"/>
        </w14:solidFill>
      </w14:textFill>
    </w:rPr>
  </w:style>
  <w:style w:type="paragraph" w:styleId="17">
    <w:name w:val="footer"/>
    <w:basedOn w:val="1"/>
    <w:link w:val="43"/>
    <w:unhideWhenUsed/>
    <w:qFormat/>
    <w:uiPriority w:val="99"/>
    <w:pPr>
      <w:tabs>
        <w:tab w:val="center" w:pos="4536"/>
        <w:tab w:val="right" w:pos="9072"/>
      </w:tabs>
      <w:spacing w:after="0" w:line="240" w:lineRule="auto"/>
    </w:pPr>
  </w:style>
  <w:style w:type="paragraph" w:styleId="18">
    <w:name w:val="header"/>
    <w:basedOn w:val="1"/>
    <w:link w:val="42"/>
    <w:unhideWhenUsed/>
    <w:qFormat/>
    <w:uiPriority w:val="99"/>
    <w:pPr>
      <w:tabs>
        <w:tab w:val="center" w:pos="4536"/>
        <w:tab w:val="right" w:pos="9072"/>
      </w:tabs>
      <w:spacing w:after="0" w:line="240" w:lineRule="auto"/>
    </w:pPr>
  </w:style>
  <w:style w:type="character" w:styleId="19">
    <w:name w:val="Hyperlink"/>
    <w:basedOn w:val="13"/>
    <w:unhideWhenUsed/>
    <w:qFormat/>
    <w:uiPriority w:val="99"/>
    <w:rPr>
      <w:color w:val="0563C1" w:themeColor="hyperlink"/>
      <w:u w:val="single"/>
      <w14:textFill>
        <w14:solidFill>
          <w14:schemeClr w14:val="hlink"/>
        </w14:solidFill>
      </w14:textFill>
    </w:rPr>
  </w:style>
  <w:style w:type="paragraph" w:styleId="2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lang w:val="en-US"/>
      <w14:ligatures w14:val="none"/>
    </w:rPr>
  </w:style>
  <w:style w:type="character" w:styleId="21">
    <w:name w:val="Strong"/>
    <w:basedOn w:val="13"/>
    <w:qFormat/>
    <w:uiPriority w:val="22"/>
    <w:rPr>
      <w:b/>
      <w:bCs/>
    </w:rPr>
  </w:style>
  <w:style w:type="paragraph" w:styleId="22">
    <w:name w:val="Subtitle"/>
    <w:basedOn w:val="1"/>
    <w:next w:val="1"/>
    <w:link w:val="3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3">
    <w:name w:val="Table Grid"/>
    <w:basedOn w:val="1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4">
    <w:name w:val="Title"/>
    <w:basedOn w:val="1"/>
    <w:next w:val="1"/>
    <w:link w:val="3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5">
    <w:name w:val="Heading 1 Char"/>
    <w:basedOn w:val="13"/>
    <w:link w:val="2"/>
    <w:qFormat/>
    <w:uiPriority w:val="9"/>
    <w:rPr>
      <w:rFonts w:ascii="Times New Roman" w:hAnsi="Times New Roman" w:cs="Times New Roman"/>
      <w:b/>
      <w:bCs/>
      <w:sz w:val="20"/>
      <w:szCs w:val="22"/>
    </w:rPr>
  </w:style>
  <w:style w:type="character" w:customStyle="1" w:styleId="26">
    <w:name w:val="Heading 2 Char"/>
    <w:basedOn w:val="13"/>
    <w:link w:val="5"/>
    <w:qFormat/>
    <w:uiPriority w:val="9"/>
    <w:rPr>
      <w:rFonts w:ascii="Times New Roman" w:hAnsi="Times New Roman" w:cs="Times New Roman"/>
      <w:b/>
      <w:bCs/>
      <w:sz w:val="20"/>
      <w:szCs w:val="20"/>
    </w:rPr>
  </w:style>
  <w:style w:type="character" w:customStyle="1" w:styleId="27">
    <w:name w:val="Heading 3 Char"/>
    <w:basedOn w:val="13"/>
    <w:link w:val="6"/>
    <w:qFormat/>
    <w:uiPriority w:val="9"/>
    <w:rPr>
      <w:rFonts w:ascii="Times New Roman" w:hAnsi="Times New Roman" w:cs="Times New Roman"/>
      <w:b/>
      <w:bCs/>
      <w:sz w:val="20"/>
      <w:szCs w:val="20"/>
    </w:rPr>
  </w:style>
  <w:style w:type="character" w:customStyle="1" w:styleId="28">
    <w:name w:val="Heading 4 Char"/>
    <w:basedOn w:val="13"/>
    <w:link w:val="7"/>
    <w:semiHidden/>
    <w:qFormat/>
    <w:uiPriority w:val="9"/>
    <w:rPr>
      <w:rFonts w:eastAsiaTheme="majorEastAsia" w:cstheme="majorBidi"/>
      <w:i/>
      <w:iCs/>
      <w:color w:val="2F5597" w:themeColor="accent1" w:themeShade="BF"/>
    </w:rPr>
  </w:style>
  <w:style w:type="character" w:customStyle="1" w:styleId="29">
    <w:name w:val="Heading 5 Char"/>
    <w:basedOn w:val="13"/>
    <w:link w:val="8"/>
    <w:semiHidden/>
    <w:qFormat/>
    <w:uiPriority w:val="9"/>
    <w:rPr>
      <w:rFonts w:eastAsiaTheme="majorEastAsia" w:cstheme="majorBidi"/>
      <w:color w:val="2F5597" w:themeColor="accent1" w:themeShade="BF"/>
    </w:rPr>
  </w:style>
  <w:style w:type="character" w:customStyle="1" w:styleId="30">
    <w:name w:val="Heading 6 Char"/>
    <w:basedOn w:val="13"/>
    <w:link w:val="9"/>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1">
    <w:name w:val="Heading 7 Char"/>
    <w:basedOn w:val="13"/>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Heading 8 Char"/>
    <w:basedOn w:val="13"/>
    <w:link w:val="11"/>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3">
    <w:name w:val="Heading 9 Char"/>
    <w:basedOn w:val="13"/>
    <w:link w:val="12"/>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4">
    <w:name w:val="Title Char"/>
    <w:basedOn w:val="13"/>
    <w:link w:val="24"/>
    <w:qFormat/>
    <w:uiPriority w:val="10"/>
    <w:rPr>
      <w:rFonts w:asciiTheme="majorHAnsi" w:hAnsiTheme="majorHAnsi" w:eastAsiaTheme="majorEastAsia" w:cstheme="majorBidi"/>
      <w:spacing w:val="-10"/>
      <w:kern w:val="28"/>
      <w:sz w:val="56"/>
      <w:szCs w:val="56"/>
    </w:rPr>
  </w:style>
  <w:style w:type="character" w:customStyle="1" w:styleId="35">
    <w:name w:val="Subtitle Char"/>
    <w:basedOn w:val="13"/>
    <w:link w:val="22"/>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6">
    <w:name w:val="Quote"/>
    <w:basedOn w:val="1"/>
    <w:next w:val="1"/>
    <w:link w:val="3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7">
    <w:name w:val="Quote Char"/>
    <w:basedOn w:val="13"/>
    <w:link w:val="36"/>
    <w:qFormat/>
    <w:uiPriority w:val="29"/>
    <w:rPr>
      <w:i/>
      <w:iCs/>
      <w:color w:val="404040" w:themeColor="text1" w:themeTint="BF"/>
      <w14:textFill>
        <w14:solidFill>
          <w14:schemeClr w14:val="tx1">
            <w14:lumMod w14:val="75000"/>
            <w14:lumOff w14:val="25000"/>
          </w14:schemeClr>
        </w14:solidFill>
      </w14:textFill>
    </w:rPr>
  </w:style>
  <w:style w:type="character" w:customStyle="1" w:styleId="38">
    <w:name w:val="Intense Emphasis"/>
    <w:basedOn w:val="13"/>
    <w:qFormat/>
    <w:uiPriority w:val="21"/>
    <w:rPr>
      <w:i/>
      <w:iCs/>
      <w:color w:val="2F5597" w:themeColor="accent1" w:themeShade="BF"/>
    </w:rPr>
  </w:style>
  <w:style w:type="paragraph" w:styleId="39">
    <w:name w:val="Intense Quote"/>
    <w:basedOn w:val="1"/>
    <w:next w:val="1"/>
    <w:link w:val="40"/>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0">
    <w:name w:val="Intense Quote Char"/>
    <w:basedOn w:val="13"/>
    <w:link w:val="39"/>
    <w:qFormat/>
    <w:uiPriority w:val="30"/>
    <w:rPr>
      <w:i/>
      <w:iCs/>
      <w:color w:val="2F5597" w:themeColor="accent1" w:themeShade="BF"/>
    </w:rPr>
  </w:style>
  <w:style w:type="character" w:customStyle="1" w:styleId="41">
    <w:name w:val="Intense Reference"/>
    <w:basedOn w:val="13"/>
    <w:qFormat/>
    <w:uiPriority w:val="32"/>
    <w:rPr>
      <w:b/>
      <w:bCs/>
      <w:smallCaps/>
      <w:color w:val="2F5597" w:themeColor="accent1" w:themeShade="BF"/>
      <w:spacing w:val="5"/>
    </w:rPr>
  </w:style>
  <w:style w:type="character" w:customStyle="1" w:styleId="42">
    <w:name w:val="Header Char"/>
    <w:basedOn w:val="13"/>
    <w:link w:val="18"/>
    <w:qFormat/>
    <w:uiPriority w:val="99"/>
  </w:style>
  <w:style w:type="character" w:customStyle="1" w:styleId="43">
    <w:name w:val="Footer Char"/>
    <w:basedOn w:val="13"/>
    <w:link w:val="17"/>
    <w:qFormat/>
    <w:uiPriority w:val="99"/>
  </w:style>
  <w:style w:type="character" w:customStyle="1" w:styleId="44">
    <w:name w:val="Unresolved Mention"/>
    <w:basedOn w:val="13"/>
    <w:semiHidden/>
    <w:unhideWhenUsed/>
    <w:qFormat/>
    <w:uiPriority w:val="99"/>
    <w:rPr>
      <w:color w:val="605E5C"/>
      <w:shd w:val="clear" w:color="auto" w:fill="E1DFDD"/>
    </w:rPr>
  </w:style>
  <w:style w:type="paragraph" w:customStyle="1" w:styleId="45">
    <w:name w:val="AbstractText"/>
    <w:basedOn w:val="1"/>
    <w:link w:val="46"/>
    <w:qFormat/>
    <w:uiPriority w:val="0"/>
    <w:pPr>
      <w:spacing w:after="0" w:line="240" w:lineRule="auto"/>
      <w:jc w:val="both"/>
    </w:pPr>
    <w:rPr>
      <w:rFonts w:ascii="Times New Roman" w:hAnsi="Times New Roman" w:cs="Times New Roman"/>
      <w:sz w:val="18"/>
      <w:szCs w:val="18"/>
    </w:rPr>
  </w:style>
  <w:style w:type="character" w:customStyle="1" w:styleId="46">
    <w:name w:val="AbstractText Char"/>
    <w:basedOn w:val="13"/>
    <w:link w:val="45"/>
    <w:qFormat/>
    <w:uiPriority w:val="0"/>
    <w:rPr>
      <w:rFonts w:ascii="Times New Roman" w:hAnsi="Times New Roman" w:cs="Times New Roman"/>
      <w:sz w:val="18"/>
      <w:szCs w:val="18"/>
    </w:rPr>
  </w:style>
  <w:style w:type="paragraph" w:customStyle="1" w:styleId="47">
    <w:name w:val="AbstractTitle"/>
    <w:basedOn w:val="1"/>
    <w:link w:val="48"/>
    <w:qFormat/>
    <w:uiPriority w:val="0"/>
    <w:pPr>
      <w:spacing w:after="0" w:line="240" w:lineRule="auto"/>
    </w:pPr>
    <w:rPr>
      <w:rFonts w:ascii="Times New Roman" w:hAnsi="Times New Roman" w:cs="Times New Roman"/>
      <w:b/>
      <w:bCs/>
      <w:sz w:val="18"/>
      <w:szCs w:val="18"/>
    </w:rPr>
  </w:style>
  <w:style w:type="character" w:customStyle="1" w:styleId="48">
    <w:name w:val="AbstractTitle Char"/>
    <w:basedOn w:val="13"/>
    <w:link w:val="47"/>
    <w:qFormat/>
    <w:uiPriority w:val="0"/>
    <w:rPr>
      <w:rFonts w:ascii="Times New Roman" w:hAnsi="Times New Roman" w:cs="Times New Roman"/>
      <w:b/>
      <w:bCs/>
      <w:sz w:val="18"/>
      <w:szCs w:val="18"/>
    </w:rPr>
  </w:style>
  <w:style w:type="paragraph" w:customStyle="1" w:styleId="49">
    <w:name w:val="ManuscriptTitle"/>
    <w:basedOn w:val="1"/>
    <w:link w:val="50"/>
    <w:qFormat/>
    <w:uiPriority w:val="0"/>
    <w:rPr>
      <w:rFonts w:ascii="Times New Roman" w:hAnsi="Times New Roman" w:cs="Times New Roman"/>
      <w:b/>
      <w:bCs/>
      <w:sz w:val="28"/>
      <w:szCs w:val="28"/>
    </w:rPr>
  </w:style>
  <w:style w:type="character" w:customStyle="1" w:styleId="50">
    <w:name w:val="ManuscriptTitle Char"/>
    <w:basedOn w:val="13"/>
    <w:link w:val="49"/>
    <w:qFormat/>
    <w:uiPriority w:val="0"/>
    <w:rPr>
      <w:rFonts w:ascii="Times New Roman" w:hAnsi="Times New Roman" w:cs="Times New Roman"/>
      <w:b/>
      <w:bCs/>
      <w:sz w:val="28"/>
      <w:szCs w:val="28"/>
    </w:rPr>
  </w:style>
  <w:style w:type="paragraph" w:customStyle="1" w:styleId="51">
    <w:name w:val="ResArticle"/>
    <w:basedOn w:val="1"/>
    <w:link w:val="52"/>
    <w:qFormat/>
    <w:uiPriority w:val="0"/>
    <w:rPr>
      <w:rFonts w:ascii="Times New Roman" w:hAnsi="Times New Roman" w:cs="Times New Roman"/>
      <w:sz w:val="20"/>
      <w:szCs w:val="20"/>
    </w:rPr>
  </w:style>
  <w:style w:type="character" w:customStyle="1" w:styleId="52">
    <w:name w:val="ResArticle Char"/>
    <w:basedOn w:val="13"/>
    <w:link w:val="51"/>
    <w:qFormat/>
    <w:uiPriority w:val="0"/>
    <w:rPr>
      <w:rFonts w:ascii="Times New Roman" w:hAnsi="Times New Roman" w:cs="Times New Roman"/>
      <w:sz w:val="20"/>
      <w:szCs w:val="20"/>
    </w:rPr>
  </w:style>
  <w:style w:type="paragraph" w:customStyle="1" w:styleId="53">
    <w:name w:val="AuthorNames"/>
    <w:basedOn w:val="1"/>
    <w:link w:val="54"/>
    <w:qFormat/>
    <w:uiPriority w:val="0"/>
    <w:rPr>
      <w:rFonts w:ascii="Times New Roman" w:hAnsi="Times New Roman" w:cs="Times New Roman"/>
      <w:sz w:val="22"/>
      <w:szCs w:val="22"/>
    </w:rPr>
  </w:style>
  <w:style w:type="character" w:customStyle="1" w:styleId="54">
    <w:name w:val="AuthorNames Char"/>
    <w:basedOn w:val="13"/>
    <w:link w:val="53"/>
    <w:qFormat/>
    <w:uiPriority w:val="0"/>
    <w:rPr>
      <w:rFonts w:ascii="Times New Roman" w:hAnsi="Times New Roman" w:cs="Times New Roman"/>
      <w:sz w:val="22"/>
      <w:szCs w:val="22"/>
    </w:rPr>
  </w:style>
  <w:style w:type="paragraph" w:customStyle="1" w:styleId="55">
    <w:name w:val="AffiliationText"/>
    <w:basedOn w:val="1"/>
    <w:link w:val="56"/>
    <w:qFormat/>
    <w:uiPriority w:val="0"/>
    <w:pPr>
      <w:spacing w:after="0" w:line="240" w:lineRule="auto"/>
    </w:pPr>
    <w:rPr>
      <w:rFonts w:ascii="Times New Roman" w:hAnsi="Times New Roman" w:cs="Times New Roman"/>
      <w:i/>
      <w:iCs/>
      <w:sz w:val="20"/>
      <w:szCs w:val="20"/>
    </w:rPr>
  </w:style>
  <w:style w:type="character" w:customStyle="1" w:styleId="56">
    <w:name w:val="AffiliationText Char"/>
    <w:basedOn w:val="13"/>
    <w:link w:val="55"/>
    <w:qFormat/>
    <w:uiPriority w:val="0"/>
    <w:rPr>
      <w:rFonts w:ascii="Times New Roman" w:hAnsi="Times New Roman" w:cs="Times New Roman"/>
      <w:i/>
      <w:iCs/>
      <w:sz w:val="20"/>
      <w:szCs w:val="20"/>
    </w:rPr>
  </w:style>
  <w:style w:type="paragraph" w:customStyle="1" w:styleId="57">
    <w:name w:val="AffiliationNumber"/>
    <w:basedOn w:val="1"/>
    <w:link w:val="58"/>
    <w:qFormat/>
    <w:uiPriority w:val="0"/>
    <w:pPr>
      <w:spacing w:after="0" w:line="240" w:lineRule="auto"/>
    </w:pPr>
    <w:rPr>
      <w:rFonts w:ascii="Times New Roman" w:hAnsi="Times New Roman" w:cs="Times New Roman"/>
      <w:i/>
      <w:iCs/>
      <w:sz w:val="20"/>
      <w:szCs w:val="20"/>
      <w:vertAlign w:val="superscript"/>
    </w:rPr>
  </w:style>
  <w:style w:type="character" w:customStyle="1" w:styleId="58">
    <w:name w:val="AffiliationNumber Char"/>
    <w:basedOn w:val="13"/>
    <w:link w:val="57"/>
    <w:qFormat/>
    <w:uiPriority w:val="0"/>
    <w:rPr>
      <w:rFonts w:ascii="Times New Roman" w:hAnsi="Times New Roman" w:cs="Times New Roman"/>
      <w:i/>
      <w:iCs/>
      <w:sz w:val="20"/>
      <w:szCs w:val="20"/>
      <w:vertAlign w:val="superscript"/>
    </w:rPr>
  </w:style>
  <w:style w:type="paragraph" w:customStyle="1" w:styleId="59">
    <w:name w:val="Emails"/>
    <w:basedOn w:val="55"/>
    <w:link w:val="60"/>
    <w:qFormat/>
    <w:uiPriority w:val="0"/>
    <w:pPr>
      <w:spacing w:after="120"/>
    </w:pPr>
  </w:style>
  <w:style w:type="character" w:customStyle="1" w:styleId="60">
    <w:name w:val="Emails Char"/>
    <w:basedOn w:val="56"/>
    <w:link w:val="59"/>
    <w:qFormat/>
    <w:uiPriority w:val="0"/>
    <w:rPr>
      <w:rFonts w:ascii="Times New Roman" w:hAnsi="Times New Roman" w:cs="Times New Roman"/>
      <w:sz w:val="20"/>
      <w:szCs w:val="20"/>
    </w:rPr>
  </w:style>
  <w:style w:type="paragraph" w:customStyle="1" w:styleId="61">
    <w:name w:val="ArticleHistory"/>
    <w:basedOn w:val="1"/>
    <w:link w:val="62"/>
    <w:qFormat/>
    <w:uiPriority w:val="0"/>
    <w:pPr>
      <w:spacing w:after="0" w:line="240" w:lineRule="auto"/>
    </w:pPr>
    <w:rPr>
      <w:rFonts w:ascii="Times New Roman" w:hAnsi="Times New Roman" w:cs="Times New Roman"/>
      <w:i/>
      <w:iCs/>
      <w:sz w:val="18"/>
      <w:szCs w:val="18"/>
    </w:rPr>
  </w:style>
  <w:style w:type="character" w:customStyle="1" w:styleId="62">
    <w:name w:val="ArticleHistory Char"/>
    <w:basedOn w:val="13"/>
    <w:link w:val="61"/>
    <w:qFormat/>
    <w:uiPriority w:val="0"/>
    <w:rPr>
      <w:rFonts w:ascii="Times New Roman" w:hAnsi="Times New Roman" w:cs="Times New Roman"/>
      <w:i/>
      <w:iCs/>
      <w:sz w:val="18"/>
      <w:szCs w:val="18"/>
    </w:rPr>
  </w:style>
  <w:style w:type="paragraph" w:customStyle="1" w:styleId="63">
    <w:name w:val="AMSClass"/>
    <w:basedOn w:val="1"/>
    <w:link w:val="64"/>
    <w:qFormat/>
    <w:uiPriority w:val="0"/>
    <w:pPr>
      <w:spacing w:after="0" w:line="240" w:lineRule="auto"/>
    </w:pPr>
    <w:rPr>
      <w:rFonts w:ascii="Times New Roman" w:hAnsi="Times New Roman" w:cs="Times New Roman"/>
      <w:sz w:val="18"/>
      <w:szCs w:val="18"/>
    </w:rPr>
  </w:style>
  <w:style w:type="character" w:customStyle="1" w:styleId="64">
    <w:name w:val="AMSClass Char"/>
    <w:basedOn w:val="13"/>
    <w:link w:val="63"/>
    <w:qFormat/>
    <w:uiPriority w:val="0"/>
    <w:rPr>
      <w:rFonts w:ascii="Times New Roman" w:hAnsi="Times New Roman" w:cs="Times New Roman"/>
      <w:sz w:val="18"/>
      <w:szCs w:val="18"/>
    </w:rPr>
  </w:style>
  <w:style w:type="character" w:customStyle="1" w:styleId="65">
    <w:name w:val="MainText Char"/>
    <w:basedOn w:val="13"/>
    <w:link w:val="4"/>
    <w:qFormat/>
    <w:uiPriority w:val="0"/>
    <w:rPr>
      <w:rFonts w:ascii="Times New Roman" w:hAnsi="Times New Roman" w:cs="Times New Roman"/>
      <w:sz w:val="20"/>
      <w:szCs w:val="20"/>
    </w:rPr>
  </w:style>
  <w:style w:type="character" w:styleId="66">
    <w:name w:val="Placeholder Text"/>
    <w:basedOn w:val="13"/>
    <w:semiHidden/>
    <w:qFormat/>
    <w:uiPriority w:val="99"/>
    <w:rPr>
      <w:color w:val="666666"/>
    </w:rPr>
  </w:style>
  <w:style w:type="paragraph" w:customStyle="1" w:styleId="67">
    <w:name w:val="CaptionTableFigure"/>
    <w:basedOn w:val="4"/>
    <w:link w:val="68"/>
    <w:qFormat/>
    <w:uiPriority w:val="0"/>
    <w:pPr>
      <w:jc w:val="center"/>
    </w:pPr>
    <w:rPr>
      <w:sz w:val="18"/>
      <w:szCs w:val="18"/>
    </w:rPr>
  </w:style>
  <w:style w:type="character" w:customStyle="1" w:styleId="68">
    <w:name w:val="CaptionTableFigure Char"/>
    <w:basedOn w:val="65"/>
    <w:link w:val="67"/>
    <w:qFormat/>
    <w:uiPriority w:val="0"/>
    <w:rPr>
      <w:rFonts w:ascii="Times New Roman" w:hAnsi="Times New Roman" w:cs="Times New Roman"/>
      <w:sz w:val="18"/>
      <w:szCs w:val="18"/>
    </w:rPr>
  </w:style>
  <w:style w:type="paragraph" w:customStyle="1" w:styleId="69">
    <w:name w:val="ReferencesList"/>
    <w:basedOn w:val="3"/>
    <w:link w:val="71"/>
    <w:qFormat/>
    <w:uiPriority w:val="0"/>
    <w:pPr>
      <w:numPr>
        <w:ilvl w:val="0"/>
        <w:numId w:val="2"/>
      </w:numPr>
      <w:ind w:left="426" w:hanging="426"/>
      <w:jc w:val="both"/>
    </w:pPr>
    <w:rPr>
      <w:rFonts w:ascii="Times New Roman" w:hAnsi="Times New Roman" w:cs="Times New Roman"/>
      <w:sz w:val="18"/>
      <w:szCs w:val="18"/>
    </w:rPr>
  </w:style>
  <w:style w:type="character" w:customStyle="1" w:styleId="70">
    <w:name w:val="List Paragraph Char"/>
    <w:basedOn w:val="13"/>
    <w:link w:val="3"/>
    <w:qFormat/>
    <w:uiPriority w:val="34"/>
  </w:style>
  <w:style w:type="character" w:customStyle="1" w:styleId="71">
    <w:name w:val="ReferencesList Char"/>
    <w:basedOn w:val="70"/>
    <w:link w:val="69"/>
    <w:qFormat/>
    <w:uiPriority w:val="0"/>
    <w:rPr>
      <w:rFonts w:ascii="Times New Roman" w:hAnsi="Times New Roman" w:cs="Times New Roman"/>
      <w:sz w:val="18"/>
      <w:szCs w:val="18"/>
    </w:rPr>
  </w:style>
  <w:style w:type="character" w:customStyle="1" w:styleId="72">
    <w:name w:val="katex-mathml"/>
    <w:basedOn w:val="13"/>
    <w:qFormat/>
    <w:uiPriority w:val="0"/>
  </w:style>
  <w:style w:type="character" w:customStyle="1" w:styleId="73">
    <w:name w:val="vlist-s"/>
    <w:basedOn w:val="13"/>
    <w:qFormat/>
    <w:uiPriority w:val="0"/>
  </w:style>
  <w:style w:type="table" w:customStyle="1" w:styleId="74">
    <w:name w:val="TableGrid"/>
    <w:qFormat/>
    <w:uiPriority w:val="0"/>
    <w:pPr>
      <w:spacing w:after="0" w:line="240" w:lineRule="auto"/>
    </w:pPr>
    <w:rPr>
      <w:rFonts w:eastAsiaTheme="minorEastAsia"/>
      <w:kern w:val="0"/>
      <w:sz w:val="22"/>
      <w:szCs w:val="22"/>
      <w:lang w:val="en-US"/>
      <w14:ligatures w14:val="none"/>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glossaryDocument" Target="glossary/document.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3F999A1676141D9BE8046F717C6BAE4"/>
        <w:style w:val=""/>
        <w:category>
          <w:name w:val="General"/>
          <w:gallery w:val="placeholder"/>
        </w:category>
        <w:types>
          <w:type w:val="bbPlcHdr"/>
        </w:types>
        <w:behaviors>
          <w:behavior w:val="content"/>
        </w:behaviors>
        <w:description w:val=""/>
        <w:guid w:val="{311E0097-D791-4F46-AA3C-B165CCE08B0E}"/>
      </w:docPartPr>
      <w:docPartBody>
        <w:p w14:paraId="5C556D8E">
          <w:pPr>
            <w:pStyle w:val="5"/>
          </w:pPr>
          <w:r>
            <w:rPr>
              <w:color w:val="808080" w:themeColor="text1" w:themeTint="80"/>
              <w14:textFill>
                <w14:solidFill>
                  <w14:schemeClr w14:val="tx1">
                    <w14:lumMod w14:val="50000"/>
                    <w14:lumOff w14:val="50000"/>
                  </w14:schemeClr>
                </w14:solidFill>
              </w14:textFill>
            </w:rPr>
            <w:t>[Document title]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BB0"/>
    <w:rsid w:val="0008237F"/>
    <w:rsid w:val="00147C55"/>
    <w:rsid w:val="001C2665"/>
    <w:rsid w:val="00343242"/>
    <w:rsid w:val="00551166"/>
    <w:rsid w:val="007D12B7"/>
    <w:rsid w:val="00823357"/>
    <w:rsid w:val="00876BB0"/>
    <w:rsid w:val="008F23BD"/>
    <w:rsid w:val="00905A2B"/>
    <w:rsid w:val="009634A3"/>
    <w:rsid w:val="00AB6270"/>
    <w:rsid w:val="00BF005D"/>
    <w:rsid w:val="00E51E44"/>
    <w:rsid w:val="00E6208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spacing w:after="160" w:line="278" w:lineRule="auto"/>
    </w:pPr>
    <w:rPr>
      <w:rFonts w:asciiTheme="minorHAnsi" w:hAnsiTheme="minorHAnsi" w:eastAsiaTheme="minorEastAsia" w:cstheme="minorBidi"/>
      <w:kern w:val="2"/>
      <w:sz w:val="24"/>
      <w:szCs w:val="24"/>
      <w:lang w:val="en-GB" w:eastAsia="en-GB"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666666"/>
    </w:rPr>
  </w:style>
  <w:style w:type="paragraph" w:customStyle="1" w:styleId="5">
    <w:name w:val="F3F999A1676141D9BE8046F717C6BAE4"/>
    <w:qFormat/>
    <w:uiPriority w:val="0"/>
    <w:pPr>
      <w:spacing w:after="160" w:line="278" w:lineRule="auto"/>
    </w:pPr>
    <w:rPr>
      <w:rFonts w:asciiTheme="minorHAnsi" w:hAnsiTheme="minorHAnsi" w:eastAsiaTheme="minorEastAsia" w:cstheme="minorBidi"/>
      <w:kern w:val="2"/>
      <w:sz w:val="24"/>
      <w:szCs w:val="24"/>
      <w:lang w:val="en-GB" w:eastAsia="en-GB" w:bidi="ar-SA"/>
      <w14:ligatures w14:val="standardContextual"/>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4414</Words>
  <Characters>29830</Characters>
  <Lines>403</Lines>
  <Paragraphs>113</Paragraphs>
  <TotalTime>20</TotalTime>
  <ScaleCrop>false</ScaleCrop>
  <LinksUpToDate>false</LinksUpToDate>
  <CharactersWithSpaces>34245</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2026-06-04T08:58:00Z</dcterms:created>
  <dc:creator>TCMIS</dc:creator>
  <cp:lastModifiedBy>DICT</cp:lastModifiedBy>
  <cp:lastPrinted>2025-06-11T14:01:00Z</cp:lastPrinted>
  <dcterms:modified xsi:type="dcterms:W3CDTF">2026-06-08T11:17:33Z</dcterms:modified>
  <dc:title>TCMIS Template</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eyJoZGlkIjoiM2FjNzkxN2UzYWM3ZGZmMjU2NGRiZDMxMmZjMWY0NzAifQ==</vt:lpwstr>
  </property>
  <property fmtid="{D5CDD505-2E9C-101B-9397-08002B2CF9AE}" pid="3" name="KSOProductBuildVer">
    <vt:lpwstr>1033-12.1.0.26372</vt:lpwstr>
  </property>
  <property fmtid="{D5CDD505-2E9C-101B-9397-08002B2CF9AE}" pid="4" name="ICV">
    <vt:lpwstr>B16D7A84B0EB4D9B8A676FA79E4CB865_13</vt:lpwstr>
  </property>
</Properties>
</file>