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26E" w:rsidRPr="003A02AE" w:rsidRDefault="002C226E" w:rsidP="00F5394D">
      <w:pPr>
        <w:spacing w:after="0" w:line="240" w:lineRule="auto"/>
        <w:jc w:val="center"/>
        <w:outlineLvl w:val="0"/>
        <w:rPr>
          <w:rFonts w:ascii="Times New Roman" w:hAnsi="Times New Roman" w:cs="Times New Roman"/>
          <w:b/>
          <w:sz w:val="36"/>
          <w:szCs w:val="36"/>
        </w:rPr>
      </w:pPr>
      <w:r w:rsidRPr="003A02AE">
        <w:rPr>
          <w:rFonts w:ascii="Times New Roman" w:hAnsi="Times New Roman" w:cs="Times New Roman"/>
          <w:b/>
          <w:sz w:val="36"/>
          <w:szCs w:val="36"/>
        </w:rPr>
        <w:t xml:space="preserve">An Explainable SMOTE-Enhanced </w:t>
      </w:r>
      <w:r w:rsidR="00013EE8" w:rsidRPr="003A02AE">
        <w:rPr>
          <w:rFonts w:ascii="Times New Roman" w:hAnsi="Times New Roman" w:cs="Times New Roman"/>
          <w:b/>
          <w:sz w:val="36"/>
          <w:szCs w:val="36"/>
        </w:rPr>
        <w:t>Fuzzy Ensemble Decision Tree Framework for Intelligent Cancer Prediction and Classification</w:t>
      </w:r>
      <w:r w:rsidR="0013574E" w:rsidRPr="003A02AE">
        <w:rPr>
          <w:rFonts w:ascii="Times New Roman" w:hAnsi="Times New Roman" w:cs="Times New Roman"/>
          <w:b/>
          <w:sz w:val="36"/>
          <w:szCs w:val="36"/>
        </w:rPr>
        <w:t xml:space="preserve"> with </w:t>
      </w:r>
      <w:proofErr w:type="spellStart"/>
      <w:r w:rsidR="0013574E" w:rsidRPr="003A02AE">
        <w:rPr>
          <w:rFonts w:ascii="Times New Roman" w:hAnsi="Times New Roman" w:cs="Times New Roman"/>
          <w:b/>
          <w:sz w:val="36"/>
          <w:szCs w:val="36"/>
        </w:rPr>
        <w:t>Hyperparameter</w:t>
      </w:r>
      <w:proofErr w:type="spellEnd"/>
      <w:r w:rsidR="0013574E" w:rsidRPr="003A02AE">
        <w:rPr>
          <w:rFonts w:ascii="Times New Roman" w:hAnsi="Times New Roman" w:cs="Times New Roman"/>
          <w:b/>
          <w:sz w:val="36"/>
          <w:szCs w:val="36"/>
        </w:rPr>
        <w:t xml:space="preserve"> Turning</w:t>
      </w:r>
    </w:p>
    <w:p w:rsidR="00332FE8" w:rsidRPr="00286BA7" w:rsidRDefault="00332FE8" w:rsidP="00F5394D">
      <w:pPr>
        <w:spacing w:after="0" w:line="240" w:lineRule="auto"/>
        <w:jc w:val="center"/>
        <w:outlineLvl w:val="0"/>
        <w:rPr>
          <w:rFonts w:ascii="Times New Roman" w:hAnsi="Times New Roman" w:cs="Times New Roman"/>
          <w:b/>
          <w:sz w:val="24"/>
          <w:szCs w:val="24"/>
        </w:rPr>
      </w:pPr>
    </w:p>
    <w:p w:rsidR="00332FE8" w:rsidRPr="00286BA7" w:rsidRDefault="00332FE8" w:rsidP="00332FE8">
      <w:pPr>
        <w:spacing w:line="240" w:lineRule="auto"/>
        <w:ind w:right="-162"/>
        <w:jc w:val="center"/>
        <w:rPr>
          <w:rFonts w:ascii="Times New Roman" w:hAnsi="Times New Roman" w:cs="Times New Roman"/>
          <w:b/>
          <w:bCs/>
          <w:color w:val="000000"/>
          <w:sz w:val="24"/>
          <w:szCs w:val="24"/>
          <w:vertAlign w:val="superscript"/>
        </w:rPr>
      </w:pPr>
      <w:r w:rsidRPr="00286BA7">
        <w:rPr>
          <w:rFonts w:ascii="Times New Roman" w:hAnsi="Times New Roman" w:cs="Times New Roman"/>
          <w:b/>
          <w:bCs/>
          <w:color w:val="000000"/>
          <w:sz w:val="24"/>
          <w:szCs w:val="24"/>
        </w:rPr>
        <w:t/>
      </w:r>
      <w:r w:rsidR="008B5DC3" w:rsidRPr="00286BA7">
        <w:rPr>
          <w:rFonts w:ascii="Times New Roman" w:hAnsi="Times New Roman" w:cs="Times New Roman"/>
          <w:b/>
          <w:bCs/>
          <w:color w:val="000000"/>
          <w:sz w:val="24"/>
          <w:szCs w:val="24"/>
          <w:vertAlign w:val="superscript"/>
        </w:rPr>
        <w:t/>
      </w:r>
      <w:r w:rsidRPr="00286BA7">
        <w:rPr>
          <w:rFonts w:ascii="Times New Roman" w:hAnsi="Times New Roman" w:cs="Times New Roman"/>
          <w:b/>
          <w:bCs/>
          <w:color w:val="000000"/>
          <w:sz w:val="24"/>
          <w:szCs w:val="24"/>
          <w:vertAlign w:val="superscript"/>
        </w:rPr>
        <w:t xml:space="preserve"/>
      </w:r>
      <w:r w:rsidRPr="00286BA7">
        <w:rPr>
          <w:rFonts w:ascii="Times New Roman" w:hAnsi="Times New Roman" w:cs="Times New Roman"/>
          <w:b/>
          <w:bCs/>
          <w:color w:val="000000"/>
          <w:sz w:val="24"/>
          <w:szCs w:val="24"/>
        </w:rPr>
        <w:t xml:space="preserve"/>
      </w:r>
      <w:proofErr w:type="spellStart"/>
      <w:r w:rsidRPr="00286BA7">
        <w:rPr>
          <w:rFonts w:ascii="Times New Roman" w:hAnsi="Times New Roman" w:cs="Times New Roman"/>
          <w:b/>
          <w:bCs/>
          <w:color w:val="000000"/>
          <w:sz w:val="24"/>
          <w:szCs w:val="24"/>
        </w:rPr>
        <w:t/>
      </w:r>
      <w:proofErr w:type="spellEnd"/>
      <w:r w:rsidRPr="00286BA7">
        <w:rPr>
          <w:rFonts w:ascii="Times New Roman" w:hAnsi="Times New Roman" w:cs="Times New Roman"/>
          <w:b/>
          <w:bCs/>
          <w:color w:val="000000"/>
          <w:sz w:val="24"/>
          <w:szCs w:val="24"/>
        </w:rPr>
        <w:t xml:space="preserve"/>
      </w:r>
      <w:r w:rsidR="008B5DC3" w:rsidRPr="00286BA7">
        <w:rPr>
          <w:rFonts w:ascii="Times New Roman" w:hAnsi="Times New Roman" w:cs="Times New Roman"/>
          <w:b/>
          <w:bCs/>
          <w:color w:val="000000"/>
          <w:sz w:val="24"/>
          <w:szCs w:val="24"/>
          <w:vertAlign w:val="superscript"/>
        </w:rPr>
        <w:t/>
      </w:r>
    </w:p>
    <w:p w:rsidR="008B5DC3" w:rsidRPr="00286BA7" w:rsidRDefault="008B5DC3" w:rsidP="008B5DC3">
      <w:pPr>
        <w:spacing w:after="0" w:line="240" w:lineRule="auto"/>
        <w:ind w:right="-162"/>
        <w:jc w:val="center"/>
        <w:rPr>
          <w:rFonts w:ascii="Times New Roman" w:hAnsi="Times New Roman" w:cs="Times New Roman"/>
          <w:bCs/>
          <w:color w:val="000000"/>
          <w:sz w:val="24"/>
          <w:szCs w:val="24"/>
        </w:rPr>
      </w:pPr>
      <w:r w:rsidRPr="00286BA7">
        <w:rPr>
          <w:rFonts w:ascii="Times New Roman" w:hAnsi="Times New Roman" w:cs="Times New Roman"/>
          <w:bCs/>
          <w:color w:val="000000"/>
          <w:sz w:val="24"/>
          <w:szCs w:val="24"/>
          <w:vertAlign w:val="superscript"/>
        </w:rPr>
        <w:t/>
      </w:r>
      <w:r w:rsidRPr="00286BA7">
        <w:rPr>
          <w:rFonts w:ascii="Times New Roman" w:hAnsi="Times New Roman" w:cs="Times New Roman"/>
          <w:bCs/>
          <w:color w:val="000000"/>
          <w:sz w:val="24"/>
          <w:szCs w:val="24"/>
        </w:rPr>
        <w:t xml:space="preserve"/>
      </w:r>
      <w:proofErr w:type="spellStart"/>
      <w:r w:rsidRPr="00286BA7">
        <w:rPr>
          <w:rFonts w:ascii="Times New Roman" w:hAnsi="Times New Roman" w:cs="Times New Roman"/>
          <w:bCs/>
          <w:color w:val="000000"/>
          <w:sz w:val="24"/>
          <w:szCs w:val="24"/>
        </w:rPr>
        <w:t/>
      </w:r>
      <w:proofErr w:type="spellEnd"/>
      <w:r w:rsidRPr="00286BA7">
        <w:rPr>
          <w:rFonts w:ascii="Times New Roman" w:hAnsi="Times New Roman" w:cs="Times New Roman"/>
          <w:bCs/>
          <w:color w:val="000000"/>
          <w:sz w:val="24"/>
          <w:szCs w:val="24"/>
        </w:rPr>
        <w:t/>
      </w:r>
    </w:p>
    <w:p w:rsidR="00332FE8" w:rsidRPr="00286BA7" w:rsidRDefault="008B5DC3" w:rsidP="00332FE8">
      <w:pPr>
        <w:spacing w:after="0" w:line="240" w:lineRule="auto"/>
        <w:ind w:right="-162"/>
        <w:jc w:val="center"/>
        <w:rPr>
          <w:rFonts w:ascii="Times New Roman" w:hAnsi="Times New Roman" w:cs="Times New Roman"/>
          <w:bCs/>
          <w:color w:val="000000"/>
          <w:sz w:val="24"/>
          <w:szCs w:val="24"/>
        </w:rPr>
      </w:pPr>
      <w:r w:rsidRPr="00286BA7">
        <w:rPr>
          <w:rFonts w:ascii="Times New Roman" w:hAnsi="Times New Roman" w:cs="Times New Roman"/>
          <w:bCs/>
          <w:color w:val="000000"/>
          <w:sz w:val="24"/>
          <w:szCs w:val="24"/>
          <w:vertAlign w:val="superscript"/>
        </w:rPr>
        <w:t/>
      </w:r>
      <w:r w:rsidR="00332FE8" w:rsidRPr="00286BA7">
        <w:rPr>
          <w:rFonts w:ascii="Times New Roman" w:hAnsi="Times New Roman" w:cs="Times New Roman"/>
          <w:bCs/>
          <w:color w:val="000000"/>
          <w:sz w:val="24"/>
          <w:szCs w:val="24"/>
        </w:rPr>
        <w:t xml:space="preserve"/>
      </w:r>
      <w:proofErr w:type="spellStart"/>
      <w:r w:rsidR="00332FE8" w:rsidRPr="00286BA7">
        <w:rPr>
          <w:rFonts w:ascii="Times New Roman" w:hAnsi="Times New Roman" w:cs="Times New Roman"/>
          <w:bCs/>
          <w:color w:val="000000"/>
          <w:sz w:val="24"/>
          <w:szCs w:val="24"/>
        </w:rPr>
        <w:t/>
      </w:r>
      <w:proofErr w:type="spellEnd"/>
      <w:r w:rsidR="00332FE8" w:rsidRPr="00286BA7">
        <w:rPr>
          <w:rFonts w:ascii="Times New Roman" w:hAnsi="Times New Roman" w:cs="Times New Roman"/>
          <w:bCs/>
          <w:color w:val="000000"/>
          <w:sz w:val="24"/>
          <w:szCs w:val="24"/>
        </w:rPr>
        <w:t/>
      </w:r>
    </w:p>
    <w:p w:rsidR="008B5DC3" w:rsidRPr="00286BA7" w:rsidRDefault="008B5DC3" w:rsidP="00332FE8">
      <w:pPr>
        <w:spacing w:after="0" w:line="240" w:lineRule="auto"/>
        <w:ind w:right="-162"/>
        <w:jc w:val="center"/>
        <w:rPr>
          <w:rFonts w:ascii="Times New Roman" w:hAnsi="Times New Roman" w:cs="Times New Roman"/>
          <w:bCs/>
          <w:color w:val="000000"/>
          <w:sz w:val="24"/>
          <w:szCs w:val="24"/>
        </w:rPr>
      </w:pPr>
    </w:p>
    <w:p w:rsidR="008B5DC3" w:rsidRPr="00286BA7" w:rsidRDefault="00195DF1" w:rsidP="00195DF1">
      <w:pPr>
        <w:spacing w:after="0" w:line="240" w:lineRule="auto"/>
        <w:ind w:right="-162"/>
        <w:jc w:val="center"/>
        <w:rPr>
          <w:rFonts w:ascii="Times New Roman" w:hAnsi="Times New Roman" w:cs="Times New Roman"/>
          <w:bCs/>
          <w:color w:val="000000"/>
          <w:sz w:val="24"/>
          <w:szCs w:val="24"/>
        </w:rPr>
      </w:pPr>
      <w:r w:rsidRPr="00286BA7">
        <w:rPr>
          <w:rFonts w:ascii="Times New Roman" w:hAnsi="Times New Roman" w:cs="Times New Roman"/>
          <w:bCs/>
          <w:color w:val="000000"/>
          <w:sz w:val="24"/>
          <w:szCs w:val="24"/>
        </w:rPr>
        <w:t/>
      </w:r>
      <w:r w:rsidR="008B5DC3" w:rsidRPr="00286BA7">
        <w:rPr>
          <w:rFonts w:ascii="Times New Roman" w:hAnsi="Times New Roman" w:cs="Times New Roman"/>
          <w:bCs/>
          <w:color w:val="000000"/>
          <w:sz w:val="24"/>
          <w:szCs w:val="24"/>
        </w:rPr>
        <w:t/>
      </w:r>
      <w:r w:rsidRPr="00286BA7">
        <w:rPr>
          <w:rFonts w:ascii="Times New Roman" w:hAnsi="Times New Roman" w:cs="Times New Roman"/>
          <w:bCs/>
          <w:color w:val="000000"/>
          <w:sz w:val="24"/>
          <w:szCs w:val="24"/>
        </w:rPr>
        <w:t/>
      </w:r>
      <w:r w:rsidR="008B5DC3" w:rsidRPr="00286BA7">
        <w:rPr>
          <w:rFonts w:ascii="Times New Roman" w:hAnsi="Times New Roman" w:cs="Times New Roman"/>
          <w:bCs/>
          <w:color w:val="000000"/>
          <w:sz w:val="24"/>
          <w:szCs w:val="24"/>
        </w:rPr>
        <w:t xml:space="preserve"/>
      </w:r>
      <w:r w:rsidRPr="00286BA7">
        <w:rPr>
          <w:rFonts w:ascii="Times New Roman" w:hAnsi="Times New Roman" w:cs="Times New Roman"/>
          <w:bCs/>
          <w:color w:val="000000"/>
          <w:sz w:val="24"/>
          <w:szCs w:val="24"/>
        </w:rPr>
        <w:t xml:space="preserve"/>
      </w:r>
      <w:hyperlink r:id="rId7" w:history="1">
        <w:r w:rsidRPr="00286BA7">
          <w:rPr>
            <w:rStyle w:val="Hyperlink"/>
            <w:rFonts w:ascii="Times New Roman" w:hAnsi="Times New Roman" w:cs="Times New Roman"/>
            <w:bCs/>
            <w:sz w:val="24"/>
            <w:szCs w:val="24"/>
          </w:rPr>
          <w:t/>
        </w:r>
      </w:hyperlink>
    </w:p>
    <w:p w:rsidR="00332FE8" w:rsidRPr="00286BA7" w:rsidRDefault="00332FE8" w:rsidP="00F5394D">
      <w:pPr>
        <w:spacing w:after="0" w:line="240" w:lineRule="auto"/>
        <w:jc w:val="center"/>
        <w:outlineLvl w:val="0"/>
        <w:rPr>
          <w:rFonts w:ascii="Times New Roman" w:hAnsi="Times New Roman" w:cs="Times New Roman"/>
          <w:sz w:val="24"/>
          <w:szCs w:val="24"/>
        </w:rPr>
      </w:pPr>
    </w:p>
    <w:p w:rsidR="002C226E" w:rsidRPr="005F79F2" w:rsidRDefault="001239DF" w:rsidP="001239DF">
      <w:pPr>
        <w:spacing w:after="0" w:line="240" w:lineRule="auto"/>
        <w:jc w:val="both"/>
        <w:outlineLvl w:val="0"/>
        <w:rPr>
          <w:rFonts w:ascii="Times New Roman" w:eastAsia="Times New Roman" w:hAnsi="Times New Roman" w:cs="Times New Roman"/>
          <w:b/>
          <w:bCs/>
          <w:kern w:val="36"/>
          <w:sz w:val="28"/>
          <w:szCs w:val="28"/>
        </w:rPr>
      </w:pPr>
      <w:r w:rsidRPr="005F79F2">
        <w:rPr>
          <w:rFonts w:ascii="Times New Roman" w:eastAsia="Times New Roman" w:hAnsi="Times New Roman" w:cs="Times New Roman"/>
          <w:b/>
          <w:bCs/>
          <w:kern w:val="36"/>
          <w:sz w:val="28"/>
          <w:szCs w:val="28"/>
        </w:rPr>
        <w:t>Abstract</w:t>
      </w:r>
    </w:p>
    <w:p w:rsidR="001239DF" w:rsidRPr="00286BA7" w:rsidRDefault="001239DF" w:rsidP="001239DF">
      <w:pPr>
        <w:spacing w:after="0" w:line="240" w:lineRule="auto"/>
        <w:jc w:val="both"/>
        <w:rPr>
          <w:rFonts w:ascii="Times New Roman" w:eastAsia="Times New Roman" w:hAnsi="Times New Roman" w:cs="Times New Roman"/>
          <w:sz w:val="24"/>
          <w:szCs w:val="24"/>
        </w:rPr>
      </w:pPr>
      <w:r w:rsidRPr="001239DF">
        <w:rPr>
          <w:rFonts w:ascii="Times New Roman" w:eastAsia="Times New Roman" w:hAnsi="Times New Roman" w:cs="Times New Roman"/>
          <w:sz w:val="24"/>
          <w:szCs w:val="24"/>
        </w:rPr>
        <w:t xml:space="preserve">Early detection of cervical cancer remains a critical challenge in healthcare, particularly in low- and middle-income countries where limited access to screening and diagnostic facilities contributes to high mortality rates. Although machine learning techniques have shown considerable promise in supporting cancer diagnosis, their effectiveness is often hindered by class imbalance, data uncertainty, and limited model interpretability. This study proposes an explainable SMOTE-enhanced fuzzy ensemble decision tree framework with </w:t>
      </w:r>
      <w:proofErr w:type="spellStart"/>
      <w:r w:rsidRPr="001239DF">
        <w:rPr>
          <w:rFonts w:ascii="Times New Roman" w:eastAsia="Times New Roman" w:hAnsi="Times New Roman" w:cs="Times New Roman"/>
          <w:sz w:val="24"/>
          <w:szCs w:val="24"/>
        </w:rPr>
        <w:t>hyperparameter</w:t>
      </w:r>
      <w:proofErr w:type="spellEnd"/>
      <w:r w:rsidRPr="001239DF">
        <w:rPr>
          <w:rFonts w:ascii="Times New Roman" w:eastAsia="Times New Roman" w:hAnsi="Times New Roman" w:cs="Times New Roman"/>
          <w:sz w:val="24"/>
          <w:szCs w:val="24"/>
        </w:rPr>
        <w:t xml:space="preserve"> optimization for intelligent cervical cancer prediction and classification. The framework integrates Synthetic Minority Oversampling Technique (SMOTE), fuzzy logic, multiple fuzzy decision trees (Fuzzy ID3, Fuzzy C4.5, and Fuzzy CART), and ensemble learning models, including Random Forest, Gradient Boosting, </w:t>
      </w:r>
      <w:proofErr w:type="spellStart"/>
      <w:r w:rsidRPr="001239DF">
        <w:rPr>
          <w:rFonts w:ascii="Times New Roman" w:eastAsia="Times New Roman" w:hAnsi="Times New Roman" w:cs="Times New Roman"/>
          <w:sz w:val="24"/>
          <w:szCs w:val="24"/>
        </w:rPr>
        <w:t>XGBoost</w:t>
      </w:r>
      <w:proofErr w:type="spellEnd"/>
      <w:r w:rsidRPr="001239DF">
        <w:rPr>
          <w:rFonts w:ascii="Times New Roman" w:eastAsia="Times New Roman" w:hAnsi="Times New Roman" w:cs="Times New Roman"/>
          <w:sz w:val="24"/>
          <w:szCs w:val="24"/>
        </w:rPr>
        <w:t xml:space="preserve">, </w:t>
      </w:r>
      <w:proofErr w:type="spellStart"/>
      <w:r w:rsidRPr="001239DF">
        <w:rPr>
          <w:rFonts w:ascii="Times New Roman" w:eastAsia="Times New Roman" w:hAnsi="Times New Roman" w:cs="Times New Roman"/>
          <w:sz w:val="24"/>
          <w:szCs w:val="24"/>
        </w:rPr>
        <w:t>LightGBM</w:t>
      </w:r>
      <w:proofErr w:type="spellEnd"/>
      <w:r w:rsidRPr="001239DF">
        <w:rPr>
          <w:rFonts w:ascii="Times New Roman" w:eastAsia="Times New Roman" w:hAnsi="Times New Roman" w:cs="Times New Roman"/>
          <w:sz w:val="24"/>
          <w:szCs w:val="24"/>
        </w:rPr>
        <w:t xml:space="preserve">, and </w:t>
      </w:r>
      <w:proofErr w:type="spellStart"/>
      <w:r w:rsidRPr="001239DF">
        <w:rPr>
          <w:rFonts w:ascii="Times New Roman" w:eastAsia="Times New Roman" w:hAnsi="Times New Roman" w:cs="Times New Roman"/>
          <w:sz w:val="24"/>
          <w:szCs w:val="24"/>
        </w:rPr>
        <w:t>AdaBoost</w:t>
      </w:r>
      <w:proofErr w:type="spellEnd"/>
      <w:r w:rsidRPr="001239DF">
        <w:rPr>
          <w:rFonts w:ascii="Times New Roman" w:eastAsia="Times New Roman" w:hAnsi="Times New Roman" w:cs="Times New Roman"/>
          <w:sz w:val="24"/>
          <w:szCs w:val="24"/>
        </w:rPr>
        <w:t xml:space="preserve">, to improve predictive accuracy, robustness, and clinical interpretability. The Cervical Cancer (Risk Factors) dataset obtained from the UCI Machine Learning Repository, comprising 858 patient records and 36 clinical and demographic attributes, was employed for experimentation. Data preprocessing involved missing-value imputation, normalization, </w:t>
      </w:r>
      <w:proofErr w:type="spellStart"/>
      <w:r w:rsidRPr="001239DF">
        <w:rPr>
          <w:rFonts w:ascii="Times New Roman" w:eastAsia="Times New Roman" w:hAnsi="Times New Roman" w:cs="Times New Roman"/>
          <w:sz w:val="24"/>
          <w:szCs w:val="24"/>
        </w:rPr>
        <w:t>fuzzification</w:t>
      </w:r>
      <w:proofErr w:type="spellEnd"/>
      <w:r w:rsidRPr="001239DF">
        <w:rPr>
          <w:rFonts w:ascii="Times New Roman" w:eastAsia="Times New Roman" w:hAnsi="Times New Roman" w:cs="Times New Roman"/>
          <w:sz w:val="24"/>
          <w:szCs w:val="24"/>
        </w:rPr>
        <w:t xml:space="preserve"> of selected clinical variables using triangular membership functions, and class balancing through SMOTE. </w:t>
      </w:r>
      <w:proofErr w:type="spellStart"/>
      <w:r w:rsidRPr="001239DF">
        <w:rPr>
          <w:rFonts w:ascii="Times New Roman" w:eastAsia="Times New Roman" w:hAnsi="Times New Roman" w:cs="Times New Roman"/>
          <w:sz w:val="24"/>
          <w:szCs w:val="24"/>
        </w:rPr>
        <w:t>Hyperparameter</w:t>
      </w:r>
      <w:proofErr w:type="spellEnd"/>
      <w:r w:rsidRPr="001239DF">
        <w:rPr>
          <w:rFonts w:ascii="Times New Roman" w:eastAsia="Times New Roman" w:hAnsi="Times New Roman" w:cs="Times New Roman"/>
          <w:sz w:val="24"/>
          <w:szCs w:val="24"/>
        </w:rPr>
        <w:t xml:space="preserve"> tuning was performed using Bayesian optimization, grid search, and randomized search techniques. Model performance was evaluated using accuracy, precision, recall, F1-score, ROC-AUC, confusion matrices, and ROC curves. Experimental results demonstrated that ensemble methods consistently outperformed conventional decision tree algorithms. The proposed framework achieved its best performance with Gradient Boosting, attaining an accuracy of 97.09%, precision of 87.50%, recall of 63.64%, F1-score of 73.68%, and a ROC-AUC of 94.35%, while </w:t>
      </w:r>
      <w:proofErr w:type="spellStart"/>
      <w:r w:rsidRPr="001239DF">
        <w:rPr>
          <w:rFonts w:ascii="Times New Roman" w:eastAsia="Times New Roman" w:hAnsi="Times New Roman" w:cs="Times New Roman"/>
          <w:sz w:val="24"/>
          <w:szCs w:val="24"/>
        </w:rPr>
        <w:t>XGBoost</w:t>
      </w:r>
      <w:proofErr w:type="spellEnd"/>
      <w:r w:rsidRPr="001239DF">
        <w:rPr>
          <w:rFonts w:ascii="Times New Roman" w:eastAsia="Times New Roman" w:hAnsi="Times New Roman" w:cs="Times New Roman"/>
          <w:sz w:val="24"/>
          <w:szCs w:val="24"/>
        </w:rPr>
        <w:t xml:space="preserve"> and Random Forest achieved the highest discriminative capabilities with ROC-AUC values of 97.35% and 97.21%, respectively. The incorporation of SMOTE significantly improved minority-class detection, whereas fuzzy logic enhanced the handling of uncertainty inherent in medical data. The findings confirm that the proposed explainable framework provides an effective, robust, and interpretable decision-support mechanism for early cervical cancer diagnosis and has strong potential for broader applications in intelligent healthcare systems.</w:t>
      </w:r>
    </w:p>
    <w:p w:rsidR="001239DF" w:rsidRPr="001239DF" w:rsidRDefault="001239DF" w:rsidP="001239DF">
      <w:pPr>
        <w:spacing w:after="0" w:line="240" w:lineRule="auto"/>
        <w:jc w:val="both"/>
        <w:rPr>
          <w:rFonts w:ascii="Times New Roman" w:eastAsia="Times New Roman" w:hAnsi="Times New Roman" w:cs="Times New Roman"/>
          <w:sz w:val="24"/>
          <w:szCs w:val="24"/>
        </w:rPr>
      </w:pPr>
    </w:p>
    <w:p w:rsidR="001239DF" w:rsidRPr="001239DF" w:rsidRDefault="001239DF" w:rsidP="001239DF">
      <w:pPr>
        <w:spacing w:after="0" w:line="240" w:lineRule="auto"/>
        <w:jc w:val="both"/>
        <w:rPr>
          <w:rFonts w:ascii="Times New Roman" w:eastAsia="Times New Roman" w:hAnsi="Times New Roman" w:cs="Times New Roman"/>
          <w:sz w:val="24"/>
          <w:szCs w:val="24"/>
        </w:rPr>
      </w:pPr>
      <w:r w:rsidRPr="00286BA7">
        <w:rPr>
          <w:rFonts w:ascii="Times New Roman" w:eastAsia="Times New Roman" w:hAnsi="Times New Roman" w:cs="Times New Roman"/>
          <w:b/>
          <w:bCs/>
          <w:sz w:val="24"/>
          <w:szCs w:val="24"/>
        </w:rPr>
        <w:t>Keywords:</w:t>
      </w:r>
      <w:r w:rsidRPr="001239DF">
        <w:rPr>
          <w:rFonts w:ascii="Times New Roman" w:eastAsia="Times New Roman" w:hAnsi="Times New Roman" w:cs="Times New Roman"/>
          <w:sz w:val="24"/>
          <w:szCs w:val="24"/>
        </w:rPr>
        <w:t xml:space="preserve"> Cervical cancer prediction, explainable artificial intelligence, SMOTE, fuzzy decision tree</w:t>
      </w:r>
      <w:r w:rsidR="00C324C2" w:rsidRPr="00286BA7">
        <w:rPr>
          <w:rFonts w:ascii="Times New Roman" w:eastAsia="Times New Roman" w:hAnsi="Times New Roman" w:cs="Times New Roman"/>
          <w:sz w:val="24"/>
          <w:szCs w:val="24"/>
        </w:rPr>
        <w:t xml:space="preserve">s, </w:t>
      </w:r>
      <w:proofErr w:type="spellStart"/>
      <w:r w:rsidR="00C324C2" w:rsidRPr="00286BA7">
        <w:rPr>
          <w:rFonts w:ascii="Times New Roman" w:eastAsia="Times New Roman" w:hAnsi="Times New Roman" w:cs="Times New Roman"/>
          <w:sz w:val="24"/>
          <w:szCs w:val="24"/>
        </w:rPr>
        <w:t>hyperparameter</w:t>
      </w:r>
      <w:proofErr w:type="spellEnd"/>
      <w:r w:rsidR="00C324C2" w:rsidRPr="00286BA7">
        <w:rPr>
          <w:rFonts w:ascii="Times New Roman" w:eastAsia="Times New Roman" w:hAnsi="Times New Roman" w:cs="Times New Roman"/>
          <w:sz w:val="24"/>
          <w:szCs w:val="24"/>
        </w:rPr>
        <w:t xml:space="preserve"> optimization.</w:t>
      </w:r>
      <w:r w:rsidRPr="001239DF">
        <w:rPr>
          <w:rFonts w:ascii="Times New Roman" w:eastAsia="Times New Roman" w:hAnsi="Times New Roman" w:cs="Times New Roman"/>
          <w:sz w:val="24"/>
          <w:szCs w:val="24"/>
        </w:rPr>
        <w:t xml:space="preserve"> </w:t>
      </w:r>
    </w:p>
    <w:p w:rsidR="001239DF" w:rsidRPr="00286BA7" w:rsidRDefault="001239DF" w:rsidP="002C226E">
      <w:pPr>
        <w:spacing w:after="0" w:line="240" w:lineRule="auto"/>
        <w:jc w:val="both"/>
        <w:outlineLvl w:val="0"/>
        <w:rPr>
          <w:rFonts w:ascii="Times New Roman" w:eastAsia="Times New Roman" w:hAnsi="Times New Roman" w:cs="Times New Roman"/>
          <w:b/>
          <w:bCs/>
          <w:kern w:val="36"/>
          <w:sz w:val="24"/>
          <w:szCs w:val="24"/>
        </w:rPr>
      </w:pPr>
    </w:p>
    <w:p w:rsidR="002C226E" w:rsidRPr="00286BA7" w:rsidRDefault="00B86E69" w:rsidP="002C226E">
      <w:pPr>
        <w:spacing w:after="0" w:line="240" w:lineRule="auto"/>
        <w:jc w:val="both"/>
        <w:outlineLvl w:val="1"/>
        <w:rPr>
          <w:rFonts w:ascii="Times New Roman" w:eastAsia="Times New Roman" w:hAnsi="Times New Roman" w:cs="Times New Roman"/>
          <w:b/>
          <w:bCs/>
          <w:sz w:val="24"/>
          <w:szCs w:val="24"/>
        </w:rPr>
      </w:pPr>
      <w:r w:rsidRPr="00286BA7">
        <w:rPr>
          <w:rFonts w:ascii="Times New Roman" w:eastAsia="Times New Roman" w:hAnsi="Times New Roman" w:cs="Times New Roman"/>
          <w:b/>
          <w:bCs/>
          <w:sz w:val="24"/>
          <w:szCs w:val="24"/>
        </w:rPr>
        <w:t>INTRODUCTION</w:t>
      </w:r>
    </w:p>
    <w:p w:rsidR="001E7844" w:rsidRPr="00286BA7" w:rsidRDefault="002C226E" w:rsidP="001E7844">
      <w:pPr>
        <w:spacing w:after="0" w:line="240" w:lineRule="auto"/>
        <w:ind w:firstLine="720"/>
        <w:jc w:val="both"/>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Cervical cancer remains one of the leading causes of cancer-related deaths among women worldwide, particularly in low- and middle-income countries where access to early diagnosis and effective screening remains limited. According to the World Health Organization (WHO, 2023), cervical cancer accounts for a significant proportion of female cancer mortality, with delayed diagnosis contributing heavily to poor survival outcomes. Early detection and accurate prediction of cervical cancer risk are therefore essential for improving patient survival and reducing healthcare burdens.</w:t>
      </w:r>
      <w:r w:rsidR="001E7844" w:rsidRPr="00286BA7">
        <w:rPr>
          <w:rFonts w:ascii="Times New Roman" w:eastAsia="Times New Roman" w:hAnsi="Times New Roman" w:cs="Times New Roman"/>
          <w:sz w:val="24"/>
          <w:szCs w:val="24"/>
        </w:rPr>
        <w:t xml:space="preserve"> </w:t>
      </w:r>
      <w:r w:rsidRPr="00286BA7">
        <w:rPr>
          <w:rFonts w:ascii="Times New Roman" w:eastAsia="Times New Roman" w:hAnsi="Times New Roman" w:cs="Times New Roman"/>
          <w:sz w:val="24"/>
          <w:szCs w:val="24"/>
        </w:rPr>
        <w:t>The increasing availability of medical datasets and advances in artificial intelligence have encouraged the adoption of machine learning techniques for disease prediction and clinical decision support systems. Machine learning models can analyze complex medical data and identify hidden patterns associated with cancer development and progression (</w:t>
      </w:r>
      <w:proofErr w:type="spellStart"/>
      <w:r w:rsidRPr="00286BA7">
        <w:rPr>
          <w:rFonts w:ascii="Times New Roman" w:eastAsia="Times New Roman" w:hAnsi="Times New Roman" w:cs="Times New Roman"/>
          <w:sz w:val="24"/>
          <w:szCs w:val="24"/>
        </w:rPr>
        <w:t>Kourou</w:t>
      </w:r>
      <w:proofErr w:type="spellEnd"/>
      <w:r w:rsidRPr="00286BA7">
        <w:rPr>
          <w:rFonts w:ascii="Times New Roman" w:eastAsia="Times New Roman" w:hAnsi="Times New Roman" w:cs="Times New Roman"/>
          <w:sz w:val="24"/>
          <w:szCs w:val="24"/>
        </w:rPr>
        <w:t xml:space="preserve"> et al., 2015). Traditional classification algorithms such as Decision Trees, Random Forest, and Gradient Boosting have shown promising results in healthcare prediction tasks due to their ability to model nonlinear relationships and handle multidimensional data.</w:t>
      </w:r>
      <w:r w:rsidR="001E7844" w:rsidRPr="00286BA7">
        <w:rPr>
          <w:rFonts w:ascii="Times New Roman" w:eastAsia="Times New Roman" w:hAnsi="Times New Roman" w:cs="Times New Roman"/>
          <w:sz w:val="24"/>
          <w:szCs w:val="24"/>
        </w:rPr>
        <w:t xml:space="preserve"> </w:t>
      </w:r>
      <w:r w:rsidRPr="00286BA7">
        <w:rPr>
          <w:rFonts w:ascii="Times New Roman" w:eastAsia="Times New Roman" w:hAnsi="Times New Roman" w:cs="Times New Roman"/>
          <w:sz w:val="24"/>
          <w:szCs w:val="24"/>
        </w:rPr>
        <w:t xml:space="preserve">However, medical datasets frequently contain uncertainties, missing values, imbalanced </w:t>
      </w:r>
      <w:r w:rsidRPr="00286BA7">
        <w:rPr>
          <w:rFonts w:ascii="Times New Roman" w:eastAsia="Times New Roman" w:hAnsi="Times New Roman" w:cs="Times New Roman"/>
          <w:sz w:val="24"/>
          <w:szCs w:val="24"/>
        </w:rPr>
        <w:lastRenderedPageBreak/>
        <w:t>class distributions, and noisy information that reduce predictive performance. Cervical cancer datasets are particularly affected by class imbalance because positive cancer cases are significantly fewer than negative cases. This imbalance often causes machine learning models to become biased toward the majority class, thereby reducing sensitivity and increasing false negative predictions (Chawla et al., 2002).</w:t>
      </w:r>
      <w:r w:rsidR="001E7844" w:rsidRPr="00286BA7">
        <w:rPr>
          <w:rFonts w:ascii="Times New Roman" w:eastAsia="Times New Roman" w:hAnsi="Times New Roman" w:cs="Times New Roman"/>
          <w:sz w:val="24"/>
          <w:szCs w:val="24"/>
        </w:rPr>
        <w:t xml:space="preserve"> </w:t>
      </w:r>
      <w:r w:rsidRPr="00286BA7">
        <w:rPr>
          <w:rFonts w:ascii="Times New Roman" w:eastAsia="Times New Roman" w:hAnsi="Times New Roman" w:cs="Times New Roman"/>
          <w:sz w:val="24"/>
          <w:szCs w:val="24"/>
        </w:rPr>
        <w:t>To address this problem, the Synthetic Minority Oversampling Technique (SMOTE) has emerged as one of the most effective data balancing techniques in machine learning. SMOTE generates synthetic minority class samples to improve class representation and enhance classifier learning performance (Chawla et al., 2002). Several studies have shown that integrating SMOTE with ensemble learning methods significantly improves classification accuracy and minority class detection in healthcare applications (</w:t>
      </w:r>
      <w:proofErr w:type="spellStart"/>
      <w:r w:rsidRPr="00286BA7">
        <w:rPr>
          <w:rFonts w:ascii="Times New Roman" w:eastAsia="Times New Roman" w:hAnsi="Times New Roman" w:cs="Times New Roman"/>
          <w:sz w:val="24"/>
          <w:szCs w:val="24"/>
        </w:rPr>
        <w:t>Fernández</w:t>
      </w:r>
      <w:proofErr w:type="spellEnd"/>
      <w:r w:rsidRPr="00286BA7">
        <w:rPr>
          <w:rFonts w:ascii="Times New Roman" w:eastAsia="Times New Roman" w:hAnsi="Times New Roman" w:cs="Times New Roman"/>
          <w:sz w:val="24"/>
          <w:szCs w:val="24"/>
        </w:rPr>
        <w:t xml:space="preserve"> et al., 2018).</w:t>
      </w:r>
    </w:p>
    <w:p w:rsidR="001E7844" w:rsidRPr="00286BA7" w:rsidRDefault="002C226E" w:rsidP="001E7844">
      <w:pPr>
        <w:spacing w:after="0" w:line="240" w:lineRule="auto"/>
        <w:ind w:firstLine="720"/>
        <w:jc w:val="both"/>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In addition to class imbalance, medical data often involve vagueness and uncertainty that cannot be effectively modeled using traditional crisp logic systems. Fuzzy logic provides a robust mechanism for handling imprecise medical information by representing variables using linguistic terms such as low, medium, and high (</w:t>
      </w:r>
      <w:proofErr w:type="spellStart"/>
      <w:r w:rsidRPr="00286BA7">
        <w:rPr>
          <w:rFonts w:ascii="Times New Roman" w:eastAsia="Times New Roman" w:hAnsi="Times New Roman" w:cs="Times New Roman"/>
          <w:sz w:val="24"/>
          <w:szCs w:val="24"/>
        </w:rPr>
        <w:t>Zadeh</w:t>
      </w:r>
      <w:proofErr w:type="spellEnd"/>
      <w:r w:rsidRPr="00286BA7">
        <w:rPr>
          <w:rFonts w:ascii="Times New Roman" w:eastAsia="Times New Roman" w:hAnsi="Times New Roman" w:cs="Times New Roman"/>
          <w:sz w:val="24"/>
          <w:szCs w:val="24"/>
        </w:rPr>
        <w:t>, 1965). Fuzzy Decision Trees (FDTs) combine fuzzy logic with decision tree learning to improve interpretability and classification performance in uncertain environments.</w:t>
      </w:r>
      <w:r w:rsidR="001E7844" w:rsidRPr="00286BA7">
        <w:rPr>
          <w:rFonts w:ascii="Times New Roman" w:eastAsia="Times New Roman" w:hAnsi="Times New Roman" w:cs="Times New Roman"/>
          <w:sz w:val="24"/>
          <w:szCs w:val="24"/>
        </w:rPr>
        <w:t xml:space="preserve"> </w:t>
      </w:r>
      <w:r w:rsidRPr="00286BA7">
        <w:rPr>
          <w:rFonts w:ascii="Times New Roman" w:eastAsia="Times New Roman" w:hAnsi="Times New Roman" w:cs="Times New Roman"/>
          <w:sz w:val="24"/>
          <w:szCs w:val="24"/>
        </w:rPr>
        <w:t xml:space="preserve">Recent advances in ensemble learning have further improved predictive modeling by combining multiple weak learners to generate more accurate and stable predictions. Algorithms such as Random Forest, Gradient Boosting Machine (GBM), </w:t>
      </w:r>
      <w:proofErr w:type="spellStart"/>
      <w:r w:rsidRPr="00286BA7">
        <w:rPr>
          <w:rFonts w:ascii="Times New Roman" w:eastAsia="Times New Roman" w:hAnsi="Times New Roman" w:cs="Times New Roman"/>
          <w:sz w:val="24"/>
          <w:szCs w:val="24"/>
        </w:rPr>
        <w:t>XGBoost</w:t>
      </w:r>
      <w:proofErr w:type="spellEnd"/>
      <w:r w:rsidRPr="00286BA7">
        <w:rPr>
          <w:rFonts w:ascii="Times New Roman" w:eastAsia="Times New Roman" w:hAnsi="Times New Roman" w:cs="Times New Roman"/>
          <w:sz w:val="24"/>
          <w:szCs w:val="24"/>
        </w:rPr>
        <w:t xml:space="preserve">, and </w:t>
      </w:r>
      <w:proofErr w:type="spellStart"/>
      <w:r w:rsidRPr="00286BA7">
        <w:rPr>
          <w:rFonts w:ascii="Times New Roman" w:eastAsia="Times New Roman" w:hAnsi="Times New Roman" w:cs="Times New Roman"/>
          <w:sz w:val="24"/>
          <w:szCs w:val="24"/>
        </w:rPr>
        <w:t>LightGBM</w:t>
      </w:r>
      <w:proofErr w:type="spellEnd"/>
      <w:r w:rsidRPr="00286BA7">
        <w:rPr>
          <w:rFonts w:ascii="Times New Roman" w:eastAsia="Times New Roman" w:hAnsi="Times New Roman" w:cs="Times New Roman"/>
          <w:sz w:val="24"/>
          <w:szCs w:val="24"/>
        </w:rPr>
        <w:t xml:space="preserve"> have demonstrated superior performance in medical diagnosis and cancer prediction tasks (Chen &amp; </w:t>
      </w:r>
      <w:proofErr w:type="spellStart"/>
      <w:r w:rsidRPr="00286BA7">
        <w:rPr>
          <w:rFonts w:ascii="Times New Roman" w:eastAsia="Times New Roman" w:hAnsi="Times New Roman" w:cs="Times New Roman"/>
          <w:sz w:val="24"/>
          <w:szCs w:val="24"/>
        </w:rPr>
        <w:t>Guestrin</w:t>
      </w:r>
      <w:proofErr w:type="spellEnd"/>
      <w:r w:rsidRPr="00286BA7">
        <w:rPr>
          <w:rFonts w:ascii="Times New Roman" w:eastAsia="Times New Roman" w:hAnsi="Times New Roman" w:cs="Times New Roman"/>
          <w:sz w:val="24"/>
          <w:szCs w:val="24"/>
        </w:rPr>
        <w:t>, 2016).</w:t>
      </w:r>
      <w:r w:rsidR="001E7844" w:rsidRPr="00286BA7">
        <w:rPr>
          <w:rFonts w:ascii="Times New Roman" w:eastAsia="Times New Roman" w:hAnsi="Times New Roman" w:cs="Times New Roman"/>
          <w:sz w:val="24"/>
          <w:szCs w:val="24"/>
        </w:rPr>
        <w:t xml:space="preserve"> </w:t>
      </w:r>
      <w:r w:rsidRPr="00286BA7">
        <w:rPr>
          <w:rFonts w:ascii="Times New Roman" w:eastAsia="Times New Roman" w:hAnsi="Times New Roman" w:cs="Times New Roman"/>
          <w:sz w:val="24"/>
          <w:szCs w:val="24"/>
        </w:rPr>
        <w:t xml:space="preserve">Despite these advances, limited studies have integrated SMOTE, fuzzy logic, ensemble learning, and optimized </w:t>
      </w:r>
      <w:proofErr w:type="spellStart"/>
      <w:r w:rsidRPr="00286BA7">
        <w:rPr>
          <w:rFonts w:ascii="Times New Roman" w:eastAsia="Times New Roman" w:hAnsi="Times New Roman" w:cs="Times New Roman"/>
          <w:sz w:val="24"/>
          <w:szCs w:val="24"/>
        </w:rPr>
        <w:t>hyperparameter</w:t>
      </w:r>
      <w:proofErr w:type="spellEnd"/>
      <w:r w:rsidRPr="00286BA7">
        <w:rPr>
          <w:rFonts w:ascii="Times New Roman" w:eastAsia="Times New Roman" w:hAnsi="Times New Roman" w:cs="Times New Roman"/>
          <w:sz w:val="24"/>
          <w:szCs w:val="24"/>
        </w:rPr>
        <w:t xml:space="preserve"> tuning into a unified framework for cervical cancer prediction. Existing studies often focus on individual models without adequately addressing uncertainty and class imbalance simultaneously.</w:t>
      </w:r>
    </w:p>
    <w:p w:rsidR="002C226E" w:rsidRPr="008C71E2" w:rsidRDefault="002C226E" w:rsidP="008C71E2">
      <w:pPr>
        <w:spacing w:after="0" w:line="240" w:lineRule="auto"/>
        <w:ind w:firstLine="720"/>
        <w:jc w:val="both"/>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This s</w:t>
      </w:r>
      <w:r w:rsidR="001E7844" w:rsidRPr="00286BA7">
        <w:rPr>
          <w:rFonts w:ascii="Times New Roman" w:eastAsia="Times New Roman" w:hAnsi="Times New Roman" w:cs="Times New Roman"/>
          <w:sz w:val="24"/>
          <w:szCs w:val="24"/>
        </w:rPr>
        <w:t>tudy therefore proposes a</w:t>
      </w:r>
      <w:r w:rsidRPr="00286BA7">
        <w:rPr>
          <w:rFonts w:ascii="Times New Roman" w:eastAsia="Times New Roman" w:hAnsi="Times New Roman" w:cs="Times New Roman"/>
          <w:sz w:val="24"/>
          <w:szCs w:val="24"/>
        </w:rPr>
        <w:t xml:space="preserve"> SMOTE-Enhanced Fuzzy Ensemble Learning Framework for Cervical Cancer Prediction using optimized decision tree and ensemble learning models. The framework </w:t>
      </w:r>
      <w:r w:rsidR="001E7844" w:rsidRPr="00286BA7">
        <w:rPr>
          <w:rFonts w:ascii="Times New Roman" w:eastAsia="Times New Roman" w:hAnsi="Times New Roman" w:cs="Times New Roman"/>
          <w:sz w:val="24"/>
          <w:szCs w:val="24"/>
        </w:rPr>
        <w:t>mixes</w:t>
      </w:r>
      <w:r w:rsidRPr="00286BA7">
        <w:rPr>
          <w:rFonts w:ascii="Times New Roman" w:eastAsia="Times New Roman" w:hAnsi="Times New Roman" w:cs="Times New Roman"/>
          <w:sz w:val="24"/>
          <w:szCs w:val="24"/>
        </w:rPr>
        <w:t xml:space="preserve"> fuzzy decision trees, SMOTE balancing, ensemble learning techniques, and optimized </w:t>
      </w:r>
      <w:proofErr w:type="spellStart"/>
      <w:r w:rsidRPr="00286BA7">
        <w:rPr>
          <w:rFonts w:ascii="Times New Roman" w:eastAsia="Times New Roman" w:hAnsi="Times New Roman" w:cs="Times New Roman"/>
          <w:sz w:val="24"/>
          <w:szCs w:val="24"/>
        </w:rPr>
        <w:t>hyperparameter</w:t>
      </w:r>
      <w:proofErr w:type="spellEnd"/>
      <w:r w:rsidRPr="00286BA7">
        <w:rPr>
          <w:rFonts w:ascii="Times New Roman" w:eastAsia="Times New Roman" w:hAnsi="Times New Roman" w:cs="Times New Roman"/>
          <w:sz w:val="24"/>
          <w:szCs w:val="24"/>
        </w:rPr>
        <w:t xml:space="preserve"> tuning to improve prediction accuracy, sensitivity, and robustness in cervical cancer diagnosis.</w:t>
      </w:r>
      <w:r w:rsidR="001E7844" w:rsidRPr="00286BA7">
        <w:rPr>
          <w:rFonts w:ascii="Times New Roman" w:eastAsia="Times New Roman" w:hAnsi="Times New Roman" w:cs="Times New Roman"/>
          <w:sz w:val="24"/>
          <w:szCs w:val="24"/>
        </w:rPr>
        <w:t xml:space="preserve"> The study aims to develop a fuzzy decision tree framework for cervical cancer prediction by applying SMOTE to address class imbalance, integrating ensemble learning algorithms such as Random Forest, Gradient Boosting, </w:t>
      </w:r>
      <w:proofErr w:type="spellStart"/>
      <w:r w:rsidR="001E7844" w:rsidRPr="00286BA7">
        <w:rPr>
          <w:rFonts w:ascii="Times New Roman" w:eastAsia="Times New Roman" w:hAnsi="Times New Roman" w:cs="Times New Roman"/>
          <w:sz w:val="24"/>
          <w:szCs w:val="24"/>
        </w:rPr>
        <w:t>XGBoost</w:t>
      </w:r>
      <w:proofErr w:type="spellEnd"/>
      <w:r w:rsidR="001E7844" w:rsidRPr="00286BA7">
        <w:rPr>
          <w:rFonts w:ascii="Times New Roman" w:eastAsia="Times New Roman" w:hAnsi="Times New Roman" w:cs="Times New Roman"/>
          <w:sz w:val="24"/>
          <w:szCs w:val="24"/>
        </w:rPr>
        <w:t xml:space="preserve">, and </w:t>
      </w:r>
      <w:proofErr w:type="spellStart"/>
      <w:r w:rsidR="001E7844" w:rsidRPr="00286BA7">
        <w:rPr>
          <w:rFonts w:ascii="Times New Roman" w:eastAsia="Times New Roman" w:hAnsi="Times New Roman" w:cs="Times New Roman"/>
          <w:sz w:val="24"/>
          <w:szCs w:val="24"/>
        </w:rPr>
        <w:t>LightGBM</w:t>
      </w:r>
      <w:proofErr w:type="spellEnd"/>
      <w:r w:rsidR="001E7844" w:rsidRPr="00286BA7">
        <w:rPr>
          <w:rFonts w:ascii="Times New Roman" w:eastAsia="Times New Roman" w:hAnsi="Times New Roman" w:cs="Times New Roman"/>
          <w:sz w:val="24"/>
          <w:szCs w:val="24"/>
        </w:rPr>
        <w:t xml:space="preserve">, optimizing model </w:t>
      </w:r>
      <w:proofErr w:type="spellStart"/>
      <w:r w:rsidR="001E7844" w:rsidRPr="00286BA7">
        <w:rPr>
          <w:rFonts w:ascii="Times New Roman" w:eastAsia="Times New Roman" w:hAnsi="Times New Roman" w:cs="Times New Roman"/>
          <w:sz w:val="24"/>
          <w:szCs w:val="24"/>
        </w:rPr>
        <w:t>hyperparameters</w:t>
      </w:r>
      <w:proofErr w:type="spellEnd"/>
      <w:r w:rsidR="001E7844" w:rsidRPr="00286BA7">
        <w:rPr>
          <w:rFonts w:ascii="Times New Roman" w:eastAsia="Times New Roman" w:hAnsi="Times New Roman" w:cs="Times New Roman"/>
          <w:sz w:val="24"/>
          <w:szCs w:val="24"/>
        </w:rPr>
        <w:t>, and evaluating performance using standard classification metrics.</w:t>
      </w:r>
    </w:p>
    <w:p w:rsidR="00D215A0" w:rsidRPr="00286BA7" w:rsidRDefault="00D215A0" w:rsidP="00D215A0">
      <w:pPr>
        <w:spacing w:after="0" w:line="240" w:lineRule="auto"/>
        <w:ind w:firstLine="720"/>
        <w:jc w:val="both"/>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 xml:space="preserve">Machine learning has become increasingly important in medical diagnosis because of its ability to process large-scale healthcare datasets and identify predictive patterns associated with disease occurrence and progression. </w:t>
      </w:r>
      <w:proofErr w:type="spellStart"/>
      <w:r w:rsidRPr="00286BA7">
        <w:rPr>
          <w:rFonts w:ascii="Times New Roman" w:eastAsia="Times New Roman" w:hAnsi="Times New Roman" w:cs="Times New Roman"/>
          <w:sz w:val="24"/>
          <w:szCs w:val="24"/>
        </w:rPr>
        <w:t>Kourou</w:t>
      </w:r>
      <w:proofErr w:type="spellEnd"/>
      <w:r w:rsidRPr="00286BA7">
        <w:rPr>
          <w:rFonts w:ascii="Times New Roman" w:eastAsia="Times New Roman" w:hAnsi="Times New Roman" w:cs="Times New Roman"/>
          <w:sz w:val="24"/>
          <w:szCs w:val="24"/>
        </w:rPr>
        <w:t xml:space="preserve"> et al. (2015) observed that machine learning algorithms significantly improve cancer prognosis and survival prediction by extracting meaningful information from clinical datasets. Several machine learning techniques have been applied to cervical cancer prediction, particularly decision tree-based models such as ID3, C4.5, and CART, due to their simplicity, interpretability, and rule-based structure (Quinlan, 1993). However, traditional decision tree models often experience </w:t>
      </w:r>
      <w:proofErr w:type="spellStart"/>
      <w:r w:rsidRPr="00286BA7">
        <w:rPr>
          <w:rFonts w:ascii="Times New Roman" w:eastAsia="Times New Roman" w:hAnsi="Times New Roman" w:cs="Times New Roman"/>
          <w:sz w:val="24"/>
          <w:szCs w:val="24"/>
        </w:rPr>
        <w:t>overfitting</w:t>
      </w:r>
      <w:proofErr w:type="spellEnd"/>
      <w:r w:rsidRPr="00286BA7">
        <w:rPr>
          <w:rFonts w:ascii="Times New Roman" w:eastAsia="Times New Roman" w:hAnsi="Times New Roman" w:cs="Times New Roman"/>
          <w:sz w:val="24"/>
          <w:szCs w:val="24"/>
        </w:rPr>
        <w:t xml:space="preserve"> and poor generalization when dealing with noisy or imbalanced medical datasets. To overcome these limitations, ensemble learning techniques have been introduced to improve predictive performance by combining multiple classifiers. Random Forest employs bagging and random feature selection to produce robust predictions (</w:t>
      </w:r>
      <w:proofErr w:type="spellStart"/>
      <w:r w:rsidRPr="00286BA7">
        <w:rPr>
          <w:rFonts w:ascii="Times New Roman" w:eastAsia="Times New Roman" w:hAnsi="Times New Roman" w:cs="Times New Roman"/>
          <w:sz w:val="24"/>
          <w:szCs w:val="24"/>
        </w:rPr>
        <w:t>Breiman</w:t>
      </w:r>
      <w:proofErr w:type="spellEnd"/>
      <w:r w:rsidRPr="00286BA7">
        <w:rPr>
          <w:rFonts w:ascii="Times New Roman" w:eastAsia="Times New Roman" w:hAnsi="Times New Roman" w:cs="Times New Roman"/>
          <w:sz w:val="24"/>
          <w:szCs w:val="24"/>
        </w:rPr>
        <w:t xml:space="preserve">, 2001), while Gradient Boosting sequentially corrects previous classification errors to enhance accuracy (Friedman, 2001). Chen and </w:t>
      </w:r>
      <w:proofErr w:type="spellStart"/>
      <w:r w:rsidRPr="00286BA7">
        <w:rPr>
          <w:rFonts w:ascii="Times New Roman" w:eastAsia="Times New Roman" w:hAnsi="Times New Roman" w:cs="Times New Roman"/>
          <w:sz w:val="24"/>
          <w:szCs w:val="24"/>
        </w:rPr>
        <w:t>Guestrin</w:t>
      </w:r>
      <w:proofErr w:type="spellEnd"/>
      <w:r w:rsidRPr="00286BA7">
        <w:rPr>
          <w:rFonts w:ascii="Times New Roman" w:eastAsia="Times New Roman" w:hAnsi="Times New Roman" w:cs="Times New Roman"/>
          <w:sz w:val="24"/>
          <w:szCs w:val="24"/>
        </w:rPr>
        <w:t xml:space="preserve"> (2016) further developed </w:t>
      </w:r>
      <w:proofErr w:type="spellStart"/>
      <w:r w:rsidRPr="00286BA7">
        <w:rPr>
          <w:rFonts w:ascii="Times New Roman" w:eastAsia="Times New Roman" w:hAnsi="Times New Roman" w:cs="Times New Roman"/>
          <w:sz w:val="24"/>
          <w:szCs w:val="24"/>
        </w:rPr>
        <w:t>XGBoost</w:t>
      </w:r>
      <w:proofErr w:type="spellEnd"/>
      <w:r w:rsidRPr="00286BA7">
        <w:rPr>
          <w:rFonts w:ascii="Times New Roman" w:eastAsia="Times New Roman" w:hAnsi="Times New Roman" w:cs="Times New Roman"/>
          <w:sz w:val="24"/>
          <w:szCs w:val="24"/>
        </w:rPr>
        <w:t xml:space="preserve"> as an optimized boosting algorithm that incorporates regularization, parallel processing, and second-order optimization to improve efficiency and prediction accuracy. Similarly, </w:t>
      </w:r>
      <w:proofErr w:type="spellStart"/>
      <w:r w:rsidRPr="00286BA7">
        <w:rPr>
          <w:rFonts w:ascii="Times New Roman" w:eastAsia="Times New Roman" w:hAnsi="Times New Roman" w:cs="Times New Roman"/>
          <w:sz w:val="24"/>
          <w:szCs w:val="24"/>
        </w:rPr>
        <w:t>LightGBM</w:t>
      </w:r>
      <w:proofErr w:type="spellEnd"/>
      <w:r w:rsidRPr="00286BA7">
        <w:rPr>
          <w:rFonts w:ascii="Times New Roman" w:eastAsia="Times New Roman" w:hAnsi="Times New Roman" w:cs="Times New Roman"/>
          <w:sz w:val="24"/>
          <w:szCs w:val="24"/>
        </w:rPr>
        <w:t xml:space="preserve"> enhances computational performance through histogram-based learning and leaf-wise tree growth (</w:t>
      </w:r>
      <w:proofErr w:type="spellStart"/>
      <w:r w:rsidRPr="00286BA7">
        <w:rPr>
          <w:rFonts w:ascii="Times New Roman" w:eastAsia="Times New Roman" w:hAnsi="Times New Roman" w:cs="Times New Roman"/>
          <w:sz w:val="24"/>
          <w:szCs w:val="24"/>
        </w:rPr>
        <w:t>Ke</w:t>
      </w:r>
      <w:proofErr w:type="spellEnd"/>
      <w:r w:rsidRPr="00286BA7">
        <w:rPr>
          <w:rFonts w:ascii="Times New Roman" w:eastAsia="Times New Roman" w:hAnsi="Times New Roman" w:cs="Times New Roman"/>
          <w:sz w:val="24"/>
          <w:szCs w:val="24"/>
        </w:rPr>
        <w:t xml:space="preserve"> et al., 2017). These ensemble methods have achieved state-of-the-art performance in several medical prediction applications.</w:t>
      </w:r>
    </w:p>
    <w:p w:rsidR="00D215A0" w:rsidRPr="00286BA7" w:rsidRDefault="00D215A0" w:rsidP="00D215A0">
      <w:pPr>
        <w:spacing w:after="0" w:line="240" w:lineRule="auto"/>
        <w:ind w:firstLine="720"/>
        <w:jc w:val="both"/>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 xml:space="preserve">Despite these advances, class imbalance remains a major challenge in medical data classification, particularly in cervical cancer datasets where positive cancer cases are often underrepresented. This imbalance causes predictive models to become biased toward the majority class, leading to poor minority class detection and increased false negatives. To address this issue, Chawla et al. (2002) proposed the Synthetic Minority Oversampling Technique (SMOTE), which generates synthetic minority samples by interpolating between neighboring minority instances. SMOTE improves classifier sensitivity and minority class recognition by balancing the class distribution. </w:t>
      </w:r>
      <w:proofErr w:type="spellStart"/>
      <w:r w:rsidRPr="00286BA7">
        <w:rPr>
          <w:rFonts w:ascii="Times New Roman" w:eastAsia="Times New Roman" w:hAnsi="Times New Roman" w:cs="Times New Roman"/>
          <w:sz w:val="24"/>
          <w:szCs w:val="24"/>
        </w:rPr>
        <w:t>Fernández</w:t>
      </w:r>
      <w:proofErr w:type="spellEnd"/>
      <w:r w:rsidRPr="00286BA7">
        <w:rPr>
          <w:rFonts w:ascii="Times New Roman" w:eastAsia="Times New Roman" w:hAnsi="Times New Roman" w:cs="Times New Roman"/>
          <w:sz w:val="24"/>
          <w:szCs w:val="24"/>
        </w:rPr>
        <w:t xml:space="preserve"> et al. (2018) demonstrated that integrating SMOTE with ensemble learning significantly enhances classification performance in healthcare prediction tasks, while </w:t>
      </w:r>
      <w:proofErr w:type="spellStart"/>
      <w:r w:rsidRPr="00286BA7">
        <w:rPr>
          <w:rFonts w:ascii="Times New Roman" w:eastAsia="Times New Roman" w:hAnsi="Times New Roman" w:cs="Times New Roman"/>
          <w:sz w:val="24"/>
          <w:szCs w:val="24"/>
        </w:rPr>
        <w:t>Haixiang</w:t>
      </w:r>
      <w:proofErr w:type="spellEnd"/>
      <w:r w:rsidRPr="00286BA7">
        <w:rPr>
          <w:rFonts w:ascii="Times New Roman" w:eastAsia="Times New Roman" w:hAnsi="Times New Roman" w:cs="Times New Roman"/>
          <w:sz w:val="24"/>
          <w:szCs w:val="24"/>
        </w:rPr>
        <w:t xml:space="preserve"> et al. (2017) reported notable improvements in recall and F1-score for imbalanced medical datasets.</w:t>
      </w:r>
    </w:p>
    <w:p w:rsidR="00D215A0" w:rsidRPr="00286BA7" w:rsidRDefault="00D215A0" w:rsidP="00D215A0">
      <w:pPr>
        <w:spacing w:after="0" w:line="240" w:lineRule="auto"/>
        <w:ind w:firstLine="720"/>
        <w:jc w:val="both"/>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lastRenderedPageBreak/>
        <w:t xml:space="preserve">In addition to class imbalance, medical datasets are often characterized by uncertainty, vagueness, and imprecise information, which conventional machine learning methods may not adequately handle. To address this challenge, </w:t>
      </w:r>
      <w:proofErr w:type="spellStart"/>
      <w:r w:rsidRPr="00286BA7">
        <w:rPr>
          <w:rFonts w:ascii="Times New Roman" w:eastAsia="Times New Roman" w:hAnsi="Times New Roman" w:cs="Times New Roman"/>
          <w:sz w:val="24"/>
          <w:szCs w:val="24"/>
        </w:rPr>
        <w:t>Zadeh</w:t>
      </w:r>
      <w:proofErr w:type="spellEnd"/>
      <w:r w:rsidRPr="00286BA7">
        <w:rPr>
          <w:rFonts w:ascii="Times New Roman" w:eastAsia="Times New Roman" w:hAnsi="Times New Roman" w:cs="Times New Roman"/>
          <w:sz w:val="24"/>
          <w:szCs w:val="24"/>
        </w:rPr>
        <w:t xml:space="preserve"> (1965) introduced fuzzy logic as a mathematical framework for modeling uncertainty through partial membership representation. Unlike binary logic systems, fuzzy logic allows variables to belong to multiple classes simultaneously using membership functions. </w:t>
      </w:r>
      <w:proofErr w:type="spellStart"/>
      <w:r w:rsidRPr="00286BA7">
        <w:rPr>
          <w:rFonts w:ascii="Times New Roman" w:eastAsia="Times New Roman" w:hAnsi="Times New Roman" w:cs="Times New Roman"/>
          <w:sz w:val="24"/>
          <w:szCs w:val="24"/>
        </w:rPr>
        <w:t>Janikow</w:t>
      </w:r>
      <w:proofErr w:type="spellEnd"/>
      <w:r w:rsidRPr="00286BA7">
        <w:rPr>
          <w:rFonts w:ascii="Times New Roman" w:eastAsia="Times New Roman" w:hAnsi="Times New Roman" w:cs="Times New Roman"/>
          <w:sz w:val="24"/>
          <w:szCs w:val="24"/>
        </w:rPr>
        <w:t xml:space="preserve"> (1998) integrated fuzzy logic with decision tree learning to develop Fuzzy Decision Trees (FDTs), which improve classification under uncertain conditions while maintaining interpretability. In healthcare applications, fuzzy decision trees effectively transform numerical variables into linguistic categories such as low, medium, and high using triangular or trapezoidal membership functions, thereby enabling more flexible decision boundaries and improved predictive robustness. Recent studies have further demonstrated the effectiveness of combining intelligent learning techniques for cancer prediction and prognosis. </w:t>
      </w:r>
      <w:proofErr w:type="spellStart"/>
      <w:r w:rsidRPr="00286BA7">
        <w:rPr>
          <w:rFonts w:ascii="Times New Roman" w:eastAsia="Times New Roman" w:hAnsi="Times New Roman" w:cs="Times New Roman"/>
          <w:sz w:val="24"/>
          <w:szCs w:val="24"/>
        </w:rPr>
        <w:t>Abbasi</w:t>
      </w:r>
      <w:proofErr w:type="spellEnd"/>
      <w:r w:rsidRPr="00286BA7">
        <w:rPr>
          <w:rFonts w:ascii="Times New Roman" w:eastAsia="Times New Roman" w:hAnsi="Times New Roman" w:cs="Times New Roman"/>
          <w:sz w:val="24"/>
          <w:szCs w:val="24"/>
        </w:rPr>
        <w:t xml:space="preserve"> et al. (2024) applied ensemble models including Random Forest, Decision Trees, and Gradient Boosting for skin cancer survival analysis and achieved an impressive accuracy of 99%, highlighting the strength of ensemble learning in medical prognosis. </w:t>
      </w:r>
      <w:proofErr w:type="spellStart"/>
      <w:r w:rsidRPr="00286BA7">
        <w:rPr>
          <w:rFonts w:ascii="Times New Roman" w:eastAsia="Times New Roman" w:hAnsi="Times New Roman" w:cs="Times New Roman"/>
          <w:sz w:val="24"/>
          <w:szCs w:val="24"/>
        </w:rPr>
        <w:t>Apasiya</w:t>
      </w:r>
      <w:proofErr w:type="spellEnd"/>
      <w:r w:rsidRPr="00286BA7">
        <w:rPr>
          <w:rFonts w:ascii="Times New Roman" w:eastAsia="Times New Roman" w:hAnsi="Times New Roman" w:cs="Times New Roman"/>
          <w:sz w:val="24"/>
          <w:szCs w:val="24"/>
        </w:rPr>
        <w:t xml:space="preserve"> and </w:t>
      </w:r>
      <w:proofErr w:type="spellStart"/>
      <w:r w:rsidRPr="00286BA7">
        <w:rPr>
          <w:rFonts w:ascii="Times New Roman" w:eastAsia="Times New Roman" w:hAnsi="Times New Roman" w:cs="Times New Roman"/>
          <w:sz w:val="24"/>
          <w:szCs w:val="24"/>
        </w:rPr>
        <w:t>Agbedemnab</w:t>
      </w:r>
      <w:proofErr w:type="spellEnd"/>
      <w:r w:rsidRPr="00286BA7">
        <w:rPr>
          <w:rFonts w:ascii="Times New Roman" w:eastAsia="Times New Roman" w:hAnsi="Times New Roman" w:cs="Times New Roman"/>
          <w:sz w:val="24"/>
          <w:szCs w:val="24"/>
        </w:rPr>
        <w:t xml:space="preserve"> (2024) proposed a Type-2 fuzzy logic-based Enhanced Mobile-Based Fuzzy Expert System (EMFES) for breast cancer progression prediction, emphasizing adaptive rule generation and dynamic decision-making. Similarly, Zhu, Wang, and Zhang (2024) developed an improved fuzzy decision tree model integrating fuzzy rough sets and Z-numbers to enhance classification performance under uncertain conditions, while </w:t>
      </w:r>
      <w:proofErr w:type="spellStart"/>
      <w:r w:rsidRPr="00286BA7">
        <w:rPr>
          <w:rFonts w:ascii="Times New Roman" w:eastAsia="Times New Roman" w:hAnsi="Times New Roman" w:cs="Times New Roman"/>
          <w:sz w:val="24"/>
          <w:szCs w:val="24"/>
        </w:rPr>
        <w:t>Ghantasala</w:t>
      </w:r>
      <w:proofErr w:type="spellEnd"/>
      <w:r w:rsidRPr="00286BA7">
        <w:rPr>
          <w:rFonts w:ascii="Times New Roman" w:eastAsia="Times New Roman" w:hAnsi="Times New Roman" w:cs="Times New Roman"/>
          <w:sz w:val="24"/>
          <w:szCs w:val="24"/>
        </w:rPr>
        <w:t xml:space="preserve"> et al. (2024) introduced a Temporal Graph Neural Network model for ovarian cancer survival prediction to address limitations in temporal medical data analysis.</w:t>
      </w:r>
    </w:p>
    <w:p w:rsidR="002C226E" w:rsidRPr="00286BA7" w:rsidRDefault="00D215A0" w:rsidP="00D215A0">
      <w:pPr>
        <w:spacing w:after="0" w:line="240" w:lineRule="auto"/>
        <w:ind w:firstLine="720"/>
        <w:jc w:val="both"/>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 xml:space="preserve">Although previous studies have demonstrated the effectiveness of machine learning, fuzzy logic, SMOTE, and ensemble learning in medical prediction tasks, several limitations still exist. Many existing studies fail to simultaneously address uncertainty and class imbalance within a unified predictive framework. Furthermore, limited research has integrated fuzzy decision trees with SMOTE-enhanced ensemble learning and optimized </w:t>
      </w:r>
      <w:proofErr w:type="spellStart"/>
      <w:r w:rsidRPr="00286BA7">
        <w:rPr>
          <w:rFonts w:ascii="Times New Roman" w:eastAsia="Times New Roman" w:hAnsi="Times New Roman" w:cs="Times New Roman"/>
          <w:sz w:val="24"/>
          <w:szCs w:val="24"/>
        </w:rPr>
        <w:t>hyperparameter</w:t>
      </w:r>
      <w:proofErr w:type="spellEnd"/>
      <w:r w:rsidRPr="00286BA7">
        <w:rPr>
          <w:rFonts w:ascii="Times New Roman" w:eastAsia="Times New Roman" w:hAnsi="Times New Roman" w:cs="Times New Roman"/>
          <w:sz w:val="24"/>
          <w:szCs w:val="24"/>
        </w:rPr>
        <w:t xml:space="preserve"> tuning for cervical cancer prediction. Therefore, this study proposes a comprehensive framework that combines fuzzy logic, SMOTE balancing, ensemble learning, and </w:t>
      </w:r>
      <w:proofErr w:type="spellStart"/>
      <w:r w:rsidRPr="00286BA7">
        <w:rPr>
          <w:rFonts w:ascii="Times New Roman" w:eastAsia="Times New Roman" w:hAnsi="Times New Roman" w:cs="Times New Roman"/>
          <w:sz w:val="24"/>
          <w:szCs w:val="24"/>
        </w:rPr>
        <w:t>hyperparameter</w:t>
      </w:r>
      <w:proofErr w:type="spellEnd"/>
      <w:r w:rsidRPr="00286BA7">
        <w:rPr>
          <w:rFonts w:ascii="Times New Roman" w:eastAsia="Times New Roman" w:hAnsi="Times New Roman" w:cs="Times New Roman"/>
          <w:sz w:val="24"/>
          <w:szCs w:val="24"/>
        </w:rPr>
        <w:t xml:space="preserve"> optimization to improve cervical cancer prediction performance, robustness, and clinical decision support.</w:t>
      </w:r>
    </w:p>
    <w:p w:rsidR="00D215A0" w:rsidRPr="00286BA7" w:rsidRDefault="00D215A0" w:rsidP="00D215A0">
      <w:pPr>
        <w:spacing w:after="0" w:line="240" w:lineRule="auto"/>
        <w:ind w:firstLine="720"/>
        <w:jc w:val="both"/>
        <w:rPr>
          <w:rFonts w:ascii="Times New Roman" w:eastAsia="Times New Roman" w:hAnsi="Times New Roman" w:cs="Times New Roman"/>
          <w:sz w:val="24"/>
          <w:szCs w:val="24"/>
        </w:rPr>
      </w:pPr>
    </w:p>
    <w:p w:rsidR="00C23D38" w:rsidRPr="00286BA7" w:rsidRDefault="009B3865" w:rsidP="002C226E">
      <w:pPr>
        <w:spacing w:after="0" w:line="240" w:lineRule="auto"/>
        <w:jc w:val="both"/>
        <w:outlineLvl w:val="0"/>
        <w:rPr>
          <w:rFonts w:ascii="Times New Roman" w:eastAsia="Times New Roman" w:hAnsi="Times New Roman" w:cs="Times New Roman"/>
          <w:b/>
          <w:bCs/>
          <w:kern w:val="36"/>
          <w:sz w:val="24"/>
          <w:szCs w:val="24"/>
        </w:rPr>
      </w:pPr>
      <w:r w:rsidRPr="00AA626B">
        <w:rPr>
          <w:rFonts w:ascii="Times New Roman" w:eastAsia="Times New Roman" w:hAnsi="Times New Roman" w:cs="Times New Roman"/>
          <w:b/>
          <w:bCs/>
          <w:kern w:val="36"/>
          <w:sz w:val="28"/>
          <w:szCs w:val="28"/>
        </w:rPr>
        <w:t>METHODOLOGY</w:t>
      </w:r>
    </w:p>
    <w:p w:rsidR="00A50A6F" w:rsidRPr="00AA626B" w:rsidRDefault="002C226E" w:rsidP="00AA626B">
      <w:pPr>
        <w:spacing w:after="0" w:line="240" w:lineRule="auto"/>
        <w:jc w:val="both"/>
        <w:outlineLvl w:val="1"/>
        <w:rPr>
          <w:rFonts w:ascii="Times New Roman" w:eastAsia="Times New Roman" w:hAnsi="Times New Roman" w:cs="Times New Roman"/>
          <w:b/>
          <w:bCs/>
          <w:sz w:val="24"/>
          <w:szCs w:val="24"/>
        </w:rPr>
      </w:pPr>
      <w:r w:rsidRPr="00AA626B">
        <w:rPr>
          <w:rFonts w:ascii="Times New Roman" w:eastAsia="Times New Roman" w:hAnsi="Times New Roman" w:cs="Times New Roman"/>
          <w:b/>
          <w:bCs/>
          <w:sz w:val="24"/>
          <w:szCs w:val="24"/>
        </w:rPr>
        <w:t>Dataset Description</w:t>
      </w:r>
    </w:p>
    <w:p w:rsidR="002C226E" w:rsidRPr="00286BA7" w:rsidRDefault="002C226E" w:rsidP="00A50A6F">
      <w:pPr>
        <w:spacing w:after="0" w:line="240" w:lineRule="auto"/>
        <w:ind w:firstLine="720"/>
        <w:jc w:val="both"/>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The study utilized the Cervical Cancer (Risk Factors) dataset obtained from the UCI Machine Learning Repository. The dataset contains 858 patient records and 36 clinical and demographic attributes associated with cervical cancer risk factors.</w:t>
      </w:r>
      <w:r w:rsidR="00A50A6F" w:rsidRPr="00286BA7">
        <w:rPr>
          <w:rFonts w:ascii="Times New Roman" w:eastAsia="Times New Roman" w:hAnsi="Times New Roman" w:cs="Times New Roman"/>
          <w:sz w:val="24"/>
          <w:szCs w:val="24"/>
        </w:rPr>
        <w:t xml:space="preserve"> </w:t>
      </w:r>
      <w:r w:rsidRPr="00286BA7">
        <w:rPr>
          <w:rFonts w:ascii="Times New Roman" w:eastAsia="Times New Roman" w:hAnsi="Times New Roman" w:cs="Times New Roman"/>
          <w:sz w:val="24"/>
          <w:szCs w:val="24"/>
        </w:rPr>
        <w:t>The features include age, smoking behavior, number of sexual partners, hormonal contraceptive usage, sexually transmitted diseases (STDs), and biopsy outcomes. The target variable was the Biopsy feature, indicating the presence or absence of cervical cancer.</w:t>
      </w:r>
    </w:p>
    <w:p w:rsidR="00A50A6F" w:rsidRPr="00286BA7" w:rsidRDefault="00A50A6F" w:rsidP="002C226E">
      <w:pPr>
        <w:spacing w:after="0" w:line="240" w:lineRule="auto"/>
        <w:jc w:val="both"/>
        <w:rPr>
          <w:rFonts w:ascii="Times New Roman" w:eastAsia="Times New Roman" w:hAnsi="Times New Roman" w:cs="Times New Roman"/>
          <w:sz w:val="24"/>
          <w:szCs w:val="24"/>
        </w:rPr>
      </w:pPr>
    </w:p>
    <w:p w:rsidR="00A50A6F" w:rsidRPr="00AA626B" w:rsidRDefault="002C226E" w:rsidP="00AA626B">
      <w:pPr>
        <w:spacing w:after="0" w:line="240" w:lineRule="auto"/>
        <w:jc w:val="both"/>
        <w:outlineLvl w:val="1"/>
        <w:rPr>
          <w:rFonts w:ascii="Times New Roman" w:eastAsia="Times New Roman" w:hAnsi="Times New Roman" w:cs="Times New Roman"/>
          <w:b/>
          <w:bCs/>
          <w:sz w:val="24"/>
          <w:szCs w:val="24"/>
        </w:rPr>
      </w:pPr>
      <w:r w:rsidRPr="00AA626B">
        <w:rPr>
          <w:rFonts w:ascii="Times New Roman" w:eastAsia="Times New Roman" w:hAnsi="Times New Roman" w:cs="Times New Roman"/>
          <w:b/>
          <w:bCs/>
          <w:sz w:val="24"/>
          <w:szCs w:val="24"/>
        </w:rPr>
        <w:t>Data Preprocessing</w:t>
      </w:r>
    </w:p>
    <w:p w:rsidR="002C226E" w:rsidRPr="00286BA7" w:rsidRDefault="002C226E" w:rsidP="00A50A6F">
      <w:pPr>
        <w:spacing w:after="0" w:line="240" w:lineRule="auto"/>
        <w:ind w:firstLine="720"/>
        <w:jc w:val="both"/>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 xml:space="preserve">Data preprocessing involved handling missing values, normalization, and numerical conversion. Missing values represented by “?” symbols were replaced with </w:t>
      </w:r>
      <w:proofErr w:type="spellStart"/>
      <w:r w:rsidRPr="00286BA7">
        <w:rPr>
          <w:rFonts w:ascii="Times New Roman" w:eastAsia="Times New Roman" w:hAnsi="Times New Roman" w:cs="Times New Roman"/>
          <w:sz w:val="24"/>
          <w:szCs w:val="24"/>
        </w:rPr>
        <w:t>NaN</w:t>
      </w:r>
      <w:proofErr w:type="spellEnd"/>
      <w:r w:rsidRPr="00286BA7">
        <w:rPr>
          <w:rFonts w:ascii="Times New Roman" w:eastAsia="Times New Roman" w:hAnsi="Times New Roman" w:cs="Times New Roman"/>
          <w:sz w:val="24"/>
          <w:szCs w:val="24"/>
        </w:rPr>
        <w:t xml:space="preserve"> values and subsequently imputed using column mean substitution.</w:t>
      </w:r>
      <w:r w:rsidR="00A50A6F" w:rsidRPr="00286BA7">
        <w:rPr>
          <w:rFonts w:ascii="Times New Roman" w:eastAsia="Times New Roman" w:hAnsi="Times New Roman" w:cs="Times New Roman"/>
          <w:sz w:val="24"/>
          <w:szCs w:val="24"/>
        </w:rPr>
        <w:t xml:space="preserve"> </w:t>
      </w:r>
      <w:r w:rsidRPr="00286BA7">
        <w:rPr>
          <w:rFonts w:ascii="Times New Roman" w:eastAsia="Times New Roman" w:hAnsi="Times New Roman" w:cs="Times New Roman"/>
          <w:sz w:val="24"/>
          <w:szCs w:val="24"/>
        </w:rPr>
        <w:t>The dataset was divided into input features (X) and target labels (y). To improve model learning, the dataset was normalized and transformed into fuzzy membership values using triangular membership functions.</w:t>
      </w:r>
      <w:r w:rsidR="00A50A6F" w:rsidRPr="00286BA7">
        <w:rPr>
          <w:rFonts w:ascii="Times New Roman" w:eastAsia="Times New Roman" w:hAnsi="Times New Roman" w:cs="Times New Roman"/>
          <w:sz w:val="24"/>
          <w:szCs w:val="24"/>
        </w:rPr>
        <w:t xml:space="preserve"> </w:t>
      </w:r>
      <w:r w:rsidRPr="00286BA7">
        <w:rPr>
          <w:rFonts w:ascii="Times New Roman" w:eastAsia="Times New Roman" w:hAnsi="Times New Roman" w:cs="Times New Roman"/>
          <w:sz w:val="24"/>
          <w:szCs w:val="24"/>
        </w:rPr>
        <w:t>To address class imbalance, the Synthetic Minority Oversampling Technique (SMOTE) was applied to the training dataset. SMOTE generated synthetic minority class samples by interpolating between nearest-neighbor minority instances.</w:t>
      </w:r>
      <w:r w:rsidR="00A50A6F" w:rsidRPr="00286BA7">
        <w:rPr>
          <w:rFonts w:ascii="Times New Roman" w:eastAsia="Times New Roman" w:hAnsi="Times New Roman" w:cs="Times New Roman"/>
          <w:sz w:val="24"/>
          <w:szCs w:val="24"/>
        </w:rPr>
        <w:t xml:space="preserve"> </w:t>
      </w:r>
      <w:r w:rsidRPr="00286BA7">
        <w:rPr>
          <w:rFonts w:ascii="Times New Roman" w:eastAsia="Times New Roman" w:hAnsi="Times New Roman" w:cs="Times New Roman"/>
          <w:sz w:val="24"/>
          <w:szCs w:val="24"/>
        </w:rPr>
        <w:t>The dataset was subsequently divided into 80% training data and 20% testing data.</w:t>
      </w:r>
    </w:p>
    <w:p w:rsidR="00A50A6F" w:rsidRPr="00286BA7" w:rsidRDefault="00A50A6F" w:rsidP="002C226E">
      <w:pPr>
        <w:spacing w:after="0" w:line="240" w:lineRule="auto"/>
        <w:jc w:val="both"/>
        <w:rPr>
          <w:rFonts w:ascii="Times New Roman" w:eastAsia="Times New Roman" w:hAnsi="Times New Roman" w:cs="Times New Roman"/>
          <w:sz w:val="24"/>
          <w:szCs w:val="24"/>
        </w:rPr>
      </w:pPr>
    </w:p>
    <w:p w:rsidR="00B84812" w:rsidRPr="00AA626B" w:rsidRDefault="002C226E" w:rsidP="00AA626B">
      <w:pPr>
        <w:spacing w:after="0" w:line="240" w:lineRule="auto"/>
        <w:jc w:val="both"/>
        <w:outlineLvl w:val="1"/>
        <w:rPr>
          <w:rFonts w:ascii="Times New Roman" w:eastAsia="Times New Roman" w:hAnsi="Times New Roman" w:cs="Times New Roman"/>
          <w:b/>
          <w:bCs/>
          <w:sz w:val="24"/>
          <w:szCs w:val="24"/>
        </w:rPr>
      </w:pPr>
      <w:r w:rsidRPr="00AA626B">
        <w:rPr>
          <w:rFonts w:ascii="Times New Roman" w:eastAsia="Times New Roman" w:hAnsi="Times New Roman" w:cs="Times New Roman"/>
          <w:b/>
          <w:bCs/>
          <w:sz w:val="24"/>
          <w:szCs w:val="24"/>
        </w:rPr>
        <w:t>Fuzzy Logic Implementation</w:t>
      </w:r>
    </w:p>
    <w:p w:rsidR="002C226E" w:rsidRPr="00286BA7" w:rsidRDefault="002C226E" w:rsidP="002C226E">
      <w:pPr>
        <w:spacing w:after="0" w:line="240" w:lineRule="auto"/>
        <w:jc w:val="both"/>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 xml:space="preserve">Selected numerical variables including Age, Smoking Years, Number of Pregnancies, and STDs were transformed into fuzzy linguistic variables such as Low, Medium, and </w:t>
      </w:r>
      <w:proofErr w:type="gramStart"/>
      <w:r w:rsidRPr="00286BA7">
        <w:rPr>
          <w:rFonts w:ascii="Times New Roman" w:eastAsia="Times New Roman" w:hAnsi="Times New Roman" w:cs="Times New Roman"/>
          <w:sz w:val="24"/>
          <w:szCs w:val="24"/>
        </w:rPr>
        <w:t>High</w:t>
      </w:r>
      <w:proofErr w:type="gramEnd"/>
      <w:r w:rsidRPr="00286BA7">
        <w:rPr>
          <w:rFonts w:ascii="Times New Roman" w:eastAsia="Times New Roman" w:hAnsi="Times New Roman" w:cs="Times New Roman"/>
          <w:sz w:val="24"/>
          <w:szCs w:val="24"/>
        </w:rPr>
        <w:t xml:space="preserve"> using triangular membership functions.</w:t>
      </w:r>
      <w:r w:rsidR="00B84812" w:rsidRPr="00286BA7">
        <w:rPr>
          <w:rFonts w:ascii="Times New Roman" w:eastAsia="Times New Roman" w:hAnsi="Times New Roman" w:cs="Times New Roman"/>
          <w:sz w:val="24"/>
          <w:szCs w:val="24"/>
        </w:rPr>
        <w:t xml:space="preserve"> </w:t>
      </w:r>
      <w:r w:rsidRPr="00286BA7">
        <w:rPr>
          <w:rFonts w:ascii="Times New Roman" w:eastAsia="Times New Roman" w:hAnsi="Times New Roman" w:cs="Times New Roman"/>
          <w:sz w:val="24"/>
          <w:szCs w:val="24"/>
        </w:rPr>
        <w:t>The general fuzzy membership function was defined as:</w:t>
      </w:r>
    </w:p>
    <w:p w:rsidR="002E3960" w:rsidRPr="00286BA7" w:rsidRDefault="002E3960" w:rsidP="002C226E">
      <w:pPr>
        <w:spacing w:after="0" w:line="240" w:lineRule="auto"/>
        <w:jc w:val="both"/>
        <w:rPr>
          <w:rFonts w:ascii="Times New Roman" w:eastAsia="Times New Roman" w:hAnsi="Times New Roman" w:cs="Times New Roman"/>
          <w:sz w:val="24"/>
          <w:szCs w:val="24"/>
        </w:rPr>
      </w:pPr>
    </w:p>
    <w:p w:rsidR="002E3960" w:rsidRPr="00286BA7" w:rsidRDefault="0055644A" w:rsidP="002E3960">
      <w:pPr>
        <w:pStyle w:val="NormalWeb"/>
        <w:spacing w:before="0" w:beforeAutospacing="0" w:after="0" w:afterAutospacing="0" w:line="480" w:lineRule="auto"/>
        <w:ind w:left="720"/>
        <w:jc w:val="both"/>
      </w:pPr>
      <m:oMathPara>
        <m:oMath>
          <m:sSub>
            <m:sSubPr>
              <m:ctrlPr>
                <w:rPr>
                  <w:rFonts w:ascii="Cambria Math" w:hAnsi="Cambria Math"/>
                  <w:i/>
                </w:rPr>
              </m:ctrlPr>
            </m:sSubPr>
            <m:e>
              <m:r>
                <w:rPr>
                  <w:rFonts w:ascii="Cambria Math" w:hAnsi="Cambria Math"/>
                </w:rPr>
                <m:t>μ</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 xml:space="preserve"> =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0,     x≤a ot x ≥c</m:t>
                  </m:r>
                </m:e>
                <m:e>
                  <m:f>
                    <m:fPr>
                      <m:ctrlPr>
                        <w:rPr>
                          <w:rFonts w:ascii="Cambria Math" w:hAnsi="Cambria Math"/>
                          <w:i/>
                        </w:rPr>
                      </m:ctrlPr>
                    </m:fPr>
                    <m:num>
                      <m:r>
                        <w:rPr>
                          <w:rFonts w:ascii="Cambria Math" w:hAnsi="Cambria Math"/>
                        </w:rPr>
                        <m:t xml:space="preserve">x-a </m:t>
                      </m:r>
                    </m:num>
                    <m:den>
                      <m:r>
                        <w:rPr>
                          <w:rFonts w:ascii="Cambria Math" w:hAnsi="Cambria Math"/>
                        </w:rPr>
                        <m:t>b-a</m:t>
                      </m:r>
                    </m:den>
                  </m:f>
                  <m:r>
                    <w:rPr>
                      <w:rFonts w:ascii="Cambria Math" w:hAnsi="Cambria Math"/>
                    </w:rPr>
                    <m:t>,    a≤x≤b</m:t>
                  </m:r>
                </m:e>
                <m:e>
                  <m:f>
                    <m:fPr>
                      <m:ctrlPr>
                        <w:rPr>
                          <w:rFonts w:ascii="Cambria Math" w:hAnsi="Cambria Math"/>
                          <w:i/>
                        </w:rPr>
                      </m:ctrlPr>
                    </m:fPr>
                    <m:num>
                      <m:r>
                        <w:rPr>
                          <w:rFonts w:ascii="Cambria Math" w:hAnsi="Cambria Math"/>
                        </w:rPr>
                        <m:t>c-x</m:t>
                      </m:r>
                    </m:num>
                    <m:den>
                      <m:r>
                        <w:rPr>
                          <w:rFonts w:ascii="Cambria Math" w:hAnsi="Cambria Math"/>
                        </w:rPr>
                        <m:t>c-b</m:t>
                      </m:r>
                    </m:den>
                  </m:f>
                  <m:r>
                    <w:rPr>
                      <w:rFonts w:ascii="Cambria Math" w:hAnsi="Cambria Math"/>
                    </w:rPr>
                    <m:t>,    b≤x≤c</m:t>
                  </m:r>
                </m:e>
              </m:eqArr>
            </m:e>
          </m:d>
          <m:r>
            <w:rPr>
              <w:rFonts w:ascii="Cambria Math" w:hAnsi="Cambria Math"/>
            </w:rPr>
            <m:t xml:space="preserve">                                 1</m:t>
          </m:r>
        </m:oMath>
      </m:oMathPara>
    </w:p>
    <w:p w:rsidR="00B86581" w:rsidRPr="00286BA7" w:rsidRDefault="00647CBF" w:rsidP="00B86581">
      <w:pPr>
        <w:spacing w:after="0" w:line="240" w:lineRule="auto"/>
        <w:jc w:val="both"/>
        <w:rPr>
          <w:rFonts w:ascii="Times New Roman" w:hAnsi="Times New Roman" w:cs="Times New Roman"/>
          <w:sz w:val="24"/>
          <w:szCs w:val="24"/>
        </w:rPr>
      </w:pPr>
      <w:proofErr w:type="gramStart"/>
      <w:r w:rsidRPr="00286BA7">
        <w:rPr>
          <w:rFonts w:ascii="Times New Roman" w:hAnsi="Times New Roman" w:cs="Times New Roman"/>
          <w:sz w:val="24"/>
          <w:szCs w:val="24"/>
        </w:rPr>
        <w:lastRenderedPageBreak/>
        <w:t>where</w:t>
      </w:r>
      <w:proofErr w:type="gramEnd"/>
      <w:r w:rsidRPr="00286BA7">
        <w:rPr>
          <w:rFonts w:ascii="Times New Roman" w:hAnsi="Times New Roman" w:cs="Times New Roman"/>
          <w:sz w:val="24"/>
          <w:szCs w:val="24"/>
        </w:rPr>
        <w:t xml:space="preserve"> </w:t>
      </w:r>
      <w:r w:rsidRPr="00286BA7">
        <w:rPr>
          <w:rStyle w:val="katex-mathml"/>
          <w:rFonts w:ascii="Times New Roman" w:hAnsi="Times New Roman" w:cs="Times New Roman"/>
          <w:sz w:val="24"/>
          <w:szCs w:val="24"/>
        </w:rPr>
        <w:t>(a, b, c)</w:t>
      </w:r>
      <w:r w:rsidRPr="00286BA7">
        <w:rPr>
          <w:rFonts w:ascii="Times New Roman" w:hAnsi="Times New Roman" w:cs="Times New Roman"/>
          <w:sz w:val="24"/>
          <w:szCs w:val="24"/>
        </w:rPr>
        <w:t xml:space="preserve"> represent the parameters defining the fuzzy membership function. Each feature </w:t>
      </w:r>
      <w:r w:rsidRPr="00286BA7">
        <w:rPr>
          <w:rStyle w:val="katex-mathml"/>
          <w:rFonts w:ascii="Times New Roman" w:hAnsi="Times New Roman" w:cs="Times New Roman"/>
          <w:sz w:val="24"/>
          <w:szCs w:val="24"/>
        </w:rPr>
        <w:t>X</w:t>
      </w:r>
      <w:r w:rsidRPr="00286BA7">
        <w:rPr>
          <w:rStyle w:val="katex-mathml"/>
          <w:rFonts w:ascii="Times New Roman" w:hAnsi="Times New Roman" w:cs="Times New Roman"/>
          <w:sz w:val="24"/>
          <w:szCs w:val="24"/>
          <w:vertAlign w:val="subscript"/>
        </w:rPr>
        <w:t>i</w:t>
      </w:r>
      <w:r w:rsidRPr="00286BA7">
        <w:rPr>
          <w:rFonts w:ascii="Times New Roman" w:hAnsi="Times New Roman" w:cs="Times New Roman"/>
          <w:sz w:val="24"/>
          <w:szCs w:val="24"/>
        </w:rPr>
        <w:t xml:space="preserve"> is partitioned into three fuzzy linguistic categories: Low </w:t>
      </w:r>
      <w:r w:rsidRPr="00286BA7">
        <w:rPr>
          <w:rStyle w:val="katex-mathml"/>
          <w:rFonts w:ascii="Times New Roman" w:hAnsi="Times New Roman" w:cs="Times New Roman"/>
          <w:sz w:val="24"/>
          <w:szCs w:val="24"/>
        </w:rPr>
        <w:t>(a, b, c)</w:t>
      </w:r>
      <w:r w:rsidRPr="00286BA7">
        <w:rPr>
          <w:rFonts w:ascii="Times New Roman" w:hAnsi="Times New Roman" w:cs="Times New Roman"/>
          <w:sz w:val="24"/>
          <w:szCs w:val="24"/>
        </w:rPr>
        <w:t xml:space="preserve">, Medium </w:t>
      </w:r>
      <w:r w:rsidRPr="00286BA7">
        <w:rPr>
          <w:rStyle w:val="katex-mathml"/>
          <w:rFonts w:ascii="Times New Roman" w:hAnsi="Times New Roman" w:cs="Times New Roman"/>
          <w:sz w:val="24"/>
          <w:szCs w:val="24"/>
        </w:rPr>
        <w:t>(d, e, f)</w:t>
      </w:r>
      <w:r w:rsidRPr="00286BA7">
        <w:rPr>
          <w:rFonts w:ascii="Times New Roman" w:hAnsi="Times New Roman" w:cs="Times New Roman"/>
          <w:sz w:val="24"/>
          <w:szCs w:val="24"/>
        </w:rPr>
        <w:t xml:space="preserve">, and High </w:t>
      </w:r>
      <w:r w:rsidRPr="00286BA7">
        <w:rPr>
          <w:rStyle w:val="katex-mathml"/>
          <w:rFonts w:ascii="Times New Roman" w:hAnsi="Times New Roman" w:cs="Times New Roman"/>
          <w:sz w:val="24"/>
          <w:szCs w:val="24"/>
        </w:rPr>
        <w:t>(</w:t>
      </w:r>
      <w:proofErr w:type="spellStart"/>
      <w:r w:rsidRPr="00286BA7">
        <w:rPr>
          <w:rStyle w:val="katex-mathml"/>
          <w:rFonts w:ascii="Times New Roman" w:hAnsi="Times New Roman" w:cs="Times New Roman"/>
          <w:sz w:val="24"/>
          <w:szCs w:val="24"/>
        </w:rPr>
        <w:t>g</w:t>
      </w:r>
      <w:proofErr w:type="gramStart"/>
      <w:r w:rsidRPr="00286BA7">
        <w:rPr>
          <w:rStyle w:val="katex-mathml"/>
          <w:rFonts w:ascii="Times New Roman" w:hAnsi="Times New Roman" w:cs="Times New Roman"/>
          <w:sz w:val="24"/>
          <w:szCs w:val="24"/>
        </w:rPr>
        <w:t>,h,i</w:t>
      </w:r>
      <w:proofErr w:type="spellEnd"/>
      <w:proofErr w:type="gramEnd"/>
      <w:r w:rsidRPr="00286BA7">
        <w:rPr>
          <w:rStyle w:val="katex-mathml"/>
          <w:rFonts w:ascii="Times New Roman" w:hAnsi="Times New Roman" w:cs="Times New Roman"/>
          <w:sz w:val="24"/>
          <w:szCs w:val="24"/>
        </w:rPr>
        <w:t>)</w:t>
      </w:r>
      <w:r w:rsidRPr="00286BA7">
        <w:rPr>
          <w:rFonts w:ascii="Times New Roman" w:hAnsi="Times New Roman" w:cs="Times New Roman"/>
          <w:sz w:val="24"/>
          <w:szCs w:val="24"/>
        </w:rPr>
        <w:t>.</w:t>
      </w:r>
      <w:r w:rsidR="00934428" w:rsidRPr="00286BA7">
        <w:rPr>
          <w:rFonts w:ascii="Times New Roman" w:hAnsi="Times New Roman" w:cs="Times New Roman"/>
          <w:sz w:val="24"/>
          <w:szCs w:val="24"/>
        </w:rPr>
        <w:t xml:space="preserve"> </w:t>
      </w:r>
      <w:proofErr w:type="gramStart"/>
      <w:r w:rsidR="00B86581" w:rsidRPr="00286BA7">
        <w:rPr>
          <w:rFonts w:ascii="Times New Roman" w:hAnsi="Times New Roman" w:cs="Times New Roman"/>
          <w:sz w:val="24"/>
          <w:szCs w:val="24"/>
        </w:rPr>
        <w:t>for</w:t>
      </w:r>
      <w:proofErr w:type="gramEnd"/>
      <w:r w:rsidR="00B86581" w:rsidRPr="00286BA7">
        <w:rPr>
          <w:rFonts w:ascii="Times New Roman" w:hAnsi="Times New Roman" w:cs="Times New Roman"/>
          <w:sz w:val="24"/>
          <w:szCs w:val="24"/>
        </w:rPr>
        <w:t xml:space="preserve"> the purpose of this study, </w:t>
      </w:r>
      <w:r w:rsidR="00B86581" w:rsidRPr="00286BA7">
        <w:rPr>
          <w:rFonts w:ascii="Times New Roman" w:eastAsia="Times New Roman" w:hAnsi="Times New Roman" w:cs="Times New Roman"/>
          <w:sz w:val="24"/>
          <w:szCs w:val="24"/>
        </w:rPr>
        <w:t>Smoking Years, and Number of Pregnancies, and STDs numerical variables were transformed into fuzzy linguistic variables, as follows.</w:t>
      </w:r>
    </w:p>
    <w:p w:rsidR="00B86581" w:rsidRPr="00286BA7" w:rsidRDefault="00B86581" w:rsidP="00B86581">
      <w:pPr>
        <w:spacing w:after="0" w:line="240" w:lineRule="auto"/>
        <w:jc w:val="both"/>
        <w:rPr>
          <w:rFonts w:ascii="Times New Roman" w:hAnsi="Times New Roman" w:cs="Times New Roman"/>
          <w:sz w:val="24"/>
          <w:szCs w:val="24"/>
        </w:rPr>
      </w:pPr>
    </w:p>
    <w:p w:rsidR="00B86581" w:rsidRPr="00286BA7" w:rsidRDefault="00B86581" w:rsidP="00B86581">
      <w:pPr>
        <w:pStyle w:val="NormalWeb"/>
        <w:numPr>
          <w:ilvl w:val="1"/>
          <w:numId w:val="4"/>
        </w:numPr>
        <w:spacing w:before="0" w:beforeAutospacing="0" w:after="0" w:afterAutospacing="0"/>
        <w:jc w:val="both"/>
        <w:rPr>
          <w:b/>
        </w:rPr>
      </w:pPr>
      <w:r w:rsidRPr="00286BA7">
        <w:rPr>
          <w:b/>
        </w:rPr>
        <w:t>Number of Pregnancies Membership Function</w:t>
      </w:r>
    </w:p>
    <w:p w:rsidR="00B86581" w:rsidRPr="00286BA7" w:rsidRDefault="00B86581" w:rsidP="00B86581">
      <w:pPr>
        <w:pStyle w:val="NormalWeb"/>
        <w:spacing w:before="0" w:beforeAutospacing="0" w:after="0" w:afterAutospacing="0"/>
        <w:ind w:left="1080"/>
        <w:jc w:val="both"/>
      </w:pPr>
      <w:r w:rsidRPr="00286BA7">
        <w:rPr>
          <w:b/>
        </w:rPr>
        <w:t>Linguistic Variables</w:t>
      </w:r>
      <w:r w:rsidRPr="00286BA7">
        <w:t>: Few, Moderate, and Many.</w:t>
      </w:r>
    </w:p>
    <w:p w:rsidR="00B86581" w:rsidRPr="00286BA7" w:rsidRDefault="00B86581" w:rsidP="00B86581">
      <w:pPr>
        <w:pStyle w:val="NormalWeb"/>
        <w:spacing w:before="0" w:beforeAutospacing="0" w:after="0" w:afterAutospacing="0"/>
        <w:ind w:left="1080"/>
        <w:jc w:val="both"/>
      </w:pPr>
      <w:r w:rsidRPr="00286BA7">
        <w:t>Few:</w:t>
      </w:r>
    </w:p>
    <w:p w:rsidR="00B86581" w:rsidRPr="00286BA7" w:rsidRDefault="0055644A" w:rsidP="00B86581">
      <w:pPr>
        <w:pStyle w:val="NormalWeb"/>
        <w:spacing w:before="0" w:beforeAutospacing="0" w:after="0" w:afterAutospacing="0"/>
        <w:ind w:left="720"/>
        <w:jc w:val="both"/>
      </w:pPr>
      <m:oMathPara>
        <m:oMath>
          <m:sSub>
            <m:sSubPr>
              <m:ctrlPr>
                <w:rPr>
                  <w:rFonts w:ascii="Cambria Math" w:hAnsi="Cambria Math"/>
                  <w:i/>
                </w:rPr>
              </m:ctrlPr>
            </m:sSubPr>
            <m:e>
              <m:r>
                <w:rPr>
                  <w:rFonts w:ascii="Cambria Math" w:hAnsi="Cambria Math"/>
                </w:rPr>
                <m:t>μ</m:t>
              </m:r>
            </m:e>
            <m:sub>
              <m:r>
                <w:rPr>
                  <w:rFonts w:ascii="Cambria Math" w:hAnsi="Cambria Math"/>
                </w:rPr>
                <m:t>Few</m:t>
              </m:r>
            </m:sub>
          </m:sSub>
          <m:r>
            <w:rPr>
              <w:rFonts w:ascii="Cambria Math" w:hAnsi="Cambria Math"/>
            </w:rPr>
            <m:t xml:space="preserve">(x) =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                     x ≤ 1</m:t>
                  </m:r>
                </m:e>
                <m:e>
                  <m:f>
                    <m:fPr>
                      <m:ctrlPr>
                        <w:rPr>
                          <w:rFonts w:ascii="Cambria Math" w:hAnsi="Cambria Math"/>
                          <w:i/>
                        </w:rPr>
                      </m:ctrlPr>
                    </m:fPr>
                    <m:num>
                      <m:r>
                        <w:rPr>
                          <w:rFonts w:ascii="Cambria Math" w:hAnsi="Cambria Math"/>
                        </w:rPr>
                        <m:t xml:space="preserve">3-x </m:t>
                      </m:r>
                    </m:num>
                    <m:den>
                      <m:r>
                        <w:rPr>
                          <w:rFonts w:ascii="Cambria Math" w:hAnsi="Cambria Math"/>
                        </w:rPr>
                        <m:t>3-1</m:t>
                      </m:r>
                    </m:den>
                  </m:f>
                  <m:r>
                    <w:rPr>
                      <w:rFonts w:ascii="Cambria Math" w:hAnsi="Cambria Math"/>
                    </w:rPr>
                    <m:t xml:space="preserve">    1&lt;x≤3</m:t>
                  </m:r>
                </m:e>
                <m:e>
                  <m:r>
                    <w:rPr>
                      <w:rFonts w:ascii="Cambria Math" w:hAnsi="Cambria Math"/>
                    </w:rPr>
                    <m:t xml:space="preserve"> 0                    x ≥ 3</m:t>
                  </m:r>
                </m:e>
              </m:eqArr>
            </m:e>
          </m:d>
          <m:r>
            <w:rPr>
              <w:rFonts w:ascii="Cambria Math" w:hAnsi="Cambria Math"/>
            </w:rPr>
            <m:t xml:space="preserve">                                 2</m:t>
          </m:r>
        </m:oMath>
      </m:oMathPara>
    </w:p>
    <w:p w:rsidR="00B86581" w:rsidRPr="00286BA7" w:rsidRDefault="00B86581" w:rsidP="00B86581">
      <w:pPr>
        <w:pStyle w:val="NormalWeb"/>
        <w:spacing w:before="0" w:beforeAutospacing="0" w:after="0" w:afterAutospacing="0"/>
        <w:ind w:left="1080"/>
        <w:jc w:val="both"/>
      </w:pPr>
      <w:r w:rsidRPr="00286BA7">
        <w:t xml:space="preserve">Moderate: </w:t>
      </w:r>
    </w:p>
    <w:p w:rsidR="00B86581" w:rsidRPr="00286BA7" w:rsidRDefault="0055644A" w:rsidP="00B86581">
      <w:pPr>
        <w:pStyle w:val="NormalWeb"/>
        <w:spacing w:before="0" w:beforeAutospacing="0" w:after="0" w:afterAutospacing="0"/>
        <w:ind w:left="720"/>
        <w:jc w:val="both"/>
      </w:pPr>
      <m:oMathPara>
        <m:oMath>
          <m:sSub>
            <m:sSubPr>
              <m:ctrlPr>
                <w:rPr>
                  <w:rFonts w:ascii="Cambria Math" w:hAnsi="Cambria Math"/>
                  <w:i/>
                </w:rPr>
              </m:ctrlPr>
            </m:sSubPr>
            <m:e>
              <m:r>
                <w:rPr>
                  <w:rFonts w:ascii="Cambria Math" w:hAnsi="Cambria Math"/>
                </w:rPr>
                <m:t>μ</m:t>
              </m:r>
            </m:e>
            <m:sub>
              <m:r>
                <w:rPr>
                  <w:rFonts w:ascii="Cambria Math" w:hAnsi="Cambria Math"/>
                </w:rPr>
                <m:t>Noderate</m:t>
              </m:r>
            </m:sub>
          </m:sSub>
          <m:r>
            <w:rPr>
              <w:rFonts w:ascii="Cambria Math" w:hAnsi="Cambria Math"/>
            </w:rPr>
            <m:t xml:space="preserve">(x) =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0                    x ≤ 2</m:t>
                  </m:r>
                </m:e>
                <m:e>
                  <m:f>
                    <m:fPr>
                      <m:ctrlPr>
                        <w:rPr>
                          <w:rFonts w:ascii="Cambria Math" w:hAnsi="Cambria Math"/>
                          <w:i/>
                        </w:rPr>
                      </m:ctrlPr>
                    </m:fPr>
                    <m:num>
                      <m:r>
                        <w:rPr>
                          <w:rFonts w:ascii="Cambria Math" w:hAnsi="Cambria Math"/>
                        </w:rPr>
                        <m:t xml:space="preserve">x-2 </m:t>
                      </m:r>
                    </m:num>
                    <m:den>
                      <m:r>
                        <w:rPr>
                          <w:rFonts w:ascii="Cambria Math" w:hAnsi="Cambria Math"/>
                        </w:rPr>
                        <m:t>5-2</m:t>
                      </m:r>
                    </m:den>
                  </m:f>
                  <m:r>
                    <w:rPr>
                      <w:rFonts w:ascii="Cambria Math" w:hAnsi="Cambria Math"/>
                    </w:rPr>
                    <m:t xml:space="preserve">    2&lt;x≤5</m:t>
                  </m:r>
                </m:e>
                <m:e>
                  <m:f>
                    <m:fPr>
                      <m:ctrlPr>
                        <w:rPr>
                          <w:rFonts w:ascii="Cambria Math" w:hAnsi="Cambria Math"/>
                          <w:i/>
                        </w:rPr>
                      </m:ctrlPr>
                    </m:fPr>
                    <m:num>
                      <m:r>
                        <w:rPr>
                          <w:rFonts w:ascii="Cambria Math" w:hAnsi="Cambria Math"/>
                        </w:rPr>
                        <m:t xml:space="preserve">8-x </m:t>
                      </m:r>
                    </m:num>
                    <m:den>
                      <m:r>
                        <w:rPr>
                          <w:rFonts w:ascii="Cambria Math" w:hAnsi="Cambria Math"/>
                        </w:rPr>
                        <m:t>8-5</m:t>
                      </m:r>
                    </m:den>
                  </m:f>
                  <m:r>
                    <w:rPr>
                      <w:rFonts w:ascii="Cambria Math" w:hAnsi="Cambria Math"/>
                    </w:rPr>
                    <m:t xml:space="preserve">    5&lt;x≤8</m:t>
                  </m:r>
                  <m:ctrlPr>
                    <w:rPr>
                      <w:rFonts w:ascii="Cambria Math" w:eastAsia="Cambria Math" w:hAnsi="Cambria Math"/>
                      <w:i/>
                    </w:rPr>
                  </m:ctrlPr>
                </m:e>
                <m:e>
                  <m:r>
                    <w:rPr>
                      <w:rFonts w:ascii="Cambria Math" w:hAnsi="Cambria Math"/>
                    </w:rPr>
                    <m:t xml:space="preserve"> 0                   x ≥ 8</m:t>
                  </m:r>
                </m:e>
              </m:eqArr>
            </m:e>
          </m:d>
          <m:r>
            <w:rPr>
              <w:rFonts w:ascii="Cambria Math" w:hAnsi="Cambria Math"/>
            </w:rPr>
            <m:t xml:space="preserve">                            3</m:t>
          </m:r>
        </m:oMath>
      </m:oMathPara>
    </w:p>
    <w:p w:rsidR="00B86581" w:rsidRPr="00286BA7" w:rsidRDefault="00B86581" w:rsidP="00B86581">
      <w:pPr>
        <w:pStyle w:val="NormalWeb"/>
        <w:spacing w:before="0" w:beforeAutospacing="0" w:after="0" w:afterAutospacing="0"/>
        <w:ind w:left="1080"/>
        <w:jc w:val="both"/>
      </w:pPr>
      <w:r w:rsidRPr="00286BA7">
        <w:t>Many:</w:t>
      </w:r>
    </w:p>
    <w:p w:rsidR="00B86581" w:rsidRPr="00286BA7" w:rsidRDefault="0055644A" w:rsidP="00B86581">
      <w:pPr>
        <w:pStyle w:val="NormalWeb"/>
        <w:spacing w:before="0" w:beforeAutospacing="0" w:after="0" w:afterAutospacing="0"/>
        <w:ind w:left="720"/>
        <w:jc w:val="both"/>
      </w:pPr>
      <m:oMathPara>
        <m:oMath>
          <m:sSub>
            <m:sSubPr>
              <m:ctrlPr>
                <w:rPr>
                  <w:rFonts w:ascii="Cambria Math" w:hAnsi="Cambria Math"/>
                  <w:i/>
                </w:rPr>
              </m:ctrlPr>
            </m:sSubPr>
            <m:e>
              <m:r>
                <w:rPr>
                  <w:rFonts w:ascii="Cambria Math" w:hAnsi="Cambria Math"/>
                </w:rPr>
                <m:t>μ</m:t>
              </m:r>
            </m:e>
            <m:sub>
              <m:r>
                <w:rPr>
                  <w:rFonts w:ascii="Cambria Math" w:hAnsi="Cambria Math"/>
                </w:rPr>
                <m:t>Many</m:t>
              </m:r>
            </m:sub>
          </m:sSub>
          <m:r>
            <w:rPr>
              <w:rFonts w:ascii="Cambria Math" w:hAnsi="Cambria Math"/>
            </w:rPr>
            <m:t xml:space="preserve">(x) =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0                     x ≤ 6</m:t>
                  </m:r>
                </m:e>
                <m:e>
                  <m:f>
                    <m:fPr>
                      <m:ctrlPr>
                        <w:rPr>
                          <w:rFonts w:ascii="Cambria Math" w:hAnsi="Cambria Math"/>
                          <w:i/>
                        </w:rPr>
                      </m:ctrlPr>
                    </m:fPr>
                    <m:num>
                      <m:r>
                        <w:rPr>
                          <w:rFonts w:ascii="Cambria Math" w:hAnsi="Cambria Math"/>
                        </w:rPr>
                        <m:t xml:space="preserve">x-6 </m:t>
                      </m:r>
                    </m:num>
                    <m:den>
                      <m:r>
                        <w:rPr>
                          <w:rFonts w:ascii="Cambria Math" w:hAnsi="Cambria Math"/>
                        </w:rPr>
                        <m:t>10-6</m:t>
                      </m:r>
                    </m:den>
                  </m:f>
                  <m:r>
                    <w:rPr>
                      <w:rFonts w:ascii="Cambria Math" w:hAnsi="Cambria Math"/>
                    </w:rPr>
                    <m:t xml:space="preserve">    6&lt;x≤10</m:t>
                  </m:r>
                </m:e>
                <m:e>
                  <m:r>
                    <w:rPr>
                      <w:rFonts w:ascii="Cambria Math" w:hAnsi="Cambria Math"/>
                    </w:rPr>
                    <m:t xml:space="preserve"> 1                    x ≥ 10</m:t>
                  </m:r>
                </m:e>
              </m:eqArr>
            </m:e>
          </m:d>
          <m:r>
            <w:rPr>
              <w:rFonts w:ascii="Cambria Math" w:hAnsi="Cambria Math"/>
            </w:rPr>
            <m:t xml:space="preserve">                              4</m:t>
          </m:r>
        </m:oMath>
      </m:oMathPara>
    </w:p>
    <w:p w:rsidR="00B86581" w:rsidRPr="00286BA7" w:rsidRDefault="00B86581" w:rsidP="00B86581">
      <w:pPr>
        <w:pStyle w:val="NormalWeb"/>
        <w:spacing w:before="0" w:beforeAutospacing="0" w:after="0" w:afterAutospacing="0"/>
        <w:ind w:left="1080"/>
        <w:jc w:val="both"/>
      </w:pPr>
      <w:r w:rsidRPr="00286BA7">
        <w:t xml:space="preserve">V. </w:t>
      </w:r>
      <w:r w:rsidRPr="00286BA7">
        <w:rPr>
          <w:b/>
        </w:rPr>
        <w:t>Smoking Years Membership Function</w:t>
      </w:r>
    </w:p>
    <w:p w:rsidR="00B86581" w:rsidRPr="00286BA7" w:rsidRDefault="00B86581" w:rsidP="00B86581">
      <w:pPr>
        <w:pStyle w:val="NormalWeb"/>
        <w:spacing w:before="0" w:beforeAutospacing="0" w:after="0" w:afterAutospacing="0"/>
        <w:ind w:left="1080"/>
        <w:jc w:val="both"/>
      </w:pPr>
      <w:r w:rsidRPr="00286BA7">
        <w:rPr>
          <w:b/>
        </w:rPr>
        <w:t>Linguistic Variables</w:t>
      </w:r>
      <w:r w:rsidRPr="00286BA7">
        <w:t>: Non-smoker, Moderate Smoker, and Heavy Smoker.</w:t>
      </w:r>
    </w:p>
    <w:p w:rsidR="00B86581" w:rsidRPr="00286BA7" w:rsidRDefault="00B86581" w:rsidP="00B86581">
      <w:pPr>
        <w:pStyle w:val="NormalWeb"/>
        <w:spacing w:before="0" w:beforeAutospacing="0" w:after="0" w:afterAutospacing="0"/>
        <w:ind w:left="1080"/>
        <w:jc w:val="both"/>
      </w:pPr>
      <w:r w:rsidRPr="00286BA7">
        <w:t>Non-smoker:</w:t>
      </w:r>
    </w:p>
    <w:p w:rsidR="00B86581" w:rsidRPr="00286BA7" w:rsidRDefault="0055644A" w:rsidP="00B86581">
      <w:pPr>
        <w:pStyle w:val="NormalWeb"/>
        <w:spacing w:before="0" w:beforeAutospacing="0" w:after="0" w:afterAutospacing="0"/>
        <w:ind w:left="720"/>
        <w:jc w:val="both"/>
      </w:pPr>
      <m:oMathPara>
        <m:oMath>
          <m:sSub>
            <m:sSubPr>
              <m:ctrlPr>
                <w:rPr>
                  <w:rFonts w:ascii="Cambria Math" w:hAnsi="Cambria Math"/>
                  <w:i/>
                </w:rPr>
              </m:ctrlPr>
            </m:sSubPr>
            <m:e>
              <m:r>
                <w:rPr>
                  <w:rFonts w:ascii="Cambria Math" w:hAnsi="Cambria Math"/>
                </w:rPr>
                <m:t>μ</m:t>
              </m:r>
            </m:e>
            <m:sub>
              <m:r>
                <w:rPr>
                  <w:rFonts w:ascii="Cambria Math" w:hAnsi="Cambria Math"/>
                </w:rPr>
                <m:t>Non-Smoker</m:t>
              </m:r>
            </m:sub>
          </m:sSub>
          <m:r>
            <w:rPr>
              <w:rFonts w:ascii="Cambria Math" w:hAnsi="Cambria Math"/>
            </w:rPr>
            <m:t xml:space="preserve">(x) =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                     x ≤ 0</m:t>
                  </m:r>
                </m:e>
                <m:e>
                  <m:f>
                    <m:fPr>
                      <m:ctrlPr>
                        <w:rPr>
                          <w:rFonts w:ascii="Cambria Math" w:hAnsi="Cambria Math"/>
                          <w:i/>
                        </w:rPr>
                      </m:ctrlPr>
                    </m:fPr>
                    <m:num>
                      <m:r>
                        <w:rPr>
                          <w:rFonts w:ascii="Cambria Math" w:hAnsi="Cambria Math"/>
                        </w:rPr>
                        <m:t xml:space="preserve">5-x </m:t>
                      </m:r>
                    </m:num>
                    <m:den>
                      <m:r>
                        <w:rPr>
                          <w:rFonts w:ascii="Cambria Math" w:hAnsi="Cambria Math"/>
                        </w:rPr>
                        <m:t>5</m:t>
                      </m:r>
                    </m:den>
                  </m:f>
                  <m:r>
                    <w:rPr>
                      <w:rFonts w:ascii="Cambria Math" w:hAnsi="Cambria Math"/>
                    </w:rPr>
                    <m:t xml:space="preserve">    0&lt;x≤5</m:t>
                  </m:r>
                </m:e>
                <m:e>
                  <m:r>
                    <w:rPr>
                      <w:rFonts w:ascii="Cambria Math" w:hAnsi="Cambria Math"/>
                    </w:rPr>
                    <m:t xml:space="preserve"> 0                    x ≥ 5</m:t>
                  </m:r>
                </m:e>
              </m:eqArr>
            </m:e>
          </m:d>
          <m:r>
            <w:rPr>
              <w:rFonts w:ascii="Cambria Math" w:hAnsi="Cambria Math"/>
            </w:rPr>
            <m:t xml:space="preserve">                      5</m:t>
          </m:r>
        </m:oMath>
      </m:oMathPara>
    </w:p>
    <w:p w:rsidR="00B86581" w:rsidRPr="00286BA7" w:rsidRDefault="00B86581" w:rsidP="00B86581">
      <w:pPr>
        <w:pStyle w:val="NormalWeb"/>
        <w:spacing w:before="0" w:beforeAutospacing="0" w:after="0" w:afterAutospacing="0"/>
        <w:ind w:left="1080"/>
        <w:jc w:val="both"/>
      </w:pPr>
      <w:r w:rsidRPr="00286BA7">
        <w:t xml:space="preserve">Moderate Smoker:  </w:t>
      </w:r>
    </w:p>
    <w:p w:rsidR="00B86581" w:rsidRPr="00286BA7" w:rsidRDefault="0055644A" w:rsidP="00B86581">
      <w:pPr>
        <w:pStyle w:val="NormalWeb"/>
        <w:spacing w:before="0" w:beforeAutospacing="0" w:after="0" w:afterAutospacing="0"/>
        <w:ind w:left="720"/>
        <w:jc w:val="both"/>
      </w:pPr>
      <m:oMathPara>
        <m:oMath>
          <m:sSub>
            <m:sSubPr>
              <m:ctrlPr>
                <w:rPr>
                  <w:rFonts w:ascii="Cambria Math" w:hAnsi="Cambria Math"/>
                  <w:i/>
                </w:rPr>
              </m:ctrlPr>
            </m:sSubPr>
            <m:e>
              <m:r>
                <w:rPr>
                  <w:rFonts w:ascii="Cambria Math" w:hAnsi="Cambria Math"/>
                </w:rPr>
                <m:t>μ</m:t>
              </m:r>
            </m:e>
            <m:sub>
              <m:r>
                <w:rPr>
                  <w:rFonts w:ascii="Cambria Math" w:hAnsi="Cambria Math"/>
                </w:rPr>
                <m:t>Noderate Smoker</m:t>
              </m:r>
            </m:sub>
          </m:sSub>
          <m:r>
            <w:rPr>
              <w:rFonts w:ascii="Cambria Math" w:hAnsi="Cambria Math"/>
            </w:rPr>
            <m:t xml:space="preserve">(x) =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0                       x ≤ 3</m:t>
                  </m:r>
                </m:e>
                <m:e>
                  <m:f>
                    <m:fPr>
                      <m:ctrlPr>
                        <w:rPr>
                          <w:rFonts w:ascii="Cambria Math" w:hAnsi="Cambria Math"/>
                          <w:i/>
                        </w:rPr>
                      </m:ctrlPr>
                    </m:fPr>
                    <m:num>
                      <m:r>
                        <w:rPr>
                          <w:rFonts w:ascii="Cambria Math" w:hAnsi="Cambria Math"/>
                        </w:rPr>
                        <m:t xml:space="preserve">x-3 </m:t>
                      </m:r>
                    </m:num>
                    <m:den>
                      <m:r>
                        <w:rPr>
                          <w:rFonts w:ascii="Cambria Math" w:hAnsi="Cambria Math"/>
                        </w:rPr>
                        <m:t>10-3</m:t>
                      </m:r>
                    </m:den>
                  </m:f>
                  <m:r>
                    <w:rPr>
                      <w:rFonts w:ascii="Cambria Math" w:hAnsi="Cambria Math"/>
                    </w:rPr>
                    <m:t xml:space="preserve">       3&lt;x≤10</m:t>
                  </m:r>
                </m:e>
                <m:e>
                  <m:f>
                    <m:fPr>
                      <m:ctrlPr>
                        <w:rPr>
                          <w:rFonts w:ascii="Cambria Math" w:hAnsi="Cambria Math"/>
                          <w:i/>
                        </w:rPr>
                      </m:ctrlPr>
                    </m:fPr>
                    <m:num>
                      <m:r>
                        <w:rPr>
                          <w:rFonts w:ascii="Cambria Math" w:hAnsi="Cambria Math"/>
                        </w:rPr>
                        <m:t xml:space="preserve">20-x </m:t>
                      </m:r>
                    </m:num>
                    <m:den>
                      <m:r>
                        <w:rPr>
                          <w:rFonts w:ascii="Cambria Math" w:hAnsi="Cambria Math"/>
                        </w:rPr>
                        <m:t>20-10</m:t>
                      </m:r>
                    </m:den>
                  </m:f>
                  <m:r>
                    <w:rPr>
                      <w:rFonts w:ascii="Cambria Math" w:hAnsi="Cambria Math"/>
                    </w:rPr>
                    <m:t xml:space="preserve">    10&lt;x≤20</m:t>
                  </m:r>
                  <m:ctrlPr>
                    <w:rPr>
                      <w:rFonts w:ascii="Cambria Math" w:eastAsia="Cambria Math" w:hAnsi="Cambria Math"/>
                      <w:i/>
                    </w:rPr>
                  </m:ctrlPr>
                </m:e>
                <m:e>
                  <m:r>
                    <w:rPr>
                      <w:rFonts w:ascii="Cambria Math" w:hAnsi="Cambria Math"/>
                    </w:rPr>
                    <m:t xml:space="preserve"> 0                      x ≥ 20</m:t>
                  </m:r>
                </m:e>
              </m:eqArr>
            </m:e>
          </m:d>
          <m:r>
            <w:rPr>
              <w:rFonts w:ascii="Cambria Math" w:hAnsi="Cambria Math"/>
            </w:rPr>
            <m:t xml:space="preserve">             6</m:t>
          </m:r>
        </m:oMath>
      </m:oMathPara>
    </w:p>
    <w:p w:rsidR="00B86581" w:rsidRPr="00286BA7" w:rsidRDefault="00B86581" w:rsidP="00B86581">
      <w:pPr>
        <w:pStyle w:val="NormalWeb"/>
        <w:spacing w:before="0" w:beforeAutospacing="0" w:after="0" w:afterAutospacing="0"/>
        <w:ind w:left="1080"/>
        <w:jc w:val="both"/>
      </w:pPr>
      <w:r w:rsidRPr="00286BA7">
        <w:t xml:space="preserve">Heavy Smoker: </w:t>
      </w:r>
    </w:p>
    <w:p w:rsidR="00B86581" w:rsidRPr="00286BA7" w:rsidRDefault="0055644A" w:rsidP="00B86581">
      <w:pPr>
        <w:pStyle w:val="NormalWeb"/>
        <w:spacing w:before="0" w:beforeAutospacing="0" w:after="0" w:afterAutospacing="0"/>
        <w:ind w:left="720"/>
        <w:jc w:val="both"/>
      </w:pPr>
      <m:oMathPara>
        <m:oMath>
          <m:sSub>
            <m:sSubPr>
              <m:ctrlPr>
                <w:rPr>
                  <w:rFonts w:ascii="Cambria Math" w:hAnsi="Cambria Math"/>
                  <w:i/>
                </w:rPr>
              </m:ctrlPr>
            </m:sSubPr>
            <m:e>
              <m:r>
                <w:rPr>
                  <w:rFonts w:ascii="Cambria Math" w:hAnsi="Cambria Math"/>
                </w:rPr>
                <m:t>μ</m:t>
              </m:r>
            </m:e>
            <m:sub>
              <m:r>
                <w:rPr>
                  <w:rFonts w:ascii="Cambria Math" w:hAnsi="Cambria Math"/>
                </w:rPr>
                <m:t>Heavy Smoker</m:t>
              </m:r>
            </m:sub>
          </m:sSub>
          <m:r>
            <w:rPr>
              <w:rFonts w:ascii="Cambria Math" w:hAnsi="Cambria Math"/>
            </w:rPr>
            <m:t xml:space="preserve">(x) =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0                     x ≤ 15</m:t>
                  </m:r>
                </m:e>
                <m:e>
                  <m:f>
                    <m:fPr>
                      <m:ctrlPr>
                        <w:rPr>
                          <w:rFonts w:ascii="Cambria Math" w:hAnsi="Cambria Math"/>
                          <w:i/>
                        </w:rPr>
                      </m:ctrlPr>
                    </m:fPr>
                    <m:num>
                      <m:r>
                        <w:rPr>
                          <w:rFonts w:ascii="Cambria Math" w:hAnsi="Cambria Math"/>
                        </w:rPr>
                        <m:t xml:space="preserve">x-15 </m:t>
                      </m:r>
                    </m:num>
                    <m:den>
                      <m:r>
                        <w:rPr>
                          <w:rFonts w:ascii="Cambria Math" w:hAnsi="Cambria Math"/>
                        </w:rPr>
                        <m:t>30-15</m:t>
                      </m:r>
                    </m:den>
                  </m:f>
                  <m:r>
                    <w:rPr>
                      <w:rFonts w:ascii="Cambria Math" w:hAnsi="Cambria Math"/>
                    </w:rPr>
                    <m:t xml:space="preserve">    15&lt;x≤30</m:t>
                  </m:r>
                </m:e>
                <m:e>
                  <m:r>
                    <w:rPr>
                      <w:rFonts w:ascii="Cambria Math" w:hAnsi="Cambria Math"/>
                    </w:rPr>
                    <m:t xml:space="preserve"> 1                    x ≥ 30</m:t>
                  </m:r>
                </m:e>
              </m:eqArr>
            </m:e>
          </m:d>
          <m:r>
            <w:rPr>
              <w:rFonts w:ascii="Cambria Math" w:hAnsi="Cambria Math"/>
            </w:rPr>
            <m:t xml:space="preserve">                   7</m:t>
          </m:r>
        </m:oMath>
      </m:oMathPara>
    </w:p>
    <w:p w:rsidR="00DA56FC" w:rsidRPr="00286BA7" w:rsidRDefault="00DA56FC" w:rsidP="00B86581">
      <w:pPr>
        <w:spacing w:after="0" w:line="240" w:lineRule="auto"/>
        <w:jc w:val="both"/>
        <w:rPr>
          <w:rFonts w:ascii="Times New Roman" w:eastAsia="Times New Roman" w:hAnsi="Times New Roman" w:cs="Times New Roman"/>
          <w:sz w:val="24"/>
          <w:szCs w:val="24"/>
        </w:rPr>
      </w:pPr>
    </w:p>
    <w:p w:rsidR="00DA56FC" w:rsidRPr="00AA626B" w:rsidRDefault="00DA56FC" w:rsidP="00AA626B">
      <w:pPr>
        <w:spacing w:after="0" w:line="240" w:lineRule="auto"/>
        <w:jc w:val="both"/>
        <w:rPr>
          <w:rFonts w:ascii="Times New Roman" w:eastAsia="Times New Roman" w:hAnsi="Times New Roman" w:cs="Times New Roman"/>
          <w:b/>
          <w:sz w:val="24"/>
          <w:szCs w:val="24"/>
        </w:rPr>
      </w:pPr>
      <w:r w:rsidRPr="00AA626B">
        <w:rPr>
          <w:rFonts w:ascii="Times New Roman" w:eastAsia="Times New Roman" w:hAnsi="Times New Roman" w:cs="Times New Roman"/>
          <w:b/>
          <w:sz w:val="24"/>
          <w:szCs w:val="24"/>
        </w:rPr>
        <w:t>Model Development</w:t>
      </w:r>
    </w:p>
    <w:p w:rsidR="00DA56FC" w:rsidRPr="00286BA7" w:rsidRDefault="00DA56FC" w:rsidP="00DA56FC">
      <w:pPr>
        <w:spacing w:after="0" w:line="240" w:lineRule="auto"/>
        <w:jc w:val="both"/>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 xml:space="preserve">The study implemented several machine learning models for cervical cancer prediction, including decision tree algorithms such as ID3, C4.5, and CART, as well as ensemble learning models including Random Forest, Gradient Boosting Machine (GBM), </w:t>
      </w:r>
      <w:proofErr w:type="spellStart"/>
      <w:r w:rsidRPr="00286BA7">
        <w:rPr>
          <w:rFonts w:ascii="Times New Roman" w:eastAsia="Times New Roman" w:hAnsi="Times New Roman" w:cs="Times New Roman"/>
          <w:sz w:val="24"/>
          <w:szCs w:val="24"/>
        </w:rPr>
        <w:t>XGBoost</w:t>
      </w:r>
      <w:proofErr w:type="spellEnd"/>
      <w:r w:rsidRPr="00286BA7">
        <w:rPr>
          <w:rFonts w:ascii="Times New Roman" w:eastAsia="Times New Roman" w:hAnsi="Times New Roman" w:cs="Times New Roman"/>
          <w:sz w:val="24"/>
          <w:szCs w:val="24"/>
        </w:rPr>
        <w:t xml:space="preserve">, </w:t>
      </w:r>
      <w:proofErr w:type="spellStart"/>
      <w:r w:rsidRPr="00286BA7">
        <w:rPr>
          <w:rFonts w:ascii="Times New Roman" w:eastAsia="Times New Roman" w:hAnsi="Times New Roman" w:cs="Times New Roman"/>
          <w:sz w:val="24"/>
          <w:szCs w:val="24"/>
        </w:rPr>
        <w:t>LightGBM</w:t>
      </w:r>
      <w:proofErr w:type="spellEnd"/>
      <w:r w:rsidRPr="00286BA7">
        <w:rPr>
          <w:rFonts w:ascii="Times New Roman" w:eastAsia="Times New Roman" w:hAnsi="Times New Roman" w:cs="Times New Roman"/>
          <w:sz w:val="24"/>
          <w:szCs w:val="24"/>
        </w:rPr>
        <w:t xml:space="preserve">, and </w:t>
      </w:r>
      <w:proofErr w:type="spellStart"/>
      <w:r w:rsidRPr="00286BA7">
        <w:rPr>
          <w:rFonts w:ascii="Times New Roman" w:eastAsia="Times New Roman" w:hAnsi="Times New Roman" w:cs="Times New Roman"/>
          <w:sz w:val="24"/>
          <w:szCs w:val="24"/>
        </w:rPr>
        <w:t>AdaBoost</w:t>
      </w:r>
      <w:proofErr w:type="spellEnd"/>
      <w:r w:rsidRPr="00286BA7">
        <w:rPr>
          <w:rFonts w:ascii="Times New Roman" w:eastAsia="Times New Roman" w:hAnsi="Times New Roman" w:cs="Times New Roman"/>
          <w:sz w:val="24"/>
          <w:szCs w:val="24"/>
        </w:rPr>
        <w:t xml:space="preserve">. To further enhance predictive performance and improve the handling of uncertainty in medical data, the outputs generated from the Fuzzy Decision Trees were integrated as meta-features into the ensemble learning models. </w:t>
      </w:r>
      <w:r w:rsidRPr="00286BA7">
        <w:rPr>
          <w:rFonts w:ascii="Times New Roman" w:hAnsi="Times New Roman" w:cs="Times New Roman"/>
          <w:sz w:val="24"/>
          <w:szCs w:val="24"/>
        </w:rPr>
        <w:t>The model builds a tree using:</w:t>
      </w:r>
    </w:p>
    <w:p w:rsidR="00DA56FC" w:rsidRPr="00286BA7" w:rsidRDefault="00DA56FC" w:rsidP="00DA56FC">
      <w:pPr>
        <w:pStyle w:val="NormalWeb"/>
        <w:numPr>
          <w:ilvl w:val="0"/>
          <w:numId w:val="5"/>
        </w:numPr>
        <w:spacing w:before="0" w:beforeAutospacing="0" w:after="0" w:afterAutospacing="0"/>
        <w:jc w:val="both"/>
      </w:pPr>
      <w:r w:rsidRPr="00286BA7">
        <w:t>Fuzzy ID3 uses entropy</w:t>
      </w:r>
    </w:p>
    <w:p w:rsidR="00DA56FC" w:rsidRPr="00286BA7" w:rsidRDefault="00DA56FC" w:rsidP="00DA56FC">
      <w:pPr>
        <w:pStyle w:val="NormalWeb"/>
        <w:spacing w:before="0" w:beforeAutospacing="0" w:after="0" w:afterAutospacing="0"/>
        <w:ind w:left="1080"/>
        <w:jc w:val="both"/>
      </w:pPr>
      <m:oMathPara>
        <m:oMath>
          <m:r>
            <w:rPr>
              <w:rFonts w:ascii="Cambria Math" w:hAnsi="Cambria Math"/>
            </w:rPr>
            <m:t>H</m:t>
          </m:r>
          <m:d>
            <m:dPr>
              <m:ctrlPr>
                <w:rPr>
                  <w:rFonts w:ascii="Cambria Math" w:hAnsi="Cambria Math"/>
                  <w:i/>
                </w:rPr>
              </m:ctrlPr>
            </m:dPr>
            <m:e>
              <m:r>
                <w:rPr>
                  <w:rFonts w:ascii="Cambria Math" w:hAnsi="Cambria Math"/>
                </w:rPr>
                <m:t>Y</m:t>
              </m:r>
            </m:e>
          </m:d>
          <m:r>
            <w:rPr>
              <w:rFonts w:ascii="Cambria Math" w:hAnsi="Cambria Math"/>
            </w:rPr>
            <m:t xml:space="preserve">= - </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plog</m:t>
                  </m:r>
                </m:e>
                <m:sub>
                  <m:r>
                    <w:rPr>
                      <w:rFonts w:ascii="Cambria Math" w:hAnsi="Cambria Math"/>
                    </w:rPr>
                    <m:t>2</m:t>
                  </m:r>
                </m:sub>
              </m:sSub>
              <m:r>
                <w:rPr>
                  <w:rFonts w:ascii="Cambria Math" w:hAnsi="Cambria Math"/>
                </w:rPr>
                <m:t>p</m:t>
              </m:r>
            </m:e>
          </m:nary>
          <m:r>
            <w:rPr>
              <w:rFonts w:ascii="Cambria Math" w:hAnsi="Cambria Math"/>
            </w:rPr>
            <m:t xml:space="preserve">                                                        8</m:t>
          </m:r>
        </m:oMath>
      </m:oMathPara>
    </w:p>
    <w:p w:rsidR="00DA56FC" w:rsidRPr="00286BA7" w:rsidRDefault="00DA56FC" w:rsidP="00DA56FC">
      <w:pPr>
        <w:pStyle w:val="NormalWeb"/>
        <w:numPr>
          <w:ilvl w:val="0"/>
          <w:numId w:val="5"/>
        </w:numPr>
        <w:spacing w:before="0" w:beforeAutospacing="0" w:after="0" w:afterAutospacing="0"/>
        <w:jc w:val="both"/>
      </w:pPr>
      <w:r w:rsidRPr="00286BA7">
        <w:t>C4.5 Uses fuzzy gain ratio:</w:t>
      </w:r>
    </w:p>
    <w:p w:rsidR="00DA56FC" w:rsidRPr="00286BA7" w:rsidRDefault="00DA56FC" w:rsidP="00DA56FC">
      <w:pPr>
        <w:pStyle w:val="NormalWeb"/>
        <w:spacing w:before="0" w:beforeAutospacing="0" w:after="0" w:afterAutospacing="0"/>
        <w:ind w:left="1080"/>
        <w:jc w:val="both"/>
      </w:pPr>
      <m:oMathPara>
        <m:oMath>
          <m:r>
            <w:rPr>
              <w:rFonts w:ascii="Cambria Math" w:hAnsi="Cambria Math"/>
            </w:rPr>
            <w:lastRenderedPageBreak/>
            <m:t>GR</m:t>
          </m:r>
          <m:d>
            <m:dPr>
              <m:ctrlPr>
                <w:rPr>
                  <w:rFonts w:ascii="Cambria Math" w:hAnsi="Cambria Math"/>
                  <w:i/>
                </w:rPr>
              </m:ctrlPr>
            </m:dPr>
            <m:e>
              <m:r>
                <w:rPr>
                  <w:rFonts w:ascii="Cambria Math" w:hAnsi="Cambria Math"/>
                </w:rPr>
                <m:t>X</m:t>
              </m:r>
            </m:e>
          </m:d>
          <m:r>
            <w:rPr>
              <w:rFonts w:ascii="Cambria Math" w:hAnsi="Cambria Math"/>
            </w:rPr>
            <m:t xml:space="preserve">= </m:t>
          </m:r>
          <m:f>
            <m:fPr>
              <m:ctrlPr>
                <w:rPr>
                  <w:rFonts w:ascii="Cambria Math" w:hAnsi="Cambria Math"/>
                  <w:i/>
                </w:rPr>
              </m:ctrlPr>
            </m:fPr>
            <m:num>
              <m:r>
                <w:rPr>
                  <w:rFonts w:ascii="Cambria Math" w:hAnsi="Cambria Math"/>
                </w:rPr>
                <m:t>IG(X)</m:t>
              </m:r>
            </m:num>
            <m:den>
              <m:r>
                <w:rPr>
                  <w:rFonts w:ascii="Cambria Math" w:hAnsi="Cambria Math"/>
                </w:rPr>
                <m:t>SI(X)</m:t>
              </m:r>
            </m:den>
          </m:f>
          <m:r>
            <w:rPr>
              <w:rFonts w:ascii="Cambria Math" w:hAnsi="Cambria Math"/>
            </w:rPr>
            <m:t xml:space="preserve">                                                                   9</m:t>
          </m:r>
        </m:oMath>
      </m:oMathPara>
    </w:p>
    <w:p w:rsidR="00DA56FC" w:rsidRPr="00286BA7" w:rsidRDefault="00DA56FC" w:rsidP="00DA56FC">
      <w:pPr>
        <w:pStyle w:val="NormalWeb"/>
        <w:spacing w:before="0" w:beforeAutospacing="0" w:after="0" w:afterAutospacing="0"/>
        <w:ind w:left="1080"/>
        <w:jc w:val="both"/>
      </w:pPr>
      <w:proofErr w:type="gramStart"/>
      <w:r w:rsidRPr="00286BA7">
        <w:t>where</w:t>
      </w:r>
      <w:proofErr w:type="gramEnd"/>
      <m:oMath>
        <m:r>
          <w:rPr>
            <w:rFonts w:ascii="Cambria Math" w:hAnsi="Cambria Math"/>
          </w:rPr>
          <m:t xml:space="preserve"> SI(X)</m:t>
        </m:r>
      </m:oMath>
      <w:r w:rsidRPr="00286BA7">
        <w:t xml:space="preserve"> is the split implementation </w:t>
      </w:r>
    </w:p>
    <w:p w:rsidR="00DA56FC" w:rsidRPr="00286BA7" w:rsidRDefault="00DA56FC" w:rsidP="00DA56FC">
      <w:pPr>
        <w:pStyle w:val="NormalWeb"/>
        <w:spacing w:before="0" w:beforeAutospacing="0" w:after="0" w:afterAutospacing="0"/>
        <w:ind w:left="1080"/>
        <w:jc w:val="both"/>
      </w:pPr>
      <m:oMathPara>
        <m:oMath>
          <m:r>
            <w:rPr>
              <w:rFonts w:ascii="Cambria Math" w:hAnsi="Cambria Math"/>
            </w:rPr>
            <m:t>SI</m:t>
          </m:r>
          <m:d>
            <m:dPr>
              <m:ctrlPr>
                <w:rPr>
                  <w:rFonts w:ascii="Cambria Math" w:hAnsi="Cambria Math"/>
                  <w:i/>
                </w:rPr>
              </m:ctrlPr>
            </m:dPr>
            <m:e>
              <m:r>
                <w:rPr>
                  <w:rFonts w:ascii="Cambria Math" w:hAnsi="Cambria Math"/>
                </w:rPr>
                <m:t>X</m:t>
              </m:r>
            </m:e>
          </m:d>
          <m:r>
            <w:rPr>
              <w:rFonts w:ascii="Cambria Math" w:hAnsi="Cambria Math"/>
            </w:rPr>
            <m:t xml:space="preserve">= - </m:t>
          </m:r>
          <m:nary>
            <m:naryPr>
              <m:chr m:val="∑"/>
              <m:limLoc m:val="undOvr"/>
              <m:subHide m:val="1"/>
              <m:supHide m:val="1"/>
              <m:ctrlPr>
                <w:rPr>
                  <w:rFonts w:ascii="Cambria Math" w:hAnsi="Cambria Math"/>
                  <w:i/>
                </w:rPr>
              </m:ctrlPr>
            </m:naryPr>
            <m:sub/>
            <m:sup/>
            <m:e>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m:t>
                  </m:r>
                </m:e>
              </m:d>
            </m:e>
          </m:nary>
          <m:r>
            <w:rPr>
              <w:rFonts w:ascii="Cambria Math" w:hAnsi="Cambria Math"/>
            </w:rPr>
            <m:t xml:space="preserve"> </m:t>
          </m:r>
          <m:sSub>
            <m:sSubPr>
              <m:ctrlPr>
                <w:rPr>
                  <w:rFonts w:ascii="Cambria Math" w:hAnsi="Cambria Math"/>
                  <w:i/>
                </w:rPr>
              </m:ctrlPr>
            </m:sSubPr>
            <m:e>
              <m:r>
                <w:rPr>
                  <w:rFonts w:ascii="Cambria Math" w:hAnsi="Cambria Math"/>
                </w:rPr>
                <m:t>Log</m:t>
              </m:r>
            </m:e>
            <m:sub>
              <m:r>
                <w:rPr>
                  <w:rFonts w:ascii="Cambria Math" w:hAnsi="Cambria Math"/>
                </w:rPr>
                <m:t>2</m:t>
              </m:r>
            </m:sub>
          </m:sSub>
          <m:r>
            <w:rPr>
              <w:rFonts w:ascii="Cambria Math" w:hAnsi="Cambria Math"/>
            </w:rPr>
            <m:t xml:space="preserve"> P</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m:t>
              </m:r>
            </m:e>
          </m:d>
          <m:r>
            <w:rPr>
              <w:rFonts w:ascii="Cambria Math" w:hAnsi="Cambria Math"/>
            </w:rPr>
            <m:t xml:space="preserve">                 10</m:t>
          </m:r>
        </m:oMath>
      </m:oMathPara>
    </w:p>
    <w:p w:rsidR="00DA56FC" w:rsidRPr="00286BA7" w:rsidRDefault="00DA56FC" w:rsidP="00DA56FC">
      <w:pPr>
        <w:pStyle w:val="NormalWeb"/>
        <w:numPr>
          <w:ilvl w:val="0"/>
          <w:numId w:val="5"/>
        </w:numPr>
        <w:spacing w:before="0" w:beforeAutospacing="0" w:after="0" w:afterAutospacing="0"/>
        <w:jc w:val="both"/>
      </w:pPr>
      <w:r w:rsidRPr="00286BA7">
        <w:t>Fuzzy CART Uses Gini impurity as a measure:</w:t>
      </w:r>
    </w:p>
    <w:p w:rsidR="00DA56FC" w:rsidRPr="00286BA7" w:rsidRDefault="00DA56FC" w:rsidP="00DA56FC">
      <w:pPr>
        <w:pStyle w:val="NormalWeb"/>
        <w:spacing w:before="0" w:beforeAutospacing="0" w:after="0" w:afterAutospacing="0"/>
        <w:ind w:left="1080"/>
        <w:jc w:val="both"/>
      </w:pPr>
      <m:oMathPara>
        <m:oMath>
          <m:r>
            <w:rPr>
              <w:rFonts w:ascii="Cambria Math" w:hAnsi="Cambria Math"/>
            </w:rPr>
            <m:t>Gini</m:t>
          </m:r>
          <m:d>
            <m:dPr>
              <m:ctrlPr>
                <w:rPr>
                  <w:rFonts w:ascii="Cambria Math" w:hAnsi="Cambria Math"/>
                  <w:i/>
                </w:rPr>
              </m:ctrlPr>
            </m:dPr>
            <m:e>
              <m:r>
                <w:rPr>
                  <w:rFonts w:ascii="Cambria Math" w:hAnsi="Cambria Math"/>
                </w:rPr>
                <m:t>X</m:t>
              </m:r>
            </m:e>
          </m:d>
          <m:r>
            <w:rPr>
              <w:rFonts w:ascii="Cambria Math" w:hAnsi="Cambria Math"/>
            </w:rPr>
            <m:t xml:space="preserve">=1- </m:t>
          </m:r>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r>
                <w:rPr>
                  <w:rFonts w:ascii="Cambria Math" w:hAnsi="Cambria Math"/>
                </w:rPr>
                <m:t>P</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e>
                    <m:e>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e>
          </m:nary>
          <m:r>
            <w:rPr>
              <w:rFonts w:ascii="Cambria Math" w:hAnsi="Cambria Math"/>
            </w:rPr>
            <m:t xml:space="preserve">                                              11 </m:t>
          </m:r>
        </m:oMath>
      </m:oMathPara>
    </w:p>
    <w:p w:rsidR="00B2242A" w:rsidRPr="00286BA7" w:rsidRDefault="00B2242A" w:rsidP="00B2242A">
      <w:pPr>
        <w:pStyle w:val="ListParagraph"/>
        <w:numPr>
          <w:ilvl w:val="0"/>
          <w:numId w:val="5"/>
        </w:numPr>
        <w:spacing w:after="0" w:line="480" w:lineRule="auto"/>
        <w:jc w:val="both"/>
        <w:rPr>
          <w:rFonts w:ascii="Times New Roman" w:eastAsia="Times New Roman" w:hAnsi="Times New Roman" w:cs="Times New Roman"/>
          <w:b/>
          <w:bCs/>
          <w:sz w:val="24"/>
          <w:szCs w:val="24"/>
        </w:rPr>
      </w:pPr>
      <w:r w:rsidRPr="00286BA7">
        <w:rPr>
          <w:rFonts w:ascii="Times New Roman" w:eastAsia="Times New Roman" w:hAnsi="Times New Roman" w:cs="Times New Roman"/>
          <w:b/>
          <w:bCs/>
          <w:sz w:val="24"/>
          <w:szCs w:val="24"/>
        </w:rPr>
        <w:t xml:space="preserve">Fusion of Multiple FDTs: </w:t>
      </w:r>
      <w:r w:rsidRPr="00286BA7">
        <w:rPr>
          <w:rFonts w:ascii="Times New Roman" w:eastAsia="Times New Roman" w:hAnsi="Times New Roman" w:cs="Times New Roman"/>
          <w:sz w:val="24"/>
          <w:szCs w:val="24"/>
        </w:rPr>
        <w:t>The aggregate predictions from Fuzzy ID3, Fuzzy C4.5, and Fuzzy CART using a weighted voting scheme:</w:t>
      </w:r>
      <m:oMath>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p>
    <w:p w:rsidR="00B2242A" w:rsidRPr="00286BA7" w:rsidRDefault="00B2242A" w:rsidP="00B2242A">
      <w:pPr>
        <w:pStyle w:val="NormalWeb"/>
        <w:spacing w:before="0" w:beforeAutospacing="0" w:after="0" w:afterAutospacing="0" w:line="480" w:lineRule="auto"/>
        <w:ind w:left="360"/>
        <w:jc w:val="both"/>
      </w:pPr>
      <m:oMathPara>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j</m:t>
                  </m:r>
                </m:sub>
              </m:sSub>
            </m:e>
            <m:e>
              <m:r>
                <w:rPr>
                  <w:rFonts w:ascii="Cambria Math" w:hAnsi="Cambria Math"/>
                </w:rPr>
                <m:t>x</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t=1</m:t>
              </m:r>
            </m:sub>
            <m:sup>
              <m:r>
                <w:rPr>
                  <w:rFonts w:ascii="Cambria Math" w:hAnsi="Cambria Math"/>
                </w:rPr>
                <m:t>T</m:t>
              </m:r>
            </m:sup>
            <m:e>
              <m:sSub>
                <m:sSubPr>
                  <m:ctrlPr>
                    <w:rPr>
                      <w:rFonts w:ascii="Cambria Math" w:hAnsi="Cambria Math"/>
                      <w:i/>
                    </w:rPr>
                  </m:ctrlPr>
                </m:sSubPr>
                <m:e>
                  <m:r>
                    <w:rPr>
                      <w:rFonts w:ascii="Cambria Math" w:hAnsi="Cambria Math"/>
                    </w:rPr>
                    <m:t>w</m:t>
                  </m:r>
                </m:e>
                <m:sub>
                  <m:r>
                    <w:rPr>
                      <w:rFonts w:ascii="Cambria Math" w:hAnsi="Cambria Math"/>
                    </w:rPr>
                    <m:t>t</m:t>
                  </m:r>
                </m:sub>
              </m:sSub>
              <m:sSub>
                <m:sSubPr>
                  <m:ctrlPr>
                    <w:rPr>
                      <w:rFonts w:ascii="Cambria Math" w:hAnsi="Cambria Math"/>
                      <w:i/>
                    </w:rPr>
                  </m:ctrlPr>
                </m:sSubPr>
                <m:e>
                  <m:r>
                    <w:rPr>
                      <w:rFonts w:ascii="Cambria Math" w:hAnsi="Cambria Math"/>
                    </w:rPr>
                    <m:t>P</m:t>
                  </m:r>
                </m:e>
                <m:sub>
                  <m:r>
                    <w:rPr>
                      <w:rFonts w:ascii="Cambria Math" w:hAnsi="Cambria Math"/>
                    </w:rPr>
                    <m:t>t</m:t>
                  </m:r>
                </m:sub>
              </m:sSub>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j</m:t>
                      </m:r>
                    </m:sub>
                  </m:sSub>
                </m:e>
                <m:e>
                  <m:r>
                    <w:rPr>
                      <w:rFonts w:ascii="Cambria Math" w:hAnsi="Cambria Math"/>
                    </w:rPr>
                    <m:t>x</m:t>
                  </m:r>
                </m:e>
              </m:d>
            </m:e>
          </m:nary>
          <m:r>
            <w:rPr>
              <w:rFonts w:ascii="Cambria Math" w:hAnsi="Cambria Math"/>
            </w:rPr>
            <m:t xml:space="preserve">                                                                  12</m:t>
          </m:r>
        </m:oMath>
      </m:oMathPara>
    </w:p>
    <w:p w:rsidR="00B2242A" w:rsidRPr="00286BA7" w:rsidRDefault="00B2242A" w:rsidP="00B2242A">
      <w:pPr>
        <w:pStyle w:val="NormalWeb"/>
        <w:spacing w:before="0" w:beforeAutospacing="0" w:after="0" w:afterAutospacing="0" w:line="480" w:lineRule="auto"/>
        <w:ind w:left="360"/>
        <w:jc w:val="both"/>
      </w:pPr>
      <w:r w:rsidRPr="00286BA7">
        <w:t xml:space="preserve">Where </w:t>
      </w:r>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j</m:t>
                </m:r>
              </m:sub>
            </m:sSub>
          </m:e>
          <m:e>
            <m:r>
              <w:rPr>
                <w:rFonts w:ascii="Cambria Math" w:hAnsi="Cambria Math"/>
              </w:rPr>
              <m:t>x</m:t>
            </m:r>
          </m:e>
        </m:d>
      </m:oMath>
      <w:proofErr w:type="gramStart"/>
      <w:r w:rsidRPr="00286BA7">
        <w:t xml:space="preserve"> is the class probability from the tree t.</w:t>
      </w:r>
      <w:proofErr w:type="gramEnd"/>
      <w:r w:rsidRPr="00286BA7">
        <w:t xml:space="preserve"> </w:t>
      </w:r>
      <m:oMath>
        <m:sSub>
          <m:sSubPr>
            <m:ctrlPr>
              <w:rPr>
                <w:rFonts w:ascii="Cambria Math" w:hAnsi="Cambria Math"/>
                <w:i/>
              </w:rPr>
            </m:ctrlPr>
          </m:sSubPr>
          <m:e>
            <m:r>
              <w:rPr>
                <w:rFonts w:ascii="Cambria Math" w:hAnsi="Cambria Math"/>
              </w:rPr>
              <m:t>w</m:t>
            </m:r>
          </m:e>
          <m:sub>
            <m:r>
              <w:rPr>
                <w:rFonts w:ascii="Cambria Math" w:hAnsi="Cambria Math"/>
              </w:rPr>
              <m:t>t</m:t>
            </m:r>
          </m:sub>
        </m:sSub>
      </m:oMath>
      <w:r w:rsidRPr="00286BA7">
        <w:t xml:space="preserve"> is the weight assigned to tree t. </w:t>
      </w:r>
    </w:p>
    <w:p w:rsidR="00DA56FC" w:rsidRPr="00286BA7" w:rsidRDefault="00195859" w:rsidP="00195859">
      <w:pPr>
        <w:spacing w:after="0" w:line="240" w:lineRule="auto"/>
        <w:ind w:firstLine="360"/>
        <w:jc w:val="both"/>
        <w:rPr>
          <w:rFonts w:ascii="Times New Roman" w:hAnsi="Times New Roman" w:cs="Times New Roman"/>
          <w:sz w:val="24"/>
          <w:szCs w:val="24"/>
        </w:rPr>
      </w:pPr>
      <w:proofErr w:type="spellStart"/>
      <w:r w:rsidRPr="00286BA7">
        <w:rPr>
          <w:rFonts w:ascii="Times New Roman" w:hAnsi="Times New Roman" w:cs="Times New Roman"/>
          <w:sz w:val="24"/>
          <w:szCs w:val="24"/>
        </w:rPr>
        <w:t>Hyperparameter</w:t>
      </w:r>
      <w:proofErr w:type="spellEnd"/>
      <w:r w:rsidRPr="00286BA7">
        <w:rPr>
          <w:rFonts w:ascii="Times New Roman" w:hAnsi="Times New Roman" w:cs="Times New Roman"/>
          <w:sz w:val="24"/>
          <w:szCs w:val="24"/>
        </w:rPr>
        <w:t xml:space="preserve"> tuning was applied using Bayesian Optimization, Grid Search, and Randomized Search techniques to improve model performance and robustness. The optimization process focused on key parameters such as learning rate, tree depth, number of estimators, and regularization coefficients to achieve optimal predictive accuracy and generalization capability.</w:t>
      </w:r>
    </w:p>
    <w:p w:rsidR="00BA39EB" w:rsidRPr="00286BA7" w:rsidRDefault="00BA39EB" w:rsidP="00BA39EB">
      <w:pPr>
        <w:spacing w:after="0" w:line="240" w:lineRule="auto"/>
        <w:jc w:val="both"/>
        <w:rPr>
          <w:rFonts w:ascii="Times New Roman" w:hAnsi="Times New Roman" w:cs="Times New Roman"/>
          <w:sz w:val="24"/>
          <w:szCs w:val="24"/>
        </w:rPr>
      </w:pPr>
    </w:p>
    <w:p w:rsidR="00BA39EB" w:rsidRPr="00956664" w:rsidRDefault="00BA39EB" w:rsidP="00956664">
      <w:pPr>
        <w:spacing w:after="0" w:line="240" w:lineRule="auto"/>
        <w:jc w:val="both"/>
        <w:rPr>
          <w:rFonts w:ascii="Times New Roman" w:hAnsi="Times New Roman" w:cs="Times New Roman"/>
          <w:b/>
          <w:sz w:val="24"/>
          <w:szCs w:val="24"/>
        </w:rPr>
      </w:pPr>
      <w:r w:rsidRPr="00956664">
        <w:rPr>
          <w:rFonts w:ascii="Times New Roman" w:hAnsi="Times New Roman" w:cs="Times New Roman"/>
          <w:b/>
          <w:sz w:val="24"/>
          <w:szCs w:val="24"/>
        </w:rPr>
        <w:t xml:space="preserve">Model Frameworks </w:t>
      </w:r>
    </w:p>
    <w:p w:rsidR="00BA39EB" w:rsidRPr="00286BA7" w:rsidRDefault="00BA39EB" w:rsidP="00013EE8">
      <w:pPr>
        <w:spacing w:after="0" w:line="240" w:lineRule="auto"/>
        <w:jc w:val="both"/>
        <w:rPr>
          <w:rFonts w:ascii="Times New Roman" w:hAnsi="Times New Roman" w:cs="Times New Roman"/>
          <w:sz w:val="24"/>
          <w:szCs w:val="24"/>
        </w:rPr>
      </w:pPr>
      <w:r w:rsidRPr="00286BA7">
        <w:rPr>
          <w:rFonts w:ascii="Times New Roman" w:hAnsi="Times New Roman" w:cs="Times New Roman"/>
          <w:sz w:val="24"/>
          <w:szCs w:val="24"/>
        </w:rPr>
        <w:t xml:space="preserve">The model framework for this study is illustrated in figure 1. </w:t>
      </w:r>
      <w:r w:rsidR="00013EE8" w:rsidRPr="00286BA7">
        <w:rPr>
          <w:rFonts w:ascii="Times New Roman" w:hAnsi="Times New Roman" w:cs="Times New Roman"/>
          <w:sz w:val="24"/>
          <w:szCs w:val="24"/>
        </w:rPr>
        <w:t xml:space="preserve">The framework presents a hybrid fuzzy ensemble machine learning architecture designed for intelligent prediction and classification tasks. The process begins with a patient dataset in CSV format, which undergoes data preprocessing involving feature engineering, data cleaning, and transformation to generate a refined dataset. The cleaned data is then passed through a </w:t>
      </w:r>
      <w:proofErr w:type="spellStart"/>
      <w:r w:rsidR="00013EE8" w:rsidRPr="00286BA7">
        <w:rPr>
          <w:rFonts w:ascii="Times New Roman" w:hAnsi="Times New Roman" w:cs="Times New Roman"/>
          <w:sz w:val="24"/>
          <w:szCs w:val="24"/>
        </w:rPr>
        <w:t>fuzzification</w:t>
      </w:r>
      <w:proofErr w:type="spellEnd"/>
      <w:r w:rsidR="00013EE8" w:rsidRPr="00286BA7">
        <w:rPr>
          <w:rFonts w:ascii="Times New Roman" w:hAnsi="Times New Roman" w:cs="Times New Roman"/>
          <w:sz w:val="24"/>
          <w:szCs w:val="24"/>
        </w:rPr>
        <w:t xml:space="preserve"> stage where fuzzy membership functions are applied to convert input features into fuzzy sets capable of handling uncertainty and imprecision. The </w:t>
      </w:r>
      <w:proofErr w:type="spellStart"/>
      <w:r w:rsidR="00013EE8" w:rsidRPr="00286BA7">
        <w:rPr>
          <w:rFonts w:ascii="Times New Roman" w:hAnsi="Times New Roman" w:cs="Times New Roman"/>
          <w:sz w:val="24"/>
          <w:szCs w:val="24"/>
        </w:rPr>
        <w:t>fuzzified</w:t>
      </w:r>
      <w:proofErr w:type="spellEnd"/>
      <w:r w:rsidR="00013EE8" w:rsidRPr="00286BA7">
        <w:rPr>
          <w:rFonts w:ascii="Times New Roman" w:hAnsi="Times New Roman" w:cs="Times New Roman"/>
          <w:sz w:val="24"/>
          <w:szCs w:val="24"/>
        </w:rPr>
        <w:t xml:space="preserve"> dataset is used to build multiple fuzzy decision tree models, including Fuzzy C4.5, Fuzzy CART, and Fuzzy ID3, each generating independent predictions based on fuzzy conditions and decision rules. These predictions are integrated using an ensemble learning pipeline that combines bagging and boosting techniques to improve robustness, reduce classification errors, and enhance predictive performance. The final hybrid ensemble model undergoes training and </w:t>
      </w:r>
      <w:proofErr w:type="spellStart"/>
      <w:r w:rsidR="00013EE8" w:rsidRPr="00286BA7">
        <w:rPr>
          <w:rFonts w:ascii="Times New Roman" w:hAnsi="Times New Roman" w:cs="Times New Roman"/>
          <w:sz w:val="24"/>
          <w:szCs w:val="24"/>
        </w:rPr>
        <w:t>hyperparameter</w:t>
      </w:r>
      <w:proofErr w:type="spellEnd"/>
      <w:r w:rsidR="00013EE8" w:rsidRPr="00286BA7">
        <w:rPr>
          <w:rFonts w:ascii="Times New Roman" w:hAnsi="Times New Roman" w:cs="Times New Roman"/>
          <w:sz w:val="24"/>
          <w:szCs w:val="24"/>
        </w:rPr>
        <w:t xml:space="preserve"> optimization to achieve optimal performance. The effectiveness of the model is evaluated using standard performance metrics such as Accuracy, Precision, Recall, F1-Score, and AUC-ROC. Overall, the framework integrates fuzzy logic, decision trees, and ensemble learning to produce a robust and accurate predictive system suitable for complex and uncertain datasets in domains such as healthcare, cybersecurity, and intelligent systems.</w:t>
      </w:r>
    </w:p>
    <w:p w:rsidR="00013EE8" w:rsidRPr="00286BA7" w:rsidRDefault="00BA39EB" w:rsidP="00013EE8">
      <w:pPr>
        <w:spacing w:after="0" w:line="240" w:lineRule="auto"/>
        <w:jc w:val="both"/>
        <w:rPr>
          <w:rFonts w:ascii="Times New Roman" w:hAnsi="Times New Roman" w:cs="Times New Roman"/>
          <w:sz w:val="24"/>
          <w:szCs w:val="24"/>
        </w:rPr>
      </w:pPr>
      <w:r w:rsidRPr="00286BA7">
        <w:rPr>
          <w:rFonts w:ascii="Times New Roman" w:hAnsi="Times New Roman" w:cs="Times New Roman"/>
          <w:noProof/>
          <w:sz w:val="24"/>
          <w:szCs w:val="24"/>
        </w:rPr>
        <w:lastRenderedPageBreak/>
        <w:drawing>
          <wp:inline distT="0" distB="0" distL="0" distR="0">
            <wp:extent cx="5943600" cy="3900163"/>
            <wp:effectExtent l="0" t="0" r="0" b="5715"/>
            <wp:docPr id="4" name="Picture 4" descr="C:\Users\user\Downloads\WhatsApp Image 2026-05-08 at 3.29.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6-05-08 at 3.29.10 P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00163"/>
                    </a:xfrm>
                    <a:prstGeom prst="rect">
                      <a:avLst/>
                    </a:prstGeom>
                    <a:noFill/>
                    <a:ln>
                      <a:noFill/>
                    </a:ln>
                  </pic:spPr>
                </pic:pic>
              </a:graphicData>
            </a:graphic>
          </wp:inline>
        </w:drawing>
      </w:r>
      <w:r w:rsidRPr="00286BA7">
        <w:rPr>
          <w:rFonts w:ascii="Times New Roman" w:hAnsi="Times New Roman" w:cs="Times New Roman"/>
          <w:sz w:val="24"/>
          <w:szCs w:val="24"/>
        </w:rPr>
        <w:t xml:space="preserve"> </w:t>
      </w:r>
    </w:p>
    <w:p w:rsidR="00BA39EB" w:rsidRPr="00286BA7" w:rsidRDefault="00013EE8" w:rsidP="00013EE8">
      <w:pPr>
        <w:rPr>
          <w:rFonts w:ascii="Times New Roman" w:hAnsi="Times New Roman" w:cs="Times New Roman"/>
          <w:sz w:val="24"/>
          <w:szCs w:val="24"/>
        </w:rPr>
      </w:pPr>
      <w:r w:rsidRPr="00286BA7">
        <w:rPr>
          <w:rFonts w:ascii="Times New Roman" w:hAnsi="Times New Roman" w:cs="Times New Roman"/>
          <w:sz w:val="24"/>
          <w:szCs w:val="24"/>
        </w:rPr>
        <w:t xml:space="preserve">Figure 1: </w:t>
      </w:r>
      <w:proofErr w:type="spellStart"/>
      <w:r w:rsidRPr="00286BA7">
        <w:rPr>
          <w:rFonts w:ascii="Times New Roman" w:hAnsi="Times New Roman" w:cs="Times New Roman"/>
          <w:sz w:val="24"/>
          <w:szCs w:val="24"/>
        </w:rPr>
        <w:t>ProposedFuzzy</w:t>
      </w:r>
      <w:proofErr w:type="spellEnd"/>
      <w:r w:rsidRPr="00286BA7">
        <w:rPr>
          <w:rFonts w:ascii="Times New Roman" w:hAnsi="Times New Roman" w:cs="Times New Roman"/>
          <w:sz w:val="24"/>
          <w:szCs w:val="24"/>
        </w:rPr>
        <w:t xml:space="preserve"> Ensemble Decision Tree Framework for Intelligent Prediction and Classification</w:t>
      </w:r>
    </w:p>
    <w:p w:rsidR="00195859" w:rsidRPr="00286BA7" w:rsidRDefault="00195859" w:rsidP="00195859">
      <w:pPr>
        <w:spacing w:after="0" w:line="240" w:lineRule="auto"/>
        <w:jc w:val="both"/>
        <w:rPr>
          <w:rFonts w:ascii="Times New Roman" w:hAnsi="Times New Roman" w:cs="Times New Roman"/>
          <w:sz w:val="24"/>
          <w:szCs w:val="24"/>
        </w:rPr>
      </w:pPr>
    </w:p>
    <w:p w:rsidR="00195859" w:rsidRPr="0017473F" w:rsidRDefault="00195859" w:rsidP="0017473F">
      <w:pPr>
        <w:spacing w:after="0" w:line="240" w:lineRule="auto"/>
        <w:outlineLvl w:val="1"/>
        <w:rPr>
          <w:rFonts w:ascii="Times New Roman" w:eastAsia="Times New Roman" w:hAnsi="Times New Roman" w:cs="Times New Roman"/>
          <w:b/>
          <w:bCs/>
          <w:sz w:val="24"/>
          <w:szCs w:val="24"/>
        </w:rPr>
      </w:pPr>
      <w:r w:rsidRPr="0017473F">
        <w:rPr>
          <w:rFonts w:ascii="Times New Roman" w:eastAsia="Times New Roman" w:hAnsi="Times New Roman" w:cs="Times New Roman"/>
          <w:b/>
          <w:bCs/>
          <w:sz w:val="24"/>
          <w:szCs w:val="24"/>
        </w:rPr>
        <w:t>Evaluation Metrics</w:t>
      </w:r>
    </w:p>
    <w:p w:rsidR="00195859" w:rsidRPr="00286BA7" w:rsidRDefault="00195859" w:rsidP="00195859">
      <w:pPr>
        <w:spacing w:after="0" w:line="240" w:lineRule="auto"/>
        <w:jc w:val="both"/>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The developed models were evaluated using standard classification metrics including Accuracy, Precision, Recall, F1-Score, and ROC-AUC to comprehensively assess predictive performance. Accuracy measured the overall correctness of the models, while Precision and Recall evaluated the ability to correctly identify positive cervical cancer cases and minimize false predictions. The F1-Score provided a balanced measure of Precision and Recall, particularly for the imbalanced dataset, whereas ROC-AUC assessed the models’ discriminative capability across different classification thresholds. In addition, confusion matrices and ROC curves were generated to provide comparative performance analysis and visualize the classification effectiveness of the models.</w:t>
      </w:r>
      <w:r w:rsidR="00321A23" w:rsidRPr="00286BA7">
        <w:rPr>
          <w:rFonts w:ascii="Times New Roman" w:eastAsia="Times New Roman" w:hAnsi="Times New Roman" w:cs="Times New Roman"/>
          <w:sz w:val="24"/>
          <w:szCs w:val="24"/>
        </w:rPr>
        <w:t xml:space="preserve"> Thes</w:t>
      </w:r>
      <w:r w:rsidR="00BA4BEB" w:rsidRPr="00286BA7">
        <w:rPr>
          <w:rFonts w:ascii="Times New Roman" w:eastAsia="Times New Roman" w:hAnsi="Times New Roman" w:cs="Times New Roman"/>
          <w:sz w:val="24"/>
          <w:szCs w:val="24"/>
        </w:rPr>
        <w:t>e metrics are defined in equations (13) – (16)</w:t>
      </w:r>
      <w:r w:rsidR="00321A23" w:rsidRPr="00286BA7">
        <w:rPr>
          <w:rFonts w:ascii="Times New Roman" w:eastAsia="Times New Roman" w:hAnsi="Times New Roman" w:cs="Times New Roman"/>
          <w:sz w:val="24"/>
          <w:szCs w:val="24"/>
        </w:rPr>
        <w:t>.</w:t>
      </w:r>
    </w:p>
    <w:p w:rsidR="00321A23" w:rsidRPr="00286BA7" w:rsidRDefault="00321A23" w:rsidP="00195859">
      <w:pPr>
        <w:spacing w:after="0" w:line="240" w:lineRule="auto"/>
        <w:jc w:val="both"/>
        <w:rPr>
          <w:rFonts w:ascii="Times New Roman" w:eastAsia="Times New Roman" w:hAnsi="Times New Roman" w:cs="Times New Roman"/>
          <w:sz w:val="24"/>
          <w:szCs w:val="24"/>
        </w:rPr>
      </w:pPr>
    </w:p>
    <w:p w:rsidR="00321A23" w:rsidRPr="00286BA7" w:rsidRDefault="00321A23" w:rsidP="00BA4BEB">
      <w:pPr>
        <w:pStyle w:val="NormalWeb"/>
        <w:numPr>
          <w:ilvl w:val="0"/>
          <w:numId w:val="8"/>
        </w:numPr>
        <w:spacing w:before="0" w:beforeAutospacing="0" w:after="0" w:afterAutospacing="0"/>
        <w:jc w:val="both"/>
      </w:pPr>
      <w:r w:rsidRPr="00286BA7">
        <w:rPr>
          <w:b/>
        </w:rPr>
        <w:t>Accuracy</w:t>
      </w:r>
      <w:r w:rsidRPr="00286BA7">
        <w:t xml:space="preserve">: Accuracy measures the overall correctness of the model. It is the proportion of total predictions that are correct. The </w:t>
      </w:r>
      <w:r w:rsidRPr="00286BA7">
        <w:rPr>
          <w:bCs/>
        </w:rPr>
        <w:t>Formula</w:t>
      </w:r>
      <w:r w:rsidRPr="00286BA7">
        <w:rPr>
          <w:b/>
          <w:bCs/>
        </w:rPr>
        <w:t>:</w:t>
      </w:r>
    </w:p>
    <w:p w:rsidR="00321A23" w:rsidRPr="00286BA7" w:rsidRDefault="00321A23" w:rsidP="00BA4BEB">
      <w:pPr>
        <w:pStyle w:val="ListParagraph"/>
        <w:autoSpaceDE w:val="0"/>
        <w:autoSpaceDN w:val="0"/>
        <w:adjustRightInd w:val="0"/>
        <w:spacing w:after="0" w:line="240" w:lineRule="auto"/>
        <w:ind w:left="540"/>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Accuracy</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TP+TN</m:t>
              </m:r>
            </m:num>
            <m:den>
              <m:r>
                <w:rPr>
                  <w:rFonts w:ascii="Cambria Math" w:hAnsi="Cambria Math" w:cs="Times New Roman"/>
                  <w:sz w:val="24"/>
                  <w:szCs w:val="24"/>
                </w:rPr>
                <m:t>TP+FP+TN+FN</m:t>
              </m:r>
            </m:den>
          </m:f>
          <m:r>
            <w:rPr>
              <w:rFonts w:ascii="Cambria Math" w:hAnsi="Cambria Math" w:cs="Times New Roman"/>
              <w:sz w:val="24"/>
              <w:szCs w:val="24"/>
            </w:rPr>
            <m:t xml:space="preserve">                                              13</m:t>
          </m:r>
        </m:oMath>
      </m:oMathPara>
    </w:p>
    <w:p w:rsidR="00BA4BEB" w:rsidRPr="00286BA7" w:rsidRDefault="00BA4BEB" w:rsidP="00BA4BEB">
      <w:pPr>
        <w:pStyle w:val="ListParagraph"/>
        <w:autoSpaceDE w:val="0"/>
        <w:autoSpaceDN w:val="0"/>
        <w:adjustRightInd w:val="0"/>
        <w:spacing w:after="0" w:line="240" w:lineRule="auto"/>
        <w:ind w:left="540"/>
        <w:jc w:val="both"/>
        <w:rPr>
          <w:rFonts w:ascii="Times New Roman" w:eastAsiaTheme="minorEastAsia" w:hAnsi="Times New Roman" w:cs="Times New Roman"/>
          <w:sz w:val="24"/>
          <w:szCs w:val="24"/>
        </w:rPr>
      </w:pPr>
    </w:p>
    <w:p w:rsidR="00321A23" w:rsidRPr="00286BA7" w:rsidRDefault="00321A23" w:rsidP="00BA4BEB">
      <w:pPr>
        <w:pStyle w:val="NormalWeb"/>
        <w:numPr>
          <w:ilvl w:val="0"/>
          <w:numId w:val="8"/>
        </w:numPr>
        <w:spacing w:before="0" w:beforeAutospacing="0" w:after="0" w:afterAutospacing="0"/>
        <w:jc w:val="both"/>
      </w:pPr>
      <w:r w:rsidRPr="00286BA7">
        <w:rPr>
          <w:b/>
        </w:rPr>
        <w:t>Precision</w:t>
      </w:r>
      <w:r w:rsidRPr="00286BA7">
        <w:t xml:space="preserve">: Precision measures how many of the predicted positive cases are actually positive. It focuses on </w:t>
      </w:r>
      <w:r w:rsidRPr="00286BA7">
        <w:rPr>
          <w:bCs/>
        </w:rPr>
        <w:t>false positives</w:t>
      </w:r>
      <w:r w:rsidRPr="00286BA7">
        <w:t xml:space="preserve">. The </w:t>
      </w:r>
      <w:r w:rsidRPr="00286BA7">
        <w:rPr>
          <w:bCs/>
        </w:rPr>
        <w:t>Formula is</w:t>
      </w:r>
      <w:r w:rsidRPr="00286BA7">
        <w:rPr>
          <w:b/>
          <w:bCs/>
        </w:rPr>
        <w:t>:</w:t>
      </w:r>
    </w:p>
    <w:p w:rsidR="00321A23" w:rsidRPr="00286BA7" w:rsidRDefault="00321A23" w:rsidP="00BA4BEB">
      <w:pPr>
        <w:pStyle w:val="ListParagraph"/>
        <w:autoSpaceDE w:val="0"/>
        <w:autoSpaceDN w:val="0"/>
        <w:adjustRightInd w:val="0"/>
        <w:spacing w:after="0" w:line="240" w:lineRule="auto"/>
        <w:ind w:left="540"/>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Precision</m:t>
          </m:r>
          <m:r>
            <w:rPr>
              <w:rFonts w:ascii="Cambria Math" w:hAnsi="Cambria Math" w:cs="Times New Roman"/>
              <w:sz w:val="24"/>
              <w:szCs w:val="24"/>
            </w:rPr>
            <m:t xml:space="preserve">= PPV= </m:t>
          </m:r>
          <m:f>
            <m:fPr>
              <m:ctrlPr>
                <w:rPr>
                  <w:rFonts w:ascii="Cambria Math" w:hAnsi="Cambria Math" w:cs="Times New Roman"/>
                  <w:i/>
                  <w:sz w:val="24"/>
                  <w:szCs w:val="24"/>
                </w:rPr>
              </m:ctrlPr>
            </m:fPr>
            <m:num>
              <m:r>
                <w:rPr>
                  <w:rFonts w:ascii="Cambria Math" w:hAnsi="Cambria Math" w:cs="Times New Roman"/>
                  <w:sz w:val="24"/>
                  <w:szCs w:val="24"/>
                </w:rPr>
                <m:t>TP</m:t>
              </m:r>
            </m:num>
            <m:den>
              <m:r>
                <w:rPr>
                  <w:rFonts w:ascii="Cambria Math" w:hAnsi="Cambria Math" w:cs="Times New Roman"/>
                  <w:sz w:val="24"/>
                  <w:szCs w:val="24"/>
                </w:rPr>
                <m:t>TP+FP</m:t>
              </m:r>
            </m:den>
          </m:f>
          <m:r>
            <w:rPr>
              <w:rFonts w:ascii="Cambria Math" w:hAnsi="Cambria Math" w:cs="Times New Roman"/>
              <w:sz w:val="24"/>
              <w:szCs w:val="24"/>
            </w:rPr>
            <m:t xml:space="preserve">                                                      14   </m:t>
          </m:r>
        </m:oMath>
      </m:oMathPara>
    </w:p>
    <w:p w:rsidR="00BA4BEB" w:rsidRPr="00286BA7" w:rsidRDefault="00BA4BEB" w:rsidP="00BA4BEB">
      <w:pPr>
        <w:pStyle w:val="ListParagraph"/>
        <w:autoSpaceDE w:val="0"/>
        <w:autoSpaceDN w:val="0"/>
        <w:adjustRightInd w:val="0"/>
        <w:spacing w:after="0" w:line="240" w:lineRule="auto"/>
        <w:ind w:left="540"/>
        <w:jc w:val="both"/>
        <w:rPr>
          <w:rFonts w:ascii="Times New Roman" w:hAnsi="Times New Roman" w:cs="Times New Roman"/>
          <w:sz w:val="24"/>
          <w:szCs w:val="24"/>
        </w:rPr>
      </w:pPr>
    </w:p>
    <w:p w:rsidR="00321A23" w:rsidRPr="00286BA7" w:rsidRDefault="00321A23" w:rsidP="00BA4BEB">
      <w:pPr>
        <w:pStyle w:val="NormalWeb"/>
        <w:numPr>
          <w:ilvl w:val="0"/>
          <w:numId w:val="8"/>
        </w:numPr>
        <w:spacing w:before="0" w:beforeAutospacing="0" w:after="0" w:afterAutospacing="0"/>
        <w:jc w:val="both"/>
      </w:pPr>
      <w:r w:rsidRPr="00286BA7">
        <w:rPr>
          <w:b/>
        </w:rPr>
        <w:t>Recall (Sensitivity):</w:t>
      </w:r>
      <w:r w:rsidRPr="00286BA7">
        <w:t xml:space="preserve"> Recall measures how many actual positive cases are correctly identified. It focuses on </w:t>
      </w:r>
      <w:r w:rsidRPr="00286BA7">
        <w:rPr>
          <w:bCs/>
        </w:rPr>
        <w:t>false negatives</w:t>
      </w:r>
      <w:r w:rsidRPr="00286BA7">
        <w:t xml:space="preserve">. The </w:t>
      </w:r>
      <w:r w:rsidRPr="00286BA7">
        <w:rPr>
          <w:bCs/>
        </w:rPr>
        <w:t>formula is as follows</w:t>
      </w:r>
      <w:r w:rsidRPr="00286BA7">
        <w:rPr>
          <w:b/>
          <w:bCs/>
        </w:rPr>
        <w:t>:</w:t>
      </w:r>
    </w:p>
    <w:p w:rsidR="00321A23" w:rsidRPr="00286BA7" w:rsidRDefault="00321A23" w:rsidP="00BA4BEB">
      <w:pPr>
        <w:pStyle w:val="Default"/>
        <w:ind w:left="540"/>
        <w:jc w:val="both"/>
        <w:rPr>
          <w:rFonts w:ascii="Times New Roman" w:hAnsi="Times New Roman" w:cs="Times New Roman"/>
        </w:rPr>
      </w:pPr>
      <m:oMathPara>
        <m:oMath>
          <m:r>
            <m:rPr>
              <m:sty m:val="p"/>
            </m:rPr>
            <w:rPr>
              <w:rFonts w:ascii="Cambria Math" w:hAnsi="Cambria Math" w:cs="Times New Roman"/>
            </w:rPr>
            <m:t xml:space="preserve">Sensitivity or Recall=TPR=  </m:t>
          </m:r>
          <m:f>
            <m:fPr>
              <m:ctrlPr>
                <w:rPr>
                  <w:rFonts w:ascii="Cambria Math" w:hAnsi="Cambria Math" w:cs="Times New Roman"/>
                  <w:bCs/>
                </w:rPr>
              </m:ctrlPr>
            </m:fPr>
            <m:num>
              <m:r>
                <m:rPr>
                  <m:sty m:val="p"/>
                </m:rPr>
                <w:rPr>
                  <w:rFonts w:ascii="Cambria Math" w:hAnsi="Cambria Math" w:cs="Times New Roman"/>
                </w:rPr>
                <m:t>TP</m:t>
              </m:r>
            </m:num>
            <m:den>
              <m:r>
                <m:rPr>
                  <m:sty m:val="p"/>
                </m:rPr>
                <w:rPr>
                  <w:rFonts w:ascii="Cambria Math" w:hAnsi="Cambria Math" w:cs="Times New Roman"/>
                </w:rPr>
                <m:t>TP+FN</m:t>
              </m:r>
            </m:den>
          </m:f>
          <m:r>
            <m:rPr>
              <m:sty m:val="p"/>
            </m:rPr>
            <w:rPr>
              <w:rFonts w:ascii="Cambria Math" w:hAnsi="Cambria Math" w:cs="Times New Roman"/>
            </w:rPr>
            <m:t xml:space="preserve">                                 15 </m:t>
          </m:r>
        </m:oMath>
      </m:oMathPara>
    </w:p>
    <w:p w:rsidR="00BA4BEB" w:rsidRPr="00286BA7" w:rsidRDefault="00BA4BEB" w:rsidP="00BA4BEB">
      <w:pPr>
        <w:pStyle w:val="Default"/>
        <w:ind w:left="540"/>
        <w:jc w:val="both"/>
        <w:rPr>
          <w:rFonts w:ascii="Times New Roman" w:hAnsi="Times New Roman" w:cs="Times New Roman"/>
          <w:bCs/>
        </w:rPr>
      </w:pPr>
    </w:p>
    <w:p w:rsidR="00321A23" w:rsidRPr="00286BA7" w:rsidRDefault="00321A23" w:rsidP="00BA4BEB">
      <w:pPr>
        <w:pStyle w:val="NormalWeb"/>
        <w:numPr>
          <w:ilvl w:val="0"/>
          <w:numId w:val="8"/>
        </w:numPr>
        <w:spacing w:before="0" w:beforeAutospacing="0" w:after="0" w:afterAutospacing="0"/>
        <w:jc w:val="both"/>
      </w:pPr>
      <w:r w:rsidRPr="00286BA7">
        <w:rPr>
          <w:b/>
        </w:rPr>
        <w:t>F1</w:t>
      </w:r>
      <w:r w:rsidRPr="00286BA7">
        <w:t>-</w:t>
      </w:r>
      <w:r w:rsidRPr="00286BA7">
        <w:rPr>
          <w:b/>
        </w:rPr>
        <w:t>Score</w:t>
      </w:r>
      <w:r w:rsidRPr="00286BA7">
        <w:t xml:space="preserve">: F1-Score is the harmonic mean of Precision and Recall. F1-Score balances both false positives and false negatives. Important when missing a positive case is costly (e.g., disease detection, malware detection). The </w:t>
      </w:r>
      <w:r w:rsidRPr="00286BA7">
        <w:rPr>
          <w:bCs/>
        </w:rPr>
        <w:t>formula is stated below:</w:t>
      </w:r>
    </w:p>
    <w:p w:rsidR="00BA4BEB" w:rsidRPr="00286BA7" w:rsidRDefault="00BA4BEB" w:rsidP="00BA4BEB">
      <w:pPr>
        <w:pStyle w:val="NormalWeb"/>
        <w:numPr>
          <w:ilvl w:val="0"/>
          <w:numId w:val="8"/>
        </w:numPr>
        <w:spacing w:before="0" w:beforeAutospacing="0" w:after="0" w:afterAutospacing="0"/>
        <w:jc w:val="both"/>
      </w:pPr>
    </w:p>
    <w:p w:rsidR="00321A23" w:rsidRPr="00286BA7" w:rsidRDefault="00321A23" w:rsidP="00BA4BEB">
      <w:pPr>
        <w:pStyle w:val="Default"/>
        <w:ind w:left="540"/>
        <w:jc w:val="both"/>
        <w:rPr>
          <w:rFonts w:ascii="Times New Roman" w:hAnsi="Times New Roman" w:cs="Times New Roman"/>
          <w:bCs/>
        </w:rPr>
      </w:pPr>
      <m:oMathPara>
        <m:oMath>
          <m:r>
            <m:rPr>
              <m:sty m:val="p"/>
            </m:rPr>
            <w:rPr>
              <w:rFonts w:ascii="Cambria Math" w:hAnsi="Cambria Math" w:cs="Times New Roman"/>
            </w:rPr>
            <w:lastRenderedPageBreak/>
            <m:t xml:space="preserve">F1-Score = 2 x  </m:t>
          </m:r>
          <m:f>
            <m:fPr>
              <m:ctrlPr>
                <w:rPr>
                  <w:rFonts w:ascii="Cambria Math" w:hAnsi="Cambria Math" w:cs="Times New Roman"/>
                  <w:bCs/>
                </w:rPr>
              </m:ctrlPr>
            </m:fPr>
            <m:num>
              <m:r>
                <m:rPr>
                  <m:sty m:val="p"/>
                </m:rPr>
                <w:rPr>
                  <w:rFonts w:ascii="Cambria Math" w:hAnsi="Cambria Math" w:cs="Times New Roman"/>
                </w:rPr>
                <m:t>Precision x Recall</m:t>
              </m:r>
            </m:num>
            <m:den>
              <m:r>
                <m:rPr>
                  <m:sty m:val="p"/>
                </m:rPr>
                <w:rPr>
                  <w:rFonts w:ascii="Cambria Math" w:hAnsi="Cambria Math" w:cs="Times New Roman"/>
                </w:rPr>
                <m:t>Precision+ Recall</m:t>
              </m:r>
            </m:den>
          </m:f>
          <m:r>
            <m:rPr>
              <m:sty m:val="p"/>
            </m:rPr>
            <w:rPr>
              <w:rFonts w:ascii="Cambria Math" w:hAnsi="Cambria Math" w:cs="Times New Roman"/>
            </w:rPr>
            <m:t xml:space="preserve">                                      16   </m:t>
          </m:r>
        </m:oMath>
      </m:oMathPara>
    </w:p>
    <w:p w:rsidR="00321A23" w:rsidRPr="00286BA7" w:rsidRDefault="00321A23" w:rsidP="00195859">
      <w:pPr>
        <w:spacing w:after="0" w:line="240" w:lineRule="auto"/>
        <w:jc w:val="both"/>
        <w:rPr>
          <w:rFonts w:ascii="Times New Roman" w:eastAsia="Times New Roman" w:hAnsi="Times New Roman" w:cs="Times New Roman"/>
          <w:sz w:val="24"/>
          <w:szCs w:val="24"/>
        </w:rPr>
      </w:pPr>
    </w:p>
    <w:p w:rsidR="00253414" w:rsidRPr="00286BA7" w:rsidRDefault="0017473F" w:rsidP="0017473F">
      <w:pPr>
        <w:pStyle w:val="Heading1"/>
        <w:spacing w:before="0" w:beforeAutospacing="0" w:after="0" w:afterAutospacing="0"/>
        <w:rPr>
          <w:sz w:val="24"/>
          <w:szCs w:val="24"/>
        </w:rPr>
      </w:pPr>
      <w:r w:rsidRPr="00974B7A">
        <w:rPr>
          <w:sz w:val="28"/>
          <w:szCs w:val="28"/>
        </w:rPr>
        <w:t>RESULTS</w:t>
      </w:r>
    </w:p>
    <w:p w:rsidR="00253414" w:rsidRPr="00286BA7" w:rsidRDefault="00253414" w:rsidP="00560394">
      <w:pPr>
        <w:pStyle w:val="NormalWeb"/>
        <w:spacing w:before="0" w:beforeAutospacing="0" w:after="0" w:afterAutospacing="0"/>
        <w:jc w:val="both"/>
      </w:pPr>
      <w:r w:rsidRPr="00286BA7">
        <w:t xml:space="preserve">The experimental results demonstrated </w:t>
      </w:r>
      <w:r w:rsidR="00560394" w:rsidRPr="00286BA7">
        <w:t>the effectiveness of combining</w:t>
      </w:r>
      <w:r w:rsidRPr="00286BA7">
        <w:t xml:space="preserve"> SMOTE, fuzzy logic, and ensemble learning techniques for cervical cancer prediction.</w:t>
      </w:r>
      <w:r w:rsidR="00560394" w:rsidRPr="00286BA7">
        <w:t xml:space="preserve"> </w:t>
      </w:r>
      <w:r w:rsidRPr="00286BA7">
        <w:t>T</w:t>
      </w:r>
      <w:r w:rsidR="00560394" w:rsidRPr="00286BA7">
        <w:t xml:space="preserve">he correlation </w:t>
      </w:r>
      <w:proofErr w:type="spellStart"/>
      <w:r w:rsidR="00560394" w:rsidRPr="00286BA7">
        <w:t>heatmap</w:t>
      </w:r>
      <w:proofErr w:type="spellEnd"/>
      <w:r w:rsidR="00560394" w:rsidRPr="00286BA7">
        <w:t xml:space="preserve"> analysis, shown in figure 1 </w:t>
      </w:r>
      <w:r w:rsidRPr="00286BA7">
        <w:t xml:space="preserve">revealed low </w:t>
      </w:r>
      <w:proofErr w:type="spellStart"/>
      <w:r w:rsidRPr="00286BA7">
        <w:t>multicollinearity</w:t>
      </w:r>
      <w:proofErr w:type="spellEnd"/>
      <w:r w:rsidRPr="00286BA7">
        <w:t xml:space="preserve"> among most variables, indicating that the dataset contained largely independent predictive features. However, strong positive correlations were observed among STD-related variables and smoking-related features, suggesting possible feature redundancy.</w:t>
      </w:r>
    </w:p>
    <w:p w:rsidR="00560394" w:rsidRPr="00286BA7" w:rsidRDefault="00560394" w:rsidP="00560394">
      <w:pPr>
        <w:pStyle w:val="NormalWeb"/>
        <w:spacing w:before="0" w:beforeAutospacing="0" w:after="0" w:afterAutospacing="0"/>
        <w:jc w:val="center"/>
      </w:pPr>
      <w:r w:rsidRPr="00286BA7">
        <w:rPr>
          <w:noProof/>
        </w:rPr>
        <w:drawing>
          <wp:inline distT="0" distB="0" distL="0" distR="0" wp14:anchorId="234785A6" wp14:editId="09DEE90E">
            <wp:extent cx="4105175" cy="2637322"/>
            <wp:effectExtent l="0" t="0" r="0" b="0"/>
            <wp:docPr id="14" name="Picture 14" descr="C:\Users\user\Desktop\SOFTWARE ENGINEERING_CORRESPONDENCES\SUNNY_ICT_MSC\HEAT_MAP_USE.png"/>
            <wp:cNvGraphicFramePr/>
            <a:graphic xmlns:a="http://schemas.openxmlformats.org/drawingml/2006/main">
              <a:graphicData uri="http://schemas.openxmlformats.org/drawingml/2006/picture">
                <pic:pic xmlns:pic="http://schemas.openxmlformats.org/drawingml/2006/picture">
                  <pic:nvPicPr>
                    <pic:cNvPr id="14" name="Picture 14" descr="C:\Users\user\Desktop\SOFTWARE ENGINEERING_CORRESPONDENCES\SUNNY_ICT_MSC\HEAT_MAP_USE.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0864" cy="2640977"/>
                    </a:xfrm>
                    <a:prstGeom prst="rect">
                      <a:avLst/>
                    </a:prstGeom>
                    <a:noFill/>
                    <a:ln>
                      <a:noFill/>
                    </a:ln>
                  </pic:spPr>
                </pic:pic>
              </a:graphicData>
            </a:graphic>
          </wp:inline>
        </w:drawing>
      </w:r>
    </w:p>
    <w:p w:rsidR="00253414" w:rsidRPr="00286BA7" w:rsidRDefault="009E4BA2" w:rsidP="00520567">
      <w:pPr>
        <w:pStyle w:val="NoSpacing"/>
        <w:spacing w:line="480" w:lineRule="auto"/>
        <w:jc w:val="center"/>
        <w:rPr>
          <w:rFonts w:ascii="Times New Roman" w:hAnsi="Times New Roman" w:cs="Times New Roman"/>
          <w:sz w:val="24"/>
          <w:szCs w:val="24"/>
        </w:rPr>
      </w:pPr>
      <w:r w:rsidRPr="00286BA7">
        <w:rPr>
          <w:rFonts w:ascii="Times New Roman" w:hAnsi="Times New Roman" w:cs="Times New Roman"/>
          <w:sz w:val="24"/>
          <w:szCs w:val="24"/>
        </w:rPr>
        <w:t xml:space="preserve">Figure 1. </w:t>
      </w:r>
      <w:proofErr w:type="spellStart"/>
      <w:r w:rsidRPr="00286BA7">
        <w:rPr>
          <w:rFonts w:ascii="Times New Roman" w:hAnsi="Times New Roman" w:cs="Times New Roman"/>
          <w:sz w:val="24"/>
          <w:szCs w:val="24"/>
        </w:rPr>
        <w:t>Heatmap</w:t>
      </w:r>
      <w:proofErr w:type="spellEnd"/>
      <w:r w:rsidRPr="00286BA7">
        <w:rPr>
          <w:rFonts w:ascii="Times New Roman" w:hAnsi="Times New Roman" w:cs="Times New Roman"/>
          <w:sz w:val="24"/>
          <w:szCs w:val="24"/>
        </w:rPr>
        <w:t xml:space="preserve"> of the Cervical Cancer Dataset</w:t>
      </w:r>
    </w:p>
    <w:p w:rsidR="007D7D44" w:rsidRPr="00286BA7" w:rsidRDefault="00253414" w:rsidP="00520567">
      <w:pPr>
        <w:pStyle w:val="NormalWeb"/>
        <w:spacing w:before="0" w:beforeAutospacing="0" w:after="0" w:afterAutospacing="0"/>
        <w:jc w:val="both"/>
      </w:pPr>
      <w:r w:rsidRPr="00286BA7">
        <w:t>The comparative evaluation showed that ensemble learning models outperformed standalone decision tree algorithms. Gradient Boosting achieved the highest classification accuracy of 97.09% and F1-score of 73.68%, indicating strong predictive performance and balanced classification capability.</w:t>
      </w:r>
      <w:r w:rsidR="00520567" w:rsidRPr="00286BA7">
        <w:t xml:space="preserve"> </w:t>
      </w:r>
      <w:r w:rsidRPr="00286BA7">
        <w:t xml:space="preserve">The C4.5 model also demonstrated stable performance with balanced precision and recall values of 72.73%. In contrast, </w:t>
      </w:r>
      <w:proofErr w:type="spellStart"/>
      <w:r w:rsidRPr="00286BA7">
        <w:t>AdaBoost</w:t>
      </w:r>
      <w:proofErr w:type="spellEnd"/>
      <w:r w:rsidRPr="00286BA7">
        <w:t xml:space="preserve"> and Random Forest recorded lower recall values, indicating weaker sensitivity toward positive cervical cancer cases.</w:t>
      </w:r>
      <w:r w:rsidR="00520567" w:rsidRPr="00286BA7">
        <w:t xml:space="preserve"> Table 1 illustrate the performance of the model</w:t>
      </w:r>
      <w:r w:rsidR="001E2630" w:rsidRPr="00286BA7">
        <w:t>s</w:t>
      </w:r>
      <w:r w:rsidR="00520567" w:rsidRPr="00286BA7">
        <w:t xml:space="preserve"> before smote.</w:t>
      </w:r>
      <w:r w:rsidR="001E2630" w:rsidRPr="00286BA7">
        <w:t xml:space="preserve"> The visual representation of the models performance in terms of accuracies before the application of SMOTE is shown in figure 2</w:t>
      </w:r>
      <w:r w:rsidR="00EF7C85" w:rsidRPr="00286BA7">
        <w:t>, while figure 3 show the performance of the models in terms of ROC-AUC</w:t>
      </w:r>
      <w:r w:rsidR="001E2630" w:rsidRPr="00286BA7">
        <w:t xml:space="preserve">.  </w:t>
      </w:r>
    </w:p>
    <w:p w:rsidR="00520567" w:rsidRPr="00286BA7" w:rsidRDefault="007D7D44" w:rsidP="007D7D44">
      <w:pPr>
        <w:rPr>
          <w:rFonts w:ascii="Times New Roman" w:eastAsia="Times New Roman" w:hAnsi="Times New Roman" w:cs="Times New Roman"/>
          <w:sz w:val="24"/>
          <w:szCs w:val="24"/>
        </w:rPr>
      </w:pPr>
      <w:r w:rsidRPr="00286BA7">
        <w:rPr>
          <w:rFonts w:ascii="Times New Roman" w:hAnsi="Times New Roman" w:cs="Times New Roman"/>
          <w:sz w:val="24"/>
          <w:szCs w:val="24"/>
        </w:rPr>
        <w:br w:type="page"/>
      </w:r>
    </w:p>
    <w:p w:rsidR="001E2630" w:rsidRPr="00286BA7" w:rsidRDefault="001E2630" w:rsidP="00520567">
      <w:pPr>
        <w:pStyle w:val="NormalWeb"/>
        <w:spacing w:before="0" w:beforeAutospacing="0" w:after="0" w:afterAutospacing="0"/>
        <w:jc w:val="both"/>
      </w:pPr>
    </w:p>
    <w:p w:rsidR="001E2630" w:rsidRPr="00286BA7" w:rsidRDefault="001E2630" w:rsidP="001E2630">
      <w:pPr>
        <w:spacing w:after="0" w:line="240" w:lineRule="auto"/>
        <w:jc w:val="center"/>
        <w:rPr>
          <w:rFonts w:ascii="Times New Roman" w:hAnsi="Times New Roman" w:cs="Times New Roman"/>
          <w:sz w:val="24"/>
          <w:szCs w:val="24"/>
        </w:rPr>
      </w:pPr>
      <w:r w:rsidRPr="00286BA7">
        <w:rPr>
          <w:rFonts w:ascii="Times New Roman" w:hAnsi="Times New Roman" w:cs="Times New Roman"/>
          <w:sz w:val="24"/>
          <w:szCs w:val="24"/>
        </w:rPr>
        <w:t>Table 1: The Performance of the implemented models before SMOTE</w:t>
      </w:r>
    </w:p>
    <w:tbl>
      <w:tblPr>
        <w:tblW w:w="0" w:type="auto"/>
        <w:jc w:val="center"/>
        <w:tblLook w:val="04A0" w:firstRow="1" w:lastRow="0" w:firstColumn="1" w:lastColumn="0" w:noHBand="0" w:noVBand="1"/>
      </w:tblPr>
      <w:tblGrid>
        <w:gridCol w:w="1983"/>
        <w:gridCol w:w="1189"/>
        <w:gridCol w:w="1163"/>
        <w:gridCol w:w="1116"/>
        <w:gridCol w:w="1116"/>
        <w:gridCol w:w="1350"/>
      </w:tblGrid>
      <w:tr w:rsidR="001E2630" w:rsidRPr="00286BA7" w:rsidTr="001E2630">
        <w:trPr>
          <w:jc w:val="center"/>
        </w:trPr>
        <w:tc>
          <w:tcPr>
            <w:tcW w:w="0" w:type="auto"/>
            <w:tcBorders>
              <w:top w:val="single" w:sz="4" w:space="0" w:color="auto"/>
              <w:left w:val="nil"/>
              <w:bottom w:val="single" w:sz="4" w:space="0" w:color="auto"/>
              <w:right w:val="nil"/>
            </w:tcBorders>
            <w:hideMark/>
          </w:tcPr>
          <w:p w:rsidR="001E2630" w:rsidRPr="00286BA7" w:rsidRDefault="001E2630" w:rsidP="001E2630">
            <w:pPr>
              <w:spacing w:after="0" w:line="240" w:lineRule="auto"/>
              <w:jc w:val="center"/>
              <w:rPr>
                <w:rFonts w:ascii="Times New Roman" w:eastAsia="Times New Roman" w:hAnsi="Times New Roman" w:cs="Times New Roman"/>
                <w:b/>
                <w:bCs/>
                <w:sz w:val="24"/>
                <w:szCs w:val="24"/>
              </w:rPr>
            </w:pPr>
            <w:r w:rsidRPr="00286BA7">
              <w:rPr>
                <w:rFonts w:ascii="Times New Roman" w:eastAsia="Times New Roman" w:hAnsi="Times New Roman" w:cs="Times New Roman"/>
                <w:b/>
                <w:bCs/>
                <w:sz w:val="24"/>
                <w:szCs w:val="24"/>
              </w:rPr>
              <w:t>Model</w:t>
            </w:r>
          </w:p>
        </w:tc>
        <w:tc>
          <w:tcPr>
            <w:tcW w:w="0" w:type="auto"/>
            <w:tcBorders>
              <w:top w:val="single" w:sz="4" w:space="0" w:color="auto"/>
              <w:left w:val="nil"/>
              <w:bottom w:val="single" w:sz="4" w:space="0" w:color="auto"/>
              <w:right w:val="nil"/>
            </w:tcBorders>
            <w:hideMark/>
          </w:tcPr>
          <w:p w:rsidR="001E2630" w:rsidRPr="00286BA7" w:rsidRDefault="001E2630" w:rsidP="001E2630">
            <w:pPr>
              <w:spacing w:after="0" w:line="240" w:lineRule="auto"/>
              <w:jc w:val="center"/>
              <w:rPr>
                <w:rFonts w:ascii="Times New Roman" w:eastAsia="Times New Roman" w:hAnsi="Times New Roman" w:cs="Times New Roman"/>
                <w:b/>
                <w:bCs/>
                <w:sz w:val="24"/>
                <w:szCs w:val="24"/>
              </w:rPr>
            </w:pPr>
            <w:r w:rsidRPr="00286BA7">
              <w:rPr>
                <w:rFonts w:ascii="Times New Roman" w:eastAsia="Times New Roman" w:hAnsi="Times New Roman" w:cs="Times New Roman"/>
                <w:b/>
                <w:bCs/>
                <w:sz w:val="24"/>
                <w:szCs w:val="24"/>
              </w:rPr>
              <w:t>Accuracy</w:t>
            </w:r>
          </w:p>
        </w:tc>
        <w:tc>
          <w:tcPr>
            <w:tcW w:w="0" w:type="auto"/>
            <w:tcBorders>
              <w:top w:val="single" w:sz="4" w:space="0" w:color="auto"/>
              <w:left w:val="nil"/>
              <w:bottom w:val="single" w:sz="4" w:space="0" w:color="auto"/>
              <w:right w:val="nil"/>
            </w:tcBorders>
            <w:hideMark/>
          </w:tcPr>
          <w:p w:rsidR="001E2630" w:rsidRPr="00286BA7" w:rsidRDefault="001E2630" w:rsidP="001E2630">
            <w:pPr>
              <w:spacing w:after="0" w:line="240" w:lineRule="auto"/>
              <w:jc w:val="center"/>
              <w:rPr>
                <w:rFonts w:ascii="Times New Roman" w:eastAsia="Times New Roman" w:hAnsi="Times New Roman" w:cs="Times New Roman"/>
                <w:b/>
                <w:bCs/>
                <w:sz w:val="24"/>
                <w:szCs w:val="24"/>
              </w:rPr>
            </w:pPr>
            <w:r w:rsidRPr="00286BA7">
              <w:rPr>
                <w:rFonts w:ascii="Times New Roman" w:eastAsia="Times New Roman" w:hAnsi="Times New Roman" w:cs="Times New Roman"/>
                <w:b/>
                <w:bCs/>
                <w:sz w:val="24"/>
                <w:szCs w:val="24"/>
              </w:rPr>
              <w:t>Precision</w:t>
            </w:r>
          </w:p>
        </w:tc>
        <w:tc>
          <w:tcPr>
            <w:tcW w:w="0" w:type="auto"/>
            <w:tcBorders>
              <w:top w:val="single" w:sz="4" w:space="0" w:color="auto"/>
              <w:left w:val="nil"/>
              <w:bottom w:val="single" w:sz="4" w:space="0" w:color="auto"/>
              <w:right w:val="nil"/>
            </w:tcBorders>
            <w:hideMark/>
          </w:tcPr>
          <w:p w:rsidR="001E2630" w:rsidRPr="00286BA7" w:rsidRDefault="001E2630" w:rsidP="001E2630">
            <w:pPr>
              <w:spacing w:after="0" w:line="240" w:lineRule="auto"/>
              <w:jc w:val="center"/>
              <w:rPr>
                <w:rFonts w:ascii="Times New Roman" w:eastAsia="Times New Roman" w:hAnsi="Times New Roman" w:cs="Times New Roman"/>
                <w:b/>
                <w:bCs/>
                <w:sz w:val="24"/>
                <w:szCs w:val="24"/>
              </w:rPr>
            </w:pPr>
            <w:r w:rsidRPr="00286BA7">
              <w:rPr>
                <w:rFonts w:ascii="Times New Roman" w:eastAsia="Times New Roman" w:hAnsi="Times New Roman" w:cs="Times New Roman"/>
                <w:b/>
                <w:bCs/>
                <w:sz w:val="24"/>
                <w:szCs w:val="24"/>
              </w:rPr>
              <w:t>Recall</w:t>
            </w:r>
          </w:p>
        </w:tc>
        <w:tc>
          <w:tcPr>
            <w:tcW w:w="0" w:type="auto"/>
            <w:tcBorders>
              <w:top w:val="single" w:sz="4" w:space="0" w:color="auto"/>
              <w:left w:val="nil"/>
              <w:bottom w:val="single" w:sz="4" w:space="0" w:color="auto"/>
              <w:right w:val="nil"/>
            </w:tcBorders>
            <w:hideMark/>
          </w:tcPr>
          <w:p w:rsidR="001E2630" w:rsidRPr="00286BA7" w:rsidRDefault="001E2630" w:rsidP="001E2630">
            <w:pPr>
              <w:spacing w:after="0" w:line="240" w:lineRule="auto"/>
              <w:jc w:val="center"/>
              <w:rPr>
                <w:rFonts w:ascii="Times New Roman" w:eastAsia="Times New Roman" w:hAnsi="Times New Roman" w:cs="Times New Roman"/>
                <w:b/>
                <w:bCs/>
                <w:sz w:val="24"/>
                <w:szCs w:val="24"/>
              </w:rPr>
            </w:pPr>
            <w:r w:rsidRPr="00286BA7">
              <w:rPr>
                <w:rFonts w:ascii="Times New Roman" w:eastAsia="Times New Roman" w:hAnsi="Times New Roman" w:cs="Times New Roman"/>
                <w:b/>
                <w:bCs/>
                <w:sz w:val="24"/>
                <w:szCs w:val="24"/>
              </w:rPr>
              <w:t>F1 Score</w:t>
            </w:r>
          </w:p>
        </w:tc>
        <w:tc>
          <w:tcPr>
            <w:tcW w:w="0" w:type="auto"/>
            <w:tcBorders>
              <w:top w:val="single" w:sz="4" w:space="0" w:color="auto"/>
              <w:left w:val="nil"/>
              <w:bottom w:val="single" w:sz="4" w:space="0" w:color="auto"/>
              <w:right w:val="nil"/>
            </w:tcBorders>
            <w:hideMark/>
          </w:tcPr>
          <w:p w:rsidR="001E2630" w:rsidRPr="00286BA7" w:rsidRDefault="001E2630" w:rsidP="001E2630">
            <w:pPr>
              <w:spacing w:after="0" w:line="240" w:lineRule="auto"/>
              <w:jc w:val="center"/>
              <w:rPr>
                <w:rFonts w:ascii="Times New Roman" w:eastAsia="Times New Roman" w:hAnsi="Times New Roman" w:cs="Times New Roman"/>
                <w:b/>
                <w:bCs/>
                <w:sz w:val="24"/>
                <w:szCs w:val="24"/>
              </w:rPr>
            </w:pPr>
            <w:r w:rsidRPr="00286BA7">
              <w:rPr>
                <w:rFonts w:ascii="Times New Roman" w:eastAsia="Times New Roman" w:hAnsi="Times New Roman" w:cs="Times New Roman"/>
                <w:b/>
                <w:bCs/>
                <w:sz w:val="24"/>
                <w:szCs w:val="24"/>
              </w:rPr>
              <w:t>ROC-AUC</w:t>
            </w:r>
          </w:p>
        </w:tc>
      </w:tr>
      <w:tr w:rsidR="001E2630" w:rsidRPr="00286BA7" w:rsidTr="001E2630">
        <w:trPr>
          <w:jc w:val="center"/>
        </w:trPr>
        <w:tc>
          <w:tcPr>
            <w:tcW w:w="0" w:type="auto"/>
            <w:tcBorders>
              <w:top w:val="single" w:sz="4" w:space="0" w:color="auto"/>
              <w:left w:val="nil"/>
              <w:bottom w:val="nil"/>
              <w:right w:val="nil"/>
            </w:tcBorders>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ID3</w:t>
            </w:r>
          </w:p>
        </w:tc>
        <w:tc>
          <w:tcPr>
            <w:tcW w:w="0" w:type="auto"/>
            <w:tcBorders>
              <w:top w:val="single" w:sz="4" w:space="0" w:color="auto"/>
              <w:left w:val="nil"/>
              <w:bottom w:val="nil"/>
              <w:right w:val="nil"/>
            </w:tcBorders>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0.953488</w:t>
            </w:r>
          </w:p>
        </w:tc>
        <w:tc>
          <w:tcPr>
            <w:tcW w:w="0" w:type="auto"/>
            <w:tcBorders>
              <w:top w:val="single" w:sz="4" w:space="0" w:color="auto"/>
              <w:left w:val="nil"/>
              <w:bottom w:val="nil"/>
              <w:right w:val="nil"/>
            </w:tcBorders>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0.666667</w:t>
            </w:r>
          </w:p>
        </w:tc>
        <w:tc>
          <w:tcPr>
            <w:tcW w:w="0" w:type="auto"/>
            <w:tcBorders>
              <w:top w:val="single" w:sz="4" w:space="0" w:color="auto"/>
              <w:left w:val="nil"/>
              <w:bottom w:val="nil"/>
              <w:right w:val="nil"/>
            </w:tcBorders>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0.545455</w:t>
            </w:r>
          </w:p>
        </w:tc>
        <w:tc>
          <w:tcPr>
            <w:tcW w:w="0" w:type="auto"/>
            <w:tcBorders>
              <w:top w:val="single" w:sz="4" w:space="0" w:color="auto"/>
              <w:left w:val="nil"/>
              <w:bottom w:val="nil"/>
              <w:right w:val="nil"/>
            </w:tcBorders>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0.600000</w:t>
            </w:r>
          </w:p>
        </w:tc>
        <w:tc>
          <w:tcPr>
            <w:tcW w:w="0" w:type="auto"/>
            <w:tcBorders>
              <w:top w:val="single" w:sz="4" w:space="0" w:color="auto"/>
              <w:left w:val="nil"/>
              <w:bottom w:val="nil"/>
              <w:right w:val="nil"/>
            </w:tcBorders>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0.763411</w:t>
            </w:r>
          </w:p>
        </w:tc>
      </w:tr>
      <w:tr w:rsidR="001E2630" w:rsidRPr="00286BA7" w:rsidTr="001E2630">
        <w:trPr>
          <w:jc w:val="center"/>
        </w:trPr>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C4.5</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0.965116</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0.727273</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0.727273</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0.727273</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0.854320</w:t>
            </w:r>
          </w:p>
        </w:tc>
      </w:tr>
      <w:tr w:rsidR="001E2630" w:rsidRPr="00286BA7" w:rsidTr="001E2630">
        <w:trPr>
          <w:jc w:val="center"/>
        </w:trPr>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CART</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0.947674</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0.600000</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0.545455</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0.571429</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0.760305</w:t>
            </w:r>
          </w:p>
        </w:tc>
      </w:tr>
      <w:tr w:rsidR="001E2630" w:rsidRPr="00286BA7" w:rsidTr="001E2630">
        <w:trPr>
          <w:jc w:val="center"/>
        </w:trPr>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Random Forest</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0.947674</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0.666667</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0.363636</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0.470588</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0.675607</w:t>
            </w:r>
          </w:p>
        </w:tc>
      </w:tr>
      <w:tr w:rsidR="001E2630" w:rsidRPr="00286BA7" w:rsidTr="001E2630">
        <w:trPr>
          <w:jc w:val="center"/>
        </w:trPr>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Gradient Boosting</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0.970930</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0.875000</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0.636364</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0.736842</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0.815076</w:t>
            </w:r>
          </w:p>
        </w:tc>
      </w:tr>
      <w:tr w:rsidR="001E2630" w:rsidRPr="00286BA7" w:rsidTr="001E2630">
        <w:trPr>
          <w:jc w:val="center"/>
        </w:trPr>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proofErr w:type="spellStart"/>
            <w:r w:rsidRPr="00286BA7">
              <w:rPr>
                <w:rFonts w:ascii="Times New Roman" w:eastAsia="Times New Roman" w:hAnsi="Times New Roman" w:cs="Times New Roman"/>
                <w:sz w:val="24"/>
                <w:szCs w:val="24"/>
              </w:rPr>
              <w:t>AdaBoost</w:t>
            </w:r>
            <w:proofErr w:type="spellEnd"/>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0.936047</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0.500000</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0.363636</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0.421053</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0.669396</w:t>
            </w:r>
          </w:p>
        </w:tc>
      </w:tr>
      <w:tr w:rsidR="001E2630" w:rsidRPr="00286BA7" w:rsidTr="001E2630">
        <w:trPr>
          <w:jc w:val="center"/>
        </w:trPr>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Optimized RF</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0.959302</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0.750000</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0.545455</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0.631579</w:t>
            </w:r>
          </w:p>
        </w:tc>
        <w:tc>
          <w:tcPr>
            <w:tcW w:w="0" w:type="auto"/>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0.766516</w:t>
            </w:r>
          </w:p>
        </w:tc>
      </w:tr>
      <w:tr w:rsidR="001E2630" w:rsidRPr="00286BA7" w:rsidTr="001E2630">
        <w:trPr>
          <w:jc w:val="center"/>
        </w:trPr>
        <w:tc>
          <w:tcPr>
            <w:tcW w:w="0" w:type="auto"/>
            <w:tcBorders>
              <w:top w:val="nil"/>
              <w:left w:val="nil"/>
              <w:bottom w:val="single" w:sz="4" w:space="0" w:color="auto"/>
              <w:right w:val="nil"/>
            </w:tcBorders>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Optimized GB</w:t>
            </w:r>
          </w:p>
        </w:tc>
        <w:tc>
          <w:tcPr>
            <w:tcW w:w="0" w:type="auto"/>
            <w:tcBorders>
              <w:top w:val="nil"/>
              <w:left w:val="nil"/>
              <w:bottom w:val="single" w:sz="4" w:space="0" w:color="auto"/>
              <w:right w:val="nil"/>
            </w:tcBorders>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0.953488</w:t>
            </w:r>
          </w:p>
        </w:tc>
        <w:tc>
          <w:tcPr>
            <w:tcW w:w="0" w:type="auto"/>
            <w:tcBorders>
              <w:top w:val="nil"/>
              <w:left w:val="nil"/>
              <w:bottom w:val="single" w:sz="4" w:space="0" w:color="auto"/>
              <w:right w:val="nil"/>
            </w:tcBorders>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0.714286</w:t>
            </w:r>
          </w:p>
        </w:tc>
        <w:tc>
          <w:tcPr>
            <w:tcW w:w="0" w:type="auto"/>
            <w:tcBorders>
              <w:top w:val="nil"/>
              <w:left w:val="nil"/>
              <w:bottom w:val="single" w:sz="4" w:space="0" w:color="auto"/>
              <w:right w:val="nil"/>
            </w:tcBorders>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0.454545</w:t>
            </w:r>
          </w:p>
        </w:tc>
        <w:tc>
          <w:tcPr>
            <w:tcW w:w="0" w:type="auto"/>
            <w:tcBorders>
              <w:top w:val="nil"/>
              <w:left w:val="nil"/>
              <w:bottom w:val="single" w:sz="4" w:space="0" w:color="auto"/>
              <w:right w:val="nil"/>
            </w:tcBorders>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0.555556</w:t>
            </w:r>
          </w:p>
        </w:tc>
        <w:tc>
          <w:tcPr>
            <w:tcW w:w="0" w:type="auto"/>
            <w:tcBorders>
              <w:top w:val="nil"/>
              <w:left w:val="nil"/>
              <w:bottom w:val="single" w:sz="4" w:space="0" w:color="auto"/>
              <w:right w:val="nil"/>
            </w:tcBorders>
            <w:hideMark/>
          </w:tcPr>
          <w:p w:rsidR="001E2630" w:rsidRPr="00286BA7" w:rsidRDefault="001E2630" w:rsidP="001E2630">
            <w:pPr>
              <w:spacing w:after="0" w:line="240" w:lineRule="auto"/>
              <w:rPr>
                <w:rFonts w:ascii="Times New Roman" w:eastAsia="Times New Roman" w:hAnsi="Times New Roman" w:cs="Times New Roman"/>
                <w:sz w:val="24"/>
                <w:szCs w:val="24"/>
              </w:rPr>
            </w:pPr>
            <w:r w:rsidRPr="00286BA7">
              <w:rPr>
                <w:rFonts w:ascii="Times New Roman" w:eastAsia="Times New Roman" w:hAnsi="Times New Roman" w:cs="Times New Roman"/>
                <w:sz w:val="24"/>
                <w:szCs w:val="24"/>
              </w:rPr>
              <w:t>0.721062</w:t>
            </w:r>
          </w:p>
        </w:tc>
      </w:tr>
    </w:tbl>
    <w:p w:rsidR="00253414" w:rsidRPr="00286BA7" w:rsidRDefault="00520567" w:rsidP="00520567">
      <w:pPr>
        <w:pStyle w:val="NormalWeb"/>
        <w:spacing w:before="0" w:beforeAutospacing="0" w:after="0" w:afterAutospacing="0"/>
        <w:jc w:val="both"/>
      </w:pPr>
      <w:r w:rsidRPr="00286BA7">
        <w:t xml:space="preserve"> </w:t>
      </w:r>
    </w:p>
    <w:p w:rsidR="001E2630" w:rsidRPr="00286BA7" w:rsidRDefault="001E2630" w:rsidP="001E2630">
      <w:pPr>
        <w:spacing w:after="0" w:line="240" w:lineRule="auto"/>
        <w:jc w:val="center"/>
        <w:rPr>
          <w:rFonts w:ascii="Times New Roman" w:hAnsi="Times New Roman" w:cs="Times New Roman"/>
          <w:sz w:val="24"/>
          <w:szCs w:val="24"/>
        </w:rPr>
      </w:pPr>
      <w:r w:rsidRPr="00286BA7">
        <w:rPr>
          <w:rFonts w:ascii="Times New Roman" w:hAnsi="Times New Roman" w:cs="Times New Roman"/>
          <w:noProof/>
          <w:sz w:val="24"/>
          <w:szCs w:val="24"/>
        </w:rPr>
        <w:drawing>
          <wp:inline distT="0" distB="0" distL="0" distR="0" wp14:anchorId="38A6DE6F" wp14:editId="74B0253B">
            <wp:extent cx="4316730" cy="1775861"/>
            <wp:effectExtent l="0" t="0" r="762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E2630" w:rsidRPr="00286BA7" w:rsidRDefault="001E2630" w:rsidP="001E2630">
      <w:pPr>
        <w:spacing w:after="0" w:line="240" w:lineRule="auto"/>
        <w:jc w:val="center"/>
        <w:rPr>
          <w:rFonts w:ascii="Times New Roman" w:hAnsi="Times New Roman" w:cs="Times New Roman"/>
          <w:sz w:val="24"/>
          <w:szCs w:val="24"/>
        </w:rPr>
      </w:pPr>
      <w:r w:rsidRPr="00286BA7">
        <w:rPr>
          <w:rFonts w:ascii="Times New Roman" w:hAnsi="Times New Roman" w:cs="Times New Roman"/>
          <w:b/>
          <w:sz w:val="24"/>
          <w:szCs w:val="24"/>
        </w:rPr>
        <w:t>Figure 2</w:t>
      </w:r>
      <w:r w:rsidRPr="00286BA7">
        <w:rPr>
          <w:rFonts w:ascii="Times New Roman" w:hAnsi="Times New Roman" w:cs="Times New Roman"/>
          <w:sz w:val="24"/>
          <w:szCs w:val="24"/>
        </w:rPr>
        <w:t>: Performance Evaluation of the implemented models before SMOTE</w:t>
      </w:r>
    </w:p>
    <w:p w:rsidR="00EF7C85" w:rsidRPr="00286BA7" w:rsidRDefault="00EF7C85" w:rsidP="001E2630">
      <w:pPr>
        <w:spacing w:after="0" w:line="240" w:lineRule="auto"/>
        <w:jc w:val="center"/>
        <w:rPr>
          <w:rFonts w:ascii="Times New Roman" w:hAnsi="Times New Roman" w:cs="Times New Roman"/>
          <w:sz w:val="24"/>
          <w:szCs w:val="24"/>
        </w:rPr>
      </w:pPr>
      <w:r w:rsidRPr="00286BA7">
        <w:rPr>
          <w:rFonts w:ascii="Times New Roman" w:hAnsi="Times New Roman" w:cs="Times New Roman"/>
          <w:noProof/>
          <w:sz w:val="24"/>
          <w:szCs w:val="24"/>
        </w:rPr>
        <w:drawing>
          <wp:inline distT="0" distB="0" distL="0" distR="0" wp14:anchorId="23A694DB" wp14:editId="23ED52B7">
            <wp:extent cx="4094454" cy="2103120"/>
            <wp:effectExtent l="0" t="0" r="1905" b="0"/>
            <wp:docPr id="16" name="Picture 16" descr="C:\Users\user\Desktop\SOFTWARE ENGINEERING_CORRESPONDENCES\SUNNY_ICT_MSC\ROC-AUC_CURVE_latest.png"/>
            <wp:cNvGraphicFramePr/>
            <a:graphic xmlns:a="http://schemas.openxmlformats.org/drawingml/2006/main">
              <a:graphicData uri="http://schemas.openxmlformats.org/drawingml/2006/picture">
                <pic:pic xmlns:pic="http://schemas.openxmlformats.org/drawingml/2006/picture">
                  <pic:nvPicPr>
                    <pic:cNvPr id="16" name="Picture 16" descr="C:\Users\user\Desktop\SOFTWARE ENGINEERING_CORRESPONDENCES\SUNNY_ICT_MSC\ROC-AUC_CURVE_latest.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1264" cy="2157983"/>
                    </a:xfrm>
                    <a:prstGeom prst="rect">
                      <a:avLst/>
                    </a:prstGeom>
                    <a:noFill/>
                    <a:ln>
                      <a:noFill/>
                    </a:ln>
                  </pic:spPr>
                </pic:pic>
              </a:graphicData>
            </a:graphic>
          </wp:inline>
        </w:drawing>
      </w:r>
    </w:p>
    <w:p w:rsidR="00EF7C85" w:rsidRPr="00286BA7" w:rsidRDefault="00EF7C85" w:rsidP="001E2630">
      <w:pPr>
        <w:spacing w:after="0" w:line="240" w:lineRule="auto"/>
        <w:jc w:val="center"/>
        <w:rPr>
          <w:rFonts w:ascii="Times New Roman" w:hAnsi="Times New Roman" w:cs="Times New Roman"/>
          <w:sz w:val="24"/>
          <w:szCs w:val="24"/>
        </w:rPr>
      </w:pPr>
      <w:r w:rsidRPr="00286BA7">
        <w:rPr>
          <w:rFonts w:ascii="Times New Roman" w:hAnsi="Times New Roman" w:cs="Times New Roman"/>
          <w:sz w:val="24"/>
          <w:szCs w:val="24"/>
        </w:rPr>
        <w:t>Figure 3. Performance Evaluation of the Models in terms of ROC-AUC</w:t>
      </w:r>
    </w:p>
    <w:p w:rsidR="00EF7C85" w:rsidRPr="00286BA7" w:rsidRDefault="00EF7C85" w:rsidP="001E2630">
      <w:pPr>
        <w:spacing w:after="0" w:line="240" w:lineRule="auto"/>
        <w:jc w:val="center"/>
        <w:rPr>
          <w:rFonts w:ascii="Times New Roman" w:hAnsi="Times New Roman" w:cs="Times New Roman"/>
          <w:sz w:val="24"/>
          <w:szCs w:val="24"/>
        </w:rPr>
      </w:pPr>
    </w:p>
    <w:p w:rsidR="00253414" w:rsidRPr="00286BA7" w:rsidRDefault="00253414" w:rsidP="00037004">
      <w:pPr>
        <w:pStyle w:val="NormalWeb"/>
        <w:spacing w:before="0" w:beforeAutospacing="0" w:after="0" w:afterAutospacing="0"/>
        <w:jc w:val="both"/>
      </w:pPr>
      <w:r w:rsidRPr="00286BA7">
        <w:t>The application of SMOTE significantly improved minority class representation and enhanced recall performance compared to models trained on imbalanced datasets. The integration of fuzzy logic further improved the handling of uncertainty in medical features.</w:t>
      </w:r>
      <w:r w:rsidR="00C12568" w:rsidRPr="00286BA7">
        <w:t xml:space="preserve"> </w:t>
      </w:r>
      <w:r w:rsidRPr="00286BA7">
        <w:t xml:space="preserve">The confusion matrix of the benchmarked </w:t>
      </w:r>
      <w:proofErr w:type="spellStart"/>
      <w:r w:rsidRPr="00286BA7">
        <w:t>XGBoost</w:t>
      </w:r>
      <w:proofErr w:type="spellEnd"/>
      <w:r w:rsidRPr="00286BA7">
        <w:t xml:space="preserve"> model showed high specificity with very few false positive predictions. However, several minority class instances were still misclassified, indicating the need for further sensitivity improvement.</w:t>
      </w:r>
      <w:r w:rsidR="00037004" w:rsidRPr="00286BA7">
        <w:t xml:space="preserve"> </w:t>
      </w:r>
      <w:r w:rsidRPr="00286BA7">
        <w:t xml:space="preserve">ROC-AUC analysis showed that Random Forest and </w:t>
      </w:r>
      <w:proofErr w:type="spellStart"/>
      <w:r w:rsidRPr="00286BA7">
        <w:t>XGBoost</w:t>
      </w:r>
      <w:proofErr w:type="spellEnd"/>
      <w:r w:rsidRPr="00286BA7">
        <w:t xml:space="preserve"> achieved the highest AUC values of 0.97, demonstrating excellent discriminative capability. Gradient Boosting also recorded strong performance with an AUC of 0.94.</w:t>
      </w:r>
      <w:r w:rsidR="00037004" w:rsidRPr="00286BA7">
        <w:t xml:space="preserve"> The performance of the models after applying SMOTE is shown in table 2.</w:t>
      </w:r>
    </w:p>
    <w:p w:rsidR="007D7D44" w:rsidRPr="00286BA7" w:rsidRDefault="007D7D44" w:rsidP="007D7D44">
      <w:pPr>
        <w:rPr>
          <w:rFonts w:ascii="Times New Roman" w:eastAsia="Times New Roman" w:hAnsi="Times New Roman" w:cs="Times New Roman"/>
          <w:sz w:val="24"/>
          <w:szCs w:val="24"/>
        </w:rPr>
      </w:pPr>
      <w:r w:rsidRPr="00286BA7">
        <w:rPr>
          <w:rFonts w:ascii="Times New Roman" w:hAnsi="Times New Roman" w:cs="Times New Roman"/>
          <w:sz w:val="24"/>
          <w:szCs w:val="24"/>
        </w:rPr>
        <w:br w:type="page"/>
      </w:r>
    </w:p>
    <w:p w:rsidR="00514211" w:rsidRPr="00286BA7" w:rsidRDefault="00514211" w:rsidP="00514211">
      <w:pPr>
        <w:pStyle w:val="NormalWeb"/>
        <w:spacing w:before="0" w:beforeAutospacing="0" w:after="0" w:afterAutospacing="0"/>
      </w:pPr>
    </w:p>
    <w:p w:rsidR="00514211" w:rsidRPr="00286BA7" w:rsidRDefault="00514211" w:rsidP="00514211">
      <w:pPr>
        <w:pStyle w:val="NormalWeb"/>
        <w:spacing w:before="0" w:beforeAutospacing="0" w:after="0" w:afterAutospacing="0"/>
      </w:pPr>
      <w:r w:rsidRPr="00286BA7">
        <w:t>Table 2: Performance of the Models after applying SMOTE (Synthetic Minority Over-sampling Technique)</w:t>
      </w:r>
    </w:p>
    <w:tbl>
      <w:tblPr>
        <w:tblW w:w="0" w:type="auto"/>
        <w:jc w:val="center"/>
        <w:tblCellSpacing w:w="15" w:type="dxa"/>
        <w:tblLook w:val="04A0" w:firstRow="1" w:lastRow="0" w:firstColumn="1" w:lastColumn="0" w:noHBand="0" w:noVBand="1"/>
      </w:tblPr>
      <w:tblGrid>
        <w:gridCol w:w="1842"/>
        <w:gridCol w:w="1493"/>
        <w:gridCol w:w="1467"/>
        <w:gridCol w:w="1160"/>
        <w:gridCol w:w="1420"/>
        <w:gridCol w:w="1669"/>
      </w:tblGrid>
      <w:tr w:rsidR="00514211" w:rsidRPr="00286BA7" w:rsidTr="00514211">
        <w:trPr>
          <w:tblHeader/>
          <w:tblCellSpacing w:w="15" w:type="dxa"/>
          <w:jc w:val="center"/>
        </w:trPr>
        <w:tc>
          <w:tcPr>
            <w:tcW w:w="1797" w:type="dxa"/>
            <w:tcBorders>
              <w:top w:val="single" w:sz="4" w:space="0" w:color="auto"/>
              <w:left w:val="nil"/>
              <w:bottom w:val="nil"/>
              <w:right w:val="nil"/>
            </w:tcBorders>
            <w:tcMar>
              <w:top w:w="15" w:type="dxa"/>
              <w:left w:w="15" w:type="dxa"/>
              <w:bottom w:w="15" w:type="dxa"/>
              <w:right w:w="15" w:type="dxa"/>
            </w:tcMar>
            <w:vAlign w:val="center"/>
            <w:hideMark/>
          </w:tcPr>
          <w:p w:rsidR="00514211" w:rsidRPr="00286BA7" w:rsidRDefault="00514211" w:rsidP="00514211">
            <w:pPr>
              <w:pStyle w:val="NormalWeb"/>
              <w:rPr>
                <w:b/>
                <w:bCs/>
              </w:rPr>
            </w:pPr>
            <w:r w:rsidRPr="00286BA7">
              <w:rPr>
                <w:b/>
                <w:bCs/>
              </w:rPr>
              <w:t>Model</w:t>
            </w:r>
          </w:p>
        </w:tc>
        <w:tc>
          <w:tcPr>
            <w:tcW w:w="1463" w:type="dxa"/>
            <w:tcBorders>
              <w:top w:val="single" w:sz="4" w:space="0" w:color="auto"/>
              <w:left w:val="nil"/>
              <w:bottom w:val="nil"/>
              <w:right w:val="nil"/>
            </w:tcBorders>
            <w:tcMar>
              <w:top w:w="15" w:type="dxa"/>
              <w:left w:w="15" w:type="dxa"/>
              <w:bottom w:w="15" w:type="dxa"/>
              <w:right w:w="15" w:type="dxa"/>
            </w:tcMar>
            <w:vAlign w:val="center"/>
            <w:hideMark/>
          </w:tcPr>
          <w:p w:rsidR="00514211" w:rsidRPr="00286BA7" w:rsidRDefault="00514211" w:rsidP="00514211">
            <w:pPr>
              <w:pStyle w:val="NormalWeb"/>
              <w:rPr>
                <w:b/>
                <w:bCs/>
              </w:rPr>
            </w:pPr>
            <w:r w:rsidRPr="00286BA7">
              <w:rPr>
                <w:b/>
                <w:bCs/>
              </w:rPr>
              <w:t>Accuracy (%)</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rsidR="00514211" w:rsidRPr="00286BA7" w:rsidRDefault="00514211" w:rsidP="00514211">
            <w:pPr>
              <w:pStyle w:val="NormalWeb"/>
              <w:rPr>
                <w:b/>
                <w:bCs/>
              </w:rPr>
            </w:pPr>
            <w:r w:rsidRPr="00286BA7">
              <w:rPr>
                <w:b/>
                <w:bCs/>
              </w:rPr>
              <w:t>Precision (%)</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rsidR="00514211" w:rsidRPr="00286BA7" w:rsidRDefault="00514211" w:rsidP="00514211">
            <w:pPr>
              <w:pStyle w:val="NormalWeb"/>
              <w:rPr>
                <w:b/>
                <w:bCs/>
              </w:rPr>
            </w:pPr>
            <w:r w:rsidRPr="00286BA7">
              <w:rPr>
                <w:b/>
                <w:bCs/>
              </w:rPr>
              <w:t>Recall (%)</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rsidR="00514211" w:rsidRPr="00286BA7" w:rsidRDefault="00514211" w:rsidP="00514211">
            <w:pPr>
              <w:pStyle w:val="NormalWeb"/>
              <w:rPr>
                <w:b/>
                <w:bCs/>
              </w:rPr>
            </w:pPr>
            <w:r w:rsidRPr="00286BA7">
              <w:rPr>
                <w:b/>
                <w:bCs/>
              </w:rPr>
              <w:t>F1 Score (%)</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rsidR="00514211" w:rsidRPr="00286BA7" w:rsidRDefault="00514211" w:rsidP="00514211">
            <w:pPr>
              <w:pStyle w:val="NormalWeb"/>
              <w:rPr>
                <w:b/>
                <w:bCs/>
              </w:rPr>
            </w:pPr>
            <w:r w:rsidRPr="00286BA7">
              <w:rPr>
                <w:b/>
                <w:bCs/>
              </w:rPr>
              <w:t>ROC-AUC (%)</w:t>
            </w:r>
          </w:p>
        </w:tc>
      </w:tr>
      <w:tr w:rsidR="00514211" w:rsidRPr="00286BA7" w:rsidTr="00514211">
        <w:trPr>
          <w:tblCellSpacing w:w="15" w:type="dxa"/>
          <w:jc w:val="center"/>
        </w:trPr>
        <w:tc>
          <w:tcPr>
            <w:tcW w:w="1797" w:type="dxa"/>
            <w:tcBorders>
              <w:top w:val="single" w:sz="4" w:space="0" w:color="auto"/>
              <w:left w:val="nil"/>
              <w:bottom w:val="nil"/>
              <w:right w:val="nil"/>
            </w:tcBorders>
            <w:tcMar>
              <w:top w:w="15" w:type="dxa"/>
              <w:left w:w="15" w:type="dxa"/>
              <w:bottom w:w="15" w:type="dxa"/>
              <w:right w:w="15" w:type="dxa"/>
            </w:tcMar>
            <w:vAlign w:val="center"/>
            <w:hideMark/>
          </w:tcPr>
          <w:p w:rsidR="00514211" w:rsidRPr="00286BA7" w:rsidRDefault="00514211" w:rsidP="00514211">
            <w:pPr>
              <w:pStyle w:val="NormalWeb"/>
            </w:pPr>
            <w:r w:rsidRPr="00286BA7">
              <w:t>ID3</w:t>
            </w:r>
          </w:p>
        </w:tc>
        <w:tc>
          <w:tcPr>
            <w:tcW w:w="1463" w:type="dxa"/>
            <w:tcBorders>
              <w:top w:val="single" w:sz="4" w:space="0" w:color="auto"/>
              <w:left w:val="nil"/>
              <w:bottom w:val="nil"/>
              <w:right w:val="nil"/>
            </w:tcBorders>
            <w:tcMar>
              <w:top w:w="15" w:type="dxa"/>
              <w:left w:w="15" w:type="dxa"/>
              <w:bottom w:w="15" w:type="dxa"/>
              <w:right w:w="15" w:type="dxa"/>
            </w:tcMar>
            <w:vAlign w:val="center"/>
            <w:hideMark/>
          </w:tcPr>
          <w:p w:rsidR="00514211" w:rsidRPr="00286BA7" w:rsidRDefault="00514211" w:rsidP="00514211">
            <w:pPr>
              <w:pStyle w:val="NormalWeb"/>
            </w:pPr>
            <w:r w:rsidRPr="00286BA7">
              <w:t>95.35</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rsidR="00514211" w:rsidRPr="00286BA7" w:rsidRDefault="00514211" w:rsidP="00514211">
            <w:pPr>
              <w:pStyle w:val="NormalWeb"/>
            </w:pPr>
            <w:r w:rsidRPr="00286BA7">
              <w:t>71.43</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rsidR="00514211" w:rsidRPr="00286BA7" w:rsidRDefault="00514211" w:rsidP="00514211">
            <w:pPr>
              <w:pStyle w:val="NormalWeb"/>
            </w:pPr>
            <w:r w:rsidRPr="00286BA7">
              <w:t>45.45</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rsidR="00514211" w:rsidRPr="00286BA7" w:rsidRDefault="00514211" w:rsidP="00514211">
            <w:pPr>
              <w:pStyle w:val="NormalWeb"/>
            </w:pPr>
            <w:r w:rsidRPr="00286BA7">
              <w:t>55.56</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rsidR="00514211" w:rsidRPr="00286BA7" w:rsidRDefault="00514211" w:rsidP="00514211">
            <w:pPr>
              <w:pStyle w:val="NormalWeb"/>
            </w:pPr>
            <w:r w:rsidRPr="00286BA7">
              <w:t>72.11</w:t>
            </w:r>
          </w:p>
        </w:tc>
      </w:tr>
      <w:tr w:rsidR="00514211" w:rsidRPr="00286BA7" w:rsidTr="00514211">
        <w:trPr>
          <w:tblCellSpacing w:w="15" w:type="dxa"/>
          <w:jc w:val="center"/>
        </w:trPr>
        <w:tc>
          <w:tcPr>
            <w:tcW w:w="1797" w:type="dxa"/>
            <w:tcMar>
              <w:top w:w="15" w:type="dxa"/>
              <w:left w:w="15" w:type="dxa"/>
              <w:bottom w:w="15" w:type="dxa"/>
              <w:right w:w="15" w:type="dxa"/>
            </w:tcMar>
            <w:vAlign w:val="center"/>
            <w:hideMark/>
          </w:tcPr>
          <w:p w:rsidR="00514211" w:rsidRPr="00286BA7" w:rsidRDefault="00514211" w:rsidP="00514211">
            <w:pPr>
              <w:pStyle w:val="NormalWeb"/>
            </w:pPr>
            <w:r w:rsidRPr="00286BA7">
              <w:t>C4.5</w:t>
            </w:r>
          </w:p>
        </w:tc>
        <w:tc>
          <w:tcPr>
            <w:tcW w:w="1463" w:type="dxa"/>
            <w:tcMar>
              <w:top w:w="15" w:type="dxa"/>
              <w:left w:w="15" w:type="dxa"/>
              <w:bottom w:w="15" w:type="dxa"/>
              <w:right w:w="15" w:type="dxa"/>
            </w:tcMar>
            <w:vAlign w:val="center"/>
            <w:hideMark/>
          </w:tcPr>
          <w:p w:rsidR="00514211" w:rsidRPr="00286BA7" w:rsidRDefault="00514211" w:rsidP="00514211">
            <w:pPr>
              <w:pStyle w:val="NormalWeb"/>
            </w:pPr>
            <w:r w:rsidRPr="00286BA7">
              <w:t>95.93</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75.00</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54.55</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63.16</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89.89</w:t>
            </w:r>
          </w:p>
        </w:tc>
      </w:tr>
      <w:tr w:rsidR="00514211" w:rsidRPr="00286BA7" w:rsidTr="00514211">
        <w:trPr>
          <w:tblCellSpacing w:w="15" w:type="dxa"/>
          <w:jc w:val="center"/>
        </w:trPr>
        <w:tc>
          <w:tcPr>
            <w:tcW w:w="1797" w:type="dxa"/>
            <w:tcMar>
              <w:top w:w="15" w:type="dxa"/>
              <w:left w:w="15" w:type="dxa"/>
              <w:bottom w:w="15" w:type="dxa"/>
              <w:right w:w="15" w:type="dxa"/>
            </w:tcMar>
            <w:vAlign w:val="center"/>
            <w:hideMark/>
          </w:tcPr>
          <w:p w:rsidR="00514211" w:rsidRPr="00286BA7" w:rsidRDefault="00514211" w:rsidP="00514211">
            <w:pPr>
              <w:pStyle w:val="NormalWeb"/>
            </w:pPr>
            <w:r w:rsidRPr="00286BA7">
              <w:t>CART</w:t>
            </w:r>
          </w:p>
        </w:tc>
        <w:tc>
          <w:tcPr>
            <w:tcW w:w="1463" w:type="dxa"/>
            <w:tcMar>
              <w:top w:w="15" w:type="dxa"/>
              <w:left w:w="15" w:type="dxa"/>
              <w:bottom w:w="15" w:type="dxa"/>
              <w:right w:w="15" w:type="dxa"/>
            </w:tcMar>
            <w:vAlign w:val="center"/>
            <w:hideMark/>
          </w:tcPr>
          <w:p w:rsidR="00514211" w:rsidRPr="00286BA7" w:rsidRDefault="00514211" w:rsidP="00514211">
            <w:pPr>
              <w:pStyle w:val="NormalWeb"/>
            </w:pPr>
            <w:r w:rsidRPr="00286BA7">
              <w:t>94.19</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60.00</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27.27</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37.50</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63.02</w:t>
            </w:r>
          </w:p>
        </w:tc>
      </w:tr>
      <w:tr w:rsidR="00514211" w:rsidRPr="00286BA7" w:rsidTr="00514211">
        <w:trPr>
          <w:tblCellSpacing w:w="15" w:type="dxa"/>
          <w:jc w:val="center"/>
        </w:trPr>
        <w:tc>
          <w:tcPr>
            <w:tcW w:w="1797" w:type="dxa"/>
            <w:tcMar>
              <w:top w:w="15" w:type="dxa"/>
              <w:left w:w="15" w:type="dxa"/>
              <w:bottom w:w="15" w:type="dxa"/>
              <w:right w:w="15" w:type="dxa"/>
            </w:tcMar>
            <w:vAlign w:val="center"/>
            <w:hideMark/>
          </w:tcPr>
          <w:p w:rsidR="00514211" w:rsidRPr="00286BA7" w:rsidRDefault="00514211" w:rsidP="00514211">
            <w:pPr>
              <w:pStyle w:val="NormalWeb"/>
            </w:pPr>
            <w:r w:rsidRPr="00286BA7">
              <w:t>Random Forest</w:t>
            </w:r>
          </w:p>
        </w:tc>
        <w:tc>
          <w:tcPr>
            <w:tcW w:w="1463" w:type="dxa"/>
            <w:tcMar>
              <w:top w:w="15" w:type="dxa"/>
              <w:left w:w="15" w:type="dxa"/>
              <w:bottom w:w="15" w:type="dxa"/>
              <w:right w:w="15" w:type="dxa"/>
            </w:tcMar>
            <w:vAlign w:val="center"/>
            <w:hideMark/>
          </w:tcPr>
          <w:p w:rsidR="00514211" w:rsidRPr="00286BA7" w:rsidRDefault="00514211" w:rsidP="00514211">
            <w:pPr>
              <w:pStyle w:val="NormalWeb"/>
            </w:pPr>
            <w:r w:rsidRPr="00286BA7">
              <w:t>95.93</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70.00</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63.64</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66.67</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97.21</w:t>
            </w:r>
          </w:p>
        </w:tc>
      </w:tr>
      <w:tr w:rsidR="00514211" w:rsidRPr="00286BA7" w:rsidTr="00514211">
        <w:trPr>
          <w:tblCellSpacing w:w="15" w:type="dxa"/>
          <w:jc w:val="center"/>
        </w:trPr>
        <w:tc>
          <w:tcPr>
            <w:tcW w:w="1797" w:type="dxa"/>
            <w:tcMar>
              <w:top w:w="15" w:type="dxa"/>
              <w:left w:w="15" w:type="dxa"/>
              <w:bottom w:w="15" w:type="dxa"/>
              <w:right w:w="15" w:type="dxa"/>
            </w:tcMar>
            <w:vAlign w:val="center"/>
            <w:hideMark/>
          </w:tcPr>
          <w:p w:rsidR="00514211" w:rsidRPr="00286BA7" w:rsidRDefault="00514211" w:rsidP="00514211">
            <w:pPr>
              <w:pStyle w:val="NormalWeb"/>
            </w:pPr>
            <w:r w:rsidRPr="00286BA7">
              <w:t>Gradient Boosting</w:t>
            </w:r>
          </w:p>
        </w:tc>
        <w:tc>
          <w:tcPr>
            <w:tcW w:w="1463" w:type="dxa"/>
            <w:tcMar>
              <w:top w:w="15" w:type="dxa"/>
              <w:left w:w="15" w:type="dxa"/>
              <w:bottom w:w="15" w:type="dxa"/>
              <w:right w:w="15" w:type="dxa"/>
            </w:tcMar>
            <w:vAlign w:val="center"/>
            <w:hideMark/>
          </w:tcPr>
          <w:p w:rsidR="00514211" w:rsidRPr="00286BA7" w:rsidRDefault="00514211" w:rsidP="00514211">
            <w:pPr>
              <w:pStyle w:val="NormalWeb"/>
            </w:pPr>
            <w:r w:rsidRPr="00286BA7">
              <w:t>97.09</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87.50</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63.64</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73.68</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94.35</w:t>
            </w:r>
          </w:p>
        </w:tc>
      </w:tr>
      <w:tr w:rsidR="00514211" w:rsidRPr="00286BA7" w:rsidTr="00514211">
        <w:trPr>
          <w:tblCellSpacing w:w="15" w:type="dxa"/>
          <w:jc w:val="center"/>
        </w:trPr>
        <w:tc>
          <w:tcPr>
            <w:tcW w:w="1797" w:type="dxa"/>
            <w:tcMar>
              <w:top w:w="15" w:type="dxa"/>
              <w:left w:w="15" w:type="dxa"/>
              <w:bottom w:w="15" w:type="dxa"/>
              <w:right w:w="15" w:type="dxa"/>
            </w:tcMar>
            <w:vAlign w:val="center"/>
            <w:hideMark/>
          </w:tcPr>
          <w:p w:rsidR="00514211" w:rsidRPr="00286BA7" w:rsidRDefault="00514211" w:rsidP="00514211">
            <w:pPr>
              <w:pStyle w:val="NormalWeb"/>
            </w:pPr>
            <w:proofErr w:type="spellStart"/>
            <w:r w:rsidRPr="00286BA7">
              <w:t>AdaBoost</w:t>
            </w:r>
            <w:proofErr w:type="spellEnd"/>
          </w:p>
        </w:tc>
        <w:tc>
          <w:tcPr>
            <w:tcW w:w="1463" w:type="dxa"/>
            <w:tcMar>
              <w:top w:w="15" w:type="dxa"/>
              <w:left w:w="15" w:type="dxa"/>
              <w:bottom w:w="15" w:type="dxa"/>
              <w:right w:w="15" w:type="dxa"/>
            </w:tcMar>
            <w:vAlign w:val="center"/>
            <w:hideMark/>
          </w:tcPr>
          <w:p w:rsidR="00514211" w:rsidRPr="00286BA7" w:rsidRDefault="00514211" w:rsidP="00514211">
            <w:pPr>
              <w:pStyle w:val="NormalWeb"/>
            </w:pPr>
            <w:r w:rsidRPr="00286BA7">
              <w:t>94.19</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55.56</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45.45</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50.00</w:t>
            </w:r>
          </w:p>
        </w:tc>
        <w:tc>
          <w:tcPr>
            <w:tcW w:w="0" w:type="auto"/>
            <w:tcMar>
              <w:top w:w="15" w:type="dxa"/>
              <w:left w:w="15" w:type="dxa"/>
              <w:bottom w:w="15" w:type="dxa"/>
              <w:right w:w="15" w:type="dxa"/>
            </w:tcMar>
            <w:vAlign w:val="center"/>
            <w:hideMark/>
          </w:tcPr>
          <w:p w:rsidR="00514211" w:rsidRPr="00286BA7" w:rsidRDefault="00514211" w:rsidP="00514211">
            <w:pPr>
              <w:pStyle w:val="NormalWeb"/>
            </w:pPr>
            <w:r w:rsidRPr="00286BA7">
              <w:t>93.28</w:t>
            </w:r>
          </w:p>
        </w:tc>
      </w:tr>
      <w:tr w:rsidR="00514211" w:rsidRPr="00286BA7" w:rsidTr="00514211">
        <w:trPr>
          <w:tblCellSpacing w:w="15" w:type="dxa"/>
          <w:jc w:val="center"/>
        </w:trPr>
        <w:tc>
          <w:tcPr>
            <w:tcW w:w="1797" w:type="dxa"/>
            <w:tcBorders>
              <w:top w:val="nil"/>
              <w:left w:val="nil"/>
              <w:bottom w:val="single" w:sz="4" w:space="0" w:color="auto"/>
              <w:right w:val="nil"/>
            </w:tcBorders>
            <w:tcMar>
              <w:top w:w="15" w:type="dxa"/>
              <w:left w:w="15" w:type="dxa"/>
              <w:bottom w:w="15" w:type="dxa"/>
              <w:right w:w="15" w:type="dxa"/>
            </w:tcMar>
            <w:vAlign w:val="center"/>
            <w:hideMark/>
          </w:tcPr>
          <w:p w:rsidR="00514211" w:rsidRPr="00286BA7" w:rsidRDefault="00514211" w:rsidP="00514211">
            <w:pPr>
              <w:pStyle w:val="NormalWeb"/>
            </w:pPr>
            <w:proofErr w:type="spellStart"/>
            <w:r w:rsidRPr="00286BA7">
              <w:t>XGBoost</w:t>
            </w:r>
            <w:proofErr w:type="spellEnd"/>
          </w:p>
        </w:tc>
        <w:tc>
          <w:tcPr>
            <w:tcW w:w="1463" w:type="dxa"/>
            <w:tcBorders>
              <w:top w:val="nil"/>
              <w:left w:val="nil"/>
              <w:bottom w:val="single" w:sz="4" w:space="0" w:color="auto"/>
              <w:right w:val="nil"/>
            </w:tcBorders>
            <w:tcMar>
              <w:top w:w="15" w:type="dxa"/>
              <w:left w:w="15" w:type="dxa"/>
              <w:bottom w:w="15" w:type="dxa"/>
              <w:right w:w="15" w:type="dxa"/>
            </w:tcMar>
            <w:vAlign w:val="center"/>
            <w:hideMark/>
          </w:tcPr>
          <w:p w:rsidR="00514211" w:rsidRPr="00286BA7" w:rsidRDefault="00514211" w:rsidP="00514211">
            <w:pPr>
              <w:pStyle w:val="NormalWeb"/>
            </w:pPr>
            <w:r w:rsidRPr="00286BA7">
              <w:t>95.93</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514211" w:rsidRPr="00286BA7" w:rsidRDefault="00514211" w:rsidP="00514211">
            <w:pPr>
              <w:pStyle w:val="NormalWeb"/>
            </w:pPr>
            <w:r w:rsidRPr="00286BA7">
              <w:t>75.00</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514211" w:rsidRPr="00286BA7" w:rsidRDefault="00514211" w:rsidP="00514211">
            <w:pPr>
              <w:pStyle w:val="NormalWeb"/>
            </w:pPr>
            <w:r w:rsidRPr="00286BA7">
              <w:t>54.55</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514211" w:rsidRPr="00286BA7" w:rsidRDefault="00514211" w:rsidP="00514211">
            <w:pPr>
              <w:pStyle w:val="NormalWeb"/>
            </w:pPr>
            <w:r w:rsidRPr="00286BA7">
              <w:t>63.16</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514211" w:rsidRPr="00286BA7" w:rsidRDefault="00514211" w:rsidP="00514211">
            <w:pPr>
              <w:pStyle w:val="NormalWeb"/>
            </w:pPr>
            <w:r w:rsidRPr="00286BA7">
              <w:t>97.35</w:t>
            </w:r>
          </w:p>
        </w:tc>
      </w:tr>
    </w:tbl>
    <w:p w:rsidR="00253414" w:rsidRPr="00286BA7" w:rsidRDefault="00253414" w:rsidP="00253414">
      <w:pPr>
        <w:pStyle w:val="NormalWeb"/>
        <w:spacing w:before="0" w:beforeAutospacing="0" w:after="0" w:afterAutospacing="0"/>
      </w:pPr>
    </w:p>
    <w:p w:rsidR="00253414" w:rsidRPr="00286BA7" w:rsidRDefault="00253414" w:rsidP="009E4700">
      <w:pPr>
        <w:pStyle w:val="NormalWeb"/>
        <w:spacing w:before="0" w:beforeAutospacing="0" w:after="0" w:afterAutospacing="0"/>
        <w:jc w:val="both"/>
      </w:pPr>
      <w:r w:rsidRPr="00286BA7">
        <w:t>Overall, the results confirm that the proposed SMOTE-enhanced fuzzy ensemble learning framework significantly improves cervical cancer prediction performance and provides a reliable decision-support mechanism for early diagnosis.</w:t>
      </w:r>
      <w:r w:rsidR="003A50AF" w:rsidRPr="00286BA7">
        <w:t xml:space="preserve"> The visual representation of the models performance in terms of accuracies and ROC-AUC after the application of SMOTE is shown in figures 4 and 5.</w:t>
      </w:r>
    </w:p>
    <w:p w:rsidR="003A50AF" w:rsidRPr="00286BA7" w:rsidRDefault="003A50AF" w:rsidP="009E4700">
      <w:pPr>
        <w:pStyle w:val="NormalWeb"/>
        <w:spacing w:before="0" w:beforeAutospacing="0" w:after="0" w:afterAutospacing="0"/>
        <w:jc w:val="both"/>
      </w:pPr>
    </w:p>
    <w:p w:rsidR="003A50AF" w:rsidRPr="00286BA7" w:rsidRDefault="00FF7E52" w:rsidP="00FF7E52">
      <w:pPr>
        <w:pStyle w:val="NormalWeb"/>
        <w:spacing w:before="0" w:beforeAutospacing="0" w:after="0" w:afterAutospacing="0"/>
        <w:jc w:val="center"/>
      </w:pPr>
      <w:r w:rsidRPr="00286BA7">
        <w:rPr>
          <w:noProof/>
        </w:rPr>
        <w:drawing>
          <wp:inline distT="0" distB="0" distL="0" distR="0" wp14:anchorId="76CA0BB3" wp14:editId="025C78BE">
            <wp:extent cx="4894446" cy="2531444"/>
            <wp:effectExtent l="0" t="0" r="1905"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F7E52" w:rsidRPr="00286BA7" w:rsidRDefault="00FF7E52" w:rsidP="00FF7E52">
      <w:pPr>
        <w:pStyle w:val="NormalWeb"/>
        <w:spacing w:before="0" w:beforeAutospacing="0" w:after="0" w:afterAutospacing="0"/>
        <w:jc w:val="center"/>
      </w:pPr>
      <w:r w:rsidRPr="00286BA7">
        <w:t>Figure 4. The Models Performance in Terms of Accuracies after Applying SMOTE</w:t>
      </w:r>
    </w:p>
    <w:p w:rsidR="004900CA" w:rsidRPr="00286BA7" w:rsidRDefault="004900CA" w:rsidP="00FF7E52">
      <w:pPr>
        <w:pStyle w:val="NormalWeb"/>
        <w:spacing w:before="0" w:beforeAutospacing="0" w:after="0" w:afterAutospacing="0"/>
        <w:jc w:val="center"/>
      </w:pPr>
    </w:p>
    <w:p w:rsidR="004900CA" w:rsidRPr="00286BA7" w:rsidRDefault="004900CA" w:rsidP="00FF7E52">
      <w:pPr>
        <w:pStyle w:val="NormalWeb"/>
        <w:spacing w:before="0" w:beforeAutospacing="0" w:after="0" w:afterAutospacing="0"/>
        <w:jc w:val="center"/>
      </w:pPr>
      <w:r w:rsidRPr="00286BA7">
        <w:rPr>
          <w:noProof/>
        </w:rPr>
        <w:drawing>
          <wp:inline distT="0" distB="0" distL="0" distR="0" wp14:anchorId="722AD24A" wp14:editId="711D8631">
            <wp:extent cx="4206240" cy="2569945"/>
            <wp:effectExtent l="0" t="0" r="3810" b="1905"/>
            <wp:docPr id="18" name="Picture 18" descr="C:\Users\user\Desktop\SOFTWARE ENGINEERING_CORRESPONDENCES\SUNNY_ICT_MSC\ROC-AUC_SMOTE.png"/>
            <wp:cNvGraphicFramePr/>
            <a:graphic xmlns:a="http://schemas.openxmlformats.org/drawingml/2006/main">
              <a:graphicData uri="http://schemas.openxmlformats.org/drawingml/2006/picture">
                <pic:pic xmlns:pic="http://schemas.openxmlformats.org/drawingml/2006/picture">
                  <pic:nvPicPr>
                    <pic:cNvPr id="18" name="Picture 18" descr="C:\Users\user\Desktop\SOFTWARE ENGINEERING_CORRESPONDENCES\SUNNY_ICT_MSC\ROC-AUC_SMOTE.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4468" cy="2574972"/>
                    </a:xfrm>
                    <a:prstGeom prst="rect">
                      <a:avLst/>
                    </a:prstGeom>
                    <a:noFill/>
                    <a:ln>
                      <a:noFill/>
                    </a:ln>
                  </pic:spPr>
                </pic:pic>
              </a:graphicData>
            </a:graphic>
          </wp:inline>
        </w:drawing>
      </w:r>
    </w:p>
    <w:p w:rsidR="004900CA" w:rsidRPr="00286BA7" w:rsidRDefault="004900CA" w:rsidP="00FF7E52">
      <w:pPr>
        <w:pStyle w:val="NormalWeb"/>
        <w:spacing w:before="0" w:beforeAutospacing="0" w:after="0" w:afterAutospacing="0"/>
        <w:jc w:val="center"/>
      </w:pPr>
      <w:r w:rsidRPr="00286BA7">
        <w:t>Figure 5: Models Performance in terms of ROC-AUC after Applying SMOTE</w:t>
      </w:r>
    </w:p>
    <w:p w:rsidR="002458EC" w:rsidRPr="00286BA7" w:rsidRDefault="002458EC" w:rsidP="002458EC">
      <w:pPr>
        <w:pStyle w:val="NormalWeb"/>
        <w:spacing w:before="0" w:beforeAutospacing="0" w:after="0" w:afterAutospacing="0"/>
      </w:pPr>
    </w:p>
    <w:p w:rsidR="002458EC" w:rsidRDefault="002458EC" w:rsidP="002458EC">
      <w:pPr>
        <w:pStyle w:val="NormalWeb"/>
        <w:spacing w:before="0" w:beforeAutospacing="0" w:after="0" w:afterAutospacing="0"/>
        <w:jc w:val="both"/>
      </w:pPr>
      <w:r w:rsidRPr="00286BA7">
        <w:t xml:space="preserve">The ROC curve in figure 5 shows that the ensemble models, particularly </w:t>
      </w:r>
      <w:proofErr w:type="spellStart"/>
      <w:r w:rsidRPr="00286BA7">
        <w:t>XGBoost</w:t>
      </w:r>
      <w:proofErr w:type="spellEnd"/>
      <w:r w:rsidRPr="00286BA7">
        <w:t xml:space="preserve">, Random Forest, and Gradient Boosting, achieved the best classification performance because their curves are closest to the top-left corner, indicating high true positive rates and low false positive rates. </w:t>
      </w:r>
      <w:proofErr w:type="spellStart"/>
      <w:r w:rsidRPr="00286BA7">
        <w:t>AdaBoost</w:t>
      </w:r>
      <w:proofErr w:type="spellEnd"/>
      <w:r w:rsidRPr="00286BA7">
        <w:t xml:space="preserve"> and C4.5 also performed well but </w:t>
      </w:r>
      <w:r w:rsidRPr="00286BA7">
        <w:lastRenderedPageBreak/>
        <w:t>slightly below the leading ensemble methods. In contrast, ID3 and CART showed weaker predictive ability, as their curves are closer to the diagonal reference line. Overall, the results indicate that ensemble learning techniques outperform traditional decision tree algorithms in classification accuracy and discriminative capability.</w:t>
      </w:r>
    </w:p>
    <w:p w:rsidR="00955AF9" w:rsidRDefault="00955AF9" w:rsidP="002458EC">
      <w:pPr>
        <w:pStyle w:val="NormalWeb"/>
        <w:spacing w:before="0" w:beforeAutospacing="0" w:after="0" w:afterAutospacing="0"/>
        <w:jc w:val="both"/>
      </w:pPr>
    </w:p>
    <w:p w:rsidR="00955AF9" w:rsidRDefault="00955AF9" w:rsidP="00EC75EE">
      <w:pPr>
        <w:pStyle w:val="NormalWeb"/>
        <w:spacing w:before="0" w:beforeAutospacing="0" w:after="0" w:afterAutospacing="0"/>
        <w:jc w:val="both"/>
      </w:pPr>
      <w:r w:rsidRPr="00955AF9">
        <w:rPr>
          <w:b/>
          <w:sz w:val="28"/>
          <w:szCs w:val="28"/>
        </w:rPr>
        <w:t>DISCUSSIONS</w:t>
      </w:r>
    </w:p>
    <w:p w:rsidR="00955AF9" w:rsidRPr="00286BA7" w:rsidRDefault="00EC75EE" w:rsidP="00EC75EE">
      <w:pPr>
        <w:pStyle w:val="NormalWeb"/>
        <w:spacing w:before="0" w:beforeAutospacing="0" w:after="0" w:afterAutospacing="0"/>
        <w:ind w:firstLine="720"/>
        <w:jc w:val="both"/>
      </w:pPr>
      <w:r>
        <w:t xml:space="preserve">The experimental findings demonstrate that integrating SMOTE, fuzzy logic, and ensemble learning significantly enhances cervical cancer prediction performance. Correlation analysis revealed low </w:t>
      </w:r>
      <w:proofErr w:type="spellStart"/>
      <w:r>
        <w:t>multicollinearity</w:t>
      </w:r>
      <w:proofErr w:type="spellEnd"/>
      <w:r>
        <w:t xml:space="preserve"> among most variables, indicating that the dataset contains diverse and informative predictors, although strong associations among smoking and STD-related features suggest im</w:t>
      </w:r>
      <w:r>
        <w:t xml:space="preserve">portant clinical relationships. </w:t>
      </w:r>
      <w:r>
        <w:t xml:space="preserve">Before applying SMOTE, ensemble models outperformed conventional decision trees, with Gradient Boosting achieving the best performance, recording 97.09% accuracy, 87.50% precision, 63.64% recall, and an F1-score of 73.68%. C4.5 also showed balanced predictive capability, while Random Forest and </w:t>
      </w:r>
      <w:proofErr w:type="spellStart"/>
      <w:r>
        <w:t>AdaBoost</w:t>
      </w:r>
      <w:proofErr w:type="spellEnd"/>
      <w:r>
        <w:t xml:space="preserve"> exhibited lower recall values, highlighting the challenges posed by class imbalance in ide</w:t>
      </w:r>
      <w:r>
        <w:t xml:space="preserve">ntifying positive cancer cases. </w:t>
      </w:r>
      <w:r>
        <w:t xml:space="preserve">The application of SMOTE substantially improved minority-class representation and enhanced model sensitivity. </w:t>
      </w:r>
      <w:proofErr w:type="spellStart"/>
      <w:r>
        <w:t>XGBoost</w:t>
      </w:r>
      <w:proofErr w:type="spellEnd"/>
      <w:r>
        <w:t xml:space="preserve"> and Random Forest achieved the highest ROC-AUC values of 97.35% and 97.21%, respectively, demonstrating excellent discriminative ability. These results confirm that data balancing techniques play a crucial role in improving cancer prediction models.</w:t>
      </w:r>
      <w:r>
        <w:t xml:space="preserve"> </w:t>
      </w:r>
      <w:r>
        <w:t xml:space="preserve">Fuzzy logic further strengthened the framework by effectively handling uncertainty and imprecision in medical data. The transformation of numerical variables into linguistic categories enabled the generation of interpretable decision rules, thereby improving </w:t>
      </w:r>
      <w:proofErr w:type="spellStart"/>
      <w:r>
        <w:t>explainability</w:t>
      </w:r>
      <w:proofErr w:type="spellEnd"/>
      <w:r>
        <w:t xml:space="preserve"> and supporting clinical decision-making. The integration of fuzzy decision tree outputs into ensemble models contributed to greater robus</w:t>
      </w:r>
      <w:r>
        <w:t>tness and predictive stability. In general</w:t>
      </w:r>
      <w:r>
        <w:t xml:space="preserve">, the results indicate that the proposed SMOTE-enhanced fuzzy ensemble framework successfully addresses class imbalance, uncertainty, and interpretability challenges simultaneously. The combination of fuzzy reasoning, ensemble learning, and </w:t>
      </w:r>
      <w:proofErr w:type="spellStart"/>
      <w:r>
        <w:t>hyperparameter</w:t>
      </w:r>
      <w:proofErr w:type="spellEnd"/>
      <w:r>
        <w:t xml:space="preserve"> optimization provides a reliable and effective decision-support mechanism for early cervical cancer diagnosis and intelligent healthcare applications.</w:t>
      </w:r>
    </w:p>
    <w:p w:rsidR="003E32A5" w:rsidRPr="00286BA7" w:rsidRDefault="003E32A5" w:rsidP="002458EC">
      <w:pPr>
        <w:pStyle w:val="NormalWeb"/>
        <w:spacing w:before="0" w:beforeAutospacing="0" w:after="0" w:afterAutospacing="0"/>
        <w:jc w:val="both"/>
      </w:pPr>
    </w:p>
    <w:p w:rsidR="003E32A5" w:rsidRPr="00286BA7" w:rsidRDefault="00EC75EE" w:rsidP="00EC75EE">
      <w:pPr>
        <w:pStyle w:val="NormalWeb"/>
        <w:spacing w:before="0" w:beforeAutospacing="0" w:after="0" w:afterAutospacing="0"/>
        <w:jc w:val="both"/>
      </w:pPr>
      <w:r w:rsidRPr="00286BA7">
        <w:rPr>
          <w:b/>
        </w:rPr>
        <w:t>CONCLUSION</w:t>
      </w:r>
    </w:p>
    <w:p w:rsidR="006A1879" w:rsidRPr="00286BA7" w:rsidRDefault="004374FC" w:rsidP="004374FC">
      <w:pPr>
        <w:pStyle w:val="NormalWeb"/>
        <w:spacing w:before="0" w:beforeAutospacing="0" w:after="0" w:afterAutospacing="0"/>
        <w:ind w:firstLine="720"/>
        <w:jc w:val="both"/>
      </w:pPr>
      <w:r w:rsidRPr="004374FC">
        <w:t xml:space="preserve">This study developed an explainable SMOTE-enhanced fuzzy ensemble decision tree framework for cervical cancer prediction and classification. The integration of SMOTE effectively addressed class imbalance, while fuzzy logic improved the handling of uncertainty in medical data. The ensemble learning models consistently outperformed traditional decision tree algorithms, with Gradient Boosting achieving the highest classification accuracy and </w:t>
      </w:r>
      <w:proofErr w:type="spellStart"/>
      <w:r w:rsidRPr="004374FC">
        <w:t>XGBoost</w:t>
      </w:r>
      <w:proofErr w:type="spellEnd"/>
      <w:r w:rsidRPr="004374FC">
        <w:t xml:space="preserve"> producing the best ROC-AUC performance. The findings demonstrate that combining fuzzy reasoning, data balancing techniques, and optimized ensemble methods provides a robust, accurate, and interpretable approach for early cervical cancer diagnosis. Therefore, the proposed framework offers a reliable decision-support tool with strong potential for intelligent healthcare applications and improved patient outcomes.</w:t>
      </w:r>
    </w:p>
    <w:p w:rsidR="006A1879" w:rsidRPr="00286BA7" w:rsidRDefault="006A1879" w:rsidP="006A1879">
      <w:pPr>
        <w:pStyle w:val="NormalWeb"/>
        <w:spacing w:before="0" w:beforeAutospacing="0" w:after="0" w:afterAutospacing="0"/>
        <w:jc w:val="both"/>
      </w:pPr>
    </w:p>
    <w:p w:rsidR="006A1879" w:rsidRPr="00286BA7" w:rsidRDefault="006A1879" w:rsidP="006A1879">
      <w:pPr>
        <w:pStyle w:val="NormalWeb"/>
        <w:spacing w:before="0" w:beforeAutospacing="0" w:after="0" w:afterAutospacing="0"/>
        <w:jc w:val="both"/>
      </w:pPr>
    </w:p>
    <w:p w:rsidR="006A1879" w:rsidRPr="00286BA7" w:rsidRDefault="004374FC" w:rsidP="006A1879">
      <w:pPr>
        <w:pStyle w:val="Heading1"/>
        <w:spacing w:before="0" w:beforeAutospacing="0" w:after="0" w:afterAutospacing="0"/>
        <w:jc w:val="both"/>
        <w:rPr>
          <w:sz w:val="24"/>
          <w:szCs w:val="24"/>
        </w:rPr>
      </w:pPr>
      <w:r w:rsidRPr="00286BA7">
        <w:rPr>
          <w:sz w:val="24"/>
          <w:szCs w:val="24"/>
        </w:rPr>
        <w:t>REFEREN</w:t>
      </w:r>
      <w:bookmarkStart w:id="0" w:name="_GoBack"/>
      <w:bookmarkEnd w:id="0"/>
      <w:r w:rsidRPr="00286BA7">
        <w:rPr>
          <w:sz w:val="24"/>
          <w:szCs w:val="24"/>
        </w:rPr>
        <w:t>CES</w:t>
      </w:r>
    </w:p>
    <w:p w:rsidR="006A1879" w:rsidRPr="00286BA7" w:rsidRDefault="006A1879" w:rsidP="006A1879">
      <w:pPr>
        <w:pStyle w:val="NormalWeb"/>
        <w:spacing w:before="0" w:beforeAutospacing="0" w:after="0" w:afterAutospacing="0"/>
        <w:ind w:left="540" w:hanging="540"/>
        <w:jc w:val="both"/>
      </w:pPr>
      <w:r w:rsidRPr="00286BA7">
        <w:t xml:space="preserve">Chawla, N. V., Bowyer, K. W., Hall, L. </w:t>
      </w:r>
      <w:r w:rsidR="00345DAF" w:rsidRPr="00286BA7">
        <w:t xml:space="preserve">O., &amp; </w:t>
      </w:r>
      <w:proofErr w:type="spellStart"/>
      <w:r w:rsidR="00345DAF" w:rsidRPr="00286BA7">
        <w:t>Kegelmeyer</w:t>
      </w:r>
      <w:proofErr w:type="spellEnd"/>
      <w:r w:rsidR="00345DAF" w:rsidRPr="00286BA7">
        <w:t>, W. P.</w:t>
      </w:r>
      <w:r w:rsidRPr="00286BA7">
        <w:t xml:space="preserve">(2002). SMOTE: Synthetic minority over-sampling technique. </w:t>
      </w:r>
      <w:r w:rsidRPr="00286BA7">
        <w:rPr>
          <w:rStyle w:val="Emphasis"/>
        </w:rPr>
        <w:t>Journal of Artificial Intelligence Research</w:t>
      </w:r>
      <w:r w:rsidRPr="00286BA7">
        <w:t>, 16, 321–357.</w:t>
      </w:r>
    </w:p>
    <w:p w:rsidR="00345DAF" w:rsidRPr="00286BA7" w:rsidRDefault="006A1879" w:rsidP="00345DAF">
      <w:pPr>
        <w:pStyle w:val="NormalWeb"/>
        <w:spacing w:before="0" w:beforeAutospacing="0" w:after="0" w:afterAutospacing="0"/>
        <w:ind w:left="540" w:hanging="540"/>
        <w:jc w:val="both"/>
      </w:pPr>
      <w:proofErr w:type="spellStart"/>
      <w:r w:rsidRPr="00286BA7">
        <w:t>Breiman</w:t>
      </w:r>
      <w:proofErr w:type="spellEnd"/>
      <w:r w:rsidRPr="00286BA7">
        <w:t xml:space="preserve">, L. (2001). Random </w:t>
      </w:r>
      <w:r w:rsidR="007E0DC0" w:rsidRPr="00286BA7">
        <w:t>Forests</w:t>
      </w:r>
      <w:r w:rsidR="00345DAF" w:rsidRPr="00286BA7">
        <w:t xml:space="preserve">. Machine Learning, 45(1), </w:t>
      </w:r>
      <w:r w:rsidRPr="00286BA7">
        <w:t>5–32.</w:t>
      </w:r>
      <w:r w:rsidR="00345DAF" w:rsidRPr="00286BA7">
        <w:t xml:space="preserve">  </w:t>
      </w:r>
      <w:hyperlink r:id="rId14" w:history="1">
        <w:r w:rsidR="00345DAF" w:rsidRPr="00286BA7">
          <w:rPr>
            <w:rStyle w:val="Hyperlink"/>
          </w:rPr>
          <w:t>https://doi.org/10.1023/A:1010933404324</w:t>
        </w:r>
      </w:hyperlink>
      <w:r w:rsidR="00345DAF" w:rsidRPr="00286BA7">
        <w:t xml:space="preserve">. </w:t>
      </w:r>
    </w:p>
    <w:p w:rsidR="006A1879" w:rsidRPr="00286BA7" w:rsidRDefault="006A1879" w:rsidP="00345DAF">
      <w:pPr>
        <w:pStyle w:val="NormalWeb"/>
        <w:spacing w:before="0" w:beforeAutospacing="0" w:after="0" w:afterAutospacing="0"/>
        <w:ind w:left="540" w:hanging="540"/>
        <w:jc w:val="both"/>
      </w:pPr>
      <w:r w:rsidRPr="00286BA7">
        <w:t xml:space="preserve">Chen, T., &amp; </w:t>
      </w:r>
      <w:proofErr w:type="spellStart"/>
      <w:r w:rsidRPr="00286BA7">
        <w:t>Guestrin</w:t>
      </w:r>
      <w:proofErr w:type="spellEnd"/>
      <w:r w:rsidRPr="00286BA7">
        <w:t xml:space="preserve">, C. (2016). </w:t>
      </w:r>
      <w:proofErr w:type="spellStart"/>
      <w:r w:rsidRPr="00286BA7">
        <w:t>XGBoost</w:t>
      </w:r>
      <w:proofErr w:type="spellEnd"/>
      <w:r w:rsidRPr="00286BA7">
        <w:t>: A scalable tree boosting system. Proceedings of the 22nd ACM SIGKDD International Conference on Knowledge Discovery and Data Mining, 785–794.</w:t>
      </w:r>
    </w:p>
    <w:p w:rsidR="006A1879" w:rsidRPr="00286BA7" w:rsidRDefault="006A1879" w:rsidP="006A1879">
      <w:pPr>
        <w:pStyle w:val="NormalWeb"/>
        <w:spacing w:before="0" w:beforeAutospacing="0" w:after="0" w:afterAutospacing="0"/>
        <w:ind w:left="540" w:hanging="540"/>
        <w:jc w:val="both"/>
      </w:pPr>
      <w:proofErr w:type="spellStart"/>
      <w:r w:rsidRPr="00286BA7">
        <w:t>Fernández</w:t>
      </w:r>
      <w:proofErr w:type="spellEnd"/>
      <w:r w:rsidRPr="00286BA7">
        <w:t xml:space="preserve">, A., Garcia, S., </w:t>
      </w:r>
      <w:proofErr w:type="spellStart"/>
      <w:r w:rsidRPr="00286BA7">
        <w:t>Galar</w:t>
      </w:r>
      <w:proofErr w:type="spellEnd"/>
      <w:r w:rsidRPr="00286BA7">
        <w:t xml:space="preserve">, M., </w:t>
      </w:r>
      <w:proofErr w:type="spellStart"/>
      <w:r w:rsidRPr="00286BA7">
        <w:t>Prati</w:t>
      </w:r>
      <w:proofErr w:type="spellEnd"/>
      <w:r w:rsidRPr="00286BA7">
        <w:t xml:space="preserve">, R. C., </w:t>
      </w:r>
      <w:proofErr w:type="spellStart"/>
      <w:r w:rsidRPr="00286BA7">
        <w:t>Krawczyk</w:t>
      </w:r>
      <w:proofErr w:type="spellEnd"/>
      <w:r w:rsidRPr="00286BA7">
        <w:t>, B., &amp; Herrera, F. (2018). Learning from imbalanced data sets. Springer.</w:t>
      </w:r>
      <w:r w:rsidR="00E748FF" w:rsidRPr="00286BA7">
        <w:t xml:space="preserve"> </w:t>
      </w:r>
      <w:hyperlink r:id="rId15" w:history="1">
        <w:r w:rsidR="00E748FF" w:rsidRPr="00286BA7">
          <w:rPr>
            <w:rStyle w:val="Hyperlink"/>
          </w:rPr>
          <w:t>https://link.springer.com/book/10.1007/978-3-319-98074-4</w:t>
        </w:r>
      </w:hyperlink>
      <w:r w:rsidR="00E748FF" w:rsidRPr="00286BA7">
        <w:t xml:space="preserve">. </w:t>
      </w:r>
    </w:p>
    <w:p w:rsidR="006A1879" w:rsidRPr="00286BA7" w:rsidRDefault="006A1879" w:rsidP="006A1879">
      <w:pPr>
        <w:pStyle w:val="NormalWeb"/>
        <w:spacing w:before="0" w:beforeAutospacing="0" w:after="0" w:afterAutospacing="0"/>
        <w:ind w:left="540" w:hanging="540"/>
        <w:jc w:val="both"/>
      </w:pPr>
      <w:r w:rsidRPr="00286BA7">
        <w:t xml:space="preserve">Friedman, J. H. (2001). Greedy </w:t>
      </w:r>
      <w:r w:rsidR="00E748FF" w:rsidRPr="00286BA7">
        <w:t>Function Approximation</w:t>
      </w:r>
      <w:r w:rsidRPr="00286BA7">
        <w:t xml:space="preserve">: A </w:t>
      </w:r>
      <w:r w:rsidR="00E748FF" w:rsidRPr="00286BA7">
        <w:t>Gradient Boosting Machine</w:t>
      </w:r>
      <w:r w:rsidRPr="00286BA7">
        <w:t>. Annals of Statistics, 29(5), 1189–1232.</w:t>
      </w:r>
    </w:p>
    <w:p w:rsidR="006A1879" w:rsidRPr="00286BA7" w:rsidRDefault="006A1879" w:rsidP="006A1879">
      <w:pPr>
        <w:pStyle w:val="NormalWeb"/>
        <w:spacing w:before="0" w:beforeAutospacing="0" w:after="0" w:afterAutospacing="0"/>
        <w:ind w:left="540" w:hanging="540"/>
        <w:jc w:val="both"/>
      </w:pPr>
      <w:proofErr w:type="spellStart"/>
      <w:r w:rsidRPr="00286BA7">
        <w:t>Haixiang</w:t>
      </w:r>
      <w:proofErr w:type="spellEnd"/>
      <w:r w:rsidRPr="00286BA7">
        <w:t xml:space="preserve">, G., </w:t>
      </w:r>
      <w:proofErr w:type="spellStart"/>
      <w:r w:rsidRPr="00286BA7">
        <w:t>Yijing</w:t>
      </w:r>
      <w:proofErr w:type="spellEnd"/>
      <w:r w:rsidRPr="00286BA7">
        <w:t xml:space="preserve">, L., Shang, J., </w:t>
      </w:r>
      <w:proofErr w:type="spellStart"/>
      <w:r w:rsidRPr="00286BA7">
        <w:t>Mingyun</w:t>
      </w:r>
      <w:proofErr w:type="spellEnd"/>
      <w:r w:rsidRPr="00286BA7">
        <w:t xml:space="preserve">, G., </w:t>
      </w:r>
      <w:proofErr w:type="spellStart"/>
      <w:r w:rsidRPr="00286BA7">
        <w:t>Yuanyue</w:t>
      </w:r>
      <w:proofErr w:type="spellEnd"/>
      <w:r w:rsidRPr="00286BA7">
        <w:t xml:space="preserve">, H., &amp; Bing, G. (2017). Learning from </w:t>
      </w:r>
      <w:r w:rsidR="007E0DC0" w:rsidRPr="00286BA7">
        <w:t>Class</w:t>
      </w:r>
      <w:r w:rsidRPr="00286BA7">
        <w:t>-</w:t>
      </w:r>
      <w:r w:rsidR="007E0DC0" w:rsidRPr="00286BA7">
        <w:t>Imbalanced Data</w:t>
      </w:r>
      <w:r w:rsidRPr="00286BA7">
        <w:t xml:space="preserve">: Review of </w:t>
      </w:r>
      <w:r w:rsidR="007E0DC0" w:rsidRPr="00286BA7">
        <w:t xml:space="preserve">Methods </w:t>
      </w:r>
      <w:r w:rsidRPr="00286BA7">
        <w:t xml:space="preserve">and </w:t>
      </w:r>
      <w:r w:rsidR="007E0DC0" w:rsidRPr="00286BA7">
        <w:t>Applications</w:t>
      </w:r>
      <w:r w:rsidRPr="00286BA7">
        <w:t>. Expert Systems with Applications, 73, 220–239.</w:t>
      </w:r>
    </w:p>
    <w:p w:rsidR="006A1879" w:rsidRPr="00286BA7" w:rsidRDefault="006A1879" w:rsidP="006A1879">
      <w:pPr>
        <w:pStyle w:val="NormalWeb"/>
        <w:spacing w:before="0" w:beforeAutospacing="0" w:after="0" w:afterAutospacing="0"/>
        <w:ind w:left="540" w:hanging="540"/>
        <w:jc w:val="both"/>
      </w:pPr>
      <w:proofErr w:type="spellStart"/>
      <w:r w:rsidRPr="00286BA7">
        <w:t>Janikow</w:t>
      </w:r>
      <w:proofErr w:type="spellEnd"/>
      <w:r w:rsidRPr="00286BA7">
        <w:t>, C. Z. (1998). Fuzzy decision trees: Issues and methods. IEEE Transactions on Systems, Man, and Cybernetics, 28(1), 1–14.</w:t>
      </w:r>
    </w:p>
    <w:p w:rsidR="006A1879" w:rsidRPr="00286BA7" w:rsidRDefault="006A1879" w:rsidP="006A1879">
      <w:pPr>
        <w:pStyle w:val="NormalWeb"/>
        <w:spacing w:before="0" w:beforeAutospacing="0" w:after="0" w:afterAutospacing="0"/>
        <w:ind w:left="540" w:hanging="540"/>
        <w:jc w:val="both"/>
      </w:pPr>
      <w:proofErr w:type="spellStart"/>
      <w:r w:rsidRPr="00286BA7">
        <w:lastRenderedPageBreak/>
        <w:t>Ke</w:t>
      </w:r>
      <w:proofErr w:type="spellEnd"/>
      <w:r w:rsidRPr="00286BA7">
        <w:t xml:space="preserve">, G., </w:t>
      </w:r>
      <w:proofErr w:type="spellStart"/>
      <w:r w:rsidRPr="00286BA7">
        <w:t>Meng</w:t>
      </w:r>
      <w:proofErr w:type="spellEnd"/>
      <w:r w:rsidRPr="00286BA7">
        <w:t xml:space="preserve">, Q., Finley, T., Wang, T., Chen, W., Ma, W., Ye, Q., &amp; Liu, T. Y. (2017). </w:t>
      </w:r>
      <w:proofErr w:type="spellStart"/>
      <w:r w:rsidRPr="00286BA7">
        <w:t>LightGBM</w:t>
      </w:r>
      <w:proofErr w:type="spellEnd"/>
      <w:r w:rsidRPr="00286BA7">
        <w:t>: A highly efficient gradient boosting decision tree. Advances in Neural Information Processing Systems, 30.</w:t>
      </w:r>
    </w:p>
    <w:p w:rsidR="006A1879" w:rsidRPr="00286BA7" w:rsidRDefault="006A1879" w:rsidP="006A1879">
      <w:pPr>
        <w:pStyle w:val="NormalWeb"/>
        <w:spacing w:before="0" w:beforeAutospacing="0" w:after="0" w:afterAutospacing="0"/>
        <w:ind w:left="540" w:hanging="540"/>
        <w:jc w:val="both"/>
      </w:pPr>
      <w:proofErr w:type="spellStart"/>
      <w:r w:rsidRPr="00286BA7">
        <w:t>Kourou</w:t>
      </w:r>
      <w:proofErr w:type="spellEnd"/>
      <w:r w:rsidRPr="00286BA7">
        <w:t xml:space="preserve">, K., </w:t>
      </w:r>
      <w:proofErr w:type="spellStart"/>
      <w:r w:rsidRPr="00286BA7">
        <w:t>Exarchos</w:t>
      </w:r>
      <w:proofErr w:type="spellEnd"/>
      <w:r w:rsidRPr="00286BA7">
        <w:t xml:space="preserve">, T. P., </w:t>
      </w:r>
      <w:proofErr w:type="spellStart"/>
      <w:r w:rsidRPr="00286BA7">
        <w:t>Exarchos</w:t>
      </w:r>
      <w:proofErr w:type="spellEnd"/>
      <w:r w:rsidRPr="00286BA7">
        <w:t xml:space="preserve">, K. P., </w:t>
      </w:r>
      <w:proofErr w:type="spellStart"/>
      <w:r w:rsidRPr="00286BA7">
        <w:t>Karamouzis</w:t>
      </w:r>
      <w:proofErr w:type="spellEnd"/>
      <w:r w:rsidRPr="00286BA7">
        <w:t>, M. V., &amp; Fotiadis, D. I. (2015). Machine learning applications in cancer prognosis and prediction. Computational and Structural Biotechnology Journal, 13, 8–17.</w:t>
      </w:r>
    </w:p>
    <w:p w:rsidR="006A1879" w:rsidRPr="00286BA7" w:rsidRDefault="006A1879" w:rsidP="006A1879">
      <w:pPr>
        <w:pStyle w:val="NormalWeb"/>
        <w:spacing w:before="0" w:beforeAutospacing="0" w:after="0" w:afterAutospacing="0"/>
        <w:ind w:left="540" w:hanging="540"/>
        <w:jc w:val="both"/>
      </w:pPr>
      <w:r w:rsidRPr="00286BA7">
        <w:t>Quinlan, J. R. (1993). C4.5: Programs for machine learning. Morgan Kaufmann.</w:t>
      </w:r>
    </w:p>
    <w:p w:rsidR="006A1879" w:rsidRPr="00286BA7" w:rsidRDefault="006A1879" w:rsidP="006A1879">
      <w:pPr>
        <w:pStyle w:val="NormalWeb"/>
        <w:spacing w:before="0" w:beforeAutospacing="0" w:after="0" w:afterAutospacing="0"/>
        <w:ind w:left="540" w:hanging="540"/>
        <w:jc w:val="both"/>
      </w:pPr>
      <w:r w:rsidRPr="00286BA7">
        <w:t>World Health Organization. (2023). Cervical cancer. https://www.who.int/news-room/fact-sheets/detail/cervical-cancer</w:t>
      </w:r>
    </w:p>
    <w:p w:rsidR="006A1879" w:rsidRPr="00286BA7" w:rsidRDefault="006A1879" w:rsidP="006A1879">
      <w:pPr>
        <w:pStyle w:val="NormalWeb"/>
        <w:spacing w:before="0" w:beforeAutospacing="0" w:after="0" w:afterAutospacing="0"/>
        <w:ind w:left="540" w:hanging="540"/>
        <w:jc w:val="both"/>
      </w:pPr>
      <w:proofErr w:type="spellStart"/>
      <w:r w:rsidRPr="00286BA7">
        <w:t>Zadeh</w:t>
      </w:r>
      <w:proofErr w:type="spellEnd"/>
      <w:r w:rsidRPr="00286BA7">
        <w:t>, L. A. (1965). Fuzzy sets. Information and Control, 8(3), 338–353.</w:t>
      </w:r>
    </w:p>
    <w:p w:rsidR="006A1879" w:rsidRPr="00286BA7" w:rsidRDefault="006A1879" w:rsidP="006A1879">
      <w:pPr>
        <w:pStyle w:val="NormalWeb"/>
        <w:spacing w:before="0" w:beforeAutospacing="0" w:after="0" w:afterAutospacing="0"/>
        <w:ind w:left="540" w:hanging="540"/>
        <w:jc w:val="both"/>
      </w:pPr>
    </w:p>
    <w:p w:rsidR="003E32A5" w:rsidRPr="00286BA7" w:rsidRDefault="003E32A5" w:rsidP="003E32A5">
      <w:pPr>
        <w:pStyle w:val="NormalWeb"/>
        <w:spacing w:before="0" w:beforeAutospacing="0" w:after="0" w:afterAutospacing="0"/>
        <w:jc w:val="both"/>
      </w:pPr>
    </w:p>
    <w:p w:rsidR="00253414" w:rsidRPr="00286BA7" w:rsidRDefault="00253414" w:rsidP="00253414">
      <w:pPr>
        <w:spacing w:after="0" w:line="240" w:lineRule="auto"/>
        <w:jc w:val="both"/>
        <w:rPr>
          <w:rFonts w:ascii="Times New Roman" w:eastAsia="Times New Roman" w:hAnsi="Times New Roman" w:cs="Times New Roman"/>
          <w:sz w:val="24"/>
          <w:szCs w:val="24"/>
        </w:rPr>
      </w:pPr>
    </w:p>
    <w:sectPr w:rsidR="00253414" w:rsidRPr="00286BA7" w:rsidSect="003A02AE">
      <w:pgSz w:w="11907" w:h="16839" w:code="9"/>
      <w:pgMar w:top="1080" w:right="605" w:bottom="605" w:left="605" w:header="878"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44A" w:rsidRDefault="0055644A" w:rsidP="003A02AE">
      <w:pPr>
        <w:spacing w:after="0" w:line="240" w:lineRule="auto"/>
      </w:pPr>
      <w:r>
        <w:separator/>
      </w:r>
    </w:p>
  </w:endnote>
  <w:endnote w:type="continuationSeparator" w:id="0">
    <w:p w:rsidR="0055644A" w:rsidRDefault="0055644A" w:rsidP="003A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44A" w:rsidRDefault="0055644A" w:rsidP="003A02AE">
      <w:pPr>
        <w:spacing w:after="0" w:line="240" w:lineRule="auto"/>
      </w:pPr>
      <w:r>
        <w:separator/>
      </w:r>
    </w:p>
  </w:footnote>
  <w:footnote w:type="continuationSeparator" w:id="0">
    <w:p w:rsidR="0055644A" w:rsidRDefault="0055644A" w:rsidP="003A02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00F55"/>
    <w:multiLevelType w:val="hybridMultilevel"/>
    <w:tmpl w:val="C45E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A642A5"/>
    <w:multiLevelType w:val="multilevel"/>
    <w:tmpl w:val="09FE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024ECD"/>
    <w:multiLevelType w:val="multilevel"/>
    <w:tmpl w:val="940E7A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59224945"/>
    <w:multiLevelType w:val="hybridMultilevel"/>
    <w:tmpl w:val="0A60799E"/>
    <w:lvl w:ilvl="0" w:tplc="F1CA9AF4">
      <w:start w:val="1"/>
      <w:numFmt w:val="lowerRoman"/>
      <w:lvlText w:val="%1."/>
      <w:lvlJc w:val="left"/>
      <w:pPr>
        <w:ind w:left="90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5A827467"/>
    <w:multiLevelType w:val="hybridMultilevel"/>
    <w:tmpl w:val="CC264BA6"/>
    <w:lvl w:ilvl="0" w:tplc="D9869EA0">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nsid w:val="60B2451E"/>
    <w:multiLevelType w:val="multilevel"/>
    <w:tmpl w:val="9B080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917A5B"/>
    <w:multiLevelType w:val="multilevel"/>
    <w:tmpl w:val="B35AFA3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75A2106A"/>
    <w:multiLevelType w:val="multilevel"/>
    <w:tmpl w:val="7D86FD2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720" w:hanging="720"/>
      </w:pPr>
      <w:rPr>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77234FA"/>
    <w:multiLevelType w:val="hybridMultilevel"/>
    <w:tmpl w:val="4982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493B6A"/>
    <w:multiLevelType w:val="hybridMultilevel"/>
    <w:tmpl w:val="4E129284"/>
    <w:lvl w:ilvl="0" w:tplc="7F4E314A">
      <w:start w:val="1"/>
      <w:numFmt w:val="low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8"/>
  </w:num>
  <w:num w:numId="3">
    <w:abstractNumId w:val="2"/>
  </w:num>
  <w:num w:numId="4">
    <w:abstractNumId w:val="7"/>
    <w:lvlOverride w:ilvl="0"/>
    <w:lvlOverride w:ilvl="1">
      <w:startOverride w:val="1"/>
    </w:lvlOverride>
    <w:lvlOverride w:ilvl="2"/>
    <w:lvlOverride w:ilvl="3"/>
    <w:lvlOverride w:ilvl="4"/>
    <w:lvlOverride w:ilvl="5"/>
    <w:lvlOverride w:ilvl="6"/>
    <w:lvlOverride w:ilvl="7"/>
    <w:lvlOverride w:ilv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6E"/>
    <w:rsid w:val="00013EE8"/>
    <w:rsid w:val="00037004"/>
    <w:rsid w:val="001239DF"/>
    <w:rsid w:val="0013574E"/>
    <w:rsid w:val="0017473F"/>
    <w:rsid w:val="00195859"/>
    <w:rsid w:val="00195DF1"/>
    <w:rsid w:val="001A7859"/>
    <w:rsid w:val="001E2630"/>
    <w:rsid w:val="001E7844"/>
    <w:rsid w:val="002458EC"/>
    <w:rsid w:val="00253414"/>
    <w:rsid w:val="00286BA7"/>
    <w:rsid w:val="002B6F48"/>
    <w:rsid w:val="002C226E"/>
    <w:rsid w:val="002E3960"/>
    <w:rsid w:val="00321A23"/>
    <w:rsid w:val="00332FE8"/>
    <w:rsid w:val="00345DAF"/>
    <w:rsid w:val="003A02AE"/>
    <w:rsid w:val="003A50AF"/>
    <w:rsid w:val="003E32A5"/>
    <w:rsid w:val="004374FC"/>
    <w:rsid w:val="0047014C"/>
    <w:rsid w:val="00487566"/>
    <w:rsid w:val="004900CA"/>
    <w:rsid w:val="004B56E6"/>
    <w:rsid w:val="004C4485"/>
    <w:rsid w:val="00514211"/>
    <w:rsid w:val="00520567"/>
    <w:rsid w:val="0055644A"/>
    <w:rsid w:val="00560394"/>
    <w:rsid w:val="005F79F2"/>
    <w:rsid w:val="00647CBF"/>
    <w:rsid w:val="006A1879"/>
    <w:rsid w:val="006E163D"/>
    <w:rsid w:val="007D7D44"/>
    <w:rsid w:val="007E0DC0"/>
    <w:rsid w:val="008B5DC3"/>
    <w:rsid w:val="008C71E2"/>
    <w:rsid w:val="00934428"/>
    <w:rsid w:val="00955AF9"/>
    <w:rsid w:val="00956664"/>
    <w:rsid w:val="00974B7A"/>
    <w:rsid w:val="009A4349"/>
    <w:rsid w:val="009B3865"/>
    <w:rsid w:val="009E4700"/>
    <w:rsid w:val="009E4BA2"/>
    <w:rsid w:val="009E69DD"/>
    <w:rsid w:val="00A35710"/>
    <w:rsid w:val="00A50A6F"/>
    <w:rsid w:val="00A609BD"/>
    <w:rsid w:val="00AA626B"/>
    <w:rsid w:val="00AB3C04"/>
    <w:rsid w:val="00B2242A"/>
    <w:rsid w:val="00B84812"/>
    <w:rsid w:val="00B86581"/>
    <w:rsid w:val="00B86E69"/>
    <w:rsid w:val="00BA39EB"/>
    <w:rsid w:val="00BA4BEB"/>
    <w:rsid w:val="00C12568"/>
    <w:rsid w:val="00C23D38"/>
    <w:rsid w:val="00C324C2"/>
    <w:rsid w:val="00D215A0"/>
    <w:rsid w:val="00DA56FC"/>
    <w:rsid w:val="00E05717"/>
    <w:rsid w:val="00E10625"/>
    <w:rsid w:val="00E748FF"/>
    <w:rsid w:val="00EC75EE"/>
    <w:rsid w:val="00EF7C85"/>
    <w:rsid w:val="00F5394D"/>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9F804E-F8CA-4107-B8E3-C19731EC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C22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22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26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22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C22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0A6F"/>
    <w:pPr>
      <w:ind w:left="720"/>
      <w:contextualSpacing/>
    </w:pPr>
  </w:style>
  <w:style w:type="character" w:customStyle="1" w:styleId="katex-mathml">
    <w:name w:val="katex-mathml"/>
    <w:basedOn w:val="DefaultParagraphFont"/>
    <w:rsid w:val="00647CBF"/>
  </w:style>
  <w:style w:type="character" w:customStyle="1" w:styleId="mopen">
    <w:name w:val="mopen"/>
    <w:basedOn w:val="DefaultParagraphFont"/>
    <w:rsid w:val="00647CBF"/>
  </w:style>
  <w:style w:type="character" w:customStyle="1" w:styleId="mord">
    <w:name w:val="mord"/>
    <w:basedOn w:val="DefaultParagraphFont"/>
    <w:rsid w:val="00647CBF"/>
  </w:style>
  <w:style w:type="character" w:customStyle="1" w:styleId="mpunct">
    <w:name w:val="mpunct"/>
    <w:basedOn w:val="DefaultParagraphFont"/>
    <w:rsid w:val="00647CBF"/>
  </w:style>
  <w:style w:type="character" w:customStyle="1" w:styleId="mclose">
    <w:name w:val="mclose"/>
    <w:basedOn w:val="DefaultParagraphFont"/>
    <w:rsid w:val="00647CBF"/>
  </w:style>
  <w:style w:type="character" w:customStyle="1" w:styleId="vlist-s">
    <w:name w:val="vlist-s"/>
    <w:basedOn w:val="DefaultParagraphFont"/>
    <w:rsid w:val="00647CBF"/>
  </w:style>
  <w:style w:type="paragraph" w:customStyle="1" w:styleId="Default">
    <w:name w:val="Default"/>
    <w:uiPriority w:val="99"/>
    <w:rsid w:val="00321A23"/>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9E4BA2"/>
    <w:pPr>
      <w:spacing w:after="0" w:line="240" w:lineRule="auto"/>
    </w:pPr>
  </w:style>
  <w:style w:type="character" w:styleId="Emphasis">
    <w:name w:val="Emphasis"/>
    <w:basedOn w:val="DefaultParagraphFont"/>
    <w:uiPriority w:val="20"/>
    <w:qFormat/>
    <w:rsid w:val="006A1879"/>
    <w:rPr>
      <w:i/>
      <w:iCs/>
    </w:rPr>
  </w:style>
  <w:style w:type="character" w:styleId="Hyperlink">
    <w:name w:val="Hyperlink"/>
    <w:basedOn w:val="DefaultParagraphFont"/>
    <w:uiPriority w:val="99"/>
    <w:unhideWhenUsed/>
    <w:rsid w:val="006A1879"/>
    <w:rPr>
      <w:color w:val="0000FF"/>
      <w:u w:val="single"/>
    </w:rPr>
  </w:style>
  <w:style w:type="paragraph" w:customStyle="1" w:styleId="isselectedend">
    <w:name w:val="isselectedend"/>
    <w:basedOn w:val="Normal"/>
    <w:rsid w:val="001239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39DF"/>
    <w:rPr>
      <w:b/>
      <w:bCs/>
    </w:rPr>
  </w:style>
  <w:style w:type="paragraph" w:styleId="Header">
    <w:name w:val="header"/>
    <w:basedOn w:val="Normal"/>
    <w:link w:val="HeaderChar"/>
    <w:uiPriority w:val="99"/>
    <w:unhideWhenUsed/>
    <w:rsid w:val="003A0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2AE"/>
  </w:style>
  <w:style w:type="paragraph" w:styleId="Footer">
    <w:name w:val="footer"/>
    <w:basedOn w:val="Normal"/>
    <w:link w:val="FooterChar"/>
    <w:uiPriority w:val="99"/>
    <w:unhideWhenUsed/>
    <w:rsid w:val="003A0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977">
      <w:bodyDiv w:val="1"/>
      <w:marLeft w:val="0"/>
      <w:marRight w:val="0"/>
      <w:marTop w:val="0"/>
      <w:marBottom w:val="0"/>
      <w:divBdr>
        <w:top w:val="none" w:sz="0" w:space="0" w:color="auto"/>
        <w:left w:val="none" w:sz="0" w:space="0" w:color="auto"/>
        <w:bottom w:val="none" w:sz="0" w:space="0" w:color="auto"/>
        <w:right w:val="none" w:sz="0" w:space="0" w:color="auto"/>
      </w:divBdr>
    </w:div>
    <w:div w:id="393043968">
      <w:bodyDiv w:val="1"/>
      <w:marLeft w:val="0"/>
      <w:marRight w:val="0"/>
      <w:marTop w:val="0"/>
      <w:marBottom w:val="0"/>
      <w:divBdr>
        <w:top w:val="none" w:sz="0" w:space="0" w:color="auto"/>
        <w:left w:val="none" w:sz="0" w:space="0" w:color="auto"/>
        <w:bottom w:val="none" w:sz="0" w:space="0" w:color="auto"/>
        <w:right w:val="none" w:sz="0" w:space="0" w:color="auto"/>
      </w:divBdr>
    </w:div>
    <w:div w:id="442264175">
      <w:bodyDiv w:val="1"/>
      <w:marLeft w:val="0"/>
      <w:marRight w:val="0"/>
      <w:marTop w:val="0"/>
      <w:marBottom w:val="0"/>
      <w:divBdr>
        <w:top w:val="none" w:sz="0" w:space="0" w:color="auto"/>
        <w:left w:val="none" w:sz="0" w:space="0" w:color="auto"/>
        <w:bottom w:val="none" w:sz="0" w:space="0" w:color="auto"/>
        <w:right w:val="none" w:sz="0" w:space="0" w:color="auto"/>
      </w:divBdr>
    </w:div>
    <w:div w:id="674961651">
      <w:bodyDiv w:val="1"/>
      <w:marLeft w:val="0"/>
      <w:marRight w:val="0"/>
      <w:marTop w:val="0"/>
      <w:marBottom w:val="0"/>
      <w:divBdr>
        <w:top w:val="none" w:sz="0" w:space="0" w:color="auto"/>
        <w:left w:val="none" w:sz="0" w:space="0" w:color="auto"/>
        <w:bottom w:val="none" w:sz="0" w:space="0" w:color="auto"/>
        <w:right w:val="none" w:sz="0" w:space="0" w:color="auto"/>
      </w:divBdr>
    </w:div>
    <w:div w:id="732003913">
      <w:bodyDiv w:val="1"/>
      <w:marLeft w:val="0"/>
      <w:marRight w:val="0"/>
      <w:marTop w:val="0"/>
      <w:marBottom w:val="0"/>
      <w:divBdr>
        <w:top w:val="none" w:sz="0" w:space="0" w:color="auto"/>
        <w:left w:val="none" w:sz="0" w:space="0" w:color="auto"/>
        <w:bottom w:val="none" w:sz="0" w:space="0" w:color="auto"/>
        <w:right w:val="none" w:sz="0" w:space="0" w:color="auto"/>
      </w:divBdr>
    </w:div>
    <w:div w:id="739711912">
      <w:bodyDiv w:val="1"/>
      <w:marLeft w:val="0"/>
      <w:marRight w:val="0"/>
      <w:marTop w:val="0"/>
      <w:marBottom w:val="0"/>
      <w:divBdr>
        <w:top w:val="none" w:sz="0" w:space="0" w:color="auto"/>
        <w:left w:val="none" w:sz="0" w:space="0" w:color="auto"/>
        <w:bottom w:val="none" w:sz="0" w:space="0" w:color="auto"/>
        <w:right w:val="none" w:sz="0" w:space="0" w:color="auto"/>
      </w:divBdr>
    </w:div>
    <w:div w:id="1128858008">
      <w:bodyDiv w:val="1"/>
      <w:marLeft w:val="0"/>
      <w:marRight w:val="0"/>
      <w:marTop w:val="0"/>
      <w:marBottom w:val="0"/>
      <w:divBdr>
        <w:top w:val="none" w:sz="0" w:space="0" w:color="auto"/>
        <w:left w:val="none" w:sz="0" w:space="0" w:color="auto"/>
        <w:bottom w:val="none" w:sz="0" w:space="0" w:color="auto"/>
        <w:right w:val="none" w:sz="0" w:space="0" w:color="auto"/>
      </w:divBdr>
    </w:div>
    <w:div w:id="1285379803">
      <w:bodyDiv w:val="1"/>
      <w:marLeft w:val="0"/>
      <w:marRight w:val="0"/>
      <w:marTop w:val="0"/>
      <w:marBottom w:val="0"/>
      <w:divBdr>
        <w:top w:val="none" w:sz="0" w:space="0" w:color="auto"/>
        <w:left w:val="none" w:sz="0" w:space="0" w:color="auto"/>
        <w:bottom w:val="none" w:sz="0" w:space="0" w:color="auto"/>
        <w:right w:val="none" w:sz="0" w:space="0" w:color="auto"/>
      </w:divBdr>
    </w:div>
    <w:div w:id="1362828147">
      <w:bodyDiv w:val="1"/>
      <w:marLeft w:val="0"/>
      <w:marRight w:val="0"/>
      <w:marTop w:val="0"/>
      <w:marBottom w:val="0"/>
      <w:divBdr>
        <w:top w:val="none" w:sz="0" w:space="0" w:color="auto"/>
        <w:left w:val="none" w:sz="0" w:space="0" w:color="auto"/>
        <w:bottom w:val="none" w:sz="0" w:space="0" w:color="auto"/>
        <w:right w:val="none" w:sz="0" w:space="0" w:color="auto"/>
      </w:divBdr>
    </w:div>
    <w:div w:id="1380013692">
      <w:bodyDiv w:val="1"/>
      <w:marLeft w:val="0"/>
      <w:marRight w:val="0"/>
      <w:marTop w:val="0"/>
      <w:marBottom w:val="0"/>
      <w:divBdr>
        <w:top w:val="none" w:sz="0" w:space="0" w:color="auto"/>
        <w:left w:val="none" w:sz="0" w:space="0" w:color="auto"/>
        <w:bottom w:val="none" w:sz="0" w:space="0" w:color="auto"/>
        <w:right w:val="none" w:sz="0" w:space="0" w:color="auto"/>
      </w:divBdr>
    </w:div>
    <w:div w:id="1745493796">
      <w:bodyDiv w:val="1"/>
      <w:marLeft w:val="0"/>
      <w:marRight w:val="0"/>
      <w:marTop w:val="0"/>
      <w:marBottom w:val="0"/>
      <w:divBdr>
        <w:top w:val="none" w:sz="0" w:space="0" w:color="auto"/>
        <w:left w:val="none" w:sz="0" w:space="0" w:color="auto"/>
        <w:bottom w:val="none" w:sz="0" w:space="0" w:color="auto"/>
        <w:right w:val="none" w:sz="0" w:space="0" w:color="auto"/>
      </w:divBdr>
    </w:div>
    <w:div w:id="1816213527">
      <w:bodyDiv w:val="1"/>
      <w:marLeft w:val="0"/>
      <w:marRight w:val="0"/>
      <w:marTop w:val="0"/>
      <w:marBottom w:val="0"/>
      <w:divBdr>
        <w:top w:val="none" w:sz="0" w:space="0" w:color="auto"/>
        <w:left w:val="none" w:sz="0" w:space="0" w:color="auto"/>
        <w:bottom w:val="none" w:sz="0" w:space="0" w:color="auto"/>
        <w:right w:val="none" w:sz="0" w:space="0" w:color="auto"/>
      </w:divBdr>
    </w:div>
    <w:div w:id="1872839366">
      <w:bodyDiv w:val="1"/>
      <w:marLeft w:val="0"/>
      <w:marRight w:val="0"/>
      <w:marTop w:val="0"/>
      <w:marBottom w:val="0"/>
      <w:divBdr>
        <w:top w:val="none" w:sz="0" w:space="0" w:color="auto"/>
        <w:left w:val="none" w:sz="0" w:space="0" w:color="auto"/>
        <w:bottom w:val="none" w:sz="0" w:space="0" w:color="auto"/>
        <w:right w:val="none" w:sz="0" w:space="0" w:color="auto"/>
      </w:divBdr>
    </w:div>
    <w:div w:id="202316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elesly@unical.edu.ng" TargetMode="Externa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link.springer.com/book/10.1007/978-3-319-98074-4" TargetMode="Externa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23/A:101093340432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barChart>
        <c:barDir val="col"/>
        <c:grouping val="clustered"/>
        <c:varyColors val="0"/>
        <c:ser>
          <c:idx val="0"/>
          <c:order val="0"/>
          <c:tx>
            <c:strRef>
              <c:f>Sheet1!$B$3</c:f>
              <c:strCache>
                <c:ptCount val="1"/>
                <c:pt idx="0">
                  <c:v>Accuracy (%)</c:v>
                </c:pt>
              </c:strCache>
            </c:strRef>
          </c:tx>
          <c:spPr>
            <a:solidFill>
              <a:schemeClr val="accent2">
                <a:lumMod val="50000"/>
              </a:schemeClr>
            </a:solidFill>
            <a:ln>
              <a:noFill/>
            </a:ln>
            <a:effectLst/>
            <a:scene3d>
              <a:camera prst="orthographicFront"/>
              <a:lightRig rig="threePt" dir="t"/>
            </a:scene3d>
            <a:sp3d>
              <a:bevelT w="82550" h="44450" prst="angle"/>
              <a:bevelB w="82550" h="44450" prst="angle"/>
              <a:contourClr>
                <a:srgbClr val="000000"/>
              </a:contourClr>
            </a:sp3d>
          </c:spPr>
          <c:invertIfNegative val="0"/>
          <c:dLbls>
            <c:spPr>
              <a:solidFill>
                <a:srgbClr val="4472C4">
                  <a:alpha val="70000"/>
                </a:srgbClr>
              </a:solid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Sheet1!$A$4:$A$11</c:f>
              <c:strCache>
                <c:ptCount val="7"/>
                <c:pt idx="0">
                  <c:v>ID3</c:v>
                </c:pt>
                <c:pt idx="1">
                  <c:v>C4.5</c:v>
                </c:pt>
                <c:pt idx="2">
                  <c:v>CART</c:v>
                </c:pt>
                <c:pt idx="3">
                  <c:v>Random Forest</c:v>
                </c:pt>
                <c:pt idx="4">
                  <c:v>Gradient Boosting</c:v>
                </c:pt>
                <c:pt idx="5">
                  <c:v>AdaBoost</c:v>
                </c:pt>
                <c:pt idx="6">
                  <c:v>XGBoost</c:v>
                </c:pt>
              </c:strCache>
            </c:strRef>
          </c:cat>
          <c:val>
            <c:numRef>
              <c:f>Sheet1!$B$4:$B$11</c:f>
              <c:numCache>
                <c:formatCode>General</c:formatCode>
                <c:ptCount val="8"/>
                <c:pt idx="0">
                  <c:v>95.35</c:v>
                </c:pt>
                <c:pt idx="1">
                  <c:v>95.93</c:v>
                </c:pt>
                <c:pt idx="2">
                  <c:v>94.19</c:v>
                </c:pt>
                <c:pt idx="3">
                  <c:v>95.93</c:v>
                </c:pt>
                <c:pt idx="4">
                  <c:v>97.09</c:v>
                </c:pt>
                <c:pt idx="5">
                  <c:v>94.19</c:v>
                </c:pt>
                <c:pt idx="6">
                  <c:v>95.93</c:v>
                </c:pt>
              </c:numCache>
            </c:numRef>
          </c:val>
          <c:extLst xmlns:c16r2="http://schemas.microsoft.com/office/drawing/2015/06/chart">
            <c:ext xmlns:c16="http://schemas.microsoft.com/office/drawing/2014/chart" uri="{C3380CC4-5D6E-409C-BE32-E72D297353CC}">
              <c16:uniqueId val="{00000000-DABE-4104-BAC9-599A9F9EA370}"/>
            </c:ext>
          </c:extLst>
        </c:ser>
        <c:dLbls>
          <c:dLblPos val="outEnd"/>
          <c:showLegendKey val="0"/>
          <c:showVal val="1"/>
          <c:showCatName val="0"/>
          <c:showSerName val="0"/>
          <c:showPercent val="0"/>
          <c:showBubbleSize val="0"/>
        </c:dLbls>
        <c:gapWidth val="35"/>
        <c:overlap val="-58"/>
        <c:axId val="-1265754496"/>
        <c:axId val="-1265753408"/>
      </c:barChart>
      <c:catAx>
        <c:axId val="-1265754496"/>
        <c:scaling>
          <c:orientation val="minMax"/>
        </c:scaling>
        <c:delete val="0"/>
        <c:axPos val="b"/>
        <c:majorGridlines>
          <c:spPr>
            <a:ln w="9525" cap="flat" cmpd="sng" algn="ctr">
              <a:solidFill>
                <a:schemeClr val="lt1">
                  <a:alpha val="25000"/>
                </a:schemeClr>
              </a:solidFill>
              <a:round/>
            </a:ln>
            <a:effectLst/>
          </c:spPr>
        </c:majorGridlines>
        <c:minorGridlines>
          <c:spPr>
            <a:ln>
              <a:solidFill>
                <a:schemeClr val="lt1">
                  <a:alpha val="10000"/>
                </a:schemeClr>
              </a:solidFill>
            </a:ln>
            <a:effectLst/>
          </c:spPr>
        </c:minorGridlines>
        <c:numFmt formatCode="General" sourceLinked="1"/>
        <c:majorTickMark val="none"/>
        <c:minorTickMark val="none"/>
        <c:tickLblPos val="nextTo"/>
        <c:spPr>
          <a:noFill/>
          <a:ln w="3175" cap="flat" cmpd="sng" algn="ctr">
            <a:solidFill>
              <a:schemeClr val="accent1">
                <a:lumMod val="60000"/>
                <a:lumOff val="40000"/>
              </a:schemeClr>
            </a:solidFill>
            <a:round/>
          </a:ln>
          <a:effectLst/>
        </c:spPr>
        <c:txPr>
          <a:bodyPr rot="-60000000" spcFirstLastPara="1" vertOverflow="ellipsis" vert="horz" wrap="square" anchor="ctr" anchorCtr="1"/>
          <a:lstStyle/>
          <a:p>
            <a:pPr>
              <a:defRPr sz="800" b="0" i="0" u="none" strike="noStrike" kern="1200" cap="all" spc="150" normalizeH="0" baseline="0">
                <a:solidFill>
                  <a:schemeClr val="lt1"/>
                </a:solidFill>
                <a:latin typeface="+mn-lt"/>
                <a:ea typeface="+mn-ea"/>
                <a:cs typeface="+mn-cs"/>
              </a:defRPr>
            </a:pPr>
            <a:endParaRPr lang="en-US"/>
          </a:p>
        </c:txPr>
        <c:crossAx val="-1265753408"/>
        <c:crosses val="autoZero"/>
        <c:auto val="1"/>
        <c:lblAlgn val="ctr"/>
        <c:lblOffset val="100"/>
        <c:noMultiLvlLbl val="0"/>
      </c:catAx>
      <c:valAx>
        <c:axId val="-1265753408"/>
        <c:scaling>
          <c:orientation val="minMax"/>
        </c:scaling>
        <c:delete val="0"/>
        <c:axPos val="l"/>
        <c:majorGridlines>
          <c:spPr>
            <a:ln w="9525" cap="flat" cmpd="sng" algn="ctr">
              <a:solidFill>
                <a:schemeClr val="lt1">
                  <a:alpha val="25000"/>
                </a:schemeClr>
              </a:solidFill>
              <a:round/>
            </a:ln>
            <a:effectLst/>
          </c:spPr>
        </c:majorGridlines>
        <c:minorGridlines>
          <c:spPr>
            <a:ln>
              <a:solidFill>
                <a:schemeClr val="lt1">
                  <a:alpha val="10000"/>
                </a:schemeClr>
              </a:solidFill>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crossAx val="-1265754496"/>
        <c:crosses val="autoZero"/>
        <c:crossBetween val="between"/>
      </c:valAx>
      <c:dTable>
        <c:showHorzBorder val="1"/>
        <c:showVertBorder val="1"/>
        <c:showOutline val="1"/>
        <c:showKeys val="1"/>
        <c:spPr>
          <a:noFill/>
          <a:ln w="9525">
            <a:solidFill>
              <a:schemeClr val="accent1">
                <a:lumMod val="60000"/>
                <a:lumOff val="40000"/>
              </a:schemeClr>
            </a:solidFill>
          </a:ln>
          <a:effectLst/>
        </c:spPr>
        <c:txPr>
          <a:bodyPr rot="0" spcFirstLastPara="1" vertOverflow="ellipsis" vert="horz" wrap="square" anchor="ctr" anchorCtr="1"/>
          <a:lstStyle/>
          <a:p>
            <a:pPr rtl="0">
              <a:defRPr sz="900" b="1" i="0" u="none" strike="noStrike" kern="1200" baseline="0">
                <a:solidFill>
                  <a:schemeClr val="lt1"/>
                </a:solidFill>
                <a:latin typeface="+mn-lt"/>
                <a:ea typeface="+mn-ea"/>
                <a:cs typeface="+mn-cs"/>
              </a:defRPr>
            </a:pPr>
            <a:endParaRPr lang="en-US"/>
          </a:p>
        </c:txPr>
      </c:dTable>
      <c:spPr>
        <a:noFill/>
        <a:ln>
          <a:noFill/>
        </a:ln>
        <a:effectLst/>
      </c:spPr>
    </c:plotArea>
    <c:plotVisOnly val="1"/>
    <c:dispBlanksAs val="gap"/>
    <c:showDLblsOverMax val="0"/>
  </c:chart>
  <c:spPr>
    <a:solidFill>
      <a:srgbClr val="002060"/>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c:f>
              <c:strCache>
                <c:ptCount val="1"/>
                <c:pt idx="0">
                  <c:v>Accuracy (%)</c:v>
                </c:pt>
              </c:strCache>
            </c:strRef>
          </c:tx>
          <c:spPr>
            <a:solidFill>
              <a:srgbClr val="002060"/>
            </a:solidFill>
            <a:ln>
              <a:noFill/>
            </a:ln>
            <a:effectLst>
              <a:innerShdw blurRad="63500" dist="50800" dir="13500000">
                <a:prstClr val="black">
                  <a:alpha val="50000"/>
                </a:prst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FF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Sheet1!$A$4:$A$10</c:f>
              <c:strCache>
                <c:ptCount val="7"/>
                <c:pt idx="0">
                  <c:v>ID3</c:v>
                </c:pt>
                <c:pt idx="1">
                  <c:v>C4.5</c:v>
                </c:pt>
                <c:pt idx="2">
                  <c:v>CART</c:v>
                </c:pt>
                <c:pt idx="3">
                  <c:v>Random Forest</c:v>
                </c:pt>
                <c:pt idx="4">
                  <c:v>Gradient Boosting</c:v>
                </c:pt>
                <c:pt idx="5">
                  <c:v>AdaBoost</c:v>
                </c:pt>
                <c:pt idx="6">
                  <c:v>XGBoost</c:v>
                </c:pt>
              </c:strCache>
            </c:strRef>
          </c:cat>
          <c:val>
            <c:numRef>
              <c:f>Sheet1!$B$4:$B$10</c:f>
              <c:numCache>
                <c:formatCode>General</c:formatCode>
                <c:ptCount val="7"/>
                <c:pt idx="0">
                  <c:v>95.35</c:v>
                </c:pt>
                <c:pt idx="1">
                  <c:v>95.93</c:v>
                </c:pt>
                <c:pt idx="2">
                  <c:v>94.19</c:v>
                </c:pt>
                <c:pt idx="3">
                  <c:v>95.93</c:v>
                </c:pt>
                <c:pt idx="4">
                  <c:v>97.09</c:v>
                </c:pt>
                <c:pt idx="5">
                  <c:v>94.19</c:v>
                </c:pt>
                <c:pt idx="6">
                  <c:v>95.93</c:v>
                </c:pt>
              </c:numCache>
            </c:numRef>
          </c:val>
          <c:extLst xmlns:c16r2="http://schemas.microsoft.com/office/drawing/2015/06/chart">
            <c:ext xmlns:c16="http://schemas.microsoft.com/office/drawing/2014/chart" uri="{C3380CC4-5D6E-409C-BE32-E72D297353CC}">
              <c16:uniqueId val="{00000000-C412-4E5D-BAFE-C54A73E5BA10}"/>
            </c:ext>
          </c:extLst>
        </c:ser>
        <c:dLbls>
          <c:dLblPos val="outEnd"/>
          <c:showLegendKey val="0"/>
          <c:showVal val="1"/>
          <c:showCatName val="0"/>
          <c:showSerName val="0"/>
          <c:showPercent val="0"/>
          <c:showBubbleSize val="0"/>
        </c:dLbls>
        <c:gapWidth val="51"/>
        <c:overlap val="-31"/>
        <c:axId val="-1142724704"/>
        <c:axId val="-1142718176"/>
      </c:barChart>
      <c:catAx>
        <c:axId val="-114272470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2718176"/>
        <c:crosses val="autoZero"/>
        <c:auto val="1"/>
        <c:lblAlgn val="ctr"/>
        <c:lblOffset val="100"/>
        <c:noMultiLvlLbl val="0"/>
      </c:catAx>
      <c:valAx>
        <c:axId val="-114271817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427247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1" i="0" u="none" strike="noStrike" kern="1200" baseline="0">
                <a:solidFill>
                  <a:schemeClr val="tx1">
                    <a:lumMod val="65000"/>
                    <a:lumOff val="35000"/>
                  </a:schemeClr>
                </a:solidFill>
                <a:latin typeface="+mn-lt"/>
                <a:ea typeface="+mn-ea"/>
                <a:cs typeface="+mn-cs"/>
              </a:defRPr>
            </a:pPr>
            <a:endParaRPr lang="en-US"/>
          </a:p>
        </c:txPr>
      </c:dTable>
      <c:spPr>
        <a:solidFill>
          <a:schemeClr val="accent6">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4">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11</Pages>
  <Words>4537</Words>
  <Characters>25865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79</cp:revision>
  <dcterms:created xsi:type="dcterms:W3CDTF">2026-05-28T14:44:00Z</dcterms:created>
  <dcterms:modified xsi:type="dcterms:W3CDTF">2026-06-30T22:56:00Z</dcterms:modified>
</cp:coreProperties>
</file>