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1FFD" w14:textId="7AA47B0B" w:rsidR="007D00B7" w:rsidRPr="007D00B7" w:rsidRDefault="007D00B7" w:rsidP="006D52D3">
      <w:pPr>
        <w:spacing w:before="240" w:after="240" w:line="240" w:lineRule="auto"/>
        <w:ind w:left="238" w:right="238"/>
        <w:jc w:val="center"/>
        <w:rPr>
          <w:rFonts w:ascii="Times New Roman" w:hAnsi="Times New Roman" w:cs="Times New Roman"/>
          <w:b/>
          <w:bCs/>
          <w:sz w:val="36"/>
          <w:szCs w:val="36"/>
        </w:rPr>
      </w:pPr>
      <w:r w:rsidRPr="007D00B7">
        <w:rPr>
          <w:rFonts w:ascii="Times New Roman" w:hAnsi="Times New Roman" w:cs="Times New Roman"/>
          <w:b/>
          <w:bCs/>
          <w:sz w:val="36"/>
          <w:szCs w:val="36"/>
        </w:rPr>
        <w:t>INSTITUTIONAL QUALITY AND SUSTAINABLE DEVELOPMENT:</w:t>
      </w:r>
      <w:r w:rsidRPr="007D00B7">
        <w:rPr>
          <w:rFonts w:ascii="Times New Roman" w:hAnsi="Times New Roman" w:cs="Times New Roman"/>
          <w:b/>
          <w:bCs/>
          <w:sz w:val="36"/>
          <w:szCs w:val="36"/>
          <w:lang w:val="en-US"/>
        </w:rPr>
        <w:t xml:space="preserve"> </w:t>
      </w:r>
      <w:r w:rsidRPr="007D00B7">
        <w:rPr>
          <w:rFonts w:ascii="Times New Roman" w:hAnsi="Times New Roman" w:cs="Times New Roman"/>
          <w:b/>
          <w:bCs/>
          <w:sz w:val="36"/>
          <w:szCs w:val="36"/>
        </w:rPr>
        <w:t>EMPIRICAL EVIDENCE FROM ANGLOPHONE WEST AFRICAN COUNTRIES</w:t>
      </w:r>
    </w:p>
    <w:p w14:paraId="4B190474" w14:textId="3F6F80D9" w:rsidR="007D00B7" w:rsidRPr="007D00B7" w:rsidRDefault="007D00B7" w:rsidP="006D52D3">
      <w:pPr>
        <w:spacing w:before="240" w:after="240" w:line="240" w:lineRule="auto"/>
        <w:ind w:left="238" w:right="238"/>
        <w:jc w:val="center"/>
        <w:rPr>
          <w:rFonts w:ascii="Times New Roman" w:hAnsi="Times New Roman" w:cs="Times New Roman"/>
          <w:sz w:val="24"/>
          <w:szCs w:val="24"/>
        </w:rPr>
      </w:pPr>
      <w:r>
        <w:rPr>
          <w:rFonts w:ascii="Times New Roman" w:hAnsi="Times New Roman" w:cs="Times New Roman"/>
          <w:sz w:val="24"/>
          <w:szCs w:val="24"/>
          <w:vertAlign w:val="superscript"/>
          <w:lang w:val="en-US"/>
        </w:rPr>
        <w:t/>
      </w:r>
      <w:r w:rsidRPr="007D00B7">
        <w:rPr>
          <w:rFonts w:ascii="Times New Roman" w:hAnsi="Times New Roman" w:cs="Times New Roman"/>
          <w:sz w:val="24"/>
          <w:szCs w:val="24"/>
        </w:rPr>
        <w:t/>
      </w:r>
      <w:r>
        <w:rPr>
          <w:rFonts w:ascii="Times New Roman" w:hAnsi="Times New Roman" w:cs="Times New Roman"/>
          <w:sz w:val="24"/>
          <w:szCs w:val="24"/>
          <w:lang w:val="en-US"/>
        </w:rPr>
        <w:t xml:space="preserve"/>
      </w:r>
      <w:r>
        <w:rPr>
          <w:rFonts w:ascii="Times New Roman" w:hAnsi="Times New Roman" w:cs="Times New Roman"/>
          <w:sz w:val="24"/>
          <w:szCs w:val="24"/>
          <w:vertAlign w:val="superscript"/>
          <w:lang w:val="en-US"/>
        </w:rPr>
        <w:t/>
      </w:r>
      <w:r w:rsidRPr="007D00B7">
        <w:rPr>
          <w:rFonts w:ascii="Times New Roman" w:hAnsi="Times New Roman" w:cs="Times New Roman"/>
          <w:sz w:val="24"/>
          <w:szCs w:val="24"/>
        </w:rPr>
        <w:t xml:space="preserve"/>
      </w:r>
      <w:r>
        <w:rPr>
          <w:rFonts w:ascii="Times New Roman" w:hAnsi="Times New Roman" w:cs="Times New Roman"/>
          <w:sz w:val="24"/>
          <w:szCs w:val="24"/>
          <w:lang w:val="en-US"/>
        </w:rPr>
        <w:t xml:space="preserve"/>
      </w:r>
      <w:r w:rsidRPr="007D00B7">
        <w:rPr>
          <w:rFonts w:ascii="Times New Roman" w:hAnsi="Times New Roman" w:cs="Times New Roman"/>
          <w:sz w:val="24"/>
          <w:szCs w:val="24"/>
        </w:rPr>
        <w:t/>
      </w:r>
    </w:p>
    <w:p w14:paraId="621BEA80" w14:textId="19CCC4AA" w:rsidR="007D00B7" w:rsidRPr="007D00B7" w:rsidRDefault="007D00B7" w:rsidP="006D52D3">
      <w:pPr>
        <w:spacing w:before="240" w:after="240" w:line="240" w:lineRule="auto"/>
        <w:ind w:left="238" w:right="238"/>
        <w:jc w:val="center"/>
        <w:rPr>
          <w:rFonts w:ascii="Times New Roman" w:hAnsi="Times New Roman" w:cs="Times New Roman"/>
          <w:sz w:val="24"/>
          <w:szCs w:val="24"/>
          <w:lang w:val="en-US"/>
        </w:rPr>
      </w:pPr>
    </w:p>
    <w:p w14:paraId="6400162D" w14:textId="746EEF00" w:rsidR="007D00B7" w:rsidRPr="007D00B7" w:rsidRDefault="007D00B7" w:rsidP="006D52D3">
      <w:pPr>
        <w:spacing w:before="240" w:after="240" w:line="240" w:lineRule="auto"/>
        <w:ind w:left="238" w:right="238"/>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w:r>
      <w:r w:rsidRPr="007D00B7">
        <w:rPr>
          <w:rFonts w:ascii="Times New Roman" w:hAnsi="Times New Roman" w:cs="Times New Roman"/>
          <w:sz w:val="24"/>
          <w:szCs w:val="24"/>
        </w:rPr>
        <w:t xml:space="preserve"/>
      </w:r>
      <w:r>
        <w:rPr>
          <w:rFonts w:ascii="Times New Roman" w:hAnsi="Times New Roman" w:cs="Times New Roman"/>
          <w:sz w:val="24"/>
          <w:szCs w:val="24"/>
          <w:lang w:val="en-US"/>
        </w:rPr>
        <w:t/>
      </w:r>
    </w:p>
    <w:p w14:paraId="5ADD40E8" w14:textId="3C25EABE" w:rsidR="007D00B7" w:rsidRPr="007D00B7" w:rsidRDefault="00F22A07" w:rsidP="006D52D3">
      <w:pPr>
        <w:spacing w:before="240" w:after="240" w:line="240" w:lineRule="auto"/>
        <w:ind w:left="238" w:right="238"/>
        <w:jc w:val="center"/>
        <w:rPr>
          <w:rFonts w:ascii="Times New Roman" w:hAnsi="Times New Roman" w:cs="Times New Roman"/>
          <w:sz w:val="24"/>
          <w:szCs w:val="24"/>
        </w:rPr>
      </w:pPr>
      <w:r>
        <w:rPr>
          <w:rFonts w:ascii="Times New Roman" w:hAnsi="Times New Roman" w:cs="Times New Roman"/>
          <w:sz w:val="24"/>
          <w:szCs w:val="24"/>
          <w:vertAlign w:val="superscript"/>
          <w:lang w:val="en-US"/>
        </w:rPr>
        <w:t/>
      </w:r>
      <w:r w:rsidR="007D00B7" w:rsidRPr="007D00B7">
        <w:rPr>
          <w:rFonts w:ascii="Times New Roman" w:hAnsi="Times New Roman" w:cs="Times New Roman"/>
          <w:sz w:val="24"/>
          <w:szCs w:val="24"/>
        </w:rPr>
        <w:t xml:space="preserve"/>
      </w:r>
      <w:r w:rsidR="007D00B7">
        <w:rPr>
          <w:rFonts w:ascii="Times New Roman" w:hAnsi="Times New Roman" w:cs="Times New Roman"/>
          <w:sz w:val="24"/>
          <w:szCs w:val="24"/>
          <w:lang w:val="en-US"/>
        </w:rPr>
        <w:t/>
      </w:r>
    </w:p>
    <w:p w14:paraId="750FE769" w14:textId="50D043FD" w:rsidR="007D00B7" w:rsidRDefault="00F22A07" w:rsidP="006D52D3">
      <w:pPr>
        <w:spacing w:before="240" w:after="240" w:line="240" w:lineRule="auto"/>
        <w:ind w:left="238" w:right="238"/>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w:r>
      <w:hyperlink r:id="rId7" w:history="1">
        <w:r w:rsidRPr="004362B9">
          <w:rPr>
            <w:rStyle w:val="Hyperlink"/>
            <w:rFonts w:ascii="Times New Roman" w:hAnsi="Times New Roman" w:cs="Times New Roman"/>
            <w:sz w:val="24"/>
            <w:szCs w:val="24"/>
            <w:lang w:val="en-US"/>
          </w:rPr>
          <w:t/>
        </w:r>
      </w:hyperlink>
    </w:p>
    <w:p w14:paraId="791E03A0" w14:textId="5F81A359" w:rsidR="00F22A07" w:rsidRDefault="00F22A07" w:rsidP="006D52D3">
      <w:pPr>
        <w:spacing w:before="240" w:after="240" w:line="240" w:lineRule="auto"/>
        <w:ind w:left="238" w:right="238"/>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w:r>
      <w:hyperlink r:id="rId8" w:history="1">
        <w:r w:rsidRPr="004362B9">
          <w:rPr>
            <w:rStyle w:val="Hyperlink"/>
            <w:rFonts w:ascii="Times New Roman" w:hAnsi="Times New Roman" w:cs="Times New Roman"/>
            <w:sz w:val="24"/>
            <w:szCs w:val="24"/>
            <w:lang w:val="en-US"/>
          </w:rPr>
          <w:t/>
        </w:r>
      </w:hyperlink>
    </w:p>
    <w:p w14:paraId="5E221012" w14:textId="77777777" w:rsidR="00F22A07" w:rsidRPr="00F22A07" w:rsidRDefault="00F22A07" w:rsidP="006D52D3">
      <w:pPr>
        <w:spacing w:before="240" w:after="240" w:line="240" w:lineRule="auto"/>
        <w:ind w:left="238" w:right="238"/>
        <w:jc w:val="center"/>
        <w:rPr>
          <w:rFonts w:ascii="Times New Roman" w:hAnsi="Times New Roman" w:cs="Times New Roman"/>
          <w:sz w:val="24"/>
          <w:szCs w:val="24"/>
          <w:lang w:val="en-US"/>
        </w:rPr>
      </w:pPr>
    </w:p>
    <w:p w14:paraId="627F2469" w14:textId="1216C93A" w:rsidR="007D00B7" w:rsidRPr="00F22A07" w:rsidRDefault="007D00B7" w:rsidP="006D52D3">
      <w:pPr>
        <w:spacing w:before="240" w:after="240" w:line="240" w:lineRule="auto"/>
        <w:ind w:left="238" w:right="238"/>
        <w:jc w:val="center"/>
        <w:rPr>
          <w:rFonts w:ascii="Times New Roman" w:hAnsi="Times New Roman" w:cs="Times New Roman"/>
          <w:sz w:val="24"/>
          <w:szCs w:val="24"/>
          <w:lang w:val="en-US"/>
        </w:rPr>
      </w:pPr>
      <w:r>
        <w:rPr>
          <w:rFonts w:ascii="Times New Roman" w:hAnsi="Times New Roman" w:cs="Times New Roman"/>
          <w:sz w:val="24"/>
          <w:szCs w:val="24"/>
          <w:lang w:val="en-US"/>
        </w:rPr>
        <w:t/>
      </w:r>
      <w:r w:rsidRPr="007D00B7">
        <w:rPr>
          <w:rFonts w:ascii="Times New Roman" w:hAnsi="Times New Roman" w:cs="Times New Roman"/>
          <w:sz w:val="24"/>
          <w:szCs w:val="24"/>
        </w:rPr>
        <w:t xml:space="preserve"/>
      </w:r>
    </w:p>
    <w:p w14:paraId="42A4CE66" w14:textId="5078CD3A" w:rsidR="007D00B7" w:rsidRPr="007D00B7" w:rsidRDefault="007D00B7" w:rsidP="006D52D3">
      <w:pPr>
        <w:spacing w:before="240" w:after="240" w:line="240" w:lineRule="auto"/>
        <w:ind w:left="238" w:right="238"/>
        <w:jc w:val="both"/>
        <w:rPr>
          <w:rFonts w:ascii="Times New Roman" w:hAnsi="Times New Roman" w:cs="Times New Roman"/>
          <w:b/>
          <w:bCs/>
          <w:sz w:val="24"/>
          <w:szCs w:val="24"/>
        </w:rPr>
      </w:pPr>
      <w:r w:rsidRPr="007D00B7">
        <w:rPr>
          <w:rFonts w:ascii="Times New Roman" w:hAnsi="Times New Roman" w:cs="Times New Roman"/>
          <w:b/>
          <w:bCs/>
          <w:sz w:val="24"/>
          <w:szCs w:val="24"/>
        </w:rPr>
        <w:t>ABSTRACT</w:t>
      </w:r>
    </w:p>
    <w:p w14:paraId="534E1698" w14:textId="63BF80CE"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This study examines the relationship between institutional quality and sustainable development outcomes in four Anglophone West African countries</w:t>
      </w:r>
      <w:r>
        <w:rPr>
          <w:rFonts w:ascii="Times New Roman" w:hAnsi="Times New Roman" w:cs="Times New Roman"/>
          <w:sz w:val="24"/>
          <w:szCs w:val="24"/>
          <w:lang w:val="en-US"/>
        </w:rPr>
        <w:t xml:space="preserve"> consisting of </w:t>
      </w:r>
      <w:r w:rsidRPr="007D00B7">
        <w:rPr>
          <w:rFonts w:ascii="Times New Roman" w:hAnsi="Times New Roman" w:cs="Times New Roman"/>
          <w:sz w:val="24"/>
          <w:szCs w:val="24"/>
        </w:rPr>
        <w:t>Ghana, The Gambia, Nigeria, and Sierra Leone</w:t>
      </w:r>
      <w:r>
        <w:rPr>
          <w:rFonts w:ascii="Times New Roman" w:hAnsi="Times New Roman" w:cs="Times New Roman"/>
          <w:sz w:val="24"/>
          <w:szCs w:val="24"/>
          <w:lang w:val="en-US"/>
        </w:rPr>
        <w:t xml:space="preserve">, </w:t>
      </w:r>
      <w:r w:rsidRPr="007D00B7">
        <w:rPr>
          <w:rFonts w:ascii="Times New Roman" w:hAnsi="Times New Roman" w:cs="Times New Roman"/>
          <w:sz w:val="24"/>
          <w:szCs w:val="24"/>
        </w:rPr>
        <w:t>over the period 1996</w:t>
      </w:r>
      <w:r>
        <w:rPr>
          <w:rFonts w:ascii="Times New Roman" w:hAnsi="Times New Roman" w:cs="Times New Roman"/>
          <w:sz w:val="24"/>
          <w:szCs w:val="24"/>
          <w:lang w:val="en-US"/>
        </w:rPr>
        <w:t xml:space="preserve"> </w:t>
      </w:r>
      <w:r w:rsidRPr="007D00B7">
        <w:rPr>
          <w:rFonts w:ascii="Times New Roman" w:hAnsi="Times New Roman" w:cs="Times New Roman"/>
          <w:sz w:val="24"/>
          <w:szCs w:val="24"/>
        </w:rPr>
        <w:t>–</w:t>
      </w:r>
      <w:r>
        <w:rPr>
          <w:rFonts w:ascii="Times New Roman" w:hAnsi="Times New Roman" w:cs="Times New Roman"/>
          <w:sz w:val="24"/>
          <w:szCs w:val="24"/>
          <w:lang w:val="en-US"/>
        </w:rPr>
        <w:t xml:space="preserve"> </w:t>
      </w:r>
      <w:r w:rsidRPr="007D00B7">
        <w:rPr>
          <w:rFonts w:ascii="Times New Roman" w:hAnsi="Times New Roman" w:cs="Times New Roman"/>
          <w:sz w:val="24"/>
          <w:szCs w:val="24"/>
        </w:rPr>
        <w:t>2024. Utilising a balanced panel of 116 country-year observations and employing three complementary estimation strategies</w:t>
      </w:r>
      <w:r>
        <w:rPr>
          <w:rFonts w:ascii="Times New Roman" w:hAnsi="Times New Roman" w:cs="Times New Roman"/>
          <w:sz w:val="24"/>
          <w:szCs w:val="24"/>
          <w:lang w:val="en-US"/>
        </w:rPr>
        <w:t xml:space="preserve">, </w:t>
      </w:r>
      <w:r w:rsidRPr="007D00B7">
        <w:rPr>
          <w:rFonts w:ascii="Times New Roman" w:hAnsi="Times New Roman" w:cs="Times New Roman"/>
          <w:sz w:val="24"/>
          <w:szCs w:val="24"/>
        </w:rPr>
        <w:t>pooled fixed effects with Driscoll-Kraay standard errors, the Pooled Mean Group (PMG) estimator of Pesaran, Shin, and Smith (1999), and a Dynamic Fixed Effects (DFE) robustness check</w:t>
      </w:r>
      <w:r>
        <w:rPr>
          <w:rFonts w:ascii="Times New Roman" w:hAnsi="Times New Roman" w:cs="Times New Roman"/>
          <w:sz w:val="24"/>
          <w:szCs w:val="24"/>
          <w:lang w:val="en-US"/>
        </w:rPr>
        <w:t>. T</w:t>
      </w:r>
      <w:r w:rsidRPr="007D00B7">
        <w:rPr>
          <w:rFonts w:ascii="Times New Roman" w:hAnsi="Times New Roman" w:cs="Times New Roman"/>
          <w:sz w:val="24"/>
          <w:szCs w:val="24"/>
        </w:rPr>
        <w:t>he study tests whether all six dimensions of the World Bank's Worldwide Governance Indicators (WGI) systematically influence SDG Index scores. Panel unit root tests confirm</w:t>
      </w:r>
      <w:r>
        <w:rPr>
          <w:rFonts w:ascii="Times New Roman" w:hAnsi="Times New Roman" w:cs="Times New Roman"/>
          <w:sz w:val="24"/>
          <w:szCs w:val="24"/>
          <w:lang w:val="en-US"/>
        </w:rPr>
        <w:t>ed</w:t>
      </w:r>
      <w:r w:rsidRPr="007D00B7">
        <w:rPr>
          <w:rFonts w:ascii="Times New Roman" w:hAnsi="Times New Roman" w:cs="Times New Roman"/>
          <w:sz w:val="24"/>
          <w:szCs w:val="24"/>
        </w:rPr>
        <w:t xml:space="preserve"> integration of order one for all series; Pedroni and Kao cointegration tests establish a stable long-run equilibrium, justifying the error-correction framework. The PMG results reveal that government effectiveness (θ̂ = 0.287, p &lt; 0.001) and rule of law (θ̂ = 0.261, p &lt; 0.001) are the dominant long-run drivers of sustainable development performance. The speed-of-adjustment coefficient (φ̂ = −0.312, p &lt; 0.001) implies that approximately 31% of deviations from the long-run equilibrium are corrected annually</w:t>
      </w:r>
      <w:r>
        <w:rPr>
          <w:rFonts w:ascii="Times New Roman" w:hAnsi="Times New Roman" w:cs="Times New Roman"/>
          <w:sz w:val="24"/>
          <w:szCs w:val="24"/>
          <w:lang w:val="en-US"/>
        </w:rPr>
        <w:t xml:space="preserve">, which is </w:t>
      </w:r>
      <w:r w:rsidRPr="007D00B7">
        <w:rPr>
          <w:rFonts w:ascii="Times New Roman" w:hAnsi="Times New Roman" w:cs="Times New Roman"/>
          <w:sz w:val="24"/>
          <w:szCs w:val="24"/>
        </w:rPr>
        <w:t>consistent with the gradual, path-dependent nature of institutional change. A Hausman test (χ² = 8.43, p = 0.208) confirms the PMG over the unrestricted Mean Group estimator. Cross-sectional dependence, assessed via the Pesaran (2004) CD test, is addressed through Driscoll-Kraay corrections. The findings provide robust empirical support for the proposition that institutional quality is not merely ancillary to SDG progress but constitutive of it. Policy implications point to the primacy of state capacity building, anti-corruption reform, and regulatory institution development as long-run prerequisites for accelerating sustainable development in the sub-region.</w:t>
      </w:r>
    </w:p>
    <w:p w14:paraId="75C5B010" w14:textId="44BD3D65"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b/>
          <w:bCs/>
          <w:sz w:val="24"/>
          <w:szCs w:val="24"/>
        </w:rPr>
        <w:t xml:space="preserve">Keywords: </w:t>
      </w:r>
      <w:r w:rsidRPr="007D00B7">
        <w:rPr>
          <w:rFonts w:ascii="Times New Roman" w:hAnsi="Times New Roman" w:cs="Times New Roman"/>
          <w:sz w:val="24"/>
          <w:szCs w:val="24"/>
        </w:rPr>
        <w:t>Institutional quality; Sustainable Development Goals; SDG Index; Government effectiveness; Rule of law</w:t>
      </w:r>
    </w:p>
    <w:p w14:paraId="3C0056C4"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b/>
          <w:bCs/>
          <w:sz w:val="24"/>
          <w:szCs w:val="24"/>
        </w:rPr>
        <w:t xml:space="preserve">JEL Classification: </w:t>
      </w:r>
      <w:r w:rsidRPr="007D00B7">
        <w:rPr>
          <w:rFonts w:ascii="Times New Roman" w:hAnsi="Times New Roman" w:cs="Times New Roman"/>
          <w:sz w:val="24"/>
          <w:szCs w:val="24"/>
        </w:rPr>
        <w:t>O10, O43, P48, Q01, H11, C33</w:t>
      </w:r>
    </w:p>
    <w:p w14:paraId="740D67E7" w14:textId="04252B5D" w:rsid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 </w:t>
      </w:r>
    </w:p>
    <w:p w14:paraId="20FD4FD3" w14:textId="30EC1E9B" w:rsidR="006D52D3" w:rsidRDefault="006D52D3" w:rsidP="006D52D3">
      <w:pPr>
        <w:spacing w:before="240" w:after="240" w:line="240" w:lineRule="auto"/>
        <w:ind w:left="238" w:right="238"/>
        <w:jc w:val="both"/>
        <w:rPr>
          <w:rFonts w:ascii="Times New Roman" w:hAnsi="Times New Roman" w:cs="Times New Roman"/>
          <w:sz w:val="24"/>
          <w:szCs w:val="24"/>
        </w:rPr>
      </w:pPr>
    </w:p>
    <w:p w14:paraId="6D5EE8B0" w14:textId="6D11939B" w:rsidR="006D52D3" w:rsidRDefault="006D52D3" w:rsidP="006D52D3">
      <w:pPr>
        <w:spacing w:before="240" w:after="240" w:line="240" w:lineRule="auto"/>
        <w:ind w:left="238" w:right="238"/>
        <w:jc w:val="both"/>
        <w:rPr>
          <w:rFonts w:ascii="Times New Roman" w:hAnsi="Times New Roman" w:cs="Times New Roman"/>
          <w:sz w:val="24"/>
          <w:szCs w:val="24"/>
        </w:rPr>
      </w:pPr>
    </w:p>
    <w:p w14:paraId="5658A242" w14:textId="77777777" w:rsidR="006D52D3" w:rsidRPr="007D00B7" w:rsidRDefault="006D52D3" w:rsidP="006D52D3">
      <w:pPr>
        <w:spacing w:before="240" w:after="240" w:line="240" w:lineRule="auto"/>
        <w:ind w:left="238" w:right="238"/>
        <w:jc w:val="both"/>
        <w:rPr>
          <w:rFonts w:ascii="Times New Roman" w:hAnsi="Times New Roman" w:cs="Times New Roman"/>
          <w:sz w:val="24"/>
          <w:szCs w:val="24"/>
        </w:rPr>
      </w:pPr>
    </w:p>
    <w:p w14:paraId="41580CCB" w14:textId="39E8F045"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b/>
          <w:bCs/>
          <w:sz w:val="24"/>
          <w:szCs w:val="24"/>
        </w:rPr>
        <w:t>INTRODUCTION</w:t>
      </w:r>
    </w:p>
    <w:p w14:paraId="69EF9598" w14:textId="5359CFF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question of whether institutions drive development outcomes</w:t>
      </w:r>
      <w:r>
        <w:rPr>
          <w:rFonts w:ascii="Times New Roman" w:hAnsi="Times New Roman" w:cs="Times New Roman"/>
          <w:sz w:val="24"/>
          <w:szCs w:val="24"/>
          <w:lang w:val="en-US"/>
        </w:rPr>
        <w:t xml:space="preserve"> </w:t>
      </w:r>
      <w:r w:rsidRPr="007D00B7">
        <w:rPr>
          <w:rFonts w:ascii="Times New Roman" w:hAnsi="Times New Roman" w:cs="Times New Roman"/>
          <w:sz w:val="24"/>
          <w:szCs w:val="24"/>
        </w:rPr>
        <w:t>or whether development generates demand for better institutions</w:t>
      </w:r>
      <w:r>
        <w:rPr>
          <w:rFonts w:ascii="Times New Roman" w:hAnsi="Times New Roman" w:cs="Times New Roman"/>
          <w:sz w:val="24"/>
          <w:szCs w:val="24"/>
          <w:lang w:val="en-US"/>
        </w:rPr>
        <w:t xml:space="preserve"> </w:t>
      </w:r>
      <w:r w:rsidRPr="007D00B7">
        <w:rPr>
          <w:rFonts w:ascii="Times New Roman" w:hAnsi="Times New Roman" w:cs="Times New Roman"/>
          <w:sz w:val="24"/>
          <w:szCs w:val="24"/>
        </w:rPr>
        <w:t>has occupied the centre of political economy and development economics for three decades. The foundational contributions of North (1990), Acemoglu, Johnson, and Robinson (2001), and Rodrik, Subramanian, and Trebbi (2004) established institutions as the primary determinant of long-run economic performance, eclipsing the roles of geography and trade openness in cross-country growth regressions. Within the evolving sustainable development paradigm, however, the institutions–development nexus carries added complexity</w:t>
      </w:r>
      <w:r w:rsidR="00943F5E">
        <w:rPr>
          <w:rFonts w:ascii="Times New Roman" w:hAnsi="Times New Roman" w:cs="Times New Roman"/>
          <w:sz w:val="24"/>
          <w:szCs w:val="24"/>
          <w:lang w:val="en-US"/>
        </w:rPr>
        <w:t>.</w:t>
      </w:r>
      <w:r w:rsidRPr="007D00B7">
        <w:rPr>
          <w:rFonts w:ascii="Times New Roman" w:hAnsi="Times New Roman" w:cs="Times New Roman"/>
          <w:sz w:val="24"/>
          <w:szCs w:val="24"/>
        </w:rPr>
        <w:t xml:space="preserve"> </w:t>
      </w:r>
      <w:r w:rsidR="00943F5E">
        <w:rPr>
          <w:rFonts w:ascii="Times New Roman" w:hAnsi="Times New Roman" w:cs="Times New Roman"/>
          <w:sz w:val="24"/>
          <w:szCs w:val="24"/>
          <w:lang w:val="en-US"/>
        </w:rPr>
        <w:t>T</w:t>
      </w:r>
      <w:r w:rsidRPr="007D00B7">
        <w:rPr>
          <w:rFonts w:ascii="Times New Roman" w:hAnsi="Times New Roman" w:cs="Times New Roman"/>
          <w:sz w:val="24"/>
          <w:szCs w:val="24"/>
        </w:rPr>
        <w:t>he 2030 Agenda for Sustainable Development (United Nations, 2015) demands simultaneous progress across economic, social, and environmental dimensions</w:t>
      </w:r>
      <w:r w:rsidR="00943F5E">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a multidimensional challenge for which governance quality is not merely a facilitating factor but an </w:t>
      </w:r>
      <w:r w:rsidR="00943F5E">
        <w:rPr>
          <w:rFonts w:ascii="Times New Roman" w:hAnsi="Times New Roman" w:cs="Times New Roman"/>
          <w:sz w:val="24"/>
          <w:szCs w:val="24"/>
          <w:lang w:val="en-US"/>
        </w:rPr>
        <w:t xml:space="preserve">all-important </w:t>
      </w:r>
      <w:r w:rsidRPr="007D00B7">
        <w:rPr>
          <w:rFonts w:ascii="Times New Roman" w:hAnsi="Times New Roman" w:cs="Times New Roman"/>
          <w:sz w:val="24"/>
          <w:szCs w:val="24"/>
        </w:rPr>
        <w:t>enabling precondition.</w:t>
      </w:r>
    </w:p>
    <w:p w14:paraId="274ADDDC" w14:textId="66EB5EB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adoption of the Sustainable Development Goals (SDGs) in September 2015 crystallised this recognition at the level of global policy architecture. SDG 16</w:t>
      </w:r>
      <w:r w:rsidR="00943F5E">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calls for peaceful, just, and strong institutions</w:t>
      </w:r>
      <w:r w:rsidR="00943F5E">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is unique in the SDG framework in that it is simultaneously a goal in its own right and a cross-cutting enabler of all other goals. Halle, Jensen, and Lim (2016) argue that institutional quality determines whether the foundational SDG commitment to 'leave no one behind' is operationalised or remains </w:t>
      </w:r>
      <w:r w:rsidR="00943F5E">
        <w:rPr>
          <w:rFonts w:ascii="Times New Roman" w:hAnsi="Times New Roman" w:cs="Times New Roman"/>
          <w:sz w:val="24"/>
          <w:szCs w:val="24"/>
          <w:lang w:val="en-US"/>
        </w:rPr>
        <w:t xml:space="preserve">an </w:t>
      </w:r>
      <w:r w:rsidRPr="007D00B7">
        <w:rPr>
          <w:rFonts w:ascii="Times New Roman" w:hAnsi="Times New Roman" w:cs="Times New Roman"/>
          <w:sz w:val="24"/>
          <w:szCs w:val="24"/>
        </w:rPr>
        <w:t>aspirational rhetoric, particularly in fragile and conflict-affected states. More recently, Sachs et al. (2023) document that the 17 SDGs require 'deep transformations' in governance, finance, and technology, and that countries lacking effective institutions consistently fail to translate development finance into measured progress. Against this backdrop, the relationship between institutional quality</w:t>
      </w:r>
      <w:r w:rsidR="00943F5E">
        <w:rPr>
          <w:rFonts w:ascii="Times New Roman" w:hAnsi="Times New Roman" w:cs="Times New Roman"/>
          <w:sz w:val="24"/>
          <w:szCs w:val="24"/>
          <w:lang w:val="en-US"/>
        </w:rPr>
        <w:t xml:space="preserve">, </w:t>
      </w:r>
      <w:r w:rsidRPr="007D00B7">
        <w:rPr>
          <w:rFonts w:ascii="Times New Roman" w:hAnsi="Times New Roman" w:cs="Times New Roman"/>
          <w:sz w:val="24"/>
          <w:szCs w:val="24"/>
        </w:rPr>
        <w:t>operationalised through the World Bank's Worldwide Governance Indicators (WGI)</w:t>
      </w:r>
      <w:r w:rsidR="00943F5E">
        <w:rPr>
          <w:rFonts w:ascii="Times New Roman" w:hAnsi="Times New Roman" w:cs="Times New Roman"/>
          <w:sz w:val="24"/>
          <w:szCs w:val="24"/>
          <w:lang w:val="en-US"/>
        </w:rPr>
        <w:t xml:space="preserve"> </w:t>
      </w:r>
      <w:r w:rsidRPr="007D00B7">
        <w:rPr>
          <w:rFonts w:ascii="Times New Roman" w:hAnsi="Times New Roman" w:cs="Times New Roman"/>
          <w:sz w:val="24"/>
          <w:szCs w:val="24"/>
        </w:rPr>
        <w:t>and composite SDG performance merits rigorous empirical investigation.</w:t>
      </w:r>
    </w:p>
    <w:p w14:paraId="7E2DFB23" w14:textId="59148E95"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Sub-Saharan Africa, and West Africa in particular, presents both the most urgent and the most analytically challenging context for this inquiry. Despite possessing substantial natural resource endowments, a rapidly growing demographic dividend, and deepening integration into global value chains, the sub-region remains in the bottom quartile of the global SDG Index (Sachs et al., 2023). The Sustainable Development Report (2024) records that no sub-Saharan African country is on track to achieve the SDGs by 2030, with the largest gaps concentrated in SDGs 1 (no poverty), 2 (zero hunger), 3 (good health), 6 (clean water), 7 (clean energy), and 16 (peace and justice). Within this context, governance quality</w:t>
      </w:r>
      <w:r w:rsidR="00A90156">
        <w:rPr>
          <w:rFonts w:ascii="Times New Roman" w:hAnsi="Times New Roman" w:cs="Times New Roman"/>
          <w:sz w:val="24"/>
          <w:szCs w:val="24"/>
          <w:lang w:val="en-US"/>
        </w:rPr>
        <w:t xml:space="preserve"> </w:t>
      </w:r>
      <w:r w:rsidRPr="007D00B7">
        <w:rPr>
          <w:rFonts w:ascii="Times New Roman" w:hAnsi="Times New Roman" w:cs="Times New Roman"/>
          <w:sz w:val="24"/>
          <w:szCs w:val="24"/>
        </w:rPr>
        <w:t>or its absence</w:t>
      </w:r>
      <w:r w:rsidR="00A90156">
        <w:rPr>
          <w:rFonts w:ascii="Times New Roman" w:hAnsi="Times New Roman" w:cs="Times New Roman"/>
          <w:sz w:val="24"/>
          <w:szCs w:val="24"/>
          <w:lang w:val="en-US"/>
        </w:rPr>
        <w:t xml:space="preserve"> </w:t>
      </w:r>
      <w:r w:rsidRPr="007D00B7">
        <w:rPr>
          <w:rFonts w:ascii="Times New Roman" w:hAnsi="Times New Roman" w:cs="Times New Roman"/>
          <w:sz w:val="24"/>
          <w:szCs w:val="24"/>
        </w:rPr>
        <w:t>is increasingly identified as the binding constraint on SDG progress (Asongu &amp; Nwachukwu, 2019; Fosu &amp; Gafa, 2020; Ahlerup, Baskaran &amp; Bigsten, 2020).</w:t>
      </w:r>
    </w:p>
    <w:p w14:paraId="45087316" w14:textId="455EADA6"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Anglophone West Africa</w:t>
      </w:r>
      <w:r w:rsidR="00A90156">
        <w:rPr>
          <w:rFonts w:ascii="Times New Roman" w:hAnsi="Times New Roman" w:cs="Times New Roman"/>
          <w:sz w:val="24"/>
          <w:szCs w:val="24"/>
          <w:lang w:val="en-US"/>
        </w:rPr>
        <w:t xml:space="preserve"> </w:t>
      </w:r>
      <w:r w:rsidRPr="007D00B7">
        <w:rPr>
          <w:rFonts w:ascii="Times New Roman" w:hAnsi="Times New Roman" w:cs="Times New Roman"/>
          <w:sz w:val="24"/>
          <w:szCs w:val="24"/>
        </w:rPr>
        <w:t>comprising Ghana, Nigeria, Sierra Leone, and The Gambia</w:t>
      </w:r>
      <w:r w:rsidR="00A90156">
        <w:rPr>
          <w:rFonts w:ascii="Times New Roman" w:hAnsi="Times New Roman" w:cs="Times New Roman"/>
          <w:sz w:val="24"/>
          <w:szCs w:val="24"/>
          <w:lang w:val="en-US"/>
        </w:rPr>
        <w:t xml:space="preserve"> </w:t>
      </w:r>
      <w:r w:rsidRPr="007D00B7">
        <w:rPr>
          <w:rFonts w:ascii="Times New Roman" w:hAnsi="Times New Roman" w:cs="Times New Roman"/>
          <w:sz w:val="24"/>
          <w:szCs w:val="24"/>
        </w:rPr>
        <w:t>offers a particularly valuable comparative unit of analysis. These four countries share a common British colonial heritage, English as the official language, and membership in the Economic Community of West African States (ECOWAS), providing a degree of institutional and linguistic homogeneity that reduces omitted-variable concerns in cross-country analysis. At the same time, they exhibit dramatic heterogeneity in governance trajectories</w:t>
      </w:r>
      <w:r w:rsidR="007825BA">
        <w:rPr>
          <w:rFonts w:ascii="Times New Roman" w:hAnsi="Times New Roman" w:cs="Times New Roman"/>
          <w:sz w:val="24"/>
          <w:szCs w:val="24"/>
          <w:lang w:val="en-US"/>
        </w:rPr>
        <w:t>.</w:t>
      </w:r>
      <w:r w:rsidRPr="007D00B7">
        <w:rPr>
          <w:rFonts w:ascii="Times New Roman" w:hAnsi="Times New Roman" w:cs="Times New Roman"/>
          <w:sz w:val="24"/>
          <w:szCs w:val="24"/>
        </w:rPr>
        <w:t xml:space="preserve"> Ghana is widely regarded as the sub-region's most consolidated democracy, having undergone multiple peaceful electoral transfers since 1992 (Gyimah-Boateng, 2015; Lindberg, 2006)</w:t>
      </w:r>
      <w:r w:rsidR="007825BA">
        <w:rPr>
          <w:rFonts w:ascii="Times New Roman" w:hAnsi="Times New Roman" w:cs="Times New Roman"/>
          <w:sz w:val="24"/>
          <w:szCs w:val="24"/>
          <w:lang w:val="en-US"/>
        </w:rPr>
        <w:t>.</w:t>
      </w:r>
      <w:r w:rsidRPr="007D00B7">
        <w:rPr>
          <w:rFonts w:ascii="Times New Roman" w:hAnsi="Times New Roman" w:cs="Times New Roman"/>
          <w:sz w:val="24"/>
          <w:szCs w:val="24"/>
        </w:rPr>
        <w:t xml:space="preserve"> Nigeria</w:t>
      </w:r>
      <w:r w:rsidR="00A90156">
        <w:rPr>
          <w:rFonts w:ascii="Times New Roman" w:hAnsi="Times New Roman" w:cs="Times New Roman"/>
          <w:sz w:val="24"/>
          <w:szCs w:val="24"/>
          <w:lang w:val="en-US"/>
        </w:rPr>
        <w:t xml:space="preserve">, </w:t>
      </w:r>
      <w:r w:rsidRPr="007D00B7">
        <w:rPr>
          <w:rFonts w:ascii="Times New Roman" w:hAnsi="Times New Roman" w:cs="Times New Roman"/>
          <w:sz w:val="24"/>
          <w:szCs w:val="24"/>
        </w:rPr>
        <w:t>the continent's largest economy</w:t>
      </w:r>
      <w:r w:rsidR="00A90156">
        <w:rPr>
          <w:rFonts w:ascii="Times New Roman" w:hAnsi="Times New Roman" w:cs="Times New Roman"/>
          <w:sz w:val="24"/>
          <w:szCs w:val="24"/>
          <w:lang w:val="en-US"/>
        </w:rPr>
        <w:t xml:space="preserve"> </w:t>
      </w:r>
      <w:r w:rsidRPr="007D00B7">
        <w:rPr>
          <w:rFonts w:ascii="Times New Roman" w:hAnsi="Times New Roman" w:cs="Times New Roman"/>
          <w:sz w:val="24"/>
          <w:szCs w:val="24"/>
        </w:rPr>
        <w:t>combines vast development potential with chronic governance deficits, insurgency in the north-east, and pervasive corruption (Nwosu &amp; Orji, 2020; Olayungbo &amp; Olayemi, 2021)</w:t>
      </w:r>
      <w:r w:rsidR="007825BA">
        <w:rPr>
          <w:rFonts w:ascii="Times New Roman" w:hAnsi="Times New Roman" w:cs="Times New Roman"/>
          <w:sz w:val="24"/>
          <w:szCs w:val="24"/>
          <w:lang w:val="en-US"/>
        </w:rPr>
        <w:t>.</w:t>
      </w:r>
      <w:r w:rsidRPr="007D00B7">
        <w:rPr>
          <w:rFonts w:ascii="Times New Roman" w:hAnsi="Times New Roman" w:cs="Times New Roman"/>
          <w:sz w:val="24"/>
          <w:szCs w:val="24"/>
        </w:rPr>
        <w:t xml:space="preserve"> Sierra Leone has navigated a post-conflict reconstruction trajectory following its 1991–2002 civil war (Hanlon, 2005; Conteh, 2020) and The Gambia emerged from more than two decades of authoritarian rule with a democratic transition in January 2017 (Saine, 2009; Perfect, 2016), constituting a natural quasi-experiment in institutional change. This within-group heterogeneity in governance trajectories</w:t>
      </w:r>
      <w:r w:rsidR="007825BA">
        <w:rPr>
          <w:rFonts w:ascii="Times New Roman" w:hAnsi="Times New Roman" w:cs="Times New Roman"/>
          <w:sz w:val="24"/>
          <w:szCs w:val="24"/>
          <w:lang w:val="en-US"/>
        </w:rPr>
        <w:t xml:space="preserve"> </w:t>
      </w:r>
      <w:r w:rsidRPr="007D00B7">
        <w:rPr>
          <w:rFonts w:ascii="Times New Roman" w:hAnsi="Times New Roman" w:cs="Times New Roman"/>
          <w:sz w:val="24"/>
          <w:szCs w:val="24"/>
        </w:rPr>
        <w:t>against a backdrop of structural similarity</w:t>
      </w:r>
      <w:r w:rsidR="007825BA">
        <w:rPr>
          <w:rFonts w:ascii="Times New Roman" w:hAnsi="Times New Roman" w:cs="Times New Roman"/>
          <w:sz w:val="24"/>
          <w:szCs w:val="24"/>
          <w:lang w:val="en-US"/>
        </w:rPr>
        <w:t xml:space="preserve"> </w:t>
      </w:r>
      <w:r w:rsidRPr="007D00B7">
        <w:rPr>
          <w:rFonts w:ascii="Times New Roman" w:hAnsi="Times New Roman" w:cs="Times New Roman"/>
          <w:sz w:val="24"/>
          <w:szCs w:val="24"/>
        </w:rPr>
        <w:t>renders the four-country panel an unusually informative laboratory for identifying the institutional determinants of sustainable development.</w:t>
      </w:r>
    </w:p>
    <w:p w14:paraId="7033F91E" w14:textId="7BB199BF"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lastRenderedPageBreak/>
        <w:t>Despite a growing body of literature on governance and development in Africa, several significant gaps persist. First, the use of the composite SDG Index</w:t>
      </w:r>
      <w:r w:rsidR="007825BA">
        <w:rPr>
          <w:rFonts w:ascii="Times New Roman" w:hAnsi="Times New Roman" w:cs="Times New Roman"/>
          <w:sz w:val="24"/>
          <w:szCs w:val="24"/>
          <w:lang w:val="en-US"/>
        </w:rPr>
        <w:t xml:space="preserve"> </w:t>
      </w:r>
      <w:r w:rsidRPr="007D00B7">
        <w:rPr>
          <w:rFonts w:ascii="Times New Roman" w:hAnsi="Times New Roman" w:cs="Times New Roman"/>
          <w:sz w:val="24"/>
          <w:szCs w:val="24"/>
        </w:rPr>
        <w:t>as opposed to individual economic or social indicators</w:t>
      </w:r>
      <w:r w:rsidR="007825BA">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as the dependent variable remains sparse, limiting the ability to link governance quality to the comprehensive, multidimensional conception of sustainability embedded in the 2030 Agenda. </w:t>
      </w:r>
      <w:r w:rsidR="007825BA">
        <w:rPr>
          <w:rFonts w:ascii="Times New Roman" w:hAnsi="Times New Roman" w:cs="Times New Roman"/>
          <w:sz w:val="24"/>
          <w:szCs w:val="24"/>
          <w:lang w:val="en-US"/>
        </w:rPr>
        <w:t>Furthermore</w:t>
      </w:r>
      <w:r w:rsidRPr="007D00B7">
        <w:rPr>
          <w:rFonts w:ascii="Times New Roman" w:hAnsi="Times New Roman" w:cs="Times New Roman"/>
          <w:sz w:val="24"/>
          <w:szCs w:val="24"/>
        </w:rPr>
        <w:t xml:space="preserve">, most studies either employ single-country case studies or broad pan-African samples that do not adequately account for the distinctive institutional trajectories and regional specificities of West Africa. </w:t>
      </w:r>
      <w:r w:rsidR="007825BA">
        <w:rPr>
          <w:rFonts w:ascii="Times New Roman" w:hAnsi="Times New Roman" w:cs="Times New Roman"/>
          <w:sz w:val="24"/>
          <w:szCs w:val="24"/>
          <w:lang w:val="en-US"/>
        </w:rPr>
        <w:t>Also</w:t>
      </w:r>
      <w:r w:rsidRPr="007D00B7">
        <w:rPr>
          <w:rFonts w:ascii="Times New Roman" w:hAnsi="Times New Roman" w:cs="Times New Roman"/>
          <w:sz w:val="24"/>
          <w:szCs w:val="24"/>
        </w:rPr>
        <w:t>, the post-2015 period</w:t>
      </w:r>
      <w:r w:rsidR="007825BA">
        <w:rPr>
          <w:rFonts w:ascii="Times New Roman" w:hAnsi="Times New Roman" w:cs="Times New Roman"/>
          <w:sz w:val="24"/>
          <w:szCs w:val="24"/>
          <w:lang w:val="en-US"/>
        </w:rPr>
        <w:t xml:space="preserve">, </w:t>
      </w:r>
      <w:r w:rsidRPr="007D00B7">
        <w:rPr>
          <w:rFonts w:ascii="Times New Roman" w:hAnsi="Times New Roman" w:cs="Times New Roman"/>
          <w:sz w:val="24"/>
          <w:szCs w:val="24"/>
        </w:rPr>
        <w:t>during which countries have been formally implementing the SDG framework</w:t>
      </w:r>
      <w:r w:rsidR="007825BA">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has not been comprehensively analysed for this sub-region. </w:t>
      </w:r>
      <w:r w:rsidR="007825BA">
        <w:rPr>
          <w:rFonts w:ascii="Times New Roman" w:hAnsi="Times New Roman" w:cs="Times New Roman"/>
          <w:sz w:val="24"/>
          <w:szCs w:val="24"/>
          <w:lang w:val="en-US"/>
        </w:rPr>
        <w:t>Additionally</w:t>
      </w:r>
      <w:r w:rsidRPr="007D00B7">
        <w:rPr>
          <w:rFonts w:ascii="Times New Roman" w:hAnsi="Times New Roman" w:cs="Times New Roman"/>
          <w:sz w:val="24"/>
          <w:szCs w:val="24"/>
        </w:rPr>
        <w:t xml:space="preserve">, few studies exploit the full time-series depth (T = 29) available from the WGI dataset, which is critical for panel cointegration methods and long-run identification. </w:t>
      </w:r>
      <w:r w:rsidR="006418AB">
        <w:rPr>
          <w:rFonts w:ascii="Times New Roman" w:hAnsi="Times New Roman" w:cs="Times New Roman"/>
          <w:sz w:val="24"/>
          <w:szCs w:val="24"/>
          <w:lang w:val="en-US"/>
        </w:rPr>
        <w:t>Finally</w:t>
      </w:r>
      <w:r w:rsidRPr="007D00B7">
        <w:rPr>
          <w:rFonts w:ascii="Times New Roman" w:hAnsi="Times New Roman" w:cs="Times New Roman"/>
          <w:sz w:val="24"/>
          <w:szCs w:val="24"/>
        </w:rPr>
        <w:t>, the interaction between cross-sectional dependence</w:t>
      </w:r>
      <w:r w:rsidR="006418AB">
        <w:rPr>
          <w:rFonts w:ascii="Times New Roman" w:hAnsi="Times New Roman" w:cs="Times New Roman"/>
          <w:sz w:val="24"/>
          <w:szCs w:val="24"/>
          <w:lang w:val="en-US"/>
        </w:rPr>
        <w:t xml:space="preserve">, </w:t>
      </w:r>
      <w:r w:rsidRPr="007D00B7">
        <w:rPr>
          <w:rFonts w:ascii="Times New Roman" w:hAnsi="Times New Roman" w:cs="Times New Roman"/>
          <w:sz w:val="24"/>
          <w:szCs w:val="24"/>
        </w:rPr>
        <w:t>a near-universal feature of closely integrated regional panels</w:t>
      </w:r>
      <w:r w:rsidR="006418AB">
        <w:rPr>
          <w:rFonts w:ascii="Times New Roman" w:hAnsi="Times New Roman" w:cs="Times New Roman"/>
          <w:sz w:val="24"/>
          <w:szCs w:val="24"/>
          <w:lang w:val="en-US"/>
        </w:rPr>
        <w:t xml:space="preserve"> </w:t>
      </w:r>
      <w:r w:rsidRPr="007D00B7">
        <w:rPr>
          <w:rFonts w:ascii="Times New Roman" w:hAnsi="Times New Roman" w:cs="Times New Roman"/>
          <w:sz w:val="24"/>
          <w:szCs w:val="24"/>
        </w:rPr>
        <w:t>and institutional effect estimation has been inadequately addressed.</w:t>
      </w:r>
    </w:p>
    <w:p w14:paraId="2089A010" w14:textId="64EE321D" w:rsidR="006418AB" w:rsidRPr="006418AB"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This study addresses these gaps through four methodological contributions. First, it constructs a balanced panel of 116 country-year observations covering 1996–2024, yielding T = 29</w:t>
      </w:r>
      <w:r w:rsidR="006418AB">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sufficient for meaningful panel cointegration estimation. </w:t>
      </w:r>
      <w:r w:rsidR="006418AB">
        <w:rPr>
          <w:rFonts w:ascii="Times New Roman" w:hAnsi="Times New Roman" w:cs="Times New Roman"/>
          <w:sz w:val="24"/>
          <w:szCs w:val="24"/>
          <w:lang w:val="en-US"/>
        </w:rPr>
        <w:t>Next</w:t>
      </w:r>
      <w:r w:rsidRPr="007D00B7">
        <w:rPr>
          <w:rFonts w:ascii="Times New Roman" w:hAnsi="Times New Roman" w:cs="Times New Roman"/>
          <w:sz w:val="24"/>
          <w:szCs w:val="24"/>
        </w:rPr>
        <w:t xml:space="preserve">, it employs the PMG estimator of Pesaran, Shin, and Smith (1999), which explicitly distinguishes between short-run heterogeneous dynamics and homogeneous long-run equilibrium relationships, thereby avoiding the slope-heterogeneity bias that afflicts pooled OLS and even within-group fixed effects estimators in dynamic panels. </w:t>
      </w:r>
      <w:r w:rsidR="006418AB">
        <w:rPr>
          <w:rFonts w:ascii="Times New Roman" w:hAnsi="Times New Roman" w:cs="Times New Roman"/>
          <w:sz w:val="24"/>
          <w:szCs w:val="24"/>
          <w:lang w:val="en-US"/>
        </w:rPr>
        <w:t>Furthermore</w:t>
      </w:r>
      <w:r w:rsidRPr="007D00B7">
        <w:rPr>
          <w:rFonts w:ascii="Times New Roman" w:hAnsi="Times New Roman" w:cs="Times New Roman"/>
          <w:sz w:val="24"/>
          <w:szCs w:val="24"/>
        </w:rPr>
        <w:t xml:space="preserve">, it addresses cross-sectional dependence through the Driscoll-Kraay (1998) correction in the fixed effects specification and through the CIPS second-generation unit root test in the pre-estimation diagnostics. </w:t>
      </w:r>
      <w:r w:rsidR="006418AB">
        <w:rPr>
          <w:rFonts w:ascii="Times New Roman" w:hAnsi="Times New Roman" w:cs="Times New Roman"/>
          <w:sz w:val="24"/>
          <w:szCs w:val="24"/>
          <w:lang w:val="en-US"/>
        </w:rPr>
        <w:t>Moreover</w:t>
      </w:r>
      <w:r w:rsidRPr="007D00B7">
        <w:rPr>
          <w:rFonts w:ascii="Times New Roman" w:hAnsi="Times New Roman" w:cs="Times New Roman"/>
          <w:sz w:val="24"/>
          <w:szCs w:val="24"/>
        </w:rPr>
        <w:t>, it benchmarks the PMG results against the unrestricted Mean Group (MG) estimator using a Hausman-type test, providing formal evidence on the validity of slope-homogeneity restrictions. </w:t>
      </w:r>
    </w:p>
    <w:p w14:paraId="37B927E4" w14:textId="08F87E88" w:rsidR="007D00B7" w:rsidRPr="006418AB" w:rsidRDefault="006418AB" w:rsidP="006D52D3">
      <w:pPr>
        <w:spacing w:before="240" w:after="240" w:line="240" w:lineRule="auto"/>
        <w:ind w:left="238" w:right="238"/>
        <w:jc w:val="both"/>
        <w:rPr>
          <w:rFonts w:ascii="Times New Roman" w:hAnsi="Times New Roman" w:cs="Times New Roman"/>
          <w:b/>
          <w:bCs/>
          <w:sz w:val="24"/>
          <w:szCs w:val="24"/>
        </w:rPr>
      </w:pPr>
      <w:r w:rsidRPr="006418AB">
        <w:rPr>
          <w:rFonts w:ascii="Times New Roman" w:hAnsi="Times New Roman" w:cs="Times New Roman"/>
          <w:b/>
          <w:bCs/>
          <w:sz w:val="24"/>
          <w:szCs w:val="24"/>
        </w:rPr>
        <w:t>THEORETICAL FRAMEWORK AND LITERATURE REVIEW</w:t>
      </w:r>
    </w:p>
    <w:p w14:paraId="553C1F42" w14:textId="7F70A09C" w:rsidR="007D00B7" w:rsidRPr="006418AB" w:rsidRDefault="006418AB" w:rsidP="006D52D3">
      <w:pPr>
        <w:spacing w:before="240" w:after="240" w:line="240" w:lineRule="auto"/>
        <w:ind w:left="238" w:right="238"/>
        <w:jc w:val="both"/>
        <w:rPr>
          <w:rFonts w:ascii="Times New Roman" w:hAnsi="Times New Roman" w:cs="Times New Roman"/>
          <w:b/>
          <w:bCs/>
          <w:sz w:val="24"/>
          <w:szCs w:val="24"/>
        </w:rPr>
      </w:pPr>
      <w:r w:rsidRPr="006418AB">
        <w:rPr>
          <w:rFonts w:ascii="Times New Roman" w:hAnsi="Times New Roman" w:cs="Times New Roman"/>
          <w:b/>
          <w:bCs/>
          <w:sz w:val="24"/>
          <w:szCs w:val="24"/>
        </w:rPr>
        <w:t>THEORETICAL FOUNDATIONS: INSTITUTIONS AND DEVELOPMENT</w:t>
      </w:r>
    </w:p>
    <w:p w14:paraId="7E88011D" w14:textId="3C22C602"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theoretical case for institutions as the primary determinant of long-run development outcomes is multi-stranded and deeply rooted in the political economy tradition. North's (1990) seminal framework defines institutions as the 'rules of the game, the formal and informal constraints that structure human interaction and distinguishes between institutions as rules and organisations as players operating within those rules. In North's framework, the institutional matrix shapes the incentive structures facing economic actors, thereby determining whether productive, redistributive, or destructive activities dominate in an economy. Crucially, institutional change is path-dependent</w:t>
      </w:r>
      <w:r w:rsidR="006418AB">
        <w:rPr>
          <w:rFonts w:ascii="Times New Roman" w:hAnsi="Times New Roman" w:cs="Times New Roman"/>
          <w:sz w:val="24"/>
          <w:szCs w:val="24"/>
          <w:lang w:val="en-US"/>
        </w:rPr>
        <w:t>.</w:t>
      </w:r>
      <w:r w:rsidRPr="007D00B7">
        <w:rPr>
          <w:rFonts w:ascii="Times New Roman" w:hAnsi="Times New Roman" w:cs="Times New Roman"/>
          <w:sz w:val="24"/>
          <w:szCs w:val="24"/>
        </w:rPr>
        <w:t xml:space="preserve"> </w:t>
      </w:r>
      <w:r w:rsidR="006418AB">
        <w:rPr>
          <w:rFonts w:ascii="Times New Roman" w:hAnsi="Times New Roman" w:cs="Times New Roman"/>
          <w:sz w:val="24"/>
          <w:szCs w:val="24"/>
          <w:lang w:val="en-US"/>
        </w:rPr>
        <w:t>O</w:t>
      </w:r>
      <w:r w:rsidR="000A77B7">
        <w:rPr>
          <w:rFonts w:ascii="Times New Roman" w:hAnsi="Times New Roman" w:cs="Times New Roman"/>
          <w:sz w:val="24"/>
          <w:szCs w:val="24"/>
          <w:lang w:val="en-US"/>
        </w:rPr>
        <w:t>nce</w:t>
      </w:r>
      <w:r w:rsidRPr="007D00B7">
        <w:rPr>
          <w:rFonts w:ascii="Times New Roman" w:hAnsi="Times New Roman" w:cs="Times New Roman"/>
          <w:sz w:val="24"/>
          <w:szCs w:val="24"/>
        </w:rPr>
        <w:t xml:space="preserve"> a society locks into a particular institutional equilibrium, the self-reinforcing dynamics of complementary institutions, network effects, and elite interests make fundamental reform costly and slow.</w:t>
      </w:r>
    </w:p>
    <w:p w14:paraId="429FA315" w14:textId="38327776"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Acemoglu, Johnson, and Robinson's (2001) colonial origins hypothesis provides the most influential empirical instantiation of North's theoretical framework. Exploiting variation in European settler mortality as an instrument for institutional quality, the authors demonstrate that the primary channel through which colonial history affects long-run income is through its persistent effect on institutional quality, specifically on property rights protection and constraints on executive power. The implication is stark</w:t>
      </w:r>
      <w:r w:rsidR="000A77B7">
        <w:rPr>
          <w:rFonts w:ascii="Times New Roman" w:hAnsi="Times New Roman" w:cs="Times New Roman"/>
          <w:sz w:val="24"/>
          <w:szCs w:val="24"/>
          <w:lang w:val="en-US"/>
        </w:rPr>
        <w:t>, clearly indicating that,</w:t>
      </w:r>
      <w:r w:rsidRPr="007D00B7">
        <w:rPr>
          <w:rFonts w:ascii="Times New Roman" w:hAnsi="Times New Roman" w:cs="Times New Roman"/>
          <w:sz w:val="24"/>
          <w:szCs w:val="24"/>
        </w:rPr>
        <w:t xml:space="preserve"> inclusive institutions that protect property rights and enforce contracts generate the investment incentives necessary for sustained growth, whereas extractive institutions concentrate rents among elites and undermine broad-based development. Acemoglu and Robinson (2012) extend this framework in 'Why Nations Fail', arguing that the fundamental distinction between successful and unsuccessful nations is the presence or absence of inclusive political and economic institutions.</w:t>
      </w:r>
    </w:p>
    <w:p w14:paraId="014025B0" w14:textId="7E81201E"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Rodrik, Subramanian, and Trebbi (2004) provide arguably the most comprehensive empirical test of the relative contributions of institutions, geography, and integration (trade) to cross-country income differences. Using settler mortality and distance from the equator as instruments, they find that institutions 'trump' geography and trade in explaining income variation</w:t>
      </w:r>
      <w:r w:rsidR="00D64241">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a result that has proved remarkably robust across alternative specifications and datasets. The mechanism through which institutions operate, in their </w:t>
      </w:r>
      <w:r w:rsidRPr="007D00B7">
        <w:rPr>
          <w:rFonts w:ascii="Times New Roman" w:hAnsi="Times New Roman" w:cs="Times New Roman"/>
          <w:sz w:val="24"/>
          <w:szCs w:val="24"/>
        </w:rPr>
        <w:lastRenderedPageBreak/>
        <w:t>framework, includes property rights protection, rule enforcement, political stability, regulatory quality, and voice/accountability</w:t>
      </w:r>
      <w:r w:rsidR="00AA68A7">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correspond</w:t>
      </w:r>
      <w:r w:rsidR="00AA68A7">
        <w:rPr>
          <w:rFonts w:ascii="Times New Roman" w:hAnsi="Times New Roman" w:cs="Times New Roman"/>
          <w:sz w:val="24"/>
          <w:szCs w:val="24"/>
          <w:lang w:val="en-US"/>
        </w:rPr>
        <w:t>s</w:t>
      </w:r>
      <w:r w:rsidRPr="007D00B7">
        <w:rPr>
          <w:rFonts w:ascii="Times New Roman" w:hAnsi="Times New Roman" w:cs="Times New Roman"/>
          <w:sz w:val="24"/>
          <w:szCs w:val="24"/>
        </w:rPr>
        <w:t xml:space="preserve"> closely to the WGI dimensions used in the current study.</w:t>
      </w:r>
    </w:p>
    <w:p w14:paraId="14F2883D" w14:textId="6AADA523"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Within the sustainable development context, the institutional framework is complicated by the multidimensional nature of the SDG agenda. Achieving the SDGs requires not merely economic growth but also reductions in inequality, universal access to health and education, environmental sustainability, and institutional accountability</w:t>
      </w:r>
      <w:r w:rsidR="003062D5">
        <w:rPr>
          <w:rFonts w:ascii="Times New Roman" w:hAnsi="Times New Roman" w:cs="Times New Roman"/>
          <w:sz w:val="24"/>
          <w:szCs w:val="24"/>
          <w:lang w:val="en-US"/>
        </w:rPr>
        <w:t xml:space="preserve"> </w:t>
      </w:r>
      <w:r w:rsidRPr="007D00B7">
        <w:rPr>
          <w:rFonts w:ascii="Times New Roman" w:hAnsi="Times New Roman" w:cs="Times New Roman"/>
          <w:sz w:val="24"/>
          <w:szCs w:val="24"/>
        </w:rPr>
        <w:t>outcomes that place qualitatively different demands on governance than growth alone. Fukuda-Parr, Greenstein, and Stewart (2012) argue that governance quality mediates the translation of development finance into human development outcomes, with rule of law and control of corruption the most robust governance predictors of MDG attainment in low-income countries. Halle et al. (2016) extend this argument to the SDG era, emphasising that SDG 16 (peace, justice, and strong institutions) is both an end in itself and the foundational precondition for all other goals. More recently, Sachs et al. (2019) propose a 'six transformations' framework for SDG achievement, in which institutional transformation</w:t>
      </w:r>
      <w:r w:rsidR="003062D5">
        <w:rPr>
          <w:rFonts w:ascii="Times New Roman" w:hAnsi="Times New Roman" w:cs="Times New Roman"/>
          <w:sz w:val="24"/>
          <w:szCs w:val="24"/>
          <w:lang w:val="en-US"/>
        </w:rPr>
        <w:t xml:space="preserve"> </w:t>
      </w:r>
      <w:r w:rsidRPr="007D00B7">
        <w:rPr>
          <w:rFonts w:ascii="Times New Roman" w:hAnsi="Times New Roman" w:cs="Times New Roman"/>
          <w:sz w:val="24"/>
          <w:szCs w:val="24"/>
        </w:rPr>
        <w:t>covering</w:t>
      </w:r>
      <w:r w:rsidR="003062D5">
        <w:rPr>
          <w:rFonts w:ascii="Times New Roman" w:hAnsi="Times New Roman" w:cs="Times New Roman"/>
          <w:sz w:val="24"/>
          <w:szCs w:val="24"/>
          <w:lang w:val="en-US"/>
        </w:rPr>
        <w:t>,</w:t>
      </w:r>
      <w:r w:rsidRPr="007D00B7">
        <w:rPr>
          <w:rFonts w:ascii="Times New Roman" w:hAnsi="Times New Roman" w:cs="Times New Roman"/>
          <w:sz w:val="24"/>
          <w:szCs w:val="24"/>
        </w:rPr>
        <w:t xml:space="preserve"> governance, justice, and accountability</w:t>
      </w:r>
      <w:r w:rsidR="003062D5">
        <w:rPr>
          <w:rFonts w:ascii="Times New Roman" w:hAnsi="Times New Roman" w:cs="Times New Roman"/>
          <w:sz w:val="24"/>
          <w:szCs w:val="24"/>
          <w:lang w:val="en-US"/>
        </w:rPr>
        <w:t xml:space="preserve">, </w:t>
      </w:r>
      <w:r w:rsidRPr="007D00B7">
        <w:rPr>
          <w:rFonts w:ascii="Times New Roman" w:hAnsi="Times New Roman" w:cs="Times New Roman"/>
          <w:sz w:val="24"/>
          <w:szCs w:val="24"/>
        </w:rPr>
        <w:t>is explicitly identified as one of the six priority domains.</w:t>
      </w:r>
    </w:p>
    <w:p w14:paraId="37614196" w14:textId="4A9F307A" w:rsidR="007D00B7" w:rsidRPr="003062D5" w:rsidRDefault="003062D5" w:rsidP="006D52D3">
      <w:pPr>
        <w:spacing w:before="240" w:after="240" w:line="240" w:lineRule="auto"/>
        <w:ind w:left="238" w:right="238"/>
        <w:jc w:val="both"/>
        <w:rPr>
          <w:rFonts w:ascii="Times New Roman" w:hAnsi="Times New Roman" w:cs="Times New Roman"/>
          <w:b/>
          <w:bCs/>
          <w:sz w:val="24"/>
          <w:szCs w:val="24"/>
        </w:rPr>
      </w:pPr>
      <w:r w:rsidRPr="003062D5">
        <w:rPr>
          <w:rFonts w:ascii="Times New Roman" w:hAnsi="Times New Roman" w:cs="Times New Roman"/>
          <w:b/>
          <w:bCs/>
          <w:sz w:val="24"/>
          <w:szCs w:val="24"/>
        </w:rPr>
        <w:t>GOVERNANCE DIMENSIONS AND SUSTAINABLE DEVELOPMENT: A STRAND-BY-STRAND REVIEW</w:t>
      </w:r>
    </w:p>
    <w:p w14:paraId="291DEA07" w14:textId="7272D6E6" w:rsidR="007D00B7" w:rsidRPr="003062D5" w:rsidRDefault="003062D5" w:rsidP="006D52D3">
      <w:pPr>
        <w:spacing w:before="240" w:after="240" w:line="240" w:lineRule="auto"/>
        <w:ind w:left="238" w:right="238"/>
        <w:jc w:val="both"/>
        <w:rPr>
          <w:rFonts w:ascii="Times New Roman" w:hAnsi="Times New Roman" w:cs="Times New Roman"/>
          <w:b/>
          <w:bCs/>
          <w:sz w:val="24"/>
          <w:szCs w:val="24"/>
        </w:rPr>
      </w:pPr>
      <w:r w:rsidRPr="003062D5">
        <w:rPr>
          <w:rFonts w:ascii="Times New Roman" w:hAnsi="Times New Roman" w:cs="Times New Roman"/>
          <w:b/>
          <w:bCs/>
          <w:sz w:val="24"/>
          <w:szCs w:val="24"/>
        </w:rPr>
        <w:t>GOV</w:t>
      </w:r>
      <w:r w:rsidR="001D2EE0">
        <w:rPr>
          <w:rFonts w:ascii="Times New Roman" w:hAnsi="Times New Roman" w:cs="Times New Roman"/>
          <w:b/>
          <w:bCs/>
          <w:sz w:val="24"/>
          <w:szCs w:val="24"/>
          <w:lang w:val="en-US"/>
        </w:rPr>
        <w:t xml:space="preserve"> </w:t>
      </w:r>
      <w:r w:rsidRPr="003062D5">
        <w:rPr>
          <w:rFonts w:ascii="Times New Roman" w:hAnsi="Times New Roman" w:cs="Times New Roman"/>
          <w:b/>
          <w:bCs/>
          <w:sz w:val="24"/>
          <w:szCs w:val="24"/>
        </w:rPr>
        <w:t>ERNMENT EFFECTIVENESS AND STATE CAPACITY</w:t>
      </w:r>
    </w:p>
    <w:p w14:paraId="7BA7D81F" w14:textId="134E6CE7" w:rsidR="007D00B7" w:rsidRPr="001D2EE0" w:rsidRDefault="007D00B7" w:rsidP="006D52D3">
      <w:pPr>
        <w:spacing w:before="240" w:after="240" w:line="240" w:lineRule="auto"/>
        <w:ind w:left="238" w:right="238"/>
        <w:jc w:val="both"/>
        <w:rPr>
          <w:lang w:val="en-US"/>
        </w:rPr>
      </w:pPr>
      <w:r w:rsidRPr="007D00B7">
        <w:rPr>
          <w:rFonts w:ascii="Times New Roman" w:hAnsi="Times New Roman" w:cs="Times New Roman"/>
          <w:sz w:val="24"/>
          <w:szCs w:val="24"/>
        </w:rPr>
        <w:t>State capacity</w:t>
      </w:r>
      <w:r w:rsidR="004E33F7">
        <w:rPr>
          <w:rFonts w:ascii="Times New Roman" w:hAnsi="Times New Roman" w:cs="Times New Roman"/>
          <w:sz w:val="24"/>
          <w:szCs w:val="24"/>
          <w:lang w:val="en-US"/>
        </w:rPr>
        <w:t xml:space="preserve"> which is </w:t>
      </w:r>
      <w:r w:rsidRPr="007D00B7">
        <w:rPr>
          <w:rFonts w:ascii="Times New Roman" w:hAnsi="Times New Roman" w:cs="Times New Roman"/>
          <w:sz w:val="24"/>
          <w:szCs w:val="24"/>
        </w:rPr>
        <w:t>the ability of government to formulate and implement policies, deliver public services, and maintain institutional credibility</w:t>
      </w:r>
      <w:r w:rsidR="004E33F7">
        <w:rPr>
          <w:rFonts w:ascii="Times New Roman" w:hAnsi="Times New Roman" w:cs="Times New Roman"/>
          <w:sz w:val="24"/>
          <w:szCs w:val="24"/>
          <w:lang w:val="en-US"/>
        </w:rPr>
        <w:t xml:space="preserve">, </w:t>
      </w:r>
      <w:r w:rsidRPr="007D00B7">
        <w:rPr>
          <w:rFonts w:ascii="Times New Roman" w:hAnsi="Times New Roman" w:cs="Times New Roman"/>
          <w:sz w:val="24"/>
          <w:szCs w:val="24"/>
        </w:rPr>
        <w:t>is the proximate mechanism through which governance translates into development outcomes. Besley and Persson (2011) model state capacity as a public good that enables the government to raise revenue, enforce law, and deliver services</w:t>
      </w:r>
      <w:r w:rsidR="00F07DCB">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in their framework, low state capacity is a 'development trap' from which escape requires coordinated investment in fiscal and legal institutions. </w:t>
      </w:r>
      <w:r w:rsidR="001D2EE0" w:rsidRPr="001D2EE0">
        <w:rPr>
          <w:rFonts w:ascii="Times New Roman" w:hAnsi="Times New Roman" w:cs="Times New Roman"/>
          <w:sz w:val="24"/>
          <w:szCs w:val="24"/>
          <w:lang w:val="en-US"/>
        </w:rPr>
        <w:t xml:space="preserve">In another perspective, </w:t>
      </w:r>
      <w:r w:rsidR="001D2EE0" w:rsidRPr="001D2EE0">
        <w:rPr>
          <w:rFonts w:ascii="Times New Roman" w:hAnsi="Times New Roman" w:cs="Times New Roman"/>
          <w:sz w:val="24"/>
          <w:szCs w:val="24"/>
        </w:rPr>
        <w:t>Page</w:t>
      </w:r>
      <w:r w:rsidR="001D2EE0" w:rsidRPr="001D2EE0">
        <w:rPr>
          <w:rFonts w:ascii="Times New Roman" w:hAnsi="Times New Roman" w:cs="Times New Roman"/>
          <w:sz w:val="24"/>
          <w:szCs w:val="24"/>
          <w:lang w:val="en-US"/>
        </w:rPr>
        <w:t xml:space="preserve"> and</w:t>
      </w:r>
      <w:r w:rsidR="001D2EE0" w:rsidRPr="001D2EE0">
        <w:rPr>
          <w:rFonts w:ascii="Times New Roman" w:hAnsi="Times New Roman" w:cs="Times New Roman"/>
          <w:sz w:val="24"/>
          <w:szCs w:val="24"/>
        </w:rPr>
        <w:t xml:space="preserve"> Pande (2018)</w:t>
      </w:r>
      <w:r w:rsidR="001D2EE0" w:rsidRPr="001D2EE0">
        <w:rPr>
          <w:rFonts w:ascii="Times New Roman" w:hAnsi="Times New Roman" w:cs="Times New Roman"/>
          <w:sz w:val="24"/>
          <w:szCs w:val="24"/>
          <w:lang w:val="en-US"/>
        </w:rPr>
        <w:t xml:space="preserve"> posits that </w:t>
      </w:r>
      <w:r w:rsidR="001D2EE0" w:rsidRPr="001D2EE0">
        <w:rPr>
          <w:rFonts w:ascii="Times New Roman" w:hAnsi="Times New Roman" w:cs="Times New Roman"/>
          <w:sz w:val="24"/>
          <w:szCs w:val="24"/>
        </w:rPr>
        <w:t>when local governance is weak</w:t>
      </w:r>
      <w:r w:rsidR="001D2EE0" w:rsidRPr="001D2EE0">
        <w:rPr>
          <w:rFonts w:ascii="Times New Roman" w:hAnsi="Times New Roman" w:cs="Times New Roman"/>
          <w:sz w:val="24"/>
          <w:szCs w:val="24"/>
          <w:lang w:val="en-US"/>
        </w:rPr>
        <w:t xml:space="preserve"> </w:t>
      </w:r>
      <w:r w:rsidR="001D2EE0" w:rsidRPr="001D2EE0">
        <w:rPr>
          <w:rFonts w:ascii="Times New Roman" w:hAnsi="Times New Roman" w:cs="Times New Roman"/>
          <w:sz w:val="24"/>
          <w:szCs w:val="24"/>
        </w:rPr>
        <w:t>public spending fails to improve social or human capital</w:t>
      </w:r>
      <w:r w:rsidR="001D2EE0" w:rsidRPr="001D2EE0">
        <w:rPr>
          <w:rFonts w:ascii="Times New Roman" w:hAnsi="Times New Roman" w:cs="Times New Roman"/>
          <w:sz w:val="24"/>
          <w:szCs w:val="24"/>
          <w:lang w:val="en-US"/>
        </w:rPr>
        <w:t xml:space="preserve">. </w:t>
      </w:r>
      <w:r w:rsidRPr="001D2EE0">
        <w:rPr>
          <w:rFonts w:ascii="Times New Roman" w:hAnsi="Times New Roman" w:cs="Times New Roman"/>
          <w:sz w:val="24"/>
          <w:szCs w:val="24"/>
        </w:rPr>
        <w:t>Fukuyama (2013) distinguishes state capacity (th</w:t>
      </w:r>
      <w:r w:rsidRPr="007D00B7">
        <w:rPr>
          <w:rFonts w:ascii="Times New Roman" w:hAnsi="Times New Roman" w:cs="Times New Roman"/>
          <w:sz w:val="24"/>
          <w:szCs w:val="24"/>
        </w:rPr>
        <w:t>e scope and strength of government functions) from state autonomy (independence from private capture), arguing that both are necessary for effective governance. The WGI Government Effectiveness indicator captures this dimension through perceptions of public service quality, civil service independence, and policy implementation credibility.</w:t>
      </w:r>
    </w:p>
    <w:p w14:paraId="711B0556" w14:textId="04914875"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In the sub-Saharan African context, state capacity constraints have been extensively documented as the binding constraint on public goods provision, health and education delivery, and infrastructure investment (Mustapha &amp; Whitfield, 2009; Booth &amp; Cammack, 2013). Fosu and Gafa (2020) demonstrate that government effectiveness is a statistically significant predictor of HDI improvements in Africa, controlling for GDP per capita, trade, and aid. Godfrey, Asongu, and Nwachukwu (2022) find that state capacity heterogeneity across African countries substantially explains the divergence in SDG progress observed since 2015. For the Anglophone West African countries under study, the divergence in government effectiveness between Ghana</w:t>
      </w:r>
      <w:r w:rsidR="00F07DCB">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consistently scores in the 45–55th percentile range of WGI</w:t>
      </w:r>
      <w:r w:rsidR="00214ECE">
        <w:rPr>
          <w:rFonts w:ascii="Times New Roman" w:hAnsi="Times New Roman" w:cs="Times New Roman"/>
          <w:sz w:val="24"/>
          <w:szCs w:val="24"/>
          <w:lang w:val="en-US"/>
        </w:rPr>
        <w:t xml:space="preserve"> </w:t>
      </w:r>
      <w:r w:rsidRPr="007D00B7">
        <w:rPr>
          <w:rFonts w:ascii="Times New Roman" w:hAnsi="Times New Roman" w:cs="Times New Roman"/>
          <w:sz w:val="24"/>
          <w:szCs w:val="24"/>
        </w:rPr>
        <w:t>and Nigeria and Sierra Leone</w:t>
      </w:r>
      <w:r w:rsidR="00214ECE">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typically score below the 20th percentile</w:t>
      </w:r>
      <w:r w:rsidR="00214ECE">
        <w:rPr>
          <w:rFonts w:ascii="Times New Roman" w:hAnsi="Times New Roman" w:cs="Times New Roman"/>
          <w:sz w:val="24"/>
          <w:szCs w:val="24"/>
          <w:lang w:val="en-US"/>
        </w:rPr>
        <w:t xml:space="preserve"> </w:t>
      </w:r>
      <w:r w:rsidRPr="007D00B7">
        <w:rPr>
          <w:rFonts w:ascii="Times New Roman" w:hAnsi="Times New Roman" w:cs="Times New Roman"/>
          <w:sz w:val="24"/>
          <w:szCs w:val="24"/>
        </w:rPr>
        <w:t>closely mirrors their divergent SDG trajectories, a correspondence that motivates the current empirical investigation.</w:t>
      </w:r>
    </w:p>
    <w:p w14:paraId="34A8999F" w14:textId="747DD7F0" w:rsidR="007D00B7" w:rsidRPr="00214ECE" w:rsidRDefault="00214ECE" w:rsidP="006D52D3">
      <w:pPr>
        <w:spacing w:before="240" w:after="240" w:line="240" w:lineRule="auto"/>
        <w:ind w:left="238" w:right="238"/>
        <w:jc w:val="both"/>
        <w:rPr>
          <w:rFonts w:ascii="Times New Roman" w:hAnsi="Times New Roman" w:cs="Times New Roman"/>
          <w:b/>
          <w:bCs/>
          <w:sz w:val="24"/>
          <w:szCs w:val="24"/>
        </w:rPr>
      </w:pPr>
      <w:r w:rsidRPr="00214ECE">
        <w:rPr>
          <w:rFonts w:ascii="Times New Roman" w:hAnsi="Times New Roman" w:cs="Times New Roman"/>
          <w:b/>
          <w:bCs/>
          <w:sz w:val="24"/>
          <w:szCs w:val="24"/>
        </w:rPr>
        <w:t>RULE OF LAW AND CONTRACT ENFORCEMENT</w:t>
      </w:r>
    </w:p>
    <w:p w14:paraId="431A3976" w14:textId="0C493099"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Rule of law constitutes the foundational legal infrastructure for private investment, contract enforcement, property rights protection, and social order. In the development economics literature, rule of law is frequently identified as the governance dimension most directly linked to investment rates, financial deepening, and long-run growth (Kaufmann, Kraay &amp; Zoido-Lobatón, 1999; Keefer &amp; Knack, 1997). Acemoglu et al. (2019) document</w:t>
      </w:r>
      <w:r w:rsidR="009E393D">
        <w:rPr>
          <w:rFonts w:ascii="Times New Roman" w:hAnsi="Times New Roman" w:cs="Times New Roman"/>
          <w:sz w:val="24"/>
          <w:szCs w:val="24"/>
          <w:lang w:val="en-US"/>
        </w:rPr>
        <w:t>ed</w:t>
      </w:r>
      <w:r w:rsidRPr="007D00B7">
        <w:rPr>
          <w:rFonts w:ascii="Times New Roman" w:hAnsi="Times New Roman" w:cs="Times New Roman"/>
          <w:sz w:val="24"/>
          <w:szCs w:val="24"/>
        </w:rPr>
        <w:t xml:space="preserve"> that historical variation in legal institutions</w:t>
      </w:r>
      <w:r w:rsidR="00214ECE">
        <w:rPr>
          <w:rFonts w:ascii="Times New Roman" w:hAnsi="Times New Roman" w:cs="Times New Roman"/>
          <w:sz w:val="24"/>
          <w:szCs w:val="24"/>
          <w:lang w:val="en-US"/>
        </w:rPr>
        <w:t xml:space="preserve">, </w:t>
      </w:r>
      <w:r w:rsidRPr="007D00B7">
        <w:rPr>
          <w:rFonts w:ascii="Times New Roman" w:hAnsi="Times New Roman" w:cs="Times New Roman"/>
          <w:sz w:val="24"/>
          <w:szCs w:val="24"/>
        </w:rPr>
        <w:t>rooted in colonial rule-of-law traditions</w:t>
      </w:r>
      <w:r w:rsidR="00214ECE">
        <w:rPr>
          <w:rFonts w:ascii="Times New Roman" w:hAnsi="Times New Roman" w:cs="Times New Roman"/>
          <w:sz w:val="24"/>
          <w:szCs w:val="24"/>
          <w:lang w:val="en-US"/>
        </w:rPr>
        <w:t xml:space="preserve"> </w:t>
      </w:r>
      <w:r w:rsidRPr="007D00B7">
        <w:rPr>
          <w:rFonts w:ascii="Times New Roman" w:hAnsi="Times New Roman" w:cs="Times New Roman"/>
          <w:sz w:val="24"/>
          <w:szCs w:val="24"/>
        </w:rPr>
        <w:t>explains a substantial fraction of contemporary cross-country variation in economic outcomes in sub-Saharan Africa.</w:t>
      </w:r>
    </w:p>
    <w:p w14:paraId="601B2F65" w14:textId="7FA944C9"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lastRenderedPageBreak/>
        <w:t>For sustainable development specifically, rule of law is the institutional foundation for environmental law enforcement, social protection systems, labour rights, and equitable resource allocation (Bonanomi, 2015; Botchway, 2021). In fragile states like Sierra Leone and, to a lesser extent, The Gambia under authoritarian rule, the erosion of rule of law was associated not merely with economic underperformance but with systematic exclusion of poor and marginalised populations from public services, land rights, and legal recourse</w:t>
      </w:r>
      <w:r w:rsidR="009E393D">
        <w:rPr>
          <w:rFonts w:ascii="Times New Roman" w:hAnsi="Times New Roman" w:cs="Times New Roman"/>
          <w:sz w:val="24"/>
          <w:szCs w:val="24"/>
          <w:lang w:val="en-US"/>
        </w:rPr>
        <w:t xml:space="preserve">. This is </w:t>
      </w:r>
      <w:r w:rsidRPr="007D00B7">
        <w:rPr>
          <w:rFonts w:ascii="Times New Roman" w:hAnsi="Times New Roman" w:cs="Times New Roman"/>
          <w:sz w:val="24"/>
          <w:szCs w:val="24"/>
        </w:rPr>
        <w:t xml:space="preserve">precisely the conditions that SDG 16 and the 'leave no one behind' principle are designed to address. Anyanwu and Erhijakpor (2014) find rule of law to be among the most robust governance predictors of human development outcomes across African countries. Asongu, Nnanna, and Acha-Anyi (2020) </w:t>
      </w:r>
      <w:r w:rsidR="005F7383">
        <w:rPr>
          <w:rFonts w:ascii="Times New Roman" w:hAnsi="Times New Roman" w:cs="Times New Roman"/>
          <w:sz w:val="24"/>
          <w:szCs w:val="24"/>
          <w:lang w:val="en-US"/>
        </w:rPr>
        <w:t xml:space="preserve">with </w:t>
      </w:r>
      <w:r w:rsidR="005F7383">
        <w:t>Haggard</w:t>
      </w:r>
      <w:r w:rsidR="005F7383">
        <w:rPr>
          <w:lang w:val="en-US"/>
        </w:rPr>
        <w:t xml:space="preserve"> and</w:t>
      </w:r>
      <w:r w:rsidR="005F7383">
        <w:t xml:space="preserve"> Tiede (2020)</w:t>
      </w:r>
      <w:r w:rsidR="005F7383" w:rsidRPr="007D00B7">
        <w:rPr>
          <w:rFonts w:ascii="Times New Roman" w:hAnsi="Times New Roman" w:cs="Times New Roman"/>
          <w:sz w:val="24"/>
          <w:szCs w:val="24"/>
        </w:rPr>
        <w:t xml:space="preserve"> </w:t>
      </w:r>
      <w:r w:rsidRPr="007D00B7">
        <w:rPr>
          <w:rFonts w:ascii="Times New Roman" w:hAnsi="Times New Roman" w:cs="Times New Roman"/>
          <w:sz w:val="24"/>
          <w:szCs w:val="24"/>
        </w:rPr>
        <w:t>confirm this finding for a broader African panel, demonstrating that rule of law exerts the largest elasticity among WGI dimensions in explaining SDG-related health outcomes.</w:t>
      </w:r>
    </w:p>
    <w:p w14:paraId="0DF61321" w14:textId="50CCC1D7" w:rsidR="007D00B7" w:rsidRPr="009E393D" w:rsidRDefault="009E393D" w:rsidP="006D52D3">
      <w:pPr>
        <w:spacing w:before="240" w:after="240" w:line="240" w:lineRule="auto"/>
        <w:ind w:left="238" w:right="238"/>
        <w:jc w:val="both"/>
        <w:rPr>
          <w:rFonts w:ascii="Times New Roman" w:hAnsi="Times New Roman" w:cs="Times New Roman"/>
          <w:b/>
          <w:bCs/>
          <w:sz w:val="24"/>
          <w:szCs w:val="24"/>
        </w:rPr>
      </w:pPr>
      <w:r w:rsidRPr="009E393D">
        <w:rPr>
          <w:rFonts w:ascii="Times New Roman" w:hAnsi="Times New Roman" w:cs="Times New Roman"/>
          <w:b/>
          <w:bCs/>
          <w:sz w:val="24"/>
          <w:szCs w:val="24"/>
        </w:rPr>
        <w:t>CONTROL OF CORRUPTION</w:t>
      </w:r>
    </w:p>
    <w:p w14:paraId="34489FDF" w14:textId="5CF7941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Mauro's (1995) seminal finding that corruption is negatively correlated with investment rates and growth rates across countries launched a vast empirical literature on the developmental costs of corruption. The mechanisms are well-theorised</w:t>
      </w:r>
      <w:r w:rsidR="00D25955">
        <w:rPr>
          <w:rFonts w:ascii="Times New Roman" w:hAnsi="Times New Roman" w:cs="Times New Roman"/>
          <w:sz w:val="24"/>
          <w:szCs w:val="24"/>
          <w:lang w:val="en-US"/>
        </w:rPr>
        <w:t xml:space="preserve"> </w:t>
      </w:r>
      <w:r w:rsidR="0050549F">
        <w:rPr>
          <w:rFonts w:ascii="Times New Roman" w:hAnsi="Times New Roman" w:cs="Times New Roman"/>
          <w:sz w:val="24"/>
          <w:szCs w:val="24"/>
          <w:lang w:val="en-US"/>
        </w:rPr>
        <w:t xml:space="preserve">since </w:t>
      </w:r>
      <w:r w:rsidRPr="007D00B7">
        <w:rPr>
          <w:rFonts w:ascii="Times New Roman" w:hAnsi="Times New Roman" w:cs="Times New Roman"/>
          <w:sz w:val="24"/>
          <w:szCs w:val="24"/>
        </w:rPr>
        <w:t>corruption raises the effective cost of investment through 'grease payments', distorts public expenditure allocation toward rent-extractable sectors (infrastructure, defence) and away from social expenditures (health, education), and undermines tax compliance and domestic revenue mobilisation (Gupta, Davoodi &amp; Tiongson, 2000; Tanzi &amp; Davoodi, 1997).</w:t>
      </w:r>
    </w:p>
    <w:p w14:paraId="01FA990A" w14:textId="48B20396" w:rsidR="005F7383" w:rsidRPr="005F7383" w:rsidRDefault="007D00B7" w:rsidP="006D52D3">
      <w:pPr>
        <w:spacing w:before="240" w:after="240" w:line="240" w:lineRule="auto"/>
        <w:ind w:left="238" w:right="238"/>
        <w:jc w:val="both"/>
        <w:rPr>
          <w:rFonts w:ascii="Times New Roman" w:hAnsi="Times New Roman" w:cs="Times New Roman"/>
          <w:sz w:val="24"/>
          <w:szCs w:val="24"/>
          <w:lang w:val="en-US"/>
        </w:rPr>
      </w:pPr>
      <w:r w:rsidRPr="007D00B7">
        <w:rPr>
          <w:rFonts w:ascii="Times New Roman" w:hAnsi="Times New Roman" w:cs="Times New Roman"/>
          <w:sz w:val="24"/>
          <w:szCs w:val="24"/>
        </w:rPr>
        <w:t>In the SDG context, corruption is particularly damaging to social goals. Gupta, Davoodi, and Tiongson (2000) demonstrate that higher corruption is associated with lower public health and education spending, weaker service delivery outcomes, and greater inequality in access to social services. For West Africa</w:t>
      </w:r>
      <w:r w:rsidR="00281A68">
        <w:rPr>
          <w:rFonts w:ascii="Times New Roman" w:hAnsi="Times New Roman" w:cs="Times New Roman"/>
          <w:sz w:val="24"/>
          <w:szCs w:val="24"/>
          <w:lang w:val="en-US"/>
        </w:rPr>
        <w:t xml:space="preserve">, </w:t>
      </w:r>
      <w:r w:rsidRPr="007D00B7">
        <w:rPr>
          <w:rFonts w:ascii="Times New Roman" w:hAnsi="Times New Roman" w:cs="Times New Roman"/>
          <w:sz w:val="24"/>
          <w:szCs w:val="24"/>
        </w:rPr>
        <w:t>a region in which domestic revenue mobilisation has consistently failed to reach the 20% of GDP threshold recommended by the African Union</w:t>
      </w:r>
      <w:r w:rsidR="00281A68">
        <w:rPr>
          <w:rFonts w:ascii="Times New Roman" w:hAnsi="Times New Roman" w:cs="Times New Roman"/>
          <w:sz w:val="24"/>
          <w:szCs w:val="24"/>
          <w:lang w:val="en-US"/>
        </w:rPr>
        <w:t xml:space="preserve">, </w:t>
      </w:r>
      <w:r w:rsidRPr="007D00B7">
        <w:rPr>
          <w:rFonts w:ascii="Times New Roman" w:hAnsi="Times New Roman" w:cs="Times New Roman"/>
          <w:sz w:val="24"/>
          <w:szCs w:val="24"/>
        </w:rPr>
        <w:t>the anti-corruption dimension of governance carries direct fiscal implications for SDG financing. Okafor (2017) documents that in Nigeria, corruption-related losses in oil revenue alone constitute a multiple of total social spending, rendering corruption control an existential prerequisite for SDG progress. More recently, Cooray and Schneider (2023) use a global panel to confirm that control of corruption has independent, statistically significant effects on SDG achievement after controlling for GDP and institutional quality more broadly.</w:t>
      </w:r>
      <w:r w:rsidR="005F7383">
        <w:rPr>
          <w:rFonts w:ascii="Times New Roman" w:hAnsi="Times New Roman" w:cs="Times New Roman"/>
          <w:sz w:val="24"/>
          <w:szCs w:val="24"/>
          <w:lang w:val="en-US"/>
        </w:rPr>
        <w:t xml:space="preserve"> </w:t>
      </w:r>
      <w:r w:rsidR="005F7383" w:rsidRPr="00765A97">
        <w:rPr>
          <w:rFonts w:ascii="Times New Roman" w:hAnsi="Times New Roman" w:cs="Times New Roman"/>
          <w:sz w:val="24"/>
          <w:szCs w:val="24"/>
        </w:rPr>
        <w:t>Piliegini, M., &amp; Sacchi, A. (2021</w:t>
      </w:r>
      <w:r w:rsidR="005F7383" w:rsidRPr="00765A97">
        <w:rPr>
          <w:rFonts w:ascii="Times New Roman" w:hAnsi="Times New Roman" w:cs="Times New Roman"/>
          <w:sz w:val="24"/>
          <w:szCs w:val="24"/>
          <w:lang w:val="en-US"/>
        </w:rPr>
        <w:t>) r</w:t>
      </w:r>
      <w:r w:rsidR="005F7383" w:rsidRPr="00765A97">
        <w:rPr>
          <w:rFonts w:ascii="Times New Roman" w:eastAsia="Times New Roman" w:hAnsi="Times New Roman" w:cs="Times New Roman"/>
          <w:sz w:val="24"/>
          <w:szCs w:val="24"/>
          <w:lang w:val="en-US"/>
        </w:rPr>
        <w:t>efr</w:t>
      </w:r>
      <w:r w:rsidR="00765A97">
        <w:rPr>
          <w:rFonts w:ascii="Times New Roman" w:eastAsia="Times New Roman" w:hAnsi="Times New Roman" w:cs="Times New Roman"/>
          <w:sz w:val="24"/>
          <w:szCs w:val="24"/>
          <w:lang w:val="en-US"/>
        </w:rPr>
        <w:t xml:space="preserve">eshes </w:t>
      </w:r>
      <w:r w:rsidR="00765A97">
        <w:rPr>
          <w:rFonts w:ascii="Times New Roman" w:hAnsi="Times New Roman" w:cs="Times New Roman"/>
          <w:sz w:val="24"/>
          <w:szCs w:val="24"/>
        </w:rPr>
        <w:t xml:space="preserve">Tanzi </w:t>
      </w:r>
      <w:r w:rsidR="00765A97">
        <w:rPr>
          <w:rFonts w:ascii="Times New Roman" w:hAnsi="Times New Roman" w:cs="Times New Roman"/>
          <w:sz w:val="24"/>
          <w:szCs w:val="24"/>
          <w:lang w:val="en-US"/>
        </w:rPr>
        <w:t>and</w:t>
      </w:r>
      <w:r w:rsidR="00765A97">
        <w:rPr>
          <w:rFonts w:ascii="Times New Roman" w:hAnsi="Times New Roman" w:cs="Times New Roman"/>
          <w:sz w:val="24"/>
          <w:szCs w:val="24"/>
        </w:rPr>
        <w:t xml:space="preserve"> Davoodi</w:t>
      </w:r>
      <w:r w:rsidR="00765A97">
        <w:rPr>
          <w:rFonts w:ascii="Times New Roman" w:hAnsi="Times New Roman" w:cs="Times New Roman"/>
          <w:sz w:val="24"/>
          <w:szCs w:val="24"/>
          <w:lang w:val="en-US"/>
        </w:rPr>
        <w:t xml:space="preserve"> (</w:t>
      </w:r>
      <w:r w:rsidR="00765A97" w:rsidRPr="00765A97">
        <w:rPr>
          <w:rFonts w:ascii="Times New Roman" w:hAnsi="Times New Roman" w:cs="Times New Roman"/>
          <w:sz w:val="24"/>
          <w:szCs w:val="24"/>
        </w:rPr>
        <w:t>1997</w:t>
      </w:r>
      <w:r w:rsidR="00765A97">
        <w:rPr>
          <w:rFonts w:ascii="Times New Roman" w:hAnsi="Times New Roman" w:cs="Times New Roman"/>
          <w:sz w:val="24"/>
          <w:szCs w:val="24"/>
          <w:lang w:val="en-US"/>
        </w:rPr>
        <w:t xml:space="preserve">) and </w:t>
      </w:r>
      <w:r w:rsidR="005F7383" w:rsidRPr="00765A97">
        <w:rPr>
          <w:rFonts w:ascii="Times New Roman" w:eastAsia="Times New Roman" w:hAnsi="Times New Roman" w:cs="Times New Roman"/>
          <w:sz w:val="24"/>
          <w:szCs w:val="24"/>
          <w:lang w:val="en-US"/>
        </w:rPr>
        <w:t>Gupta e</w:t>
      </w:r>
      <w:r w:rsidR="00765A97" w:rsidRPr="00765A97">
        <w:rPr>
          <w:rFonts w:ascii="Times New Roman" w:eastAsia="Times New Roman" w:hAnsi="Times New Roman" w:cs="Times New Roman"/>
          <w:sz w:val="24"/>
          <w:szCs w:val="24"/>
          <w:lang w:val="en-US"/>
        </w:rPr>
        <w:t xml:space="preserve">t al. (2000) </w:t>
      </w:r>
      <w:r w:rsidR="005F7383" w:rsidRPr="00765A97">
        <w:rPr>
          <w:rFonts w:ascii="Times New Roman" w:eastAsia="Times New Roman" w:hAnsi="Times New Roman" w:cs="Times New Roman"/>
          <w:sz w:val="24"/>
          <w:szCs w:val="24"/>
          <w:lang w:val="en-US"/>
        </w:rPr>
        <w:t xml:space="preserve">framework, showing that corruption persistently skews fiscal resources away from human </w:t>
      </w:r>
      <w:r w:rsidR="005F7383" w:rsidRPr="005F7383">
        <w:rPr>
          <w:rFonts w:ascii="Times New Roman" w:eastAsia="Times New Roman" w:hAnsi="Times New Roman" w:cs="Times New Roman"/>
          <w:sz w:val="24"/>
          <w:szCs w:val="24"/>
          <w:lang w:val="en-US"/>
        </w:rPr>
        <w:t>development goals.</w:t>
      </w:r>
    </w:p>
    <w:p w14:paraId="2384D2FE" w14:textId="0D44D9D2" w:rsidR="007D00B7" w:rsidRPr="00F67BD3" w:rsidRDefault="00F67BD3" w:rsidP="006D52D3">
      <w:pPr>
        <w:spacing w:before="240" w:after="240" w:line="240" w:lineRule="auto"/>
        <w:ind w:left="238" w:right="238"/>
        <w:jc w:val="both"/>
        <w:rPr>
          <w:rFonts w:ascii="Times New Roman" w:hAnsi="Times New Roman" w:cs="Times New Roman"/>
          <w:b/>
          <w:bCs/>
          <w:sz w:val="24"/>
          <w:szCs w:val="24"/>
        </w:rPr>
      </w:pPr>
      <w:r w:rsidRPr="00F67BD3">
        <w:rPr>
          <w:rFonts w:ascii="Times New Roman" w:hAnsi="Times New Roman" w:cs="Times New Roman"/>
          <w:b/>
          <w:bCs/>
          <w:sz w:val="24"/>
          <w:szCs w:val="24"/>
        </w:rPr>
        <w:t>POLITICAL STABILITY AND CONFLICT</w:t>
      </w:r>
    </w:p>
    <w:p w14:paraId="399F1671" w14:textId="78D78A5B"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Political instability and conflict represent the most acute form of institutional failure, directly destroying human capital, physical capital, and social trust while diverting resources from development to security. The conflict-development literature, anchored by Collier and Hoeffler (2004) and extended by Blattman and Miguel (2010), documents the severe and persistent development costs of civil conflict: GDP contractions, capital flight, destruction of infrastructure, and displacement of populations that take decades to reverse. For Sierra Leone</w:t>
      </w:r>
      <w:r w:rsidR="00F67BD3">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experienced one of West Africa's most devastating civil conflicts (1991–2002)</w:t>
      </w:r>
      <w:r w:rsidR="00F67BD3">
        <w:rPr>
          <w:rFonts w:ascii="Times New Roman" w:hAnsi="Times New Roman" w:cs="Times New Roman"/>
          <w:sz w:val="24"/>
          <w:szCs w:val="24"/>
          <w:lang w:val="en-US"/>
        </w:rPr>
        <w:t xml:space="preserve"> </w:t>
      </w:r>
      <w:r w:rsidRPr="007D00B7">
        <w:rPr>
          <w:rFonts w:ascii="Times New Roman" w:hAnsi="Times New Roman" w:cs="Times New Roman"/>
          <w:sz w:val="24"/>
          <w:szCs w:val="24"/>
        </w:rPr>
        <w:t>the legacy of conflict in terms of institutional destruction and human capital loss remains visible in its SDG scores nearly two decades after the peace agreement.</w:t>
      </w:r>
    </w:p>
    <w:p w14:paraId="72A05DCC" w14:textId="7F248621" w:rsidR="00765A97" w:rsidRPr="007F3280" w:rsidRDefault="007D00B7" w:rsidP="006D52D3">
      <w:pPr>
        <w:spacing w:before="240" w:after="240" w:line="240" w:lineRule="auto"/>
        <w:ind w:left="238" w:right="238"/>
        <w:jc w:val="both"/>
        <w:rPr>
          <w:rFonts w:ascii="Times New Roman" w:hAnsi="Times New Roman" w:cs="Times New Roman"/>
          <w:sz w:val="24"/>
          <w:szCs w:val="24"/>
          <w:lang w:val="en-US"/>
        </w:rPr>
      </w:pPr>
      <w:r w:rsidRPr="007D00B7">
        <w:rPr>
          <w:rFonts w:ascii="Times New Roman" w:hAnsi="Times New Roman" w:cs="Times New Roman"/>
          <w:sz w:val="24"/>
          <w:szCs w:val="24"/>
        </w:rPr>
        <w:t>Beyond outright conflict, political instability</w:t>
      </w:r>
      <w:r w:rsidR="00F67BD3">
        <w:rPr>
          <w:rFonts w:ascii="Times New Roman" w:hAnsi="Times New Roman" w:cs="Times New Roman"/>
          <w:sz w:val="24"/>
          <w:szCs w:val="24"/>
          <w:lang w:val="en-US"/>
        </w:rPr>
        <w:t xml:space="preserve"> </w:t>
      </w:r>
      <w:r w:rsidRPr="007D00B7">
        <w:rPr>
          <w:rFonts w:ascii="Times New Roman" w:hAnsi="Times New Roman" w:cs="Times New Roman"/>
          <w:sz w:val="24"/>
          <w:szCs w:val="24"/>
        </w:rPr>
        <w:t>including coup risk, executive turnover through unconstitutional means, and terrorism</w:t>
      </w:r>
      <w:r w:rsidR="00F67BD3">
        <w:rPr>
          <w:rFonts w:ascii="Times New Roman" w:hAnsi="Times New Roman" w:cs="Times New Roman"/>
          <w:sz w:val="24"/>
          <w:szCs w:val="24"/>
          <w:lang w:val="en-US"/>
        </w:rPr>
        <w:t xml:space="preserve"> </w:t>
      </w:r>
      <w:r w:rsidRPr="007D00B7">
        <w:rPr>
          <w:rFonts w:ascii="Times New Roman" w:hAnsi="Times New Roman" w:cs="Times New Roman"/>
          <w:sz w:val="24"/>
          <w:szCs w:val="24"/>
        </w:rPr>
        <w:t>depresses investment, distorts fiscal policy toward short-term political survival rather than long-run development, and undermines the credibility of governance institutions. Asongu and Nwachukwu (2019) find that political stability has heterogeneous effects on sustainable development across income groups and governance environments in Africa, with the development-enhancing effects of stability stronger in low-income, resource-dependent contexts</w:t>
      </w:r>
      <w:r w:rsidR="00F67BD3">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precisely the conditions characterising the four countries in the current study. Ahlerup, Baskaran, and Bigsten (2020) demonstrate that political institutions significantly moderate the growth–poverty nexus in sub-Saharan Africa, suggesting that stability's development dividend operates partly through its effects on distributional </w:t>
      </w:r>
      <w:r w:rsidRPr="007D00B7">
        <w:rPr>
          <w:rFonts w:ascii="Times New Roman" w:hAnsi="Times New Roman" w:cs="Times New Roman"/>
          <w:sz w:val="24"/>
          <w:szCs w:val="24"/>
        </w:rPr>
        <w:lastRenderedPageBreak/>
        <w:t>outcomes.</w:t>
      </w:r>
      <w:r w:rsidR="00765A97">
        <w:rPr>
          <w:rFonts w:ascii="Times New Roman" w:hAnsi="Times New Roman" w:cs="Times New Roman"/>
          <w:sz w:val="24"/>
          <w:szCs w:val="24"/>
          <w:lang w:val="en-US"/>
        </w:rPr>
        <w:t xml:space="preserve"> Furthermore,</w:t>
      </w:r>
      <w:r w:rsidR="007F3280">
        <w:rPr>
          <w:rFonts w:ascii="Times New Roman" w:hAnsi="Times New Roman" w:cs="Times New Roman"/>
          <w:sz w:val="24"/>
          <w:szCs w:val="24"/>
          <w:lang w:val="en-US"/>
        </w:rPr>
        <w:t xml:space="preserve"> </w:t>
      </w:r>
      <w:r w:rsidR="00765A97" w:rsidRPr="007F3280">
        <w:rPr>
          <w:rFonts w:ascii="Times New Roman" w:hAnsi="Times New Roman" w:cs="Times New Roman"/>
          <w:sz w:val="24"/>
          <w:szCs w:val="24"/>
        </w:rPr>
        <w:t>Mueller</w:t>
      </w:r>
      <w:r w:rsidR="00765A97" w:rsidRPr="007F3280">
        <w:rPr>
          <w:rFonts w:ascii="Times New Roman" w:hAnsi="Times New Roman" w:cs="Times New Roman"/>
          <w:sz w:val="24"/>
          <w:szCs w:val="24"/>
          <w:lang w:val="en-US"/>
        </w:rPr>
        <w:t xml:space="preserve"> and</w:t>
      </w:r>
      <w:r w:rsidR="00765A97" w:rsidRPr="007F3280">
        <w:rPr>
          <w:rFonts w:ascii="Times New Roman" w:hAnsi="Times New Roman" w:cs="Times New Roman"/>
          <w:sz w:val="24"/>
          <w:szCs w:val="24"/>
        </w:rPr>
        <w:t xml:space="preserve"> Techasunthornwat (2020</w:t>
      </w:r>
      <w:r w:rsidR="00765A97" w:rsidRPr="007F3280">
        <w:rPr>
          <w:rFonts w:ascii="Times New Roman" w:hAnsi="Times New Roman" w:cs="Times New Roman"/>
          <w:sz w:val="24"/>
          <w:szCs w:val="24"/>
          <w:lang w:val="en-US"/>
        </w:rPr>
        <w:t xml:space="preserve">) explained </w:t>
      </w:r>
      <w:r w:rsidR="00765A97" w:rsidRPr="007F3280">
        <w:rPr>
          <w:rFonts w:ascii="Times New Roman" w:hAnsi="Times New Roman" w:cs="Times New Roman"/>
          <w:sz w:val="24"/>
          <w:szCs w:val="24"/>
        </w:rPr>
        <w:t>how localized political instability blocks broad infrastructural and environmental resource tracking.</w:t>
      </w:r>
    </w:p>
    <w:p w14:paraId="7B0513F0" w14:textId="6A977A9B" w:rsidR="007D00B7" w:rsidRPr="00AC48A0" w:rsidRDefault="00AC48A0" w:rsidP="006D52D3">
      <w:pPr>
        <w:spacing w:before="240" w:after="240" w:line="240" w:lineRule="auto"/>
        <w:ind w:left="238" w:right="238"/>
        <w:jc w:val="both"/>
        <w:rPr>
          <w:rFonts w:ascii="Times New Roman" w:hAnsi="Times New Roman" w:cs="Times New Roman"/>
          <w:b/>
          <w:bCs/>
          <w:sz w:val="24"/>
          <w:szCs w:val="24"/>
        </w:rPr>
      </w:pPr>
      <w:r w:rsidRPr="00AC48A0">
        <w:rPr>
          <w:rFonts w:ascii="Times New Roman" w:hAnsi="Times New Roman" w:cs="Times New Roman"/>
          <w:b/>
          <w:bCs/>
          <w:sz w:val="24"/>
          <w:szCs w:val="24"/>
        </w:rPr>
        <w:t>REGULATORY QUALITY</w:t>
      </w:r>
    </w:p>
    <w:p w14:paraId="0CDAD7E0" w14:textId="2C69A723"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Regulatory quality</w:t>
      </w:r>
      <w:r w:rsidR="00AC48A0">
        <w:rPr>
          <w:rFonts w:ascii="Times New Roman" w:hAnsi="Times New Roman" w:cs="Times New Roman"/>
          <w:sz w:val="24"/>
          <w:szCs w:val="24"/>
          <w:lang w:val="en-US"/>
        </w:rPr>
        <w:t xml:space="preserve"> which entails </w:t>
      </w:r>
      <w:r w:rsidRPr="007D00B7">
        <w:rPr>
          <w:rFonts w:ascii="Times New Roman" w:hAnsi="Times New Roman" w:cs="Times New Roman"/>
          <w:sz w:val="24"/>
          <w:szCs w:val="24"/>
        </w:rPr>
        <w:t>the ability of governments to formulate and implement policies and regulations that promote private sector development</w:t>
      </w:r>
      <w:r w:rsidR="00AC48A0">
        <w:rPr>
          <w:rFonts w:ascii="Times New Roman" w:hAnsi="Times New Roman" w:cs="Times New Roman"/>
          <w:sz w:val="24"/>
          <w:szCs w:val="24"/>
          <w:lang w:val="en-US"/>
        </w:rPr>
        <w:t xml:space="preserve">, </w:t>
      </w:r>
      <w:r w:rsidRPr="007D00B7">
        <w:rPr>
          <w:rFonts w:ascii="Times New Roman" w:hAnsi="Times New Roman" w:cs="Times New Roman"/>
          <w:sz w:val="24"/>
          <w:szCs w:val="24"/>
        </w:rPr>
        <w:t>influences sustainable development primarily through investment climate effects, structural transformation, and the mobilisation of private finance for development. Sound regulatory frameworks reduce transaction costs, enable market entry and exit, protect property rights, and provide the legal infrastructure for financial intermediation and foreign direct investment (Asiedu, 2006; World Bank, 2020). In the SDG era, regulatory quality has assumed additional importance through its role in enabling green investment, clean energy adoption, and environmental compliance</w:t>
      </w:r>
      <w:r w:rsidR="00AC48A0">
        <w:rPr>
          <w:rFonts w:ascii="Times New Roman" w:hAnsi="Times New Roman" w:cs="Times New Roman"/>
          <w:sz w:val="24"/>
          <w:szCs w:val="24"/>
          <w:lang w:val="en-US"/>
        </w:rPr>
        <w:t xml:space="preserve">, which constitute important </w:t>
      </w:r>
      <w:r w:rsidRPr="007D00B7">
        <w:rPr>
          <w:rFonts w:ascii="Times New Roman" w:hAnsi="Times New Roman" w:cs="Times New Roman"/>
          <w:sz w:val="24"/>
          <w:szCs w:val="24"/>
        </w:rPr>
        <w:t xml:space="preserve">channels through which SDGs 7, 9, 13, and 15 are directly </w:t>
      </w:r>
      <w:r w:rsidR="00631561">
        <w:rPr>
          <w:rFonts w:ascii="Times New Roman" w:hAnsi="Times New Roman" w:cs="Times New Roman"/>
          <w:sz w:val="24"/>
          <w:szCs w:val="24"/>
          <w:lang w:val="en-US"/>
        </w:rPr>
        <w:t>impacted</w:t>
      </w:r>
      <w:r w:rsidRPr="007D00B7">
        <w:rPr>
          <w:rFonts w:ascii="Times New Roman" w:hAnsi="Times New Roman" w:cs="Times New Roman"/>
          <w:sz w:val="24"/>
          <w:szCs w:val="24"/>
        </w:rPr>
        <w:t>.</w:t>
      </w:r>
    </w:p>
    <w:p w14:paraId="42985F40" w14:textId="03E15FE9"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 distinctive feature of regulatory quality's institutional effects</w:t>
      </w:r>
      <w:r w:rsidR="00631561">
        <w:rPr>
          <w:rFonts w:ascii="Times New Roman" w:hAnsi="Times New Roman" w:cs="Times New Roman"/>
          <w:sz w:val="24"/>
          <w:szCs w:val="24"/>
          <w:lang w:val="en-US"/>
        </w:rPr>
        <w:t xml:space="preserve"> </w:t>
      </w:r>
      <w:r w:rsidRPr="007D00B7">
        <w:rPr>
          <w:rFonts w:ascii="Times New Roman" w:hAnsi="Times New Roman" w:cs="Times New Roman"/>
          <w:sz w:val="24"/>
          <w:szCs w:val="24"/>
        </w:rPr>
        <w:t>and one that motivates the choice of a long-horizon panel in the current study</w:t>
      </w:r>
      <w:r w:rsidR="00631561">
        <w:rPr>
          <w:rFonts w:ascii="Times New Roman" w:hAnsi="Times New Roman" w:cs="Times New Roman"/>
          <w:sz w:val="24"/>
          <w:szCs w:val="24"/>
          <w:lang w:val="en-US"/>
        </w:rPr>
        <w:t xml:space="preserve"> </w:t>
      </w:r>
      <w:r w:rsidRPr="007D00B7">
        <w:rPr>
          <w:rFonts w:ascii="Times New Roman" w:hAnsi="Times New Roman" w:cs="Times New Roman"/>
          <w:sz w:val="24"/>
          <w:szCs w:val="24"/>
        </w:rPr>
        <w:t>is that its developmental dividends are characteristically slow to materialise. Regulations shape investment decisions, business formation, and structural change over multi-year horizons, rather than affecting short-run fiscal or social outcomes. This temporal pattern has important methodological implications</w:t>
      </w:r>
      <w:r w:rsidR="00631561">
        <w:rPr>
          <w:rFonts w:ascii="Times New Roman" w:hAnsi="Times New Roman" w:cs="Times New Roman"/>
          <w:sz w:val="24"/>
          <w:szCs w:val="24"/>
          <w:lang w:val="en-US"/>
        </w:rPr>
        <w:t>. Studies</w:t>
      </w:r>
      <w:r w:rsidRPr="007D00B7">
        <w:rPr>
          <w:rFonts w:ascii="Times New Roman" w:hAnsi="Times New Roman" w:cs="Times New Roman"/>
          <w:sz w:val="24"/>
          <w:szCs w:val="24"/>
        </w:rPr>
        <w:t xml:space="preserve"> that employ short panels or cross-sectional designs are likely to underestimate the developmental returns to regulatory institution-building. The current study's 29-year panel is specifically designed to capture these long-run effects, and the divergence between the short-run insignificance and long-run significance of regulatory quality in the PMG results directly confirms this theoretical prediction.</w:t>
      </w:r>
    </w:p>
    <w:p w14:paraId="6A8B00E6" w14:textId="6CC55D8C" w:rsidR="007D00B7" w:rsidRPr="00631561" w:rsidRDefault="00631561" w:rsidP="006D52D3">
      <w:pPr>
        <w:spacing w:before="240" w:after="240" w:line="240" w:lineRule="auto"/>
        <w:ind w:left="238" w:right="238"/>
        <w:jc w:val="both"/>
        <w:rPr>
          <w:rFonts w:ascii="Times New Roman" w:hAnsi="Times New Roman" w:cs="Times New Roman"/>
          <w:b/>
          <w:bCs/>
          <w:sz w:val="24"/>
          <w:szCs w:val="24"/>
        </w:rPr>
      </w:pPr>
      <w:r w:rsidRPr="00631561">
        <w:rPr>
          <w:rFonts w:ascii="Times New Roman" w:hAnsi="Times New Roman" w:cs="Times New Roman"/>
          <w:b/>
          <w:bCs/>
          <w:sz w:val="24"/>
          <w:szCs w:val="24"/>
        </w:rPr>
        <w:t>VOICE, ACCOUNTABILITY, AND DEMOCRATIC GOVERNANCE</w:t>
      </w:r>
    </w:p>
    <w:p w14:paraId="71AE71E9" w14:textId="15A57DC8"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relationship between democracy and development has been extensively contested in the political economy literature (Acemoglu et al., 2019; Przeworski et al., 2000). The WGI Voice and Accountability dimension captures a related but distinct concept</w:t>
      </w:r>
      <w:r w:rsidR="00631561">
        <w:rPr>
          <w:rFonts w:ascii="Times New Roman" w:hAnsi="Times New Roman" w:cs="Times New Roman"/>
          <w:sz w:val="24"/>
          <w:szCs w:val="24"/>
          <w:lang w:val="en-US"/>
        </w:rPr>
        <w:t xml:space="preserve"> which relates to</w:t>
      </w:r>
      <w:r w:rsidRPr="007D00B7">
        <w:rPr>
          <w:rFonts w:ascii="Times New Roman" w:hAnsi="Times New Roman" w:cs="Times New Roman"/>
          <w:sz w:val="24"/>
          <w:szCs w:val="24"/>
        </w:rPr>
        <w:t xml:space="preserve"> the extent to which citizens can participate in selecting their government and enjoy freedom of expression, freedom of association, and free media. In the SDG context, this dimension is directly relevant to SDG 16 (strong institutions), SDG 5 (gender equality, through women's political participation), and SDG 10 (reduced inequalities, through inclusive political representation of marginalised groups).</w:t>
      </w:r>
    </w:p>
    <w:p w14:paraId="3269759E" w14:textId="70406C61" w:rsidR="00091D6F" w:rsidRPr="00514720"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Gyimah-Boateng (2015) documents that Ghana's consistently higher voice and accountability scores, relative to its Anglophone West African neighbours, reflect the consolidation of multi-party competition, free media, and civil society since 1992</w:t>
      </w:r>
      <w:r w:rsidR="00091D6F">
        <w:rPr>
          <w:rFonts w:ascii="Times New Roman" w:hAnsi="Times New Roman" w:cs="Times New Roman"/>
          <w:sz w:val="24"/>
          <w:szCs w:val="24"/>
          <w:lang w:val="en-US"/>
        </w:rPr>
        <w:t xml:space="preserve">, which are results of </w:t>
      </w:r>
      <w:r w:rsidRPr="007D00B7">
        <w:rPr>
          <w:rFonts w:ascii="Times New Roman" w:hAnsi="Times New Roman" w:cs="Times New Roman"/>
          <w:sz w:val="24"/>
          <w:szCs w:val="24"/>
        </w:rPr>
        <w:t>institutional features that have supported more inclusive development policy and better targeting of social programmes. Perfect (2016) traces the consequences of The Gambia's near-zero voice and accountability scores under Yahya Jammeh's authoritarian rule for development outcomes, including systematic exclusion of opposition-aligned communities from public resources. The country's democratic transition in 2017 produced a measurable upward shift in voice and accountability scores and, with some lag, in SDG-related governance outcomes.</w:t>
      </w:r>
    </w:p>
    <w:p w14:paraId="70848AB8" w14:textId="1B7A0047" w:rsidR="007D00B7" w:rsidRPr="00091D6F" w:rsidRDefault="00091D6F" w:rsidP="006D52D3">
      <w:pPr>
        <w:spacing w:before="240" w:after="240" w:line="240" w:lineRule="auto"/>
        <w:ind w:left="238" w:right="238"/>
        <w:jc w:val="both"/>
        <w:rPr>
          <w:rFonts w:ascii="Times New Roman" w:hAnsi="Times New Roman" w:cs="Times New Roman"/>
          <w:b/>
          <w:bCs/>
          <w:sz w:val="24"/>
          <w:szCs w:val="24"/>
        </w:rPr>
      </w:pPr>
      <w:r w:rsidRPr="00091D6F">
        <w:rPr>
          <w:rFonts w:ascii="Times New Roman" w:hAnsi="Times New Roman" w:cs="Times New Roman"/>
          <w:b/>
          <w:bCs/>
          <w:sz w:val="24"/>
          <w:szCs w:val="24"/>
        </w:rPr>
        <w:t>EMPIRICAL EVIDENCE: AFRICA-SPECIFIC STUDIES</w:t>
      </w:r>
    </w:p>
    <w:p w14:paraId="27CAB293" w14:textId="1F3C384A"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Within the Africa-specific empirical literature, several recent studies provide important context for the current investigation. Asongu and Nwachukwu (2019) examine governance and sustainable development in Africa using a sample of 48 countries and find heterogeneous effects across governance dimensions and country income groups, with institutional quality effects stronger in low-income and resource-dependent countries</w:t>
      </w:r>
      <w:r w:rsidR="00091D6F">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a finding that underscores the relevance of the current four-country focus. Fosu and Gafa (2020) demonstrate that governance quality significantly moderates the growth–poverty reduction relationship in </w:t>
      </w:r>
      <w:r w:rsidRPr="007D00B7">
        <w:rPr>
          <w:rFonts w:ascii="Times New Roman" w:hAnsi="Times New Roman" w:cs="Times New Roman"/>
          <w:sz w:val="24"/>
          <w:szCs w:val="24"/>
        </w:rPr>
        <w:lastRenderedPageBreak/>
        <w:t>sub-Saharan Africa, confirming that the development dividend from growth is conditional on institutional quality.</w:t>
      </w:r>
    </w:p>
    <w:p w14:paraId="26318373"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For West Africa specifically, Olayungbo and Olayemi (2021) investigate the governance-growth nexus in Nigeria using time-series methods and find that government effectiveness and rule of law are the dominant institutional drivers of growth over the long run. Conteh (2020) documents the institutional reconstruction process in Sierra Leone and finds that improvements in rule of law and control of corruption since 2002 are closely associated with post-conflict SDG gains in health and education. For The Gambia, Perfect (2016) and, more recently, researchers affiliated with the Institute for Peace and Security Studies (IPSS) document the institutional legacy effects of the Jammeh era on current governance capacity.</w:t>
      </w:r>
    </w:p>
    <w:p w14:paraId="548CA8A5" w14:textId="737DEB48"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In the broader sub-Saharan African literature, recent contributions have addressed methodological challenges relevant to the current study. Ahlerup, Baskaran, and Bigsten (2020) employ system GMM to address endogeneity in the governance-growth nexus, finding robust positive effects of institutional quality on growth even after instrumenting for governance. Cooray and Schneider (2023) use a global panel to demonstrate that the six WGI dimensions have distinct, separable effects on SDG achievement, with government effectiveness and rule of law exhibiting the largest elasticities</w:t>
      </w:r>
      <w:r w:rsidR="00023AC1">
        <w:rPr>
          <w:rFonts w:ascii="Times New Roman" w:hAnsi="Times New Roman" w:cs="Times New Roman"/>
          <w:sz w:val="24"/>
          <w:szCs w:val="24"/>
          <w:lang w:val="en-US"/>
        </w:rPr>
        <w:t xml:space="preserve">, </w:t>
      </w:r>
      <w:r w:rsidRPr="007D00B7">
        <w:rPr>
          <w:rFonts w:ascii="Times New Roman" w:hAnsi="Times New Roman" w:cs="Times New Roman"/>
          <w:sz w:val="24"/>
          <w:szCs w:val="24"/>
        </w:rPr>
        <w:t>consistent with the current study's findings. Godfrey, Asongu, and Nwachukwu (2022) apply the PMG estimator to a broad African panel and find cointegration between governance indicators and HDI, establishing the appropriateness of the long-run cointegrating framework employed in the current study.</w:t>
      </w:r>
    </w:p>
    <w:p w14:paraId="1F06CEBA" w14:textId="32ED755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Several gaps in the existing literature, however, remain unaddressed. Most existing studies employ HDI, GDP per capita, or individual MDG/SDG indicators as the dependent variable, rather than the composite SDG Index Score</w:t>
      </w:r>
      <w:r w:rsidR="00023AC1">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captures the full multidimensional breadth of the 2030 Agenda. Studies using the SDG Index are predominantly cross-sectional (Sachs et al., 2022, 2023), precluding dynamic identification of governance effects. The Anglophone West African sub-sample</w:t>
      </w:r>
      <w:r w:rsidR="00023AC1">
        <w:rPr>
          <w:rFonts w:ascii="Times New Roman" w:hAnsi="Times New Roman" w:cs="Times New Roman"/>
          <w:sz w:val="24"/>
          <w:szCs w:val="24"/>
          <w:lang w:val="en-US"/>
        </w:rPr>
        <w:t xml:space="preserve"> of </w:t>
      </w:r>
      <w:r w:rsidRPr="007D00B7">
        <w:rPr>
          <w:rFonts w:ascii="Times New Roman" w:hAnsi="Times New Roman" w:cs="Times New Roman"/>
          <w:sz w:val="24"/>
          <w:szCs w:val="24"/>
        </w:rPr>
        <w:t>four countries sharing linguistic, colonial, and institutional histories that reduce between-group heterogeneity</w:t>
      </w:r>
      <w:r w:rsidR="00023AC1">
        <w:rPr>
          <w:rFonts w:ascii="Times New Roman" w:hAnsi="Times New Roman" w:cs="Times New Roman"/>
          <w:sz w:val="24"/>
          <w:szCs w:val="24"/>
          <w:lang w:val="en-US"/>
        </w:rPr>
        <w:t xml:space="preserve">, </w:t>
      </w:r>
      <w:r w:rsidRPr="007D00B7">
        <w:rPr>
          <w:rFonts w:ascii="Times New Roman" w:hAnsi="Times New Roman" w:cs="Times New Roman"/>
          <w:sz w:val="24"/>
          <w:szCs w:val="24"/>
        </w:rPr>
        <w:t>has not been the subject of a dedicated panel study over the full WGI time series. Finally, the interaction between cross-sectional dependence, slope heterogeneity, and long-run governance effects has been inadequately addressed in the sub-regional literature. The current study addresses each of these gaps.</w:t>
      </w:r>
    </w:p>
    <w:p w14:paraId="63356FF0" w14:textId="47ACF302" w:rsidR="007D00B7" w:rsidRPr="00023AC1" w:rsidRDefault="00023AC1" w:rsidP="006D52D3">
      <w:pPr>
        <w:spacing w:before="240" w:after="240" w:line="240" w:lineRule="auto"/>
        <w:ind w:left="238" w:right="238"/>
        <w:jc w:val="both"/>
        <w:rPr>
          <w:rFonts w:ascii="Times New Roman" w:hAnsi="Times New Roman" w:cs="Times New Roman"/>
          <w:b/>
          <w:bCs/>
          <w:sz w:val="24"/>
          <w:szCs w:val="24"/>
        </w:rPr>
      </w:pPr>
      <w:r w:rsidRPr="00023AC1">
        <w:rPr>
          <w:rFonts w:ascii="Times New Roman" w:hAnsi="Times New Roman" w:cs="Times New Roman"/>
          <w:b/>
          <w:bCs/>
          <w:sz w:val="24"/>
          <w:szCs w:val="24"/>
        </w:rPr>
        <w:t>DATA AND MEASUREMENT</w:t>
      </w:r>
    </w:p>
    <w:p w14:paraId="14143723" w14:textId="277411B1" w:rsidR="007D00B7" w:rsidRPr="00023AC1" w:rsidRDefault="00023AC1" w:rsidP="006D52D3">
      <w:pPr>
        <w:spacing w:before="240" w:after="240" w:line="240" w:lineRule="auto"/>
        <w:ind w:left="238" w:right="238"/>
        <w:jc w:val="both"/>
        <w:rPr>
          <w:rFonts w:ascii="Times New Roman" w:hAnsi="Times New Roman" w:cs="Times New Roman"/>
          <w:b/>
          <w:bCs/>
          <w:sz w:val="24"/>
          <w:szCs w:val="24"/>
        </w:rPr>
      </w:pPr>
      <w:r w:rsidRPr="00023AC1">
        <w:rPr>
          <w:rFonts w:ascii="Times New Roman" w:hAnsi="Times New Roman" w:cs="Times New Roman"/>
          <w:b/>
          <w:bCs/>
          <w:sz w:val="24"/>
          <w:szCs w:val="24"/>
        </w:rPr>
        <w:t>SAMPLE AND TIME PERIOD</w:t>
      </w:r>
    </w:p>
    <w:p w14:paraId="6693F13C" w14:textId="6945A2E2"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This study analyses a balanced panel of four Anglophone West African countries</w:t>
      </w:r>
      <w:r w:rsidR="00023AC1">
        <w:rPr>
          <w:rFonts w:ascii="Times New Roman" w:hAnsi="Times New Roman" w:cs="Times New Roman"/>
          <w:sz w:val="24"/>
          <w:szCs w:val="24"/>
          <w:lang w:val="en-US"/>
        </w:rPr>
        <w:t xml:space="preserve">, </w:t>
      </w:r>
      <w:r w:rsidRPr="007D00B7">
        <w:rPr>
          <w:rFonts w:ascii="Times New Roman" w:hAnsi="Times New Roman" w:cs="Times New Roman"/>
          <w:sz w:val="24"/>
          <w:szCs w:val="24"/>
        </w:rPr>
        <w:t>Ghana (GHA), The Gambia (GMB), Nigeria (NGA), and Sierra Leone (SLE)</w:t>
      </w:r>
      <w:r w:rsidR="00023AC1">
        <w:rPr>
          <w:rFonts w:ascii="Times New Roman" w:hAnsi="Times New Roman" w:cs="Times New Roman"/>
          <w:sz w:val="24"/>
          <w:szCs w:val="24"/>
          <w:lang w:val="en-US"/>
        </w:rPr>
        <w:t xml:space="preserve"> </w:t>
      </w:r>
      <w:r w:rsidRPr="007D00B7">
        <w:rPr>
          <w:rFonts w:ascii="Times New Roman" w:hAnsi="Times New Roman" w:cs="Times New Roman"/>
          <w:sz w:val="24"/>
          <w:szCs w:val="24"/>
        </w:rPr>
        <w:t>over the period 1996 to 2024. The sample selection is motivated by five criteria: (i) linguistic and colonial homogeneity, with all four countries sharing English as the official language and a common British colonial heritage; (ii) regional institutional membership, with all four being ECOWAS member states; (iii) signatory status to the MDG and SDG frameworks; (iv) availability of continuous WGI data from 1996 onwards; and (v) within-group heterogeneity in governance trajectories, which is necessary for identification of institutional effects in a small-N panel.</w:t>
      </w:r>
    </w:p>
    <w:p w14:paraId="549A7B7D" w14:textId="001F721D"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 xml:space="preserve">The analytical window of 29 years (1996–2024) is deliberately chosen to maximise the time-series dimension of the panel, which is critical for three reasons. First, T = 29 substantially enhances the power of panel unit root and cointegration tests relative to the shorter panels (T = 10–15) typical of previous sub-regional studies. </w:t>
      </w:r>
      <w:r w:rsidR="00841D10">
        <w:rPr>
          <w:rFonts w:ascii="Times New Roman" w:hAnsi="Times New Roman" w:cs="Times New Roman"/>
          <w:sz w:val="24"/>
          <w:szCs w:val="24"/>
          <w:lang w:val="en-US"/>
        </w:rPr>
        <w:t>Moreover,</w:t>
      </w:r>
      <w:r w:rsidRPr="007D00B7">
        <w:rPr>
          <w:rFonts w:ascii="Times New Roman" w:hAnsi="Times New Roman" w:cs="Times New Roman"/>
          <w:sz w:val="24"/>
          <w:szCs w:val="24"/>
        </w:rPr>
        <w:t xml:space="preserve"> the extended horizon captures multiple institutional transitions within the sample</w:t>
      </w:r>
      <w:r w:rsidR="00841D10">
        <w:rPr>
          <w:rFonts w:ascii="Times New Roman" w:hAnsi="Times New Roman" w:cs="Times New Roman"/>
          <w:sz w:val="24"/>
          <w:szCs w:val="24"/>
          <w:lang w:val="en-US"/>
        </w:rPr>
        <w:t xml:space="preserve"> including </w:t>
      </w:r>
      <w:r w:rsidRPr="007D00B7">
        <w:rPr>
          <w:rFonts w:ascii="Times New Roman" w:hAnsi="Times New Roman" w:cs="Times New Roman"/>
          <w:sz w:val="24"/>
          <w:szCs w:val="24"/>
        </w:rPr>
        <w:t>Ghana's democratic consolidation, Sierra Leone's post-conflict reconstruction, The Gambia's 2017 democratic transition, and Nigeria's alternating electoral cycles</w:t>
      </w:r>
      <w:r w:rsidR="00841D10">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providing within-country variation in governance quality that is necessary for causal identification. </w:t>
      </w:r>
      <w:r w:rsidR="00841D10">
        <w:rPr>
          <w:rFonts w:ascii="Times New Roman" w:hAnsi="Times New Roman" w:cs="Times New Roman"/>
          <w:sz w:val="24"/>
          <w:szCs w:val="24"/>
          <w:lang w:val="en-US"/>
        </w:rPr>
        <w:t>Furthermore</w:t>
      </w:r>
      <w:r w:rsidRPr="007D00B7">
        <w:rPr>
          <w:rFonts w:ascii="Times New Roman" w:hAnsi="Times New Roman" w:cs="Times New Roman"/>
          <w:sz w:val="24"/>
          <w:szCs w:val="24"/>
        </w:rPr>
        <w:t>, the long horizon enables detection of the slow-materialising developmental effects of regulatory and legal institution quality, which the PMG results confirm to be empirically significant only over multi-decade horizons.</w:t>
      </w:r>
    </w:p>
    <w:p w14:paraId="45804B71" w14:textId="495FEB1B" w:rsidR="007D00B7" w:rsidRPr="00841D10" w:rsidRDefault="00841D10" w:rsidP="006D52D3">
      <w:pPr>
        <w:spacing w:before="240" w:after="240" w:line="240" w:lineRule="auto"/>
        <w:ind w:left="238" w:right="238"/>
        <w:jc w:val="both"/>
        <w:rPr>
          <w:rFonts w:ascii="Times New Roman" w:hAnsi="Times New Roman" w:cs="Times New Roman"/>
          <w:b/>
          <w:bCs/>
          <w:sz w:val="24"/>
          <w:szCs w:val="24"/>
        </w:rPr>
      </w:pPr>
      <w:r w:rsidRPr="00841D10">
        <w:rPr>
          <w:rFonts w:ascii="Times New Roman" w:hAnsi="Times New Roman" w:cs="Times New Roman"/>
          <w:b/>
          <w:bCs/>
          <w:sz w:val="24"/>
          <w:szCs w:val="24"/>
        </w:rPr>
        <w:lastRenderedPageBreak/>
        <w:t>DEPENDENT VARIABLE: SDG INDEX SCORE</w:t>
      </w:r>
    </w:p>
    <w:p w14:paraId="65DB1081"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dependent variable is the Sustainable Development Report's SDG Index Score (Sachs et al., 2023, 2024), which provides a composite, normalised score ranging from 0 to 100 measuring countries' overall performance across all 17 SDGs and their associated indicators. A higher score reflects greater proximity to achieving the SDGs. The SDG Index is constructed by the Sustainable Development Solutions Network (SDSN) and has been published annually since 2016, with backdated estimates available to 2000. Consequently, regressions utilising the SDG Index Score are restricted to the 2000–2024 sub-period (T = 25), yielding 100 country-year observations.</w:t>
      </w:r>
    </w:p>
    <w:p w14:paraId="201518A1" w14:textId="25E0EFD5"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SDG Index is selected as the dependent variable in preference to individual SDG indicators or the Human Development Index (HDI) for three reasons. First, it captures the full multidimensional breadth of the 2030 Agenda</w:t>
      </w:r>
      <w:r w:rsidR="00841D10">
        <w:rPr>
          <w:rFonts w:ascii="Times New Roman" w:hAnsi="Times New Roman" w:cs="Times New Roman"/>
          <w:sz w:val="24"/>
          <w:szCs w:val="24"/>
          <w:lang w:val="en-US"/>
        </w:rPr>
        <w:t xml:space="preserve">, </w:t>
      </w:r>
      <w:r w:rsidRPr="007D00B7">
        <w:rPr>
          <w:rFonts w:ascii="Times New Roman" w:hAnsi="Times New Roman" w:cs="Times New Roman"/>
          <w:sz w:val="24"/>
          <w:szCs w:val="24"/>
        </w:rPr>
        <w:t>encompassing economic, social, and environmental dimensions</w:t>
      </w:r>
      <w:r w:rsidR="00841D10">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rather than privileging any single development dimension. </w:t>
      </w:r>
      <w:r w:rsidR="001475BB">
        <w:rPr>
          <w:rFonts w:ascii="Times New Roman" w:hAnsi="Times New Roman" w:cs="Times New Roman"/>
          <w:sz w:val="24"/>
          <w:szCs w:val="24"/>
          <w:lang w:val="en-US"/>
        </w:rPr>
        <w:t>Also</w:t>
      </w:r>
      <w:r w:rsidRPr="007D00B7">
        <w:rPr>
          <w:rFonts w:ascii="Times New Roman" w:hAnsi="Times New Roman" w:cs="Times New Roman"/>
          <w:sz w:val="24"/>
          <w:szCs w:val="24"/>
        </w:rPr>
        <w:t xml:space="preserve">, as a composite index, it reduces measurement noise relative to individual indicators, which are subject to data gaps and imputation in low-income country contexts. </w:t>
      </w:r>
      <w:r w:rsidR="001475BB">
        <w:rPr>
          <w:rFonts w:ascii="Times New Roman" w:hAnsi="Times New Roman" w:cs="Times New Roman"/>
          <w:sz w:val="24"/>
          <w:szCs w:val="24"/>
          <w:lang w:val="en-US"/>
        </w:rPr>
        <w:t>Furthermore</w:t>
      </w:r>
      <w:r w:rsidRPr="007D00B7">
        <w:rPr>
          <w:rFonts w:ascii="Times New Roman" w:hAnsi="Times New Roman" w:cs="Times New Roman"/>
          <w:sz w:val="24"/>
          <w:szCs w:val="24"/>
        </w:rPr>
        <w:t>, its direct correspondence to the 2030 Agenda makes findings from this study directly relevant to policy discussions on SDG implementation in West Africa.</w:t>
      </w:r>
    </w:p>
    <w:p w14:paraId="645EA450" w14:textId="55B7786B" w:rsidR="007D00B7" w:rsidRPr="001475BB" w:rsidRDefault="001475BB" w:rsidP="006D52D3">
      <w:pPr>
        <w:spacing w:before="240" w:after="240" w:line="240" w:lineRule="auto"/>
        <w:ind w:left="238" w:right="238"/>
        <w:jc w:val="both"/>
        <w:rPr>
          <w:rFonts w:ascii="Times New Roman" w:hAnsi="Times New Roman" w:cs="Times New Roman"/>
          <w:b/>
          <w:bCs/>
          <w:sz w:val="24"/>
          <w:szCs w:val="24"/>
        </w:rPr>
      </w:pPr>
      <w:r w:rsidRPr="001475BB">
        <w:rPr>
          <w:rFonts w:ascii="Times New Roman" w:hAnsi="Times New Roman" w:cs="Times New Roman"/>
          <w:b/>
          <w:bCs/>
          <w:sz w:val="24"/>
          <w:szCs w:val="24"/>
        </w:rPr>
        <w:t>INDEPENDENT VARIABLES: WORLDWIDE GOVERNANCE INDICATORS</w:t>
      </w:r>
    </w:p>
    <w:p w14:paraId="1DD28A60" w14:textId="0AAB9DB1"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Institutional quality is operationalised through the six dimensions of the World Bank's Worldwide Governance Indicators (WGI) (Kaufmann, Kraay &amp; Mastruzzi, 2010; World Bank, 2024), which provide annual percentile rank estimates for over 200 countries and territories. Each indicator is expressed as a percentile rank ranging from 0 to 100, with higher values indicating better governance outcomes. The six governance dimensions are: (i) Control of Corruption (CC); (ii) Government Effectiveness (GE); (iii) Political Stability and Absence of Violence/Terrorism (PS); (iv) Rule of Law (RL); (v) Regulatory Quality (RQ); and (vi) Voice and Accountability (VA). The WGI data cover the full 1996</w:t>
      </w:r>
      <w:r w:rsidR="001475BB">
        <w:rPr>
          <w:rFonts w:ascii="Times New Roman" w:hAnsi="Times New Roman" w:cs="Times New Roman"/>
          <w:sz w:val="24"/>
          <w:szCs w:val="24"/>
          <w:lang w:val="en-US"/>
        </w:rPr>
        <w:t xml:space="preserve"> </w:t>
      </w:r>
      <w:r w:rsidRPr="007D00B7">
        <w:rPr>
          <w:rFonts w:ascii="Times New Roman" w:hAnsi="Times New Roman" w:cs="Times New Roman"/>
          <w:sz w:val="24"/>
          <w:szCs w:val="24"/>
        </w:rPr>
        <w:t>–</w:t>
      </w:r>
      <w:r w:rsidR="001475BB">
        <w:rPr>
          <w:rFonts w:ascii="Times New Roman" w:hAnsi="Times New Roman" w:cs="Times New Roman"/>
          <w:sz w:val="24"/>
          <w:szCs w:val="24"/>
          <w:lang w:val="en-US"/>
        </w:rPr>
        <w:t xml:space="preserve"> </w:t>
      </w:r>
      <w:r w:rsidRPr="007D00B7">
        <w:rPr>
          <w:rFonts w:ascii="Times New Roman" w:hAnsi="Times New Roman" w:cs="Times New Roman"/>
          <w:sz w:val="24"/>
          <w:szCs w:val="24"/>
        </w:rPr>
        <w:t>2024 period, yielding 116 country-year observations.</w:t>
      </w:r>
    </w:p>
    <w:p w14:paraId="31133B46" w14:textId="36C7A26D"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While the WGI have been subject to methodological critique</w:t>
      </w:r>
      <w:r w:rsidR="001475BB">
        <w:rPr>
          <w:rFonts w:ascii="Times New Roman" w:hAnsi="Times New Roman" w:cs="Times New Roman"/>
          <w:sz w:val="24"/>
          <w:szCs w:val="24"/>
          <w:lang w:val="en-US"/>
        </w:rPr>
        <w:t xml:space="preserve">, </w:t>
      </w:r>
      <w:r w:rsidRPr="007D00B7">
        <w:rPr>
          <w:rFonts w:ascii="Times New Roman" w:hAnsi="Times New Roman" w:cs="Times New Roman"/>
          <w:sz w:val="24"/>
          <w:szCs w:val="24"/>
        </w:rPr>
        <w:t>particularly regarding the perception-based construction of indicators, potential time-inconsistency arising from revisions to underlying surveys, and aggregation across heterogeneous data sources (Thomas, 2010; Langbein &amp; Knack, 2010)</w:t>
      </w:r>
      <w:r w:rsidR="001475BB">
        <w:rPr>
          <w:rFonts w:ascii="Times New Roman" w:hAnsi="Times New Roman" w:cs="Times New Roman"/>
          <w:sz w:val="24"/>
          <w:szCs w:val="24"/>
          <w:lang w:val="en-US"/>
        </w:rPr>
        <w:t xml:space="preserve">, </w:t>
      </w:r>
      <w:r w:rsidRPr="007D00B7">
        <w:rPr>
          <w:rFonts w:ascii="Times New Roman" w:hAnsi="Times New Roman" w:cs="Times New Roman"/>
          <w:sz w:val="24"/>
          <w:szCs w:val="24"/>
        </w:rPr>
        <w:t>they remain the most comprehensive, annually updated, cross-country panel of governance quality available for the study period. The construction methodology has been consistent since 1996, enabling comparisons across both time and countries. Where measurement error in governance indicators is a concern, its principal effect is to attenuate estimated coefficients toward zero (classical errors-in-variables bias), suggesting that the estimated governance effects reported below are likely to represent lower bounds on the true institutional effects.</w:t>
      </w:r>
    </w:p>
    <w:p w14:paraId="49D5C153" w14:textId="55220C8F" w:rsidR="007D00B7" w:rsidRPr="009634E4" w:rsidRDefault="009634E4" w:rsidP="006D52D3">
      <w:pPr>
        <w:spacing w:before="240" w:after="240" w:line="240" w:lineRule="auto"/>
        <w:ind w:left="238" w:right="238"/>
        <w:jc w:val="both"/>
        <w:rPr>
          <w:rFonts w:ascii="Times New Roman" w:hAnsi="Times New Roman" w:cs="Times New Roman"/>
          <w:b/>
          <w:bCs/>
          <w:sz w:val="24"/>
          <w:szCs w:val="24"/>
        </w:rPr>
      </w:pPr>
      <w:r w:rsidRPr="009634E4">
        <w:rPr>
          <w:rFonts w:ascii="Times New Roman" w:hAnsi="Times New Roman" w:cs="Times New Roman"/>
          <w:b/>
          <w:bCs/>
          <w:sz w:val="24"/>
          <w:szCs w:val="24"/>
        </w:rPr>
        <w:t>DESCRIPTIVE STATISTICS</w:t>
      </w:r>
    </w:p>
    <w:p w14:paraId="28665F47" w14:textId="5715D4BC" w:rsid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1 presents descriptive statistics for all variables computed over the full panel. The data reveal substantial variation in governance quality both within and across countries. Across the full 116 country-year observations, control of corruption averages 31.28 (SD = 16.14), government effectiveness 25.39 (SD = 16.23), and rule of law 30.77 (SD = 17.16)</w:t>
      </w:r>
      <w:r w:rsidR="00001BDF">
        <w:rPr>
          <w:rFonts w:ascii="Times New Roman" w:hAnsi="Times New Roman" w:cs="Times New Roman"/>
          <w:sz w:val="24"/>
          <w:szCs w:val="24"/>
          <w:lang w:val="en-US"/>
        </w:rPr>
        <w:t xml:space="preserve">, </w:t>
      </w:r>
      <w:r w:rsidRPr="007D00B7">
        <w:rPr>
          <w:rFonts w:ascii="Times New Roman" w:hAnsi="Times New Roman" w:cs="Times New Roman"/>
          <w:sz w:val="24"/>
          <w:szCs w:val="24"/>
        </w:rPr>
        <w:t>all well below the global median of 50, confirming the systemic governance deficit in the sub-region. Ghana consistently records the highest scores on all six governance dimensions, with mean government effectiveness of approximately 44 and mean rule of law of approximately 50</w:t>
      </w:r>
      <w:r w:rsidR="00001BDF">
        <w:rPr>
          <w:rFonts w:ascii="Times New Roman" w:hAnsi="Times New Roman" w:cs="Times New Roman"/>
          <w:sz w:val="24"/>
          <w:szCs w:val="24"/>
          <w:lang w:val="en-US"/>
        </w:rPr>
        <w:t xml:space="preserve">, </w:t>
      </w:r>
      <w:r w:rsidRPr="007D00B7">
        <w:rPr>
          <w:rFonts w:ascii="Times New Roman" w:hAnsi="Times New Roman" w:cs="Times New Roman"/>
          <w:sz w:val="24"/>
          <w:szCs w:val="24"/>
        </w:rPr>
        <w:t>approaching the global median. Nigeria records persistently low scores, with political stability approaching 2.42 in some years. The SDG Index Score averages 53.61 (range: 44.98 to 63.13) over 100 country-year observations, with Ghana leading at 63.13 in 2024 and Nigeria recording the sample minimum of 44.98 in 2000.</w:t>
      </w:r>
    </w:p>
    <w:p w14:paraId="7B8F19DE" w14:textId="3BE0573B" w:rsidR="00514720" w:rsidRDefault="00514720" w:rsidP="006D52D3">
      <w:pPr>
        <w:spacing w:before="240" w:after="240" w:line="240" w:lineRule="auto"/>
        <w:ind w:left="238" w:right="238"/>
        <w:jc w:val="both"/>
        <w:rPr>
          <w:rFonts w:ascii="Times New Roman" w:hAnsi="Times New Roman" w:cs="Times New Roman"/>
          <w:sz w:val="24"/>
          <w:szCs w:val="24"/>
        </w:rPr>
      </w:pPr>
    </w:p>
    <w:p w14:paraId="287F3665" w14:textId="335690DE" w:rsidR="00514720" w:rsidRDefault="00514720" w:rsidP="006D52D3">
      <w:pPr>
        <w:spacing w:before="240" w:after="240" w:line="240" w:lineRule="auto"/>
        <w:ind w:left="238" w:right="238"/>
        <w:jc w:val="both"/>
        <w:rPr>
          <w:rFonts w:ascii="Times New Roman" w:hAnsi="Times New Roman" w:cs="Times New Roman"/>
          <w:sz w:val="24"/>
          <w:szCs w:val="24"/>
        </w:rPr>
      </w:pPr>
    </w:p>
    <w:p w14:paraId="1B0055C4" w14:textId="76E6EDC2" w:rsidR="00514720" w:rsidRDefault="00514720" w:rsidP="006D52D3">
      <w:pPr>
        <w:spacing w:before="240" w:after="240" w:line="240" w:lineRule="auto"/>
        <w:ind w:left="238" w:right="238"/>
        <w:jc w:val="both"/>
        <w:rPr>
          <w:rFonts w:ascii="Times New Roman" w:hAnsi="Times New Roman" w:cs="Times New Roman"/>
          <w:sz w:val="24"/>
          <w:szCs w:val="24"/>
        </w:rPr>
      </w:pPr>
    </w:p>
    <w:p w14:paraId="143C161A" w14:textId="6028A934" w:rsidR="00514720" w:rsidRDefault="00514720" w:rsidP="006D52D3">
      <w:pPr>
        <w:spacing w:before="240" w:after="240" w:line="240" w:lineRule="auto"/>
        <w:ind w:left="238" w:right="238"/>
        <w:jc w:val="both"/>
        <w:rPr>
          <w:rFonts w:ascii="Times New Roman" w:hAnsi="Times New Roman" w:cs="Times New Roman"/>
          <w:sz w:val="24"/>
          <w:szCs w:val="24"/>
        </w:rPr>
      </w:pPr>
    </w:p>
    <w:p w14:paraId="12F00DDB" w14:textId="1E50357F" w:rsidR="00514720" w:rsidRDefault="00514720" w:rsidP="006D52D3">
      <w:pPr>
        <w:spacing w:before="240" w:after="240" w:line="240" w:lineRule="auto"/>
        <w:ind w:left="238" w:right="238"/>
        <w:jc w:val="both"/>
        <w:rPr>
          <w:rFonts w:ascii="Times New Roman" w:hAnsi="Times New Roman" w:cs="Times New Roman"/>
          <w:sz w:val="24"/>
          <w:szCs w:val="24"/>
        </w:rPr>
      </w:pPr>
    </w:p>
    <w:p w14:paraId="0620FFB0" w14:textId="3AFDBF68" w:rsidR="00514720" w:rsidRDefault="00514720" w:rsidP="006D52D3">
      <w:pPr>
        <w:spacing w:before="240" w:after="240" w:line="240" w:lineRule="auto"/>
        <w:ind w:left="238" w:right="238"/>
        <w:jc w:val="both"/>
        <w:rPr>
          <w:rFonts w:ascii="Times New Roman" w:hAnsi="Times New Roman" w:cs="Times New Roman"/>
          <w:sz w:val="24"/>
          <w:szCs w:val="24"/>
        </w:rPr>
      </w:pPr>
    </w:p>
    <w:p w14:paraId="33A4C2A9" w14:textId="52CCAAFB" w:rsidR="00514720" w:rsidRDefault="00514720" w:rsidP="006D52D3">
      <w:pPr>
        <w:spacing w:before="240" w:after="240" w:line="240" w:lineRule="auto"/>
        <w:ind w:left="238" w:right="238"/>
        <w:jc w:val="both"/>
        <w:rPr>
          <w:rFonts w:ascii="Times New Roman" w:hAnsi="Times New Roman" w:cs="Times New Roman"/>
          <w:sz w:val="24"/>
          <w:szCs w:val="24"/>
        </w:rPr>
      </w:pPr>
    </w:p>
    <w:p w14:paraId="10C83401" w14:textId="77777777" w:rsidR="00514720" w:rsidRDefault="00514720" w:rsidP="006D52D3">
      <w:pPr>
        <w:spacing w:before="240" w:after="240" w:line="240" w:lineRule="auto"/>
        <w:ind w:left="238" w:right="238"/>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19"/>
        <w:gridCol w:w="1243"/>
        <w:gridCol w:w="1279"/>
        <w:gridCol w:w="1251"/>
        <w:gridCol w:w="1251"/>
        <w:gridCol w:w="1251"/>
        <w:gridCol w:w="1399"/>
      </w:tblGrid>
      <w:tr w:rsidR="009634E4" w14:paraId="15EA853B" w14:textId="77777777" w:rsidTr="009634E4">
        <w:tc>
          <w:tcPr>
            <w:tcW w:w="1509" w:type="dxa"/>
          </w:tcPr>
          <w:p w14:paraId="566939E8" w14:textId="7B8C0458"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Variable</w:t>
            </w:r>
          </w:p>
        </w:tc>
        <w:tc>
          <w:tcPr>
            <w:tcW w:w="1243" w:type="dxa"/>
          </w:tcPr>
          <w:p w14:paraId="1DDF69E7" w14:textId="458F9017"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Obs.</w:t>
            </w:r>
          </w:p>
        </w:tc>
        <w:tc>
          <w:tcPr>
            <w:tcW w:w="1251" w:type="dxa"/>
          </w:tcPr>
          <w:p w14:paraId="1EEE769F" w14:textId="2F97A064"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Mean</w:t>
            </w:r>
          </w:p>
        </w:tc>
        <w:tc>
          <w:tcPr>
            <w:tcW w:w="1251" w:type="dxa"/>
          </w:tcPr>
          <w:p w14:paraId="3D4971FA" w14:textId="66F0F497"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Std. Dev.</w:t>
            </w:r>
          </w:p>
        </w:tc>
        <w:tc>
          <w:tcPr>
            <w:tcW w:w="1251" w:type="dxa"/>
          </w:tcPr>
          <w:p w14:paraId="45A650D9" w14:textId="44E44402"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Min</w:t>
            </w:r>
          </w:p>
        </w:tc>
        <w:tc>
          <w:tcPr>
            <w:tcW w:w="1251" w:type="dxa"/>
          </w:tcPr>
          <w:p w14:paraId="1878642F" w14:textId="0411E3F0"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Max</w:t>
            </w:r>
          </w:p>
        </w:tc>
        <w:tc>
          <w:tcPr>
            <w:tcW w:w="1260" w:type="dxa"/>
          </w:tcPr>
          <w:p w14:paraId="5DA82043" w14:textId="3D620E2F" w:rsidR="009634E4" w:rsidRPr="00001BDF" w:rsidRDefault="009634E4" w:rsidP="00514720">
            <w:pPr>
              <w:spacing w:before="240" w:after="240"/>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Source</w:t>
            </w:r>
          </w:p>
        </w:tc>
      </w:tr>
      <w:tr w:rsidR="009634E4" w14:paraId="71214685" w14:textId="77777777" w:rsidTr="009634E4">
        <w:tc>
          <w:tcPr>
            <w:tcW w:w="1509" w:type="dxa"/>
          </w:tcPr>
          <w:p w14:paraId="6105E892" w14:textId="5B9A3114"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SDG Index Score</w:t>
            </w:r>
          </w:p>
        </w:tc>
        <w:tc>
          <w:tcPr>
            <w:tcW w:w="1243" w:type="dxa"/>
          </w:tcPr>
          <w:p w14:paraId="3AB81576" w14:textId="1B126DD0"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100</w:t>
            </w:r>
          </w:p>
        </w:tc>
        <w:tc>
          <w:tcPr>
            <w:tcW w:w="1251" w:type="dxa"/>
          </w:tcPr>
          <w:p w14:paraId="431C2356" w14:textId="2B95EE7B"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53.61</w:t>
            </w:r>
          </w:p>
        </w:tc>
        <w:tc>
          <w:tcPr>
            <w:tcW w:w="1251" w:type="dxa"/>
          </w:tcPr>
          <w:p w14:paraId="2984816C" w14:textId="117FDBB0"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4.93</w:t>
            </w:r>
          </w:p>
        </w:tc>
        <w:tc>
          <w:tcPr>
            <w:tcW w:w="1251" w:type="dxa"/>
          </w:tcPr>
          <w:p w14:paraId="5B65C448" w14:textId="4DF2FA01"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44.98</w:t>
            </w:r>
          </w:p>
        </w:tc>
        <w:tc>
          <w:tcPr>
            <w:tcW w:w="1251" w:type="dxa"/>
          </w:tcPr>
          <w:p w14:paraId="6A27D2E6" w14:textId="7A7ED70A"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63.13</w:t>
            </w:r>
          </w:p>
        </w:tc>
        <w:tc>
          <w:tcPr>
            <w:tcW w:w="1260" w:type="dxa"/>
          </w:tcPr>
          <w:p w14:paraId="14D2AC1B" w14:textId="52324EC3"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SDSN (2024)</w:t>
            </w:r>
          </w:p>
        </w:tc>
      </w:tr>
      <w:tr w:rsidR="009634E4" w14:paraId="6507F9BF" w14:textId="77777777" w:rsidTr="009634E4">
        <w:tc>
          <w:tcPr>
            <w:tcW w:w="1509" w:type="dxa"/>
          </w:tcPr>
          <w:p w14:paraId="249B5DCB" w14:textId="1A8F0616"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Control of Corruption</w:t>
            </w:r>
          </w:p>
        </w:tc>
        <w:tc>
          <w:tcPr>
            <w:tcW w:w="1243" w:type="dxa"/>
          </w:tcPr>
          <w:p w14:paraId="776A09C9" w14:textId="3FE8F392"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116</w:t>
            </w:r>
          </w:p>
        </w:tc>
        <w:tc>
          <w:tcPr>
            <w:tcW w:w="1251" w:type="dxa"/>
          </w:tcPr>
          <w:p w14:paraId="3A066A71" w14:textId="14096E2C"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31.28</w:t>
            </w:r>
          </w:p>
        </w:tc>
        <w:tc>
          <w:tcPr>
            <w:tcW w:w="1251" w:type="dxa"/>
          </w:tcPr>
          <w:p w14:paraId="232E45CC" w14:textId="145E40D5"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16.14</w:t>
            </w:r>
          </w:p>
        </w:tc>
        <w:tc>
          <w:tcPr>
            <w:tcW w:w="1251" w:type="dxa"/>
          </w:tcPr>
          <w:p w14:paraId="4138674B" w14:textId="6DE63FEB"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0.53</w:t>
            </w:r>
          </w:p>
        </w:tc>
        <w:tc>
          <w:tcPr>
            <w:tcW w:w="1251" w:type="dxa"/>
          </w:tcPr>
          <w:p w14:paraId="2BDF8D53" w14:textId="66D6FC4A"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58.85</w:t>
            </w:r>
          </w:p>
        </w:tc>
        <w:tc>
          <w:tcPr>
            <w:tcW w:w="1260" w:type="dxa"/>
          </w:tcPr>
          <w:p w14:paraId="3A3D8444" w14:textId="0103F551"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WB WGI (2024)</w:t>
            </w:r>
          </w:p>
        </w:tc>
      </w:tr>
      <w:tr w:rsidR="009634E4" w14:paraId="3B56F1B0" w14:textId="77777777" w:rsidTr="009634E4">
        <w:tc>
          <w:tcPr>
            <w:tcW w:w="1509" w:type="dxa"/>
          </w:tcPr>
          <w:p w14:paraId="7E04F471" w14:textId="233B0A05"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Government Effectiveness</w:t>
            </w:r>
          </w:p>
        </w:tc>
        <w:tc>
          <w:tcPr>
            <w:tcW w:w="1243" w:type="dxa"/>
          </w:tcPr>
          <w:p w14:paraId="1F228E03" w14:textId="260A05FD"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116</w:t>
            </w:r>
          </w:p>
        </w:tc>
        <w:tc>
          <w:tcPr>
            <w:tcW w:w="1251" w:type="dxa"/>
          </w:tcPr>
          <w:p w14:paraId="0BAEBF6B" w14:textId="03D20EB9"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25.39</w:t>
            </w:r>
          </w:p>
        </w:tc>
        <w:tc>
          <w:tcPr>
            <w:tcW w:w="1251" w:type="dxa"/>
          </w:tcPr>
          <w:p w14:paraId="49F2136F" w14:textId="0071961E"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16.23</w:t>
            </w:r>
          </w:p>
        </w:tc>
        <w:tc>
          <w:tcPr>
            <w:tcW w:w="1251" w:type="dxa"/>
          </w:tcPr>
          <w:p w14:paraId="66E05F91" w14:textId="1F1D28BF"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1.62</w:t>
            </w:r>
          </w:p>
        </w:tc>
        <w:tc>
          <w:tcPr>
            <w:tcW w:w="1251" w:type="dxa"/>
          </w:tcPr>
          <w:p w14:paraId="48BF1A23" w14:textId="68E44537"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57.92</w:t>
            </w:r>
          </w:p>
        </w:tc>
        <w:tc>
          <w:tcPr>
            <w:tcW w:w="1260" w:type="dxa"/>
          </w:tcPr>
          <w:p w14:paraId="665A9019" w14:textId="75A375D2"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WB WGI (2024)</w:t>
            </w:r>
          </w:p>
        </w:tc>
      </w:tr>
      <w:tr w:rsidR="009634E4" w14:paraId="3258134F" w14:textId="77777777" w:rsidTr="009634E4">
        <w:tc>
          <w:tcPr>
            <w:tcW w:w="1509" w:type="dxa"/>
          </w:tcPr>
          <w:p w14:paraId="7C31BB70" w14:textId="6A05C623"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Political Stability</w:t>
            </w:r>
          </w:p>
        </w:tc>
        <w:tc>
          <w:tcPr>
            <w:tcW w:w="1243" w:type="dxa"/>
          </w:tcPr>
          <w:p w14:paraId="1AF0BF9C" w14:textId="5DC452B2"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116</w:t>
            </w:r>
          </w:p>
        </w:tc>
        <w:tc>
          <w:tcPr>
            <w:tcW w:w="1251" w:type="dxa"/>
          </w:tcPr>
          <w:p w14:paraId="20F38A55" w14:textId="1389FC7D"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33.87</w:t>
            </w:r>
          </w:p>
        </w:tc>
        <w:tc>
          <w:tcPr>
            <w:tcW w:w="1251" w:type="dxa"/>
          </w:tcPr>
          <w:p w14:paraId="3A0E9D5F" w14:textId="59E92CCB"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19.57</w:t>
            </w:r>
          </w:p>
        </w:tc>
        <w:tc>
          <w:tcPr>
            <w:tcW w:w="1251" w:type="dxa"/>
          </w:tcPr>
          <w:p w14:paraId="5DB80BB8" w14:textId="76D432BB"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2.42</w:t>
            </w:r>
          </w:p>
        </w:tc>
        <w:tc>
          <w:tcPr>
            <w:tcW w:w="1251" w:type="dxa"/>
          </w:tcPr>
          <w:p w14:paraId="78A6733F" w14:textId="53068499"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74.07</w:t>
            </w:r>
          </w:p>
        </w:tc>
        <w:tc>
          <w:tcPr>
            <w:tcW w:w="1260" w:type="dxa"/>
          </w:tcPr>
          <w:p w14:paraId="24A03D30" w14:textId="45B5E7B0"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WB WGI (2024)</w:t>
            </w:r>
          </w:p>
        </w:tc>
      </w:tr>
      <w:tr w:rsidR="009634E4" w14:paraId="25EA03E6" w14:textId="77777777" w:rsidTr="009634E4">
        <w:tc>
          <w:tcPr>
            <w:tcW w:w="1509" w:type="dxa"/>
          </w:tcPr>
          <w:p w14:paraId="3209D904" w14:textId="28D3B3C6"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Rule of Law</w:t>
            </w:r>
          </w:p>
        </w:tc>
        <w:tc>
          <w:tcPr>
            <w:tcW w:w="1243" w:type="dxa"/>
          </w:tcPr>
          <w:p w14:paraId="3ED73230" w14:textId="2A77EFC4"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116</w:t>
            </w:r>
          </w:p>
        </w:tc>
        <w:tc>
          <w:tcPr>
            <w:tcW w:w="1251" w:type="dxa"/>
          </w:tcPr>
          <w:p w14:paraId="60AD3D11" w14:textId="6E3A448D"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30.77</w:t>
            </w:r>
          </w:p>
        </w:tc>
        <w:tc>
          <w:tcPr>
            <w:tcW w:w="1251" w:type="dxa"/>
          </w:tcPr>
          <w:p w14:paraId="710CA903" w14:textId="5106A33E"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17.16</w:t>
            </w:r>
          </w:p>
        </w:tc>
        <w:tc>
          <w:tcPr>
            <w:tcW w:w="1251" w:type="dxa"/>
          </w:tcPr>
          <w:p w14:paraId="0DBCD141" w14:textId="5FFECE71"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4.48</w:t>
            </w:r>
          </w:p>
        </w:tc>
        <w:tc>
          <w:tcPr>
            <w:tcW w:w="1251" w:type="dxa"/>
          </w:tcPr>
          <w:p w14:paraId="1FB45327" w14:textId="141211BF"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61.06</w:t>
            </w:r>
          </w:p>
        </w:tc>
        <w:tc>
          <w:tcPr>
            <w:tcW w:w="1260" w:type="dxa"/>
          </w:tcPr>
          <w:p w14:paraId="63E6BCE8" w14:textId="65EA927F" w:rsidR="009634E4"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WB WGI (2024)</w:t>
            </w:r>
          </w:p>
        </w:tc>
      </w:tr>
      <w:tr w:rsidR="009634E4" w14:paraId="5EA78932" w14:textId="77777777" w:rsidTr="009634E4">
        <w:tc>
          <w:tcPr>
            <w:tcW w:w="1509" w:type="dxa"/>
          </w:tcPr>
          <w:p w14:paraId="7CDCFB1F" w14:textId="7302ECF2"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Regulatory Quality</w:t>
            </w:r>
          </w:p>
        </w:tc>
        <w:tc>
          <w:tcPr>
            <w:tcW w:w="1243" w:type="dxa"/>
          </w:tcPr>
          <w:p w14:paraId="449AD823" w14:textId="524905CF"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116</w:t>
            </w:r>
          </w:p>
        </w:tc>
        <w:tc>
          <w:tcPr>
            <w:tcW w:w="1251" w:type="dxa"/>
          </w:tcPr>
          <w:p w14:paraId="03628492" w14:textId="5670C6D1"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27.77</w:t>
            </w:r>
          </w:p>
        </w:tc>
        <w:tc>
          <w:tcPr>
            <w:tcW w:w="1251" w:type="dxa"/>
          </w:tcPr>
          <w:p w14:paraId="75847DF2" w14:textId="3F8819FD"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13.86</w:t>
            </w:r>
          </w:p>
        </w:tc>
        <w:tc>
          <w:tcPr>
            <w:tcW w:w="1251" w:type="dxa"/>
          </w:tcPr>
          <w:p w14:paraId="76E0B3DB" w14:textId="6359E57C"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5.43</w:t>
            </w:r>
          </w:p>
        </w:tc>
        <w:tc>
          <w:tcPr>
            <w:tcW w:w="1251" w:type="dxa"/>
          </w:tcPr>
          <w:p w14:paraId="2560DE02" w14:textId="0AC5B971"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54.98</w:t>
            </w:r>
          </w:p>
        </w:tc>
        <w:tc>
          <w:tcPr>
            <w:tcW w:w="1260" w:type="dxa"/>
          </w:tcPr>
          <w:p w14:paraId="1031B989" w14:textId="5E67CD09"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WB WGI (2024)</w:t>
            </w:r>
          </w:p>
        </w:tc>
      </w:tr>
      <w:tr w:rsidR="009634E4" w14:paraId="344BF38C" w14:textId="77777777" w:rsidTr="009634E4">
        <w:tc>
          <w:tcPr>
            <w:tcW w:w="1509" w:type="dxa"/>
          </w:tcPr>
          <w:p w14:paraId="0214B87D" w14:textId="4F31B9D2" w:rsidR="009634E4" w:rsidRPr="00001BDF" w:rsidRDefault="009634E4" w:rsidP="00514720">
            <w:pPr>
              <w:spacing w:before="240" w:after="240"/>
              <w:ind w:left="238" w:right="238"/>
              <w:jc w:val="both"/>
              <w:rPr>
                <w:rFonts w:ascii="Times New Roman" w:hAnsi="Times New Roman" w:cs="Times New Roman"/>
                <w:sz w:val="24"/>
                <w:szCs w:val="24"/>
              </w:rPr>
            </w:pPr>
            <w:r w:rsidRPr="00001BDF">
              <w:rPr>
                <w:rFonts w:ascii="Times New Roman" w:hAnsi="Times New Roman" w:cs="Times New Roman"/>
                <w:sz w:val="24"/>
                <w:szCs w:val="24"/>
              </w:rPr>
              <w:t>Voice &amp; Accountability</w:t>
            </w:r>
          </w:p>
        </w:tc>
        <w:tc>
          <w:tcPr>
            <w:tcW w:w="1243" w:type="dxa"/>
          </w:tcPr>
          <w:p w14:paraId="6FF63FD7" w14:textId="41B2882D"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116</w:t>
            </w:r>
          </w:p>
        </w:tc>
        <w:tc>
          <w:tcPr>
            <w:tcW w:w="1251" w:type="dxa"/>
          </w:tcPr>
          <w:p w14:paraId="54FC104B" w14:textId="791F0CD9"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36.28</w:t>
            </w:r>
          </w:p>
        </w:tc>
        <w:tc>
          <w:tcPr>
            <w:tcW w:w="1251" w:type="dxa"/>
          </w:tcPr>
          <w:p w14:paraId="650A0175" w14:textId="373CCD41"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15.91</w:t>
            </w:r>
          </w:p>
        </w:tc>
        <w:tc>
          <w:tcPr>
            <w:tcW w:w="1251" w:type="dxa"/>
          </w:tcPr>
          <w:p w14:paraId="4BE6DB24" w14:textId="329B0A29"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7.00</w:t>
            </w:r>
          </w:p>
        </w:tc>
        <w:tc>
          <w:tcPr>
            <w:tcW w:w="1251" w:type="dxa"/>
          </w:tcPr>
          <w:p w14:paraId="7271D4A8" w14:textId="00E18EAE"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67.49</w:t>
            </w:r>
          </w:p>
        </w:tc>
        <w:tc>
          <w:tcPr>
            <w:tcW w:w="1260" w:type="dxa"/>
          </w:tcPr>
          <w:p w14:paraId="13F83668" w14:textId="682B5D22" w:rsidR="009634E4" w:rsidRPr="00BF54FF" w:rsidRDefault="009634E4" w:rsidP="00514720">
            <w:pPr>
              <w:spacing w:before="240" w:after="240"/>
              <w:ind w:left="238" w:right="238"/>
              <w:jc w:val="center"/>
              <w:rPr>
                <w:rFonts w:ascii="Times New Roman" w:hAnsi="Times New Roman" w:cs="Times New Roman"/>
                <w:sz w:val="24"/>
                <w:szCs w:val="24"/>
              </w:rPr>
            </w:pPr>
            <w:r w:rsidRPr="00C30312">
              <w:rPr>
                <w:rFonts w:ascii="Times New Roman" w:hAnsi="Times New Roman" w:cs="Times New Roman"/>
                <w:sz w:val="24"/>
                <w:szCs w:val="24"/>
              </w:rPr>
              <w:t>WB WGI (2024)</w:t>
            </w:r>
          </w:p>
        </w:tc>
      </w:tr>
    </w:tbl>
    <w:p w14:paraId="2DAD03FB" w14:textId="499812DC"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001BDF">
        <w:rPr>
          <w:rFonts w:ascii="Times New Roman" w:hAnsi="Times New Roman" w:cs="Times New Roman"/>
          <w:b/>
          <w:bCs/>
          <w:sz w:val="24"/>
          <w:szCs w:val="24"/>
        </w:rPr>
        <w:t>Table 1:</w:t>
      </w:r>
      <w:r w:rsidRPr="007D00B7">
        <w:rPr>
          <w:rFonts w:ascii="Times New Roman" w:hAnsi="Times New Roman" w:cs="Times New Roman"/>
          <w:sz w:val="24"/>
          <w:szCs w:val="24"/>
        </w:rPr>
        <w:t xml:space="preserve"> Descriptive Statistics (Full Panel, 1996–2024). WGI variables cover 1996–2024 (N = 4, T = 29, 116 observations). SDG Index Score covers 2000–2024 (100 observations). All WGI expressed as </w:t>
      </w:r>
      <w:r w:rsidRPr="007D00B7">
        <w:rPr>
          <w:rFonts w:ascii="Times New Roman" w:hAnsi="Times New Roman" w:cs="Times New Roman"/>
          <w:sz w:val="24"/>
          <w:szCs w:val="24"/>
        </w:rPr>
        <w:lastRenderedPageBreak/>
        <w:t>percentile ranks (0–100); higher = better governance. Sources: World Bank WGI (2024); SDSN Sustainable Development Report (2024). </w:t>
      </w:r>
    </w:p>
    <w:p w14:paraId="617E7BF7" w14:textId="4F11E2DC" w:rsidR="007D00B7" w:rsidRPr="00001BDF" w:rsidRDefault="00001BDF" w:rsidP="006D52D3">
      <w:pPr>
        <w:spacing w:before="240" w:after="240" w:line="240" w:lineRule="auto"/>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ECONOMETRIC METHODOLOGY</w:t>
      </w:r>
    </w:p>
    <w:p w14:paraId="4C668D05" w14:textId="0EFD5C4F" w:rsidR="007D00B7" w:rsidRPr="00001BDF" w:rsidRDefault="00001BDF" w:rsidP="006D52D3">
      <w:pPr>
        <w:spacing w:before="240" w:after="240" w:line="240" w:lineRule="auto"/>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MODEL SPECIFICATION</w:t>
      </w:r>
    </w:p>
    <w:p w14:paraId="153CCDF0"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baseline empirical model takes the following form:</w:t>
      </w:r>
    </w:p>
    <w:p w14:paraId="58B530D9"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SDGit = αi + β1CCit + β2GEit + β3PSit + β4RLit + β5RQit + β6VAit + εit     (1)</w:t>
      </w:r>
    </w:p>
    <w:p w14:paraId="3A1FEBAB"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where SDGit is the SDG Index Score for country i in year t; CCit, GEit, PSit, RLit, RQit, and VAit represent the six WGI governance dimensions; αi is the country-specific fixed effect capturing unobserved time-invariant heterogeneity; and εit is the idiosyncratic error term. The subscript i ranges over the four countries and t covers 2000–2024 for the SDG regression (T = 25) and 1996–2024 for pre-estimation diagnostics (T = 29).</w:t>
      </w:r>
    </w:p>
    <w:p w14:paraId="75A0DC1B" w14:textId="6FA429BE" w:rsidR="007D00B7" w:rsidRPr="00001BDF" w:rsidRDefault="00001BDF" w:rsidP="006D52D3">
      <w:pPr>
        <w:spacing w:before="240" w:after="240" w:line="240" w:lineRule="auto"/>
        <w:ind w:left="238" w:right="238"/>
        <w:jc w:val="both"/>
        <w:rPr>
          <w:rFonts w:ascii="Times New Roman" w:hAnsi="Times New Roman" w:cs="Times New Roman"/>
          <w:b/>
          <w:bCs/>
          <w:sz w:val="24"/>
          <w:szCs w:val="24"/>
        </w:rPr>
      </w:pPr>
      <w:r w:rsidRPr="00001BDF">
        <w:rPr>
          <w:rFonts w:ascii="Times New Roman" w:hAnsi="Times New Roman" w:cs="Times New Roman"/>
          <w:b/>
          <w:bCs/>
          <w:sz w:val="24"/>
          <w:szCs w:val="24"/>
        </w:rPr>
        <w:t>UNIT ROOT TESTS</w:t>
      </w:r>
    </w:p>
    <w:p w14:paraId="3728E19C" w14:textId="5371DD33"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All series are examined for stationarity prior to estimation. Given the small cross-sectional dimension (N = 4) and the moderate time dimension (T = 29), the study employs three panel unit root tests. The Levin, Lin, and Chu (2002) LLC test imposes a common unit root process across panels. The Im, Pesaran, and Shin (2003) IPS test allows for individual unit root processes, accommodating cross-country heterogeneity in persistence. Because the four countries share common regional shocks</w:t>
      </w:r>
      <w:r w:rsidR="00C930E5">
        <w:rPr>
          <w:rFonts w:ascii="Times New Roman" w:hAnsi="Times New Roman" w:cs="Times New Roman"/>
          <w:sz w:val="24"/>
          <w:szCs w:val="24"/>
          <w:lang w:val="en-US"/>
        </w:rPr>
        <w:t xml:space="preserve"> in terms of </w:t>
      </w:r>
      <w:r w:rsidRPr="007D00B7">
        <w:rPr>
          <w:rFonts w:ascii="Times New Roman" w:hAnsi="Times New Roman" w:cs="Times New Roman"/>
          <w:sz w:val="24"/>
          <w:szCs w:val="24"/>
        </w:rPr>
        <w:t>commodity price cycles, the Ebola epidemic (2014–2016), the COVID-19 pandemic (2020–2021), and ECOWAS-level policy harmonisation</w:t>
      </w:r>
      <w:r w:rsidR="00C930E5">
        <w:rPr>
          <w:rFonts w:ascii="Times New Roman" w:hAnsi="Times New Roman" w:cs="Times New Roman"/>
          <w:sz w:val="24"/>
          <w:szCs w:val="24"/>
          <w:lang w:val="en-US"/>
        </w:rPr>
        <w:t xml:space="preserve">. Therefore, </w:t>
      </w:r>
      <w:r w:rsidRPr="007D00B7">
        <w:rPr>
          <w:rFonts w:ascii="Times New Roman" w:hAnsi="Times New Roman" w:cs="Times New Roman"/>
          <w:sz w:val="24"/>
          <w:szCs w:val="24"/>
        </w:rPr>
        <w:t>cross-sectional dependence (CSD) is likely, which reduces the power of first-generation unit root tests. The Pesaran (2007) CIPS test</w:t>
      </w:r>
      <w:r w:rsidR="00C930E5">
        <w:rPr>
          <w:rFonts w:ascii="Times New Roman" w:hAnsi="Times New Roman" w:cs="Times New Roman"/>
          <w:sz w:val="24"/>
          <w:szCs w:val="24"/>
          <w:lang w:val="en-US"/>
        </w:rPr>
        <w:t xml:space="preserve"> </w:t>
      </w:r>
      <w:r w:rsidRPr="007D00B7">
        <w:rPr>
          <w:rFonts w:ascii="Times New Roman" w:hAnsi="Times New Roman" w:cs="Times New Roman"/>
          <w:sz w:val="24"/>
          <w:szCs w:val="24"/>
        </w:rPr>
        <w:t>a second-generation test that explicitly accounts for cross-sectional dependence by augmenting the standard ADF regression with cross-sectional averages of lagged levels and first differences</w:t>
      </w:r>
      <w:r w:rsidR="00C930E5">
        <w:rPr>
          <w:rFonts w:ascii="Times New Roman" w:hAnsi="Times New Roman" w:cs="Times New Roman"/>
          <w:sz w:val="24"/>
          <w:szCs w:val="24"/>
          <w:lang w:val="en-US"/>
        </w:rPr>
        <w:t xml:space="preserve"> </w:t>
      </w:r>
      <w:r w:rsidRPr="007D00B7">
        <w:rPr>
          <w:rFonts w:ascii="Times New Roman" w:hAnsi="Times New Roman" w:cs="Times New Roman"/>
          <w:sz w:val="24"/>
          <w:szCs w:val="24"/>
        </w:rPr>
        <w:t>is therefore</w:t>
      </w:r>
      <w:r w:rsidR="00C930E5">
        <w:rPr>
          <w:rFonts w:ascii="Times New Roman" w:hAnsi="Times New Roman" w:cs="Times New Roman"/>
          <w:sz w:val="24"/>
          <w:szCs w:val="24"/>
          <w:lang w:val="en-US"/>
        </w:rPr>
        <w:t>,</w:t>
      </w:r>
      <w:r w:rsidRPr="007D00B7">
        <w:rPr>
          <w:rFonts w:ascii="Times New Roman" w:hAnsi="Times New Roman" w:cs="Times New Roman"/>
          <w:sz w:val="24"/>
          <w:szCs w:val="24"/>
        </w:rPr>
        <w:t xml:space="preserve"> also applied. The presence of cross-sectional dependence is formally tested using the Pesaran (2004) CD test on regression residuals.</w:t>
      </w:r>
    </w:p>
    <w:p w14:paraId="3663E36E" w14:textId="2612B865" w:rsidR="007D00B7" w:rsidRPr="00C930E5" w:rsidRDefault="00C930E5" w:rsidP="006D52D3">
      <w:pPr>
        <w:spacing w:before="240" w:after="240" w:line="240" w:lineRule="auto"/>
        <w:ind w:left="238" w:right="238"/>
        <w:jc w:val="both"/>
        <w:rPr>
          <w:rFonts w:ascii="Times New Roman" w:hAnsi="Times New Roman" w:cs="Times New Roman"/>
          <w:b/>
          <w:bCs/>
          <w:sz w:val="24"/>
          <w:szCs w:val="24"/>
        </w:rPr>
      </w:pPr>
      <w:r w:rsidRPr="00C930E5">
        <w:rPr>
          <w:rFonts w:ascii="Times New Roman" w:hAnsi="Times New Roman" w:cs="Times New Roman"/>
          <w:b/>
          <w:bCs/>
          <w:sz w:val="24"/>
          <w:szCs w:val="24"/>
        </w:rPr>
        <w:t>PANEL COINTEGRATION TESTS</w:t>
      </w:r>
    </w:p>
    <w:p w14:paraId="7BB45CFE" w14:textId="019C0B49" w:rsidR="0092758C" w:rsidRPr="00514720"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Given the I(1) classification of all series, the existence of a long-run cointegrating relationship is examined using the Pedroni (1999, 2004) panel cointegration tests and the Kao (1999) test. The Pedroni tests include both panel (within-dimension) and group (between-dimension) statistics, providing evidence on whether cointegration holds for the panel as a whole and for individual country pairs. The Kao test provides an additional residual-based check on the cointegrating relationship. The availability of 25 annual observations per country for the SDG regression substantially improves the reliability of these residual-based tests relative to studies using shorter or biennially-sampled panels.</w:t>
      </w:r>
    </w:p>
    <w:p w14:paraId="2013BF09" w14:textId="07CDC2BC" w:rsidR="007D00B7" w:rsidRPr="0092758C" w:rsidRDefault="0092758C" w:rsidP="006D52D3">
      <w:pPr>
        <w:spacing w:before="240" w:after="240" w:line="240" w:lineRule="auto"/>
        <w:ind w:left="238" w:right="238"/>
        <w:jc w:val="both"/>
        <w:rPr>
          <w:rFonts w:ascii="Times New Roman" w:hAnsi="Times New Roman" w:cs="Times New Roman"/>
          <w:b/>
          <w:bCs/>
          <w:sz w:val="24"/>
          <w:szCs w:val="24"/>
        </w:rPr>
      </w:pPr>
      <w:r w:rsidRPr="0092758C">
        <w:rPr>
          <w:rFonts w:ascii="Times New Roman" w:hAnsi="Times New Roman" w:cs="Times New Roman"/>
          <w:b/>
          <w:bCs/>
          <w:sz w:val="24"/>
          <w:szCs w:val="24"/>
        </w:rPr>
        <w:t>ESTIMATION STRATEGIES</w:t>
      </w:r>
    </w:p>
    <w:p w14:paraId="309472D2" w14:textId="46F63721" w:rsidR="007D00B7" w:rsidRPr="0092758C" w:rsidRDefault="0092758C" w:rsidP="006D52D3">
      <w:pPr>
        <w:spacing w:before="240" w:after="240" w:line="240" w:lineRule="auto"/>
        <w:ind w:left="238" w:right="238"/>
        <w:jc w:val="both"/>
        <w:rPr>
          <w:rFonts w:ascii="Times New Roman" w:hAnsi="Times New Roman" w:cs="Times New Roman"/>
          <w:b/>
          <w:bCs/>
          <w:sz w:val="24"/>
          <w:szCs w:val="24"/>
        </w:rPr>
      </w:pPr>
      <w:r w:rsidRPr="0092758C">
        <w:rPr>
          <w:rFonts w:ascii="Times New Roman" w:hAnsi="Times New Roman" w:cs="Times New Roman"/>
          <w:b/>
          <w:bCs/>
          <w:sz w:val="24"/>
          <w:szCs w:val="24"/>
        </w:rPr>
        <w:t>FIXED EFFECTS ESTIMATOR WITH DRISCOLL-KRAAY CORRECTION</w:t>
      </w:r>
    </w:p>
    <w:p w14:paraId="4A059EC2" w14:textId="44AE558E"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within-group fixed effects (FE) estimator is used as the baseline specification. By demeaning all variables, the FE estimator eliminates country-specific time-invariant heterogeneity (colonial legacy, geographic endowment, cultural norms) that could confound the governance</w:t>
      </w:r>
      <w:r w:rsidR="0092758C">
        <w:rPr>
          <w:rFonts w:ascii="Times New Roman" w:hAnsi="Times New Roman" w:cs="Times New Roman"/>
          <w:sz w:val="24"/>
          <w:szCs w:val="24"/>
          <w:lang w:val="en-US"/>
        </w:rPr>
        <w:t>-</w:t>
      </w:r>
      <w:r w:rsidRPr="007D00B7">
        <w:rPr>
          <w:rFonts w:ascii="Times New Roman" w:hAnsi="Times New Roman" w:cs="Times New Roman"/>
          <w:sz w:val="24"/>
          <w:szCs w:val="24"/>
        </w:rPr>
        <w:t>SDG relationship. Given the detection of cross-sectional dependence in the Pesaran (2004) CD test, standard errors are computed using the Driscoll and Kraay (1998) estimator, which is robust to heteroscedasticity, autocorrelation of arbitrary order, and cross-sectional dependence. This represents an improvement over the clustered standard errors used in the original specification, which are robust to clustering but not to cross-sectional dependence.</w:t>
      </w:r>
    </w:p>
    <w:p w14:paraId="54A8425B" w14:textId="2C07F39D" w:rsidR="007D00B7" w:rsidRPr="0092758C" w:rsidRDefault="0092758C" w:rsidP="006D52D3">
      <w:pPr>
        <w:spacing w:before="240" w:after="240" w:line="240" w:lineRule="auto"/>
        <w:ind w:left="238" w:right="238"/>
        <w:jc w:val="both"/>
        <w:rPr>
          <w:rFonts w:ascii="Times New Roman" w:hAnsi="Times New Roman" w:cs="Times New Roman"/>
          <w:b/>
          <w:bCs/>
          <w:sz w:val="24"/>
          <w:szCs w:val="24"/>
        </w:rPr>
      </w:pPr>
      <w:r w:rsidRPr="0092758C">
        <w:rPr>
          <w:rFonts w:ascii="Times New Roman" w:hAnsi="Times New Roman" w:cs="Times New Roman"/>
          <w:b/>
          <w:bCs/>
          <w:sz w:val="24"/>
          <w:szCs w:val="24"/>
        </w:rPr>
        <w:t>POOLED MEAN GROUP ESTIMATOR</w:t>
      </w:r>
    </w:p>
    <w:p w14:paraId="56067AA5" w14:textId="02650034"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lastRenderedPageBreak/>
        <w:t xml:space="preserve">The PMG estimator of Pesaran, Shin, and Smith (1999) is the study's primary estimator. The PMG estimator addresses three deficiencies of the FE estimator in a dynamic cointegrating panel context. </w:t>
      </w:r>
      <w:r w:rsidR="0092758C">
        <w:rPr>
          <w:rFonts w:ascii="Times New Roman" w:hAnsi="Times New Roman" w:cs="Times New Roman"/>
          <w:sz w:val="24"/>
          <w:szCs w:val="24"/>
          <w:lang w:val="en-US"/>
        </w:rPr>
        <w:t>It</w:t>
      </w:r>
      <w:r w:rsidRPr="007D00B7">
        <w:rPr>
          <w:rFonts w:ascii="Times New Roman" w:hAnsi="Times New Roman" w:cs="Times New Roman"/>
          <w:sz w:val="24"/>
          <w:szCs w:val="24"/>
        </w:rPr>
        <w:t xml:space="preserve"> explicitly models the error-correction dynamics of the cointegrating relationship, distinguishing between short-run heterogeneous adjustment processes and the constrained long-run equilibrium. </w:t>
      </w:r>
      <w:r w:rsidR="0092758C">
        <w:rPr>
          <w:rFonts w:ascii="Times New Roman" w:hAnsi="Times New Roman" w:cs="Times New Roman"/>
          <w:sz w:val="24"/>
          <w:szCs w:val="24"/>
          <w:lang w:val="en-US"/>
        </w:rPr>
        <w:t>It also</w:t>
      </w:r>
      <w:r w:rsidRPr="007D00B7">
        <w:rPr>
          <w:rFonts w:ascii="Times New Roman" w:hAnsi="Times New Roman" w:cs="Times New Roman"/>
          <w:sz w:val="24"/>
          <w:szCs w:val="24"/>
        </w:rPr>
        <w:t xml:space="preserve"> allows country-specific short-run coefficients, speeds of adjustment, and error variances while constraining long-run slope coefficients to be homogeneous</w:t>
      </w:r>
      <w:r w:rsidR="0092758C">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a restriction that is both theoretically motivated (the long-run governance–development relationship should be common across similar countries) and formally testable via the Hausman test. </w:t>
      </w:r>
      <w:r w:rsidR="0092758C">
        <w:rPr>
          <w:rFonts w:ascii="Times New Roman" w:hAnsi="Times New Roman" w:cs="Times New Roman"/>
          <w:sz w:val="24"/>
          <w:szCs w:val="24"/>
          <w:lang w:val="en-US"/>
        </w:rPr>
        <w:t>Finally</w:t>
      </w:r>
      <w:r w:rsidRPr="007D00B7">
        <w:rPr>
          <w:rFonts w:ascii="Times New Roman" w:hAnsi="Times New Roman" w:cs="Times New Roman"/>
          <w:sz w:val="24"/>
          <w:szCs w:val="24"/>
        </w:rPr>
        <w:t>, it is consistent under both slope homogeneity and heterogeneity assumptions, unlike pooled estimators that impose homogeneity on all coefficients.</w:t>
      </w:r>
    </w:p>
    <w:p w14:paraId="519BE0C2"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PMG error correction specification is:</w:t>
      </w:r>
    </w:p>
    <w:p w14:paraId="640A63FE"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ΔSDGit = φi(SDGi,t-1 − θ'Xi,t-1) + Σ δ'ij ΔXi,t-j + μi + εit     (2)</w:t>
      </w:r>
    </w:p>
    <w:p w14:paraId="7DAAE83A"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where φi &lt; 0 is the country-specific error-correction coefficient (speed of adjustment toward the long-run equilibrium), θ is the vector of long-run coefficients constrained to be equal across countries, Xit is the vector of governance regressors, and μi is the country fixed effect. The Hausman test is used to adjudicate between the PMG and the unrestricted Mean Group (MG) estimator; under the null of long-run slope homogeneity, PMG is asymptotically more efficient than MG.</w:t>
      </w:r>
    </w:p>
    <w:p w14:paraId="209BFAEC" w14:textId="7C2A23AB" w:rsidR="007D00B7" w:rsidRPr="0092758C" w:rsidRDefault="0092758C" w:rsidP="006D52D3">
      <w:pPr>
        <w:spacing w:before="240" w:after="240" w:line="240" w:lineRule="auto"/>
        <w:ind w:left="238" w:right="238"/>
        <w:jc w:val="both"/>
        <w:rPr>
          <w:rFonts w:ascii="Times New Roman" w:hAnsi="Times New Roman" w:cs="Times New Roman"/>
          <w:b/>
          <w:bCs/>
          <w:sz w:val="24"/>
          <w:szCs w:val="24"/>
        </w:rPr>
      </w:pPr>
      <w:r w:rsidRPr="0092758C">
        <w:rPr>
          <w:rFonts w:ascii="Times New Roman" w:hAnsi="Times New Roman" w:cs="Times New Roman"/>
          <w:b/>
          <w:bCs/>
          <w:sz w:val="24"/>
          <w:szCs w:val="24"/>
        </w:rPr>
        <w:t>DYNAMIC FIXED EFFECTS ESTIMATOR</w:t>
      </w:r>
    </w:p>
    <w:p w14:paraId="1AF60155"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As a robustness check, the Dynamic Fixed Effects (DFE) estimator is applied, which constrains both long-run and short-run coefficients and the speed of adjustment to be equal across countries. Comparison of DFE, PMG, and MG results provides evidence on the sensitivity of findings to slope homogeneity assumptions and helps diagnose potential pooling bias.</w:t>
      </w:r>
    </w:p>
    <w:p w14:paraId="6A9DEC4C" w14:textId="53B1DF76" w:rsidR="007D00B7" w:rsidRPr="0092758C" w:rsidRDefault="0092758C" w:rsidP="006D52D3">
      <w:pPr>
        <w:spacing w:before="240" w:after="240" w:line="240" w:lineRule="auto"/>
        <w:ind w:left="238" w:right="238"/>
        <w:jc w:val="both"/>
        <w:rPr>
          <w:rFonts w:ascii="Times New Roman" w:hAnsi="Times New Roman" w:cs="Times New Roman"/>
          <w:b/>
          <w:bCs/>
          <w:sz w:val="24"/>
          <w:szCs w:val="24"/>
        </w:rPr>
      </w:pPr>
      <w:r w:rsidRPr="0092758C">
        <w:rPr>
          <w:rFonts w:ascii="Times New Roman" w:hAnsi="Times New Roman" w:cs="Times New Roman"/>
          <w:b/>
          <w:bCs/>
          <w:sz w:val="24"/>
          <w:szCs w:val="24"/>
        </w:rPr>
        <w:t>ENDOGENEITY AND IDENTIFICATION</w:t>
      </w:r>
    </w:p>
    <w:p w14:paraId="71D4CD2A" w14:textId="0932BC1E"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 fundamental identification challenge in the institutions-development nexus is reverse causality</w:t>
      </w:r>
      <w:r w:rsidR="0092758C">
        <w:rPr>
          <w:rFonts w:ascii="Times New Roman" w:hAnsi="Times New Roman" w:cs="Times New Roman"/>
          <w:sz w:val="24"/>
          <w:szCs w:val="24"/>
          <w:lang w:val="en-US"/>
        </w:rPr>
        <w:t xml:space="preserve"> where</w:t>
      </w:r>
      <w:r w:rsidRPr="007D00B7">
        <w:rPr>
          <w:rFonts w:ascii="Times New Roman" w:hAnsi="Times New Roman" w:cs="Times New Roman"/>
          <w:sz w:val="24"/>
          <w:szCs w:val="24"/>
        </w:rPr>
        <w:t xml:space="preserve"> higher development levels may generate demand for better institutions, creating simultaneity bias. The fixed effects estimator mitigates time-invariant confounding; however, it does not eliminate time-varying endogeneity. The study addresses this in t</w:t>
      </w:r>
      <w:r w:rsidR="008E3FC1">
        <w:rPr>
          <w:rFonts w:ascii="Times New Roman" w:hAnsi="Times New Roman" w:cs="Times New Roman"/>
          <w:sz w:val="24"/>
          <w:szCs w:val="24"/>
          <w:lang w:val="en-US"/>
        </w:rPr>
        <w:t xml:space="preserve">he following </w:t>
      </w:r>
      <w:r w:rsidRPr="007D00B7">
        <w:rPr>
          <w:rFonts w:ascii="Times New Roman" w:hAnsi="Times New Roman" w:cs="Times New Roman"/>
          <w:sz w:val="24"/>
          <w:szCs w:val="24"/>
        </w:rPr>
        <w:t xml:space="preserve">ways. First, the PMG estimator employs lagged governance values in the error-correction specification, reducing contemporaneous simultaneity. </w:t>
      </w:r>
      <w:r w:rsidR="008E3FC1">
        <w:rPr>
          <w:rFonts w:ascii="Times New Roman" w:hAnsi="Times New Roman" w:cs="Times New Roman"/>
          <w:sz w:val="24"/>
          <w:szCs w:val="24"/>
          <w:lang w:val="en-US"/>
        </w:rPr>
        <w:t>Next</w:t>
      </w:r>
      <w:r w:rsidRPr="007D00B7">
        <w:rPr>
          <w:rFonts w:ascii="Times New Roman" w:hAnsi="Times New Roman" w:cs="Times New Roman"/>
          <w:sz w:val="24"/>
          <w:szCs w:val="24"/>
        </w:rPr>
        <w:t>, the cointegrating framework</w:t>
      </w:r>
      <w:r w:rsidR="008E3FC1">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in which governance and SDG scores are jointly </w:t>
      </w:r>
      <w:proofErr w:type="gramStart"/>
      <w:r w:rsidRPr="007D00B7">
        <w:rPr>
          <w:rFonts w:ascii="Times New Roman" w:hAnsi="Times New Roman" w:cs="Times New Roman"/>
          <w:sz w:val="24"/>
          <w:szCs w:val="24"/>
        </w:rPr>
        <w:t>I(</w:t>
      </w:r>
      <w:proofErr w:type="gramEnd"/>
      <w:r w:rsidRPr="007D00B7">
        <w:rPr>
          <w:rFonts w:ascii="Times New Roman" w:hAnsi="Times New Roman" w:cs="Times New Roman"/>
          <w:sz w:val="24"/>
          <w:szCs w:val="24"/>
        </w:rPr>
        <w:t>1) and cointegrated</w:t>
      </w:r>
      <w:r w:rsidR="008E3FC1">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implies that the long-run relationship identified by the PMG estimator is a structural one, not a spurious correlation; in a cointegrated system, endogeneity concerns are principally short-run phenomena (Stock &amp; Watson, 1993). </w:t>
      </w:r>
      <w:r w:rsidR="008E3FC1">
        <w:rPr>
          <w:rFonts w:ascii="Times New Roman" w:hAnsi="Times New Roman" w:cs="Times New Roman"/>
          <w:sz w:val="24"/>
          <w:szCs w:val="24"/>
          <w:lang w:val="en-US"/>
        </w:rPr>
        <w:t>Also</w:t>
      </w:r>
      <w:r w:rsidRPr="007D00B7">
        <w:rPr>
          <w:rFonts w:ascii="Times New Roman" w:hAnsi="Times New Roman" w:cs="Times New Roman"/>
          <w:sz w:val="24"/>
          <w:szCs w:val="24"/>
        </w:rPr>
        <w:t>, the robustness of results across multiple estimators (FE-DK, PMG, DFE) that have different assumptions about dynamics and homogeneity provides indirect evidence against estimator-specific endogeneity confounds. The authors acknowledge that instrumental variables estimation would strengthen causal identification; the limited availability of valid instruments satisfying the exclusion restriction over a 29-year panel in this specific sub-regional context precludes full estimation, which remains an important direction for future research.</w:t>
      </w:r>
    </w:p>
    <w:p w14:paraId="0BCFBA20" w14:textId="38F14C0F" w:rsidR="007D00B7" w:rsidRPr="002A2FBF" w:rsidRDefault="002A2FBF" w:rsidP="006D52D3">
      <w:pPr>
        <w:spacing w:before="240" w:after="240" w:line="240" w:lineRule="auto"/>
        <w:ind w:left="238" w:right="238"/>
        <w:jc w:val="both"/>
        <w:rPr>
          <w:rFonts w:ascii="Times New Roman" w:hAnsi="Times New Roman" w:cs="Times New Roman"/>
          <w:b/>
          <w:bCs/>
          <w:sz w:val="24"/>
          <w:szCs w:val="24"/>
        </w:rPr>
      </w:pPr>
      <w:r w:rsidRPr="002A2FBF">
        <w:rPr>
          <w:rFonts w:ascii="Times New Roman" w:hAnsi="Times New Roman" w:cs="Times New Roman"/>
          <w:b/>
          <w:bCs/>
          <w:sz w:val="24"/>
          <w:szCs w:val="24"/>
        </w:rPr>
        <w:t>EMPIRICAL RESULTS AND DISCUSSION</w:t>
      </w:r>
    </w:p>
    <w:p w14:paraId="3B240676" w14:textId="3817B4E1" w:rsidR="007D00B7" w:rsidRPr="002A2FBF" w:rsidRDefault="002A2FBF" w:rsidP="006D52D3">
      <w:pPr>
        <w:spacing w:before="240" w:after="240" w:line="240" w:lineRule="auto"/>
        <w:ind w:left="238" w:right="238"/>
        <w:jc w:val="both"/>
        <w:rPr>
          <w:rFonts w:ascii="Times New Roman" w:hAnsi="Times New Roman" w:cs="Times New Roman"/>
          <w:b/>
          <w:bCs/>
          <w:sz w:val="24"/>
          <w:szCs w:val="24"/>
        </w:rPr>
      </w:pPr>
      <w:r w:rsidRPr="002A2FBF">
        <w:rPr>
          <w:rFonts w:ascii="Times New Roman" w:hAnsi="Times New Roman" w:cs="Times New Roman"/>
          <w:b/>
          <w:bCs/>
          <w:sz w:val="24"/>
          <w:szCs w:val="24"/>
        </w:rPr>
        <w:t>PANEL UNIT ROOT TESTS</w:t>
      </w:r>
    </w:p>
    <w:p w14:paraId="7018B67B" w14:textId="6F9628E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 xml:space="preserve">Table 2 reports the panel unit root test results for all series over the full 1996–2024 panel. The LLC and IPS tests consistently fail to reject the null of a panel unit root in levels across all seven variables, while the null is decisively rejected for all first-differenced series at the 1% significance level. The CIPS second-generation test, which accounts for cross-sectional dependence, corroborates this finding: CIPS statistics in levels fall below the critical values for all series, while first-differenced CIPS statistics reject the null at 1%. </w:t>
      </w:r>
      <w:r w:rsidRPr="007D00B7">
        <w:rPr>
          <w:rFonts w:ascii="Times New Roman" w:hAnsi="Times New Roman" w:cs="Times New Roman"/>
          <w:sz w:val="24"/>
          <w:szCs w:val="24"/>
        </w:rPr>
        <w:lastRenderedPageBreak/>
        <w:t>All seven series are therefore classified as integrated of order one, I(1). This result is consistent with the broader panel data literature on governance indicators over multi-decade</w:t>
      </w:r>
      <w:r w:rsidR="007952A3">
        <w:rPr>
          <w:rFonts w:ascii="Times New Roman" w:hAnsi="Times New Roman" w:cs="Times New Roman"/>
          <w:sz w:val="24"/>
          <w:szCs w:val="24"/>
        </w:rPr>
        <w:t xml:space="preserve"> horizons (Kaufmann et al., 200</w:t>
      </w:r>
      <w:r w:rsidR="007952A3">
        <w:rPr>
          <w:rFonts w:ascii="Times New Roman" w:hAnsi="Times New Roman" w:cs="Times New Roman"/>
          <w:sz w:val="24"/>
          <w:szCs w:val="24"/>
          <w:lang w:val="en-US"/>
        </w:rPr>
        <w:t>5</w:t>
      </w:r>
      <w:r w:rsidRPr="007D00B7">
        <w:rPr>
          <w:rFonts w:ascii="Times New Roman" w:hAnsi="Times New Roman" w:cs="Times New Roman"/>
          <w:sz w:val="24"/>
          <w:szCs w:val="24"/>
        </w:rPr>
        <w:t>; Godfrey et al., 2022) and motivates the subsequent cointegration analysis.</w:t>
      </w:r>
    </w:p>
    <w:p w14:paraId="7F1D6FCF" w14:textId="7531AED7" w:rsid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Pesaran (2004) CD test applied to the FE residual yields a test statistic of 3.87 (p = 0.000), confirming the presence of cross-sectional dependence in the data. This underscores the importance of the CIPS test in the unit root stage and the Driscoll-Kraay correction in the fixed effects estimation.</w:t>
      </w:r>
    </w:p>
    <w:p w14:paraId="0E0D531D" w14:textId="303A2D51" w:rsidR="00094430" w:rsidRDefault="00094430" w:rsidP="006D52D3">
      <w:pPr>
        <w:spacing w:before="240" w:after="240" w:line="240" w:lineRule="auto"/>
        <w:ind w:left="238" w:right="238"/>
        <w:jc w:val="both"/>
        <w:rPr>
          <w:rFonts w:ascii="Times New Roman" w:hAnsi="Times New Roman" w:cs="Times New Roman"/>
          <w:sz w:val="24"/>
          <w:szCs w:val="24"/>
        </w:rPr>
      </w:pPr>
    </w:p>
    <w:p w14:paraId="42E95597" w14:textId="0C85618B" w:rsidR="00094430" w:rsidRDefault="00094430" w:rsidP="006D52D3">
      <w:pPr>
        <w:spacing w:before="240" w:after="240" w:line="240" w:lineRule="auto"/>
        <w:ind w:left="238" w:right="238"/>
        <w:jc w:val="both"/>
        <w:rPr>
          <w:rFonts w:ascii="Times New Roman" w:hAnsi="Times New Roman" w:cs="Times New Roman"/>
          <w:sz w:val="24"/>
          <w:szCs w:val="24"/>
        </w:rPr>
      </w:pPr>
    </w:p>
    <w:p w14:paraId="73FBC33F" w14:textId="1C7E391B" w:rsidR="00094430" w:rsidRDefault="00094430" w:rsidP="006D52D3">
      <w:pPr>
        <w:spacing w:before="240" w:after="240" w:line="240" w:lineRule="auto"/>
        <w:ind w:left="238" w:right="238"/>
        <w:jc w:val="both"/>
        <w:rPr>
          <w:rFonts w:ascii="Times New Roman" w:hAnsi="Times New Roman" w:cs="Times New Roman"/>
          <w:sz w:val="24"/>
          <w:szCs w:val="24"/>
        </w:rPr>
      </w:pPr>
    </w:p>
    <w:p w14:paraId="316185F8" w14:textId="055D47AD" w:rsidR="00094430" w:rsidRDefault="00094430" w:rsidP="006D52D3">
      <w:pPr>
        <w:spacing w:before="240" w:after="240" w:line="240" w:lineRule="auto"/>
        <w:ind w:left="238" w:right="238"/>
        <w:jc w:val="both"/>
        <w:rPr>
          <w:rFonts w:ascii="Times New Roman" w:hAnsi="Times New Roman" w:cs="Times New Roman"/>
          <w:sz w:val="24"/>
          <w:szCs w:val="24"/>
        </w:rPr>
      </w:pPr>
    </w:p>
    <w:p w14:paraId="66935D62" w14:textId="77777777" w:rsidR="00094430" w:rsidRDefault="00094430" w:rsidP="006D52D3">
      <w:pPr>
        <w:spacing w:before="240" w:after="240" w:line="240" w:lineRule="auto"/>
        <w:ind w:left="238" w:right="238"/>
        <w:jc w:val="both"/>
        <w:rPr>
          <w:rFonts w:ascii="Times New Roman" w:hAnsi="Times New Roman" w:cs="Times New Roman"/>
          <w:sz w:val="24"/>
          <w:szCs w:val="24"/>
        </w:rPr>
      </w:pPr>
    </w:p>
    <w:tbl>
      <w:tblPr>
        <w:tblStyle w:val="TableGrid"/>
        <w:tblW w:w="0" w:type="auto"/>
        <w:tblInd w:w="137" w:type="dxa"/>
        <w:tblLayout w:type="fixed"/>
        <w:tblLook w:val="04A0" w:firstRow="1" w:lastRow="0" w:firstColumn="1" w:lastColumn="0" w:noHBand="0" w:noVBand="1"/>
      </w:tblPr>
      <w:tblGrid>
        <w:gridCol w:w="1276"/>
        <w:gridCol w:w="1134"/>
        <w:gridCol w:w="1061"/>
        <w:gridCol w:w="1065"/>
        <w:gridCol w:w="1134"/>
        <w:gridCol w:w="1134"/>
        <w:gridCol w:w="1134"/>
        <w:gridCol w:w="851"/>
        <w:gridCol w:w="992"/>
      </w:tblGrid>
      <w:tr w:rsidR="00094430" w14:paraId="3DD0EEA4" w14:textId="77777777" w:rsidTr="00094430">
        <w:tc>
          <w:tcPr>
            <w:tcW w:w="1276" w:type="dxa"/>
          </w:tcPr>
          <w:p w14:paraId="286A0229" w14:textId="3429126F"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Variable</w:t>
            </w:r>
          </w:p>
        </w:tc>
        <w:tc>
          <w:tcPr>
            <w:tcW w:w="1134" w:type="dxa"/>
          </w:tcPr>
          <w:p w14:paraId="05E19BBD" w14:textId="083EDC01"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LLC (Level)</w:t>
            </w:r>
          </w:p>
        </w:tc>
        <w:tc>
          <w:tcPr>
            <w:tcW w:w="1061" w:type="dxa"/>
          </w:tcPr>
          <w:p w14:paraId="3B206805" w14:textId="5DCBCFA7"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IPS (Level)</w:t>
            </w:r>
          </w:p>
        </w:tc>
        <w:tc>
          <w:tcPr>
            <w:tcW w:w="1065" w:type="dxa"/>
          </w:tcPr>
          <w:p w14:paraId="654350CB" w14:textId="294B023D"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CIPS (Level)</w:t>
            </w:r>
          </w:p>
        </w:tc>
        <w:tc>
          <w:tcPr>
            <w:tcW w:w="1134" w:type="dxa"/>
          </w:tcPr>
          <w:p w14:paraId="627F78CD" w14:textId="7EA13ABD"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LLC (</w:t>
            </w:r>
            <w:proofErr w:type="spellStart"/>
            <w:r w:rsidRPr="00094430">
              <w:rPr>
                <w:b/>
                <w:bCs/>
                <w:sz w:val="20"/>
                <w:szCs w:val="20"/>
              </w:rPr>
              <w:t>ΔLevel</w:t>
            </w:r>
            <w:proofErr w:type="spellEnd"/>
            <w:r w:rsidRPr="00094430">
              <w:rPr>
                <w:b/>
                <w:bCs/>
                <w:sz w:val="20"/>
                <w:szCs w:val="20"/>
              </w:rPr>
              <w:t>)</w:t>
            </w:r>
          </w:p>
        </w:tc>
        <w:tc>
          <w:tcPr>
            <w:tcW w:w="1134" w:type="dxa"/>
          </w:tcPr>
          <w:p w14:paraId="4F4A3061" w14:textId="56BC78E9"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IPS (</w:t>
            </w:r>
            <w:proofErr w:type="spellStart"/>
            <w:r w:rsidRPr="00094430">
              <w:rPr>
                <w:b/>
                <w:bCs/>
                <w:sz w:val="20"/>
                <w:szCs w:val="20"/>
              </w:rPr>
              <w:t>ΔLevel</w:t>
            </w:r>
            <w:proofErr w:type="spellEnd"/>
            <w:r w:rsidRPr="00094430">
              <w:rPr>
                <w:b/>
                <w:bCs/>
                <w:sz w:val="20"/>
                <w:szCs w:val="20"/>
              </w:rPr>
              <w:t>)</w:t>
            </w:r>
          </w:p>
        </w:tc>
        <w:tc>
          <w:tcPr>
            <w:tcW w:w="1134" w:type="dxa"/>
          </w:tcPr>
          <w:p w14:paraId="6C2EE642" w14:textId="58BF373E"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CIPS (</w:t>
            </w:r>
            <w:proofErr w:type="spellStart"/>
            <w:r w:rsidRPr="00094430">
              <w:rPr>
                <w:b/>
                <w:bCs/>
                <w:sz w:val="20"/>
                <w:szCs w:val="20"/>
              </w:rPr>
              <w:t>ΔLevel</w:t>
            </w:r>
            <w:proofErr w:type="spellEnd"/>
            <w:r w:rsidRPr="00094430">
              <w:rPr>
                <w:b/>
                <w:bCs/>
                <w:sz w:val="20"/>
                <w:szCs w:val="20"/>
              </w:rPr>
              <w:t>)</w:t>
            </w:r>
          </w:p>
        </w:tc>
        <w:tc>
          <w:tcPr>
            <w:tcW w:w="851" w:type="dxa"/>
          </w:tcPr>
          <w:p w14:paraId="5E4456D4" w14:textId="2287F2ED"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CD Test</w:t>
            </w:r>
          </w:p>
        </w:tc>
        <w:tc>
          <w:tcPr>
            <w:tcW w:w="992" w:type="dxa"/>
          </w:tcPr>
          <w:p w14:paraId="7EC3EFBC" w14:textId="31147E14" w:rsidR="00EF6A4B" w:rsidRPr="00094430" w:rsidRDefault="00EF6A4B" w:rsidP="00EF6A4B">
            <w:pPr>
              <w:spacing w:before="240" w:after="240"/>
              <w:ind w:right="238"/>
              <w:jc w:val="both"/>
              <w:rPr>
                <w:rFonts w:ascii="Times New Roman" w:hAnsi="Times New Roman" w:cs="Times New Roman"/>
                <w:sz w:val="20"/>
                <w:szCs w:val="20"/>
              </w:rPr>
            </w:pPr>
            <w:r w:rsidRPr="00094430">
              <w:rPr>
                <w:b/>
                <w:bCs/>
                <w:sz w:val="20"/>
                <w:szCs w:val="20"/>
              </w:rPr>
              <w:t>Order</w:t>
            </w:r>
          </w:p>
        </w:tc>
      </w:tr>
      <w:tr w:rsidR="00094430" w14:paraId="2178F4E8" w14:textId="77777777" w:rsidTr="00094430">
        <w:tc>
          <w:tcPr>
            <w:tcW w:w="1276" w:type="dxa"/>
          </w:tcPr>
          <w:p w14:paraId="135FE06C" w14:textId="73206344"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SDG Index Score</w:t>
            </w:r>
          </w:p>
        </w:tc>
        <w:tc>
          <w:tcPr>
            <w:tcW w:w="1134" w:type="dxa"/>
          </w:tcPr>
          <w:p w14:paraId="603156B7" w14:textId="0D9A0888"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−1.671</w:t>
            </w:r>
          </w:p>
        </w:tc>
        <w:tc>
          <w:tcPr>
            <w:tcW w:w="1061" w:type="dxa"/>
          </w:tcPr>
          <w:p w14:paraId="5FD88F42" w14:textId="3F508143"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−1.158</w:t>
            </w:r>
          </w:p>
        </w:tc>
        <w:tc>
          <w:tcPr>
            <w:tcW w:w="1065" w:type="dxa"/>
          </w:tcPr>
          <w:p w14:paraId="11FCBC95" w14:textId="3C7DF595"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−1.843</w:t>
            </w:r>
          </w:p>
        </w:tc>
        <w:tc>
          <w:tcPr>
            <w:tcW w:w="1134" w:type="dxa"/>
          </w:tcPr>
          <w:p w14:paraId="6A69EDBC" w14:textId="77777777" w:rsidR="00094430" w:rsidRDefault="00EF6A4B" w:rsidP="00EF6A4B">
            <w:pPr>
              <w:spacing w:before="240" w:after="240"/>
              <w:ind w:right="238"/>
              <w:jc w:val="both"/>
              <w:rPr>
                <w:sz w:val="20"/>
                <w:szCs w:val="20"/>
              </w:rPr>
            </w:pPr>
            <w:r w:rsidRPr="00094430">
              <w:rPr>
                <w:sz w:val="20"/>
                <w:szCs w:val="20"/>
              </w:rPr>
              <w:t>−7.074</w:t>
            </w:r>
          </w:p>
          <w:p w14:paraId="27DB5F4C" w14:textId="7F65408A"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383E70F8" w14:textId="77777777" w:rsidR="00094430" w:rsidRDefault="00EF6A4B" w:rsidP="00EF6A4B">
            <w:pPr>
              <w:spacing w:before="240" w:after="240"/>
              <w:ind w:right="238"/>
              <w:jc w:val="both"/>
              <w:rPr>
                <w:sz w:val="20"/>
                <w:szCs w:val="20"/>
              </w:rPr>
            </w:pPr>
            <w:r w:rsidRPr="00094430">
              <w:rPr>
                <w:sz w:val="20"/>
                <w:szCs w:val="20"/>
              </w:rPr>
              <w:t>−6.196</w:t>
            </w:r>
          </w:p>
          <w:p w14:paraId="25E39ECF" w14:textId="103E11D2"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25EFBD25" w14:textId="77777777" w:rsidR="00094430" w:rsidRDefault="00EF6A4B" w:rsidP="00EF6A4B">
            <w:pPr>
              <w:spacing w:before="240" w:after="240"/>
              <w:ind w:right="238"/>
              <w:jc w:val="both"/>
              <w:rPr>
                <w:sz w:val="20"/>
                <w:szCs w:val="20"/>
              </w:rPr>
            </w:pPr>
            <w:r w:rsidRPr="00094430">
              <w:rPr>
                <w:sz w:val="20"/>
                <w:szCs w:val="20"/>
              </w:rPr>
              <w:t>−3.621</w:t>
            </w:r>
          </w:p>
          <w:p w14:paraId="28502785" w14:textId="7CD22C05"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2608D543" w14:textId="5464F2AA"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3.87***</w:t>
            </w:r>
          </w:p>
        </w:tc>
        <w:tc>
          <w:tcPr>
            <w:tcW w:w="992" w:type="dxa"/>
          </w:tcPr>
          <w:p w14:paraId="3BEA2ACE" w14:textId="7F5C731D"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r w:rsidR="00094430" w14:paraId="247A8D53" w14:textId="77777777" w:rsidTr="00094430">
        <w:tc>
          <w:tcPr>
            <w:tcW w:w="1276" w:type="dxa"/>
          </w:tcPr>
          <w:p w14:paraId="38583A7A" w14:textId="1114A6A2"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Control of Corruption</w:t>
            </w:r>
          </w:p>
        </w:tc>
        <w:tc>
          <w:tcPr>
            <w:tcW w:w="1134" w:type="dxa"/>
          </w:tcPr>
          <w:p w14:paraId="2BC83E20" w14:textId="796DCD65"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−1.223</w:t>
            </w:r>
          </w:p>
        </w:tc>
        <w:tc>
          <w:tcPr>
            <w:tcW w:w="1061" w:type="dxa"/>
          </w:tcPr>
          <w:p w14:paraId="3C04295E" w14:textId="7C898BEE"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−0.945</w:t>
            </w:r>
          </w:p>
        </w:tc>
        <w:tc>
          <w:tcPr>
            <w:tcW w:w="1065" w:type="dxa"/>
          </w:tcPr>
          <w:p w14:paraId="06B3C987" w14:textId="3F6ABC89"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−1.512</w:t>
            </w:r>
          </w:p>
        </w:tc>
        <w:tc>
          <w:tcPr>
            <w:tcW w:w="1134" w:type="dxa"/>
          </w:tcPr>
          <w:p w14:paraId="58615EE6" w14:textId="77777777" w:rsidR="00094430" w:rsidRDefault="00EF6A4B" w:rsidP="00EF6A4B">
            <w:pPr>
              <w:spacing w:before="240" w:after="240"/>
              <w:ind w:right="238"/>
              <w:jc w:val="both"/>
              <w:rPr>
                <w:sz w:val="20"/>
                <w:szCs w:val="20"/>
              </w:rPr>
            </w:pPr>
            <w:r w:rsidRPr="00094430">
              <w:rPr>
                <w:sz w:val="20"/>
                <w:szCs w:val="20"/>
              </w:rPr>
              <w:t>−8.130</w:t>
            </w:r>
          </w:p>
          <w:p w14:paraId="3A46F35F" w14:textId="279348EC"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37648D73" w14:textId="77777777" w:rsidR="00094430" w:rsidRDefault="00EF6A4B" w:rsidP="00EF6A4B">
            <w:pPr>
              <w:spacing w:before="240" w:after="240"/>
              <w:ind w:right="238"/>
              <w:jc w:val="both"/>
              <w:rPr>
                <w:sz w:val="20"/>
                <w:szCs w:val="20"/>
              </w:rPr>
            </w:pPr>
            <w:r w:rsidRPr="00094430">
              <w:rPr>
                <w:sz w:val="20"/>
                <w:szCs w:val="20"/>
              </w:rPr>
              <w:t>−7.454</w:t>
            </w:r>
          </w:p>
          <w:p w14:paraId="4EF3473F" w14:textId="4E809F1A"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6B0B6546" w14:textId="77777777" w:rsidR="00094430" w:rsidRDefault="00EF6A4B" w:rsidP="00EF6A4B">
            <w:pPr>
              <w:spacing w:before="240" w:after="240"/>
              <w:ind w:right="238"/>
              <w:jc w:val="both"/>
              <w:rPr>
                <w:sz w:val="20"/>
                <w:szCs w:val="20"/>
              </w:rPr>
            </w:pPr>
            <w:r w:rsidRPr="00094430">
              <w:rPr>
                <w:sz w:val="20"/>
                <w:szCs w:val="20"/>
              </w:rPr>
              <w:t>−3.891</w:t>
            </w:r>
          </w:p>
          <w:p w14:paraId="66011D84" w14:textId="2A827D3D"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53D644CB" w14:textId="51DAE2C4"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992" w:type="dxa"/>
          </w:tcPr>
          <w:p w14:paraId="5E19F28A" w14:textId="38A20967"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r w:rsidR="00094430" w14:paraId="7FC0B89D" w14:textId="77777777" w:rsidTr="00094430">
        <w:tc>
          <w:tcPr>
            <w:tcW w:w="1276" w:type="dxa"/>
          </w:tcPr>
          <w:p w14:paraId="0C8C5FEE" w14:textId="758471FC"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Govt. Effectiveness</w:t>
            </w:r>
          </w:p>
        </w:tc>
        <w:tc>
          <w:tcPr>
            <w:tcW w:w="1134" w:type="dxa"/>
          </w:tcPr>
          <w:p w14:paraId="0048D879" w14:textId="5CA938F4"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−2.663</w:t>
            </w:r>
          </w:p>
        </w:tc>
        <w:tc>
          <w:tcPr>
            <w:tcW w:w="1061" w:type="dxa"/>
          </w:tcPr>
          <w:p w14:paraId="05A5577A" w14:textId="49C73190"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−1.907</w:t>
            </w:r>
          </w:p>
        </w:tc>
        <w:tc>
          <w:tcPr>
            <w:tcW w:w="1065" w:type="dxa"/>
          </w:tcPr>
          <w:p w14:paraId="33199BAB" w14:textId="1CA96DCB"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−2.114</w:t>
            </w:r>
          </w:p>
        </w:tc>
        <w:tc>
          <w:tcPr>
            <w:tcW w:w="1134" w:type="dxa"/>
          </w:tcPr>
          <w:p w14:paraId="7875C7BE" w14:textId="4C181A83"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−11.571***</w:t>
            </w:r>
          </w:p>
        </w:tc>
        <w:tc>
          <w:tcPr>
            <w:tcW w:w="1134" w:type="dxa"/>
          </w:tcPr>
          <w:p w14:paraId="597CCF20" w14:textId="3B300544"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−10.638***</w:t>
            </w:r>
          </w:p>
        </w:tc>
        <w:tc>
          <w:tcPr>
            <w:tcW w:w="1134" w:type="dxa"/>
          </w:tcPr>
          <w:p w14:paraId="3D7FE877" w14:textId="77777777" w:rsidR="00094430" w:rsidRDefault="00EF6A4B" w:rsidP="00EF6A4B">
            <w:pPr>
              <w:spacing w:before="240" w:after="240"/>
              <w:ind w:right="238"/>
              <w:jc w:val="both"/>
              <w:rPr>
                <w:sz w:val="20"/>
                <w:szCs w:val="20"/>
              </w:rPr>
            </w:pPr>
            <w:r w:rsidRPr="00094430">
              <w:rPr>
                <w:sz w:val="20"/>
                <w:szCs w:val="20"/>
              </w:rPr>
              <w:t>−4.102</w:t>
            </w:r>
          </w:p>
          <w:p w14:paraId="2422F40A" w14:textId="2F391FA6"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6BF8EF4F" w14:textId="2460F9B4"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992" w:type="dxa"/>
          </w:tcPr>
          <w:p w14:paraId="48019512" w14:textId="4F95DF97"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r w:rsidR="00094430" w14:paraId="67EE8169" w14:textId="77777777" w:rsidTr="00094430">
        <w:tc>
          <w:tcPr>
            <w:tcW w:w="1276" w:type="dxa"/>
          </w:tcPr>
          <w:p w14:paraId="1F776083" w14:textId="3E92A60B"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Political Stability</w:t>
            </w:r>
          </w:p>
        </w:tc>
        <w:tc>
          <w:tcPr>
            <w:tcW w:w="1134" w:type="dxa"/>
          </w:tcPr>
          <w:p w14:paraId="41BE56A2" w14:textId="557EE21A"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−1.712</w:t>
            </w:r>
          </w:p>
        </w:tc>
        <w:tc>
          <w:tcPr>
            <w:tcW w:w="1061" w:type="dxa"/>
          </w:tcPr>
          <w:p w14:paraId="3E0E64E9" w14:textId="5C1CA7DB"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−1.756</w:t>
            </w:r>
          </w:p>
        </w:tc>
        <w:tc>
          <w:tcPr>
            <w:tcW w:w="1065" w:type="dxa"/>
          </w:tcPr>
          <w:p w14:paraId="4942133D" w14:textId="58BC2C3D"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−1.978</w:t>
            </w:r>
          </w:p>
        </w:tc>
        <w:tc>
          <w:tcPr>
            <w:tcW w:w="1134" w:type="dxa"/>
          </w:tcPr>
          <w:p w14:paraId="7C26F66E" w14:textId="77777777" w:rsidR="00094430" w:rsidRDefault="00EF6A4B" w:rsidP="00EF6A4B">
            <w:pPr>
              <w:spacing w:before="240" w:after="240"/>
              <w:ind w:right="238"/>
              <w:jc w:val="both"/>
              <w:rPr>
                <w:sz w:val="20"/>
                <w:szCs w:val="20"/>
              </w:rPr>
            </w:pPr>
            <w:r w:rsidRPr="00094430">
              <w:rPr>
                <w:sz w:val="20"/>
                <w:szCs w:val="20"/>
              </w:rPr>
              <w:t>−7.105</w:t>
            </w:r>
          </w:p>
          <w:p w14:paraId="06E8E7C6" w14:textId="1EECC3F9"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5E668AEE" w14:textId="77777777" w:rsidR="00094430" w:rsidRDefault="00EF6A4B" w:rsidP="00EF6A4B">
            <w:pPr>
              <w:spacing w:before="240" w:after="240"/>
              <w:ind w:right="238"/>
              <w:jc w:val="both"/>
              <w:rPr>
                <w:sz w:val="20"/>
                <w:szCs w:val="20"/>
              </w:rPr>
            </w:pPr>
            <w:r w:rsidRPr="00094430">
              <w:rPr>
                <w:sz w:val="20"/>
                <w:szCs w:val="20"/>
              </w:rPr>
              <w:t>−9.393</w:t>
            </w:r>
          </w:p>
          <w:p w14:paraId="30105DE3" w14:textId="5AAA9D6F"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50E7761A" w14:textId="77777777" w:rsidR="00094430" w:rsidRDefault="00EF6A4B" w:rsidP="00EF6A4B">
            <w:pPr>
              <w:spacing w:before="240" w:after="240"/>
              <w:ind w:right="238"/>
              <w:jc w:val="both"/>
              <w:rPr>
                <w:sz w:val="20"/>
                <w:szCs w:val="20"/>
              </w:rPr>
            </w:pPr>
            <w:r w:rsidRPr="00094430">
              <w:rPr>
                <w:sz w:val="20"/>
                <w:szCs w:val="20"/>
              </w:rPr>
              <w:t>−3.744</w:t>
            </w:r>
          </w:p>
          <w:p w14:paraId="7EEEA7D3" w14:textId="6F05E9CE"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24A94C1B" w14:textId="02B1D807"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992" w:type="dxa"/>
          </w:tcPr>
          <w:p w14:paraId="0DD9646E" w14:textId="0911C73D"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r w:rsidR="00094430" w14:paraId="5C50209B" w14:textId="77777777" w:rsidTr="00094430">
        <w:tc>
          <w:tcPr>
            <w:tcW w:w="1276" w:type="dxa"/>
          </w:tcPr>
          <w:p w14:paraId="43E794DA" w14:textId="6993853A"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Rule of Law</w:t>
            </w:r>
          </w:p>
        </w:tc>
        <w:tc>
          <w:tcPr>
            <w:tcW w:w="1134" w:type="dxa"/>
          </w:tcPr>
          <w:p w14:paraId="264644C4" w14:textId="314EDF9B"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−1.154</w:t>
            </w:r>
          </w:p>
        </w:tc>
        <w:tc>
          <w:tcPr>
            <w:tcW w:w="1061" w:type="dxa"/>
          </w:tcPr>
          <w:p w14:paraId="70C8D74F" w14:textId="22DE73B0"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−0.177</w:t>
            </w:r>
          </w:p>
        </w:tc>
        <w:tc>
          <w:tcPr>
            <w:tcW w:w="1065" w:type="dxa"/>
          </w:tcPr>
          <w:p w14:paraId="63F8F62C" w14:textId="312AFE17"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−1.629</w:t>
            </w:r>
          </w:p>
        </w:tc>
        <w:tc>
          <w:tcPr>
            <w:tcW w:w="1134" w:type="dxa"/>
          </w:tcPr>
          <w:p w14:paraId="1A3BB37A" w14:textId="77777777" w:rsidR="00094430" w:rsidRDefault="00EF6A4B" w:rsidP="00EF6A4B">
            <w:pPr>
              <w:spacing w:before="240" w:after="240"/>
              <w:ind w:right="238"/>
              <w:jc w:val="both"/>
              <w:rPr>
                <w:sz w:val="20"/>
                <w:szCs w:val="20"/>
              </w:rPr>
            </w:pPr>
            <w:r w:rsidRPr="00094430">
              <w:rPr>
                <w:sz w:val="20"/>
                <w:szCs w:val="20"/>
              </w:rPr>
              <w:t>−9.743</w:t>
            </w:r>
          </w:p>
          <w:p w14:paraId="6108D537" w14:textId="7DC8C508"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2AE89A04" w14:textId="5ED50622"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−10.612***</w:t>
            </w:r>
          </w:p>
        </w:tc>
        <w:tc>
          <w:tcPr>
            <w:tcW w:w="1134" w:type="dxa"/>
          </w:tcPr>
          <w:p w14:paraId="4A613F00" w14:textId="77777777" w:rsidR="00094430" w:rsidRDefault="00EF6A4B" w:rsidP="00EF6A4B">
            <w:pPr>
              <w:spacing w:before="240" w:after="240"/>
              <w:ind w:right="238"/>
              <w:jc w:val="both"/>
              <w:rPr>
                <w:sz w:val="20"/>
                <w:szCs w:val="20"/>
              </w:rPr>
            </w:pPr>
            <w:r w:rsidRPr="00094430">
              <w:rPr>
                <w:sz w:val="20"/>
                <w:szCs w:val="20"/>
              </w:rPr>
              <w:t>−4.317</w:t>
            </w:r>
          </w:p>
          <w:p w14:paraId="386948AC" w14:textId="7F6114A0"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3A15B152" w14:textId="4B5785CF"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992" w:type="dxa"/>
          </w:tcPr>
          <w:p w14:paraId="6D407186" w14:textId="00539B07"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r w:rsidR="00094430" w14:paraId="23296661" w14:textId="77777777" w:rsidTr="00094430">
        <w:tc>
          <w:tcPr>
            <w:tcW w:w="1276" w:type="dxa"/>
          </w:tcPr>
          <w:p w14:paraId="08FFCF20" w14:textId="1ABF778F"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Regulatory Quality</w:t>
            </w:r>
          </w:p>
        </w:tc>
        <w:tc>
          <w:tcPr>
            <w:tcW w:w="1134" w:type="dxa"/>
          </w:tcPr>
          <w:p w14:paraId="58B9B8EB" w14:textId="2F2AAA25"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−1.276</w:t>
            </w:r>
          </w:p>
        </w:tc>
        <w:tc>
          <w:tcPr>
            <w:tcW w:w="1061" w:type="dxa"/>
          </w:tcPr>
          <w:p w14:paraId="67F7F559" w14:textId="08C8D236"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−1.733</w:t>
            </w:r>
          </w:p>
        </w:tc>
        <w:tc>
          <w:tcPr>
            <w:tcW w:w="1065" w:type="dxa"/>
          </w:tcPr>
          <w:p w14:paraId="2E8C3957" w14:textId="6100AE29"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−1.701</w:t>
            </w:r>
          </w:p>
        </w:tc>
        <w:tc>
          <w:tcPr>
            <w:tcW w:w="1134" w:type="dxa"/>
          </w:tcPr>
          <w:p w14:paraId="0C5839D9" w14:textId="77777777" w:rsidR="00094430" w:rsidRDefault="00EF6A4B" w:rsidP="00EF6A4B">
            <w:pPr>
              <w:spacing w:before="240" w:after="240"/>
              <w:ind w:right="238"/>
              <w:jc w:val="both"/>
              <w:rPr>
                <w:sz w:val="20"/>
                <w:szCs w:val="20"/>
              </w:rPr>
            </w:pPr>
            <w:r w:rsidRPr="00094430">
              <w:rPr>
                <w:sz w:val="20"/>
                <w:szCs w:val="20"/>
              </w:rPr>
              <w:t>−8.987</w:t>
            </w:r>
          </w:p>
          <w:p w14:paraId="5480888F" w14:textId="0FBACD07"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09F38F9A" w14:textId="77777777" w:rsidR="00094430" w:rsidRDefault="00EF6A4B" w:rsidP="00EF6A4B">
            <w:pPr>
              <w:spacing w:before="240" w:after="240"/>
              <w:ind w:right="238"/>
              <w:jc w:val="both"/>
              <w:rPr>
                <w:sz w:val="20"/>
                <w:szCs w:val="20"/>
              </w:rPr>
            </w:pPr>
            <w:r w:rsidRPr="00094430">
              <w:rPr>
                <w:sz w:val="20"/>
                <w:szCs w:val="20"/>
              </w:rPr>
              <w:t>−8.789</w:t>
            </w:r>
          </w:p>
          <w:p w14:paraId="6203BA80" w14:textId="2FAFE511"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17551FD7" w14:textId="77777777" w:rsidR="00094430" w:rsidRDefault="00EF6A4B" w:rsidP="00EF6A4B">
            <w:pPr>
              <w:spacing w:before="240" w:after="240"/>
              <w:ind w:right="238"/>
              <w:jc w:val="both"/>
              <w:rPr>
                <w:sz w:val="20"/>
                <w:szCs w:val="20"/>
              </w:rPr>
            </w:pPr>
            <w:r w:rsidRPr="00094430">
              <w:rPr>
                <w:sz w:val="20"/>
                <w:szCs w:val="20"/>
              </w:rPr>
              <w:t>−3.958</w:t>
            </w:r>
          </w:p>
          <w:p w14:paraId="4416B790" w14:textId="5FD8B2ED"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368CDAD7" w14:textId="4D078B0E"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992" w:type="dxa"/>
          </w:tcPr>
          <w:p w14:paraId="54B4478A" w14:textId="6A9C512E"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r w:rsidR="00094430" w14:paraId="6E23BA8E" w14:textId="77777777" w:rsidTr="00094430">
        <w:tc>
          <w:tcPr>
            <w:tcW w:w="1276" w:type="dxa"/>
          </w:tcPr>
          <w:p w14:paraId="06496AA3" w14:textId="6D3838CE"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Voice &amp; Accountability</w:t>
            </w:r>
          </w:p>
        </w:tc>
        <w:tc>
          <w:tcPr>
            <w:tcW w:w="1134" w:type="dxa"/>
          </w:tcPr>
          <w:p w14:paraId="498CA90F" w14:textId="02AF04C5"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−3.421</w:t>
            </w:r>
          </w:p>
        </w:tc>
        <w:tc>
          <w:tcPr>
            <w:tcW w:w="1061" w:type="dxa"/>
          </w:tcPr>
          <w:p w14:paraId="343E86FB" w14:textId="0B41F049"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−2.187</w:t>
            </w:r>
          </w:p>
        </w:tc>
        <w:tc>
          <w:tcPr>
            <w:tcW w:w="1065" w:type="dxa"/>
          </w:tcPr>
          <w:p w14:paraId="5DCD1F8D" w14:textId="0B779DB9"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−2.583</w:t>
            </w:r>
          </w:p>
        </w:tc>
        <w:tc>
          <w:tcPr>
            <w:tcW w:w="1134" w:type="dxa"/>
          </w:tcPr>
          <w:p w14:paraId="3665A9D9" w14:textId="77777777" w:rsidR="00094430" w:rsidRDefault="00EF6A4B" w:rsidP="00EF6A4B">
            <w:pPr>
              <w:spacing w:before="240" w:after="240"/>
              <w:ind w:right="238"/>
              <w:jc w:val="both"/>
              <w:rPr>
                <w:sz w:val="20"/>
                <w:szCs w:val="20"/>
              </w:rPr>
            </w:pPr>
            <w:r w:rsidRPr="00094430">
              <w:rPr>
                <w:sz w:val="20"/>
                <w:szCs w:val="20"/>
              </w:rPr>
              <w:t>−9.341</w:t>
            </w:r>
          </w:p>
          <w:p w14:paraId="2140524B" w14:textId="7578CD37"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1B5DB86C" w14:textId="77777777" w:rsidR="00094430" w:rsidRDefault="00EF6A4B" w:rsidP="00EF6A4B">
            <w:pPr>
              <w:spacing w:before="240" w:after="240"/>
              <w:ind w:right="238"/>
              <w:jc w:val="both"/>
              <w:rPr>
                <w:sz w:val="20"/>
                <w:szCs w:val="20"/>
              </w:rPr>
            </w:pPr>
            <w:r w:rsidRPr="00094430">
              <w:rPr>
                <w:sz w:val="20"/>
                <w:szCs w:val="20"/>
              </w:rPr>
              <w:t>−8.214</w:t>
            </w:r>
          </w:p>
          <w:p w14:paraId="3BA1DA91" w14:textId="1FF1D3F9"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1134" w:type="dxa"/>
          </w:tcPr>
          <w:p w14:paraId="7441EB6E" w14:textId="77777777" w:rsidR="00094430" w:rsidRDefault="00EF6A4B" w:rsidP="00EF6A4B">
            <w:pPr>
              <w:spacing w:before="240" w:after="240"/>
              <w:ind w:right="238"/>
              <w:jc w:val="both"/>
              <w:rPr>
                <w:sz w:val="20"/>
                <w:szCs w:val="20"/>
              </w:rPr>
            </w:pPr>
            <w:r w:rsidRPr="00094430">
              <w:rPr>
                <w:sz w:val="20"/>
                <w:szCs w:val="20"/>
              </w:rPr>
              <w:t>−3.802</w:t>
            </w:r>
          </w:p>
          <w:p w14:paraId="4B4AC5EA" w14:textId="37B34A9B"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851" w:type="dxa"/>
          </w:tcPr>
          <w:p w14:paraId="0E9788AA" w14:textId="610F0E7E" w:rsidR="00EF6A4B" w:rsidRPr="00094430" w:rsidRDefault="00EF6A4B" w:rsidP="00EF6A4B">
            <w:pPr>
              <w:spacing w:before="240" w:after="240"/>
              <w:ind w:right="238"/>
              <w:jc w:val="both"/>
              <w:rPr>
                <w:rFonts w:ascii="Times New Roman" w:hAnsi="Times New Roman" w:cs="Times New Roman"/>
                <w:sz w:val="20"/>
                <w:szCs w:val="20"/>
              </w:rPr>
            </w:pPr>
            <w:r w:rsidRPr="00094430">
              <w:rPr>
                <w:sz w:val="20"/>
                <w:szCs w:val="20"/>
              </w:rPr>
              <w:t>—</w:t>
            </w:r>
          </w:p>
        </w:tc>
        <w:tc>
          <w:tcPr>
            <w:tcW w:w="992" w:type="dxa"/>
          </w:tcPr>
          <w:p w14:paraId="66628F63" w14:textId="6F7E46BD" w:rsidR="00EF6A4B" w:rsidRPr="00094430" w:rsidRDefault="00EF6A4B" w:rsidP="00EF6A4B">
            <w:pPr>
              <w:spacing w:before="240" w:after="240"/>
              <w:ind w:right="238"/>
              <w:jc w:val="both"/>
              <w:rPr>
                <w:rFonts w:ascii="Times New Roman" w:hAnsi="Times New Roman" w:cs="Times New Roman"/>
                <w:sz w:val="20"/>
                <w:szCs w:val="20"/>
              </w:rPr>
            </w:pPr>
            <w:proofErr w:type="gramStart"/>
            <w:r w:rsidRPr="00094430">
              <w:rPr>
                <w:sz w:val="20"/>
                <w:szCs w:val="20"/>
              </w:rPr>
              <w:t>I(</w:t>
            </w:r>
            <w:proofErr w:type="gramEnd"/>
            <w:r w:rsidRPr="00094430">
              <w:rPr>
                <w:sz w:val="20"/>
                <w:szCs w:val="20"/>
              </w:rPr>
              <w:t>1)</w:t>
            </w:r>
          </w:p>
        </w:tc>
      </w:tr>
    </w:tbl>
    <w:p w14:paraId="2276789D" w14:textId="11BB5BD5" w:rsidR="00514720" w:rsidRDefault="00514720" w:rsidP="006D52D3">
      <w:pPr>
        <w:spacing w:before="240" w:after="240" w:line="240" w:lineRule="auto"/>
        <w:ind w:left="238" w:right="238"/>
        <w:jc w:val="both"/>
        <w:rPr>
          <w:rFonts w:ascii="Times New Roman" w:hAnsi="Times New Roman" w:cs="Times New Roman"/>
          <w:sz w:val="24"/>
          <w:szCs w:val="24"/>
        </w:rPr>
      </w:pPr>
    </w:p>
    <w:p w14:paraId="06C7DB8B"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2: Panel Unit Root and Cross-Sectional Dependence Test Results (1996–2024). LLC = Levin-Lin-Chu; IPS = Im-Pesaran-Shin; CIPS = Pesaran (2007) second-generation test. CD = Pesaran (2004) cross-section dependence test (reported for SDG Index residuals). Null: panel contains unit roots (LLC, IPS, CIPS). *** denotes rejection at 1%. All tests include individual intercepts; lag selection by AIC. N = 4, T = 29.</w:t>
      </w:r>
    </w:p>
    <w:p w14:paraId="3C3E12ED" w14:textId="743C8B7B" w:rsidR="007D00B7" w:rsidRPr="0099221B" w:rsidRDefault="0099221B" w:rsidP="006D52D3">
      <w:pPr>
        <w:spacing w:before="240" w:after="240" w:line="240" w:lineRule="auto"/>
        <w:ind w:left="238" w:right="238"/>
        <w:jc w:val="both"/>
        <w:rPr>
          <w:rFonts w:ascii="Times New Roman" w:hAnsi="Times New Roman" w:cs="Times New Roman"/>
          <w:b/>
          <w:bCs/>
          <w:sz w:val="24"/>
          <w:szCs w:val="24"/>
        </w:rPr>
      </w:pPr>
      <w:r w:rsidRPr="0099221B">
        <w:rPr>
          <w:rFonts w:ascii="Times New Roman" w:hAnsi="Times New Roman" w:cs="Times New Roman"/>
          <w:b/>
          <w:bCs/>
          <w:sz w:val="24"/>
          <w:szCs w:val="24"/>
        </w:rPr>
        <w:t>PANEL COINTEGRATION TEST RESULTS</w:t>
      </w:r>
    </w:p>
    <w:p w14:paraId="3468E71D" w14:textId="45A88DF5" w:rsid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3 reports the Pedroni (1999, 2004) and Kao (1999) cointegration test statistics for the 2000–2024 sub-panel. The majority of Pedroni statistics reject the null of no cointegration at the 5% significance level, and the Kao ADF statistic rejects at the 1% level. The group PP-statistic (−4.102, p = 0.000) and group ADF-statistic (−3.876, p = 0.000) provide particularly strong evidence of cointegration in the between-dimension, indicating that the long-run relationship holds for individual country pairs as well as for the panel as a whole. The panel v-statistic, which has power against the alternative of a common cointegrating vector, also rejects (p = 0.010). Taken together, these results confirm the existence of a stable long-run equilibrium relationship between governance indicators and the SDG Index Score, justifying the PMG error-correction framework.</w:t>
      </w:r>
    </w:p>
    <w:tbl>
      <w:tblPr>
        <w:tblStyle w:val="TableGrid"/>
        <w:tblW w:w="0" w:type="auto"/>
        <w:tblLook w:val="04A0" w:firstRow="1" w:lastRow="0" w:firstColumn="1" w:lastColumn="0" w:noHBand="0" w:noVBand="1"/>
      </w:tblPr>
      <w:tblGrid>
        <w:gridCol w:w="3005"/>
        <w:gridCol w:w="3005"/>
        <w:gridCol w:w="3006"/>
      </w:tblGrid>
      <w:tr w:rsidR="007108B2" w14:paraId="5F6FEB25" w14:textId="77777777" w:rsidTr="007108B2">
        <w:tc>
          <w:tcPr>
            <w:tcW w:w="3005" w:type="dxa"/>
          </w:tcPr>
          <w:p w14:paraId="70B48C99" w14:textId="3C9BFE55" w:rsidR="007108B2" w:rsidRPr="007108B2" w:rsidRDefault="007108B2" w:rsidP="006D52D3">
            <w:pPr>
              <w:spacing w:before="240" w:after="240"/>
              <w:ind w:left="238" w:right="238"/>
              <w:jc w:val="center"/>
              <w:rPr>
                <w:rFonts w:ascii="Times New Roman" w:hAnsi="Times New Roman" w:cs="Times New Roman"/>
                <w:b/>
                <w:bCs/>
                <w:sz w:val="24"/>
                <w:szCs w:val="24"/>
              </w:rPr>
            </w:pPr>
            <w:r w:rsidRPr="007108B2">
              <w:rPr>
                <w:b/>
                <w:bCs/>
              </w:rPr>
              <w:t>Test Statistic</w:t>
            </w:r>
          </w:p>
        </w:tc>
        <w:tc>
          <w:tcPr>
            <w:tcW w:w="3005" w:type="dxa"/>
          </w:tcPr>
          <w:p w14:paraId="5982CEF4" w14:textId="4778D753" w:rsidR="007108B2" w:rsidRPr="007108B2" w:rsidRDefault="007108B2" w:rsidP="006D52D3">
            <w:pPr>
              <w:spacing w:before="240" w:after="240"/>
              <w:ind w:left="238" w:right="238"/>
              <w:jc w:val="center"/>
              <w:rPr>
                <w:rFonts w:ascii="Times New Roman" w:hAnsi="Times New Roman" w:cs="Times New Roman"/>
                <w:b/>
                <w:bCs/>
                <w:sz w:val="24"/>
                <w:szCs w:val="24"/>
              </w:rPr>
            </w:pPr>
            <w:r w:rsidRPr="007108B2">
              <w:rPr>
                <w:b/>
                <w:bCs/>
              </w:rPr>
              <w:t>Statistic</w:t>
            </w:r>
          </w:p>
        </w:tc>
        <w:tc>
          <w:tcPr>
            <w:tcW w:w="3006" w:type="dxa"/>
          </w:tcPr>
          <w:p w14:paraId="0A4A4CC6" w14:textId="01E959D5" w:rsidR="007108B2" w:rsidRPr="007108B2" w:rsidRDefault="007108B2" w:rsidP="006D52D3">
            <w:pPr>
              <w:spacing w:before="240" w:after="240"/>
              <w:ind w:left="238" w:right="238"/>
              <w:jc w:val="center"/>
              <w:rPr>
                <w:rFonts w:ascii="Times New Roman" w:hAnsi="Times New Roman" w:cs="Times New Roman"/>
                <w:b/>
                <w:bCs/>
                <w:sz w:val="24"/>
                <w:szCs w:val="24"/>
              </w:rPr>
            </w:pPr>
            <w:r w:rsidRPr="007108B2">
              <w:rPr>
                <w:b/>
                <w:bCs/>
              </w:rPr>
              <w:t>p-value</w:t>
            </w:r>
          </w:p>
        </w:tc>
      </w:tr>
      <w:tr w:rsidR="007108B2" w14:paraId="5B90D788" w14:textId="77777777" w:rsidTr="007108B2">
        <w:tc>
          <w:tcPr>
            <w:tcW w:w="3005" w:type="dxa"/>
          </w:tcPr>
          <w:p w14:paraId="639CD284" w14:textId="7027E936" w:rsidR="007108B2" w:rsidRDefault="007108B2" w:rsidP="006D52D3">
            <w:pPr>
              <w:spacing w:before="240" w:after="240"/>
              <w:ind w:left="238" w:right="238"/>
              <w:jc w:val="both"/>
              <w:rPr>
                <w:rFonts w:ascii="Times New Roman" w:hAnsi="Times New Roman" w:cs="Times New Roman"/>
                <w:sz w:val="24"/>
                <w:szCs w:val="24"/>
              </w:rPr>
            </w:pPr>
            <w:r w:rsidRPr="00070A1B">
              <w:t>Pedroni Panel v-statistic</w:t>
            </w:r>
          </w:p>
        </w:tc>
        <w:tc>
          <w:tcPr>
            <w:tcW w:w="3005" w:type="dxa"/>
          </w:tcPr>
          <w:p w14:paraId="1244F742" w14:textId="462ABC99" w:rsidR="007108B2" w:rsidRDefault="007108B2" w:rsidP="006D52D3">
            <w:pPr>
              <w:spacing w:before="240" w:after="240"/>
              <w:ind w:left="238" w:right="238"/>
              <w:jc w:val="center"/>
              <w:rPr>
                <w:rFonts w:ascii="Times New Roman" w:hAnsi="Times New Roman" w:cs="Times New Roman"/>
                <w:sz w:val="24"/>
                <w:szCs w:val="24"/>
              </w:rPr>
            </w:pPr>
            <w:r w:rsidRPr="00070A1B">
              <w:t>2.341</w:t>
            </w:r>
          </w:p>
        </w:tc>
        <w:tc>
          <w:tcPr>
            <w:tcW w:w="3006" w:type="dxa"/>
          </w:tcPr>
          <w:p w14:paraId="7ACE68A1" w14:textId="70920D6D" w:rsidR="007108B2" w:rsidRDefault="007108B2" w:rsidP="006D52D3">
            <w:pPr>
              <w:spacing w:before="240" w:after="240"/>
              <w:ind w:left="238" w:right="238"/>
              <w:jc w:val="center"/>
              <w:rPr>
                <w:rFonts w:ascii="Times New Roman" w:hAnsi="Times New Roman" w:cs="Times New Roman"/>
                <w:sz w:val="24"/>
                <w:szCs w:val="24"/>
              </w:rPr>
            </w:pPr>
            <w:r w:rsidRPr="00070A1B">
              <w:t>0.010</w:t>
            </w:r>
          </w:p>
        </w:tc>
      </w:tr>
      <w:tr w:rsidR="007108B2" w14:paraId="4E99771B" w14:textId="77777777" w:rsidTr="007108B2">
        <w:tc>
          <w:tcPr>
            <w:tcW w:w="3005" w:type="dxa"/>
          </w:tcPr>
          <w:p w14:paraId="5EA95DBD" w14:textId="2E19F241" w:rsidR="007108B2" w:rsidRDefault="007108B2" w:rsidP="006D52D3">
            <w:pPr>
              <w:spacing w:before="240" w:after="240"/>
              <w:ind w:left="238" w:right="238"/>
              <w:jc w:val="both"/>
              <w:rPr>
                <w:rFonts w:ascii="Times New Roman" w:hAnsi="Times New Roman" w:cs="Times New Roman"/>
                <w:sz w:val="24"/>
                <w:szCs w:val="24"/>
              </w:rPr>
            </w:pPr>
            <w:r w:rsidRPr="00070A1B">
              <w:t>Pedroni Panel ρ-statistic</w:t>
            </w:r>
          </w:p>
        </w:tc>
        <w:tc>
          <w:tcPr>
            <w:tcW w:w="3005" w:type="dxa"/>
          </w:tcPr>
          <w:p w14:paraId="227DF3A1" w14:textId="346F7192" w:rsidR="007108B2" w:rsidRDefault="007108B2" w:rsidP="006D52D3">
            <w:pPr>
              <w:spacing w:before="240" w:after="240"/>
              <w:ind w:left="238" w:right="238"/>
              <w:jc w:val="center"/>
              <w:rPr>
                <w:rFonts w:ascii="Times New Roman" w:hAnsi="Times New Roman" w:cs="Times New Roman"/>
                <w:sz w:val="24"/>
                <w:szCs w:val="24"/>
              </w:rPr>
            </w:pPr>
            <w:r w:rsidRPr="00070A1B">
              <w:t>−1.876</w:t>
            </w:r>
          </w:p>
        </w:tc>
        <w:tc>
          <w:tcPr>
            <w:tcW w:w="3006" w:type="dxa"/>
          </w:tcPr>
          <w:p w14:paraId="54F82467" w14:textId="3264AC3B" w:rsidR="007108B2" w:rsidRDefault="007108B2" w:rsidP="006D52D3">
            <w:pPr>
              <w:spacing w:before="240" w:after="240"/>
              <w:ind w:left="238" w:right="238"/>
              <w:jc w:val="center"/>
              <w:rPr>
                <w:rFonts w:ascii="Times New Roman" w:hAnsi="Times New Roman" w:cs="Times New Roman"/>
                <w:sz w:val="24"/>
                <w:szCs w:val="24"/>
              </w:rPr>
            </w:pPr>
            <w:r w:rsidRPr="00070A1B">
              <w:t>0.030</w:t>
            </w:r>
          </w:p>
        </w:tc>
      </w:tr>
      <w:tr w:rsidR="007108B2" w14:paraId="6816FDA0" w14:textId="77777777" w:rsidTr="007108B2">
        <w:tc>
          <w:tcPr>
            <w:tcW w:w="3005" w:type="dxa"/>
          </w:tcPr>
          <w:p w14:paraId="707B3207" w14:textId="5B302421" w:rsidR="007108B2" w:rsidRDefault="007108B2" w:rsidP="006D52D3">
            <w:pPr>
              <w:spacing w:before="240" w:after="240"/>
              <w:ind w:left="238" w:right="238"/>
              <w:jc w:val="both"/>
              <w:rPr>
                <w:rFonts w:ascii="Times New Roman" w:hAnsi="Times New Roman" w:cs="Times New Roman"/>
                <w:sz w:val="24"/>
                <w:szCs w:val="24"/>
              </w:rPr>
            </w:pPr>
            <w:r w:rsidRPr="00070A1B">
              <w:t>Pedroni Panel PP-statistic</w:t>
            </w:r>
          </w:p>
        </w:tc>
        <w:tc>
          <w:tcPr>
            <w:tcW w:w="3005" w:type="dxa"/>
          </w:tcPr>
          <w:p w14:paraId="413B33F9" w14:textId="60E6F7E1" w:rsidR="007108B2" w:rsidRDefault="007108B2" w:rsidP="006D52D3">
            <w:pPr>
              <w:spacing w:before="240" w:after="240"/>
              <w:ind w:left="238" w:right="238"/>
              <w:jc w:val="center"/>
              <w:rPr>
                <w:rFonts w:ascii="Times New Roman" w:hAnsi="Times New Roman" w:cs="Times New Roman"/>
                <w:sz w:val="24"/>
                <w:szCs w:val="24"/>
              </w:rPr>
            </w:pPr>
            <w:r w:rsidRPr="00070A1B">
              <w:t>−3.214</w:t>
            </w:r>
          </w:p>
        </w:tc>
        <w:tc>
          <w:tcPr>
            <w:tcW w:w="3006" w:type="dxa"/>
          </w:tcPr>
          <w:p w14:paraId="1745B3FF" w14:textId="17C0502D" w:rsidR="007108B2" w:rsidRDefault="007108B2" w:rsidP="006D52D3">
            <w:pPr>
              <w:spacing w:before="240" w:after="240"/>
              <w:ind w:left="238" w:right="238"/>
              <w:jc w:val="center"/>
              <w:rPr>
                <w:rFonts w:ascii="Times New Roman" w:hAnsi="Times New Roman" w:cs="Times New Roman"/>
                <w:sz w:val="24"/>
                <w:szCs w:val="24"/>
              </w:rPr>
            </w:pPr>
            <w:r w:rsidRPr="00070A1B">
              <w:t>0.001</w:t>
            </w:r>
          </w:p>
        </w:tc>
      </w:tr>
      <w:tr w:rsidR="007108B2" w14:paraId="131E5100" w14:textId="77777777" w:rsidTr="007108B2">
        <w:tc>
          <w:tcPr>
            <w:tcW w:w="3005" w:type="dxa"/>
          </w:tcPr>
          <w:p w14:paraId="550CC19C" w14:textId="47D0953B" w:rsidR="007108B2" w:rsidRDefault="007108B2" w:rsidP="006D52D3">
            <w:pPr>
              <w:spacing w:before="240" w:after="240"/>
              <w:ind w:left="238" w:right="238"/>
              <w:jc w:val="both"/>
              <w:rPr>
                <w:rFonts w:ascii="Times New Roman" w:hAnsi="Times New Roman" w:cs="Times New Roman"/>
                <w:sz w:val="24"/>
                <w:szCs w:val="24"/>
              </w:rPr>
            </w:pPr>
            <w:r w:rsidRPr="00070A1B">
              <w:t>Pedroni Panel ADF-statistic</w:t>
            </w:r>
          </w:p>
        </w:tc>
        <w:tc>
          <w:tcPr>
            <w:tcW w:w="3005" w:type="dxa"/>
          </w:tcPr>
          <w:p w14:paraId="656C5962" w14:textId="27F9CBD5" w:rsidR="007108B2" w:rsidRDefault="007108B2" w:rsidP="006D52D3">
            <w:pPr>
              <w:spacing w:before="240" w:after="240"/>
              <w:ind w:left="238" w:right="238"/>
              <w:jc w:val="center"/>
              <w:rPr>
                <w:rFonts w:ascii="Times New Roman" w:hAnsi="Times New Roman" w:cs="Times New Roman"/>
                <w:sz w:val="24"/>
                <w:szCs w:val="24"/>
              </w:rPr>
            </w:pPr>
            <w:r w:rsidRPr="00070A1B">
              <w:t>−2.987</w:t>
            </w:r>
          </w:p>
        </w:tc>
        <w:tc>
          <w:tcPr>
            <w:tcW w:w="3006" w:type="dxa"/>
          </w:tcPr>
          <w:p w14:paraId="08ADEB08" w14:textId="350D6439" w:rsidR="007108B2" w:rsidRDefault="007108B2" w:rsidP="006D52D3">
            <w:pPr>
              <w:spacing w:before="240" w:after="240"/>
              <w:ind w:left="238" w:right="238"/>
              <w:jc w:val="center"/>
              <w:rPr>
                <w:rFonts w:ascii="Times New Roman" w:hAnsi="Times New Roman" w:cs="Times New Roman"/>
                <w:sz w:val="24"/>
                <w:szCs w:val="24"/>
              </w:rPr>
            </w:pPr>
            <w:r w:rsidRPr="00070A1B">
              <w:t>0.001</w:t>
            </w:r>
          </w:p>
        </w:tc>
      </w:tr>
      <w:tr w:rsidR="007108B2" w14:paraId="7A97C7E6" w14:textId="77777777" w:rsidTr="007108B2">
        <w:tc>
          <w:tcPr>
            <w:tcW w:w="3005" w:type="dxa"/>
          </w:tcPr>
          <w:p w14:paraId="0D161E3B" w14:textId="5DCAC13C" w:rsidR="007108B2" w:rsidRDefault="007108B2" w:rsidP="006D52D3">
            <w:pPr>
              <w:spacing w:before="240" w:after="240"/>
              <w:ind w:left="238" w:right="238"/>
              <w:jc w:val="both"/>
              <w:rPr>
                <w:rFonts w:ascii="Times New Roman" w:hAnsi="Times New Roman" w:cs="Times New Roman"/>
                <w:sz w:val="24"/>
                <w:szCs w:val="24"/>
              </w:rPr>
            </w:pPr>
            <w:r w:rsidRPr="00070A1B">
              <w:t>Pedroni Group ρ-statistic</w:t>
            </w:r>
          </w:p>
        </w:tc>
        <w:tc>
          <w:tcPr>
            <w:tcW w:w="3005" w:type="dxa"/>
          </w:tcPr>
          <w:p w14:paraId="24927DE0" w14:textId="46641588" w:rsidR="007108B2" w:rsidRDefault="007108B2" w:rsidP="006D52D3">
            <w:pPr>
              <w:spacing w:before="240" w:after="240"/>
              <w:ind w:left="238" w:right="238"/>
              <w:jc w:val="center"/>
              <w:rPr>
                <w:rFonts w:ascii="Times New Roman" w:hAnsi="Times New Roman" w:cs="Times New Roman"/>
                <w:sz w:val="24"/>
                <w:szCs w:val="24"/>
              </w:rPr>
            </w:pPr>
            <w:r w:rsidRPr="00070A1B">
              <w:t>−1.234</w:t>
            </w:r>
          </w:p>
        </w:tc>
        <w:tc>
          <w:tcPr>
            <w:tcW w:w="3006" w:type="dxa"/>
          </w:tcPr>
          <w:p w14:paraId="22F3B5F2" w14:textId="089ACA1E" w:rsidR="007108B2" w:rsidRDefault="007108B2" w:rsidP="006D52D3">
            <w:pPr>
              <w:spacing w:before="240" w:after="240"/>
              <w:ind w:left="238" w:right="238"/>
              <w:jc w:val="center"/>
              <w:rPr>
                <w:rFonts w:ascii="Times New Roman" w:hAnsi="Times New Roman" w:cs="Times New Roman"/>
                <w:sz w:val="24"/>
                <w:szCs w:val="24"/>
              </w:rPr>
            </w:pPr>
            <w:r w:rsidRPr="00070A1B">
              <w:t>0.109</w:t>
            </w:r>
          </w:p>
        </w:tc>
      </w:tr>
      <w:tr w:rsidR="007108B2" w14:paraId="2A36A39D" w14:textId="77777777" w:rsidTr="007108B2">
        <w:tc>
          <w:tcPr>
            <w:tcW w:w="3005" w:type="dxa"/>
          </w:tcPr>
          <w:p w14:paraId="2BDCAB3B" w14:textId="35488DDB" w:rsidR="007108B2" w:rsidRDefault="007108B2" w:rsidP="006D52D3">
            <w:pPr>
              <w:spacing w:before="240" w:after="240"/>
              <w:ind w:left="238" w:right="238"/>
              <w:jc w:val="both"/>
              <w:rPr>
                <w:rFonts w:ascii="Times New Roman" w:hAnsi="Times New Roman" w:cs="Times New Roman"/>
                <w:sz w:val="24"/>
                <w:szCs w:val="24"/>
              </w:rPr>
            </w:pPr>
            <w:r w:rsidRPr="00070A1B">
              <w:t>Pedroni Group PP-statistic</w:t>
            </w:r>
          </w:p>
        </w:tc>
        <w:tc>
          <w:tcPr>
            <w:tcW w:w="3005" w:type="dxa"/>
          </w:tcPr>
          <w:p w14:paraId="4BA1C6D5" w14:textId="3B76E3CC" w:rsidR="007108B2" w:rsidRDefault="007108B2" w:rsidP="006D52D3">
            <w:pPr>
              <w:spacing w:before="240" w:after="240"/>
              <w:ind w:left="238" w:right="238"/>
              <w:jc w:val="center"/>
              <w:rPr>
                <w:rFonts w:ascii="Times New Roman" w:hAnsi="Times New Roman" w:cs="Times New Roman"/>
                <w:sz w:val="24"/>
                <w:szCs w:val="24"/>
              </w:rPr>
            </w:pPr>
            <w:r w:rsidRPr="00070A1B">
              <w:t>−4.102</w:t>
            </w:r>
          </w:p>
        </w:tc>
        <w:tc>
          <w:tcPr>
            <w:tcW w:w="3006" w:type="dxa"/>
          </w:tcPr>
          <w:p w14:paraId="1855AF66" w14:textId="5B0DEFC3" w:rsidR="007108B2" w:rsidRDefault="007108B2" w:rsidP="006D52D3">
            <w:pPr>
              <w:spacing w:before="240" w:after="240"/>
              <w:ind w:left="238" w:right="238"/>
              <w:jc w:val="center"/>
              <w:rPr>
                <w:rFonts w:ascii="Times New Roman" w:hAnsi="Times New Roman" w:cs="Times New Roman"/>
                <w:sz w:val="24"/>
                <w:szCs w:val="24"/>
              </w:rPr>
            </w:pPr>
            <w:r w:rsidRPr="00070A1B">
              <w:t>0.000</w:t>
            </w:r>
          </w:p>
        </w:tc>
      </w:tr>
      <w:tr w:rsidR="007108B2" w14:paraId="7000AB9E" w14:textId="77777777" w:rsidTr="007108B2">
        <w:tc>
          <w:tcPr>
            <w:tcW w:w="3005" w:type="dxa"/>
          </w:tcPr>
          <w:p w14:paraId="0D2F836C" w14:textId="40B3DFD6" w:rsidR="007108B2" w:rsidRDefault="007108B2" w:rsidP="006D52D3">
            <w:pPr>
              <w:spacing w:before="240" w:after="240"/>
              <w:ind w:left="238" w:right="238"/>
              <w:jc w:val="both"/>
              <w:rPr>
                <w:rFonts w:ascii="Times New Roman" w:hAnsi="Times New Roman" w:cs="Times New Roman"/>
                <w:sz w:val="24"/>
                <w:szCs w:val="24"/>
              </w:rPr>
            </w:pPr>
            <w:r w:rsidRPr="00070A1B">
              <w:t>Pedroni Group ADF-statistic</w:t>
            </w:r>
          </w:p>
        </w:tc>
        <w:tc>
          <w:tcPr>
            <w:tcW w:w="3005" w:type="dxa"/>
          </w:tcPr>
          <w:p w14:paraId="72D1815A" w14:textId="4F9EDFF8" w:rsidR="007108B2" w:rsidRDefault="007108B2" w:rsidP="006D52D3">
            <w:pPr>
              <w:spacing w:before="240" w:after="240"/>
              <w:ind w:left="238" w:right="238"/>
              <w:jc w:val="center"/>
              <w:rPr>
                <w:rFonts w:ascii="Times New Roman" w:hAnsi="Times New Roman" w:cs="Times New Roman"/>
                <w:sz w:val="24"/>
                <w:szCs w:val="24"/>
              </w:rPr>
            </w:pPr>
            <w:r w:rsidRPr="00070A1B">
              <w:t>−3.876</w:t>
            </w:r>
          </w:p>
        </w:tc>
        <w:tc>
          <w:tcPr>
            <w:tcW w:w="3006" w:type="dxa"/>
          </w:tcPr>
          <w:p w14:paraId="6A5C3F98" w14:textId="1D031506" w:rsidR="007108B2" w:rsidRDefault="007108B2" w:rsidP="006D52D3">
            <w:pPr>
              <w:spacing w:before="240" w:after="240"/>
              <w:ind w:left="238" w:right="238"/>
              <w:jc w:val="center"/>
              <w:rPr>
                <w:rFonts w:ascii="Times New Roman" w:hAnsi="Times New Roman" w:cs="Times New Roman"/>
                <w:sz w:val="24"/>
                <w:szCs w:val="24"/>
              </w:rPr>
            </w:pPr>
            <w:r w:rsidRPr="00070A1B">
              <w:t>0.000</w:t>
            </w:r>
          </w:p>
        </w:tc>
      </w:tr>
      <w:tr w:rsidR="007108B2" w14:paraId="3F8B2EB5" w14:textId="77777777" w:rsidTr="007108B2">
        <w:tc>
          <w:tcPr>
            <w:tcW w:w="3005" w:type="dxa"/>
          </w:tcPr>
          <w:p w14:paraId="64C4C0D6" w14:textId="1A4A382F" w:rsidR="007108B2" w:rsidRDefault="007108B2" w:rsidP="006D52D3">
            <w:pPr>
              <w:spacing w:before="240" w:after="240"/>
              <w:ind w:left="238" w:right="238"/>
              <w:jc w:val="both"/>
              <w:rPr>
                <w:rFonts w:ascii="Times New Roman" w:hAnsi="Times New Roman" w:cs="Times New Roman"/>
                <w:sz w:val="24"/>
                <w:szCs w:val="24"/>
              </w:rPr>
            </w:pPr>
            <w:r w:rsidRPr="00070A1B">
              <w:t>Kao ADF-statistic</w:t>
            </w:r>
          </w:p>
        </w:tc>
        <w:tc>
          <w:tcPr>
            <w:tcW w:w="3005" w:type="dxa"/>
          </w:tcPr>
          <w:p w14:paraId="6B26B612" w14:textId="2C5A34F9" w:rsidR="007108B2" w:rsidRDefault="007108B2" w:rsidP="006D52D3">
            <w:pPr>
              <w:spacing w:before="240" w:after="240"/>
              <w:ind w:left="238" w:right="238"/>
              <w:jc w:val="center"/>
              <w:rPr>
                <w:rFonts w:ascii="Times New Roman" w:hAnsi="Times New Roman" w:cs="Times New Roman"/>
                <w:sz w:val="24"/>
                <w:szCs w:val="24"/>
              </w:rPr>
            </w:pPr>
            <w:r w:rsidRPr="00070A1B">
              <w:t>−3.541</w:t>
            </w:r>
          </w:p>
        </w:tc>
        <w:tc>
          <w:tcPr>
            <w:tcW w:w="3006" w:type="dxa"/>
          </w:tcPr>
          <w:p w14:paraId="4723B2B2" w14:textId="1BAEFC64" w:rsidR="007108B2" w:rsidRDefault="007108B2" w:rsidP="006D52D3">
            <w:pPr>
              <w:spacing w:before="240" w:after="240"/>
              <w:ind w:left="238" w:right="238"/>
              <w:jc w:val="center"/>
              <w:rPr>
                <w:rFonts w:ascii="Times New Roman" w:hAnsi="Times New Roman" w:cs="Times New Roman"/>
                <w:sz w:val="24"/>
                <w:szCs w:val="24"/>
              </w:rPr>
            </w:pPr>
            <w:r w:rsidRPr="00070A1B">
              <w:t>0.000</w:t>
            </w:r>
          </w:p>
        </w:tc>
      </w:tr>
    </w:tbl>
    <w:p w14:paraId="6E5ABD7A" w14:textId="77777777" w:rsidR="007108B2" w:rsidRPr="007D00B7" w:rsidRDefault="007108B2" w:rsidP="006D52D3">
      <w:pPr>
        <w:spacing w:before="240" w:after="240" w:line="240" w:lineRule="auto"/>
        <w:ind w:left="238" w:right="238"/>
        <w:jc w:val="both"/>
        <w:rPr>
          <w:rFonts w:ascii="Times New Roman" w:hAnsi="Times New Roman" w:cs="Times New Roman"/>
          <w:sz w:val="24"/>
          <w:szCs w:val="24"/>
        </w:rPr>
      </w:pPr>
    </w:p>
    <w:p w14:paraId="0233295D"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3: Panel Cointegration Test Results (2000–2024). Null hypothesis: no cointegration. All tests include individual intercepts. N = 4, T = 25. Source: Authors' computations.</w:t>
      </w:r>
    </w:p>
    <w:p w14:paraId="7FC69778" w14:textId="3418410D" w:rsidR="007D00B7" w:rsidRPr="007108B2" w:rsidRDefault="007108B2" w:rsidP="006D52D3">
      <w:pPr>
        <w:spacing w:before="240" w:after="240" w:line="240" w:lineRule="auto"/>
        <w:ind w:left="238" w:right="238"/>
        <w:jc w:val="both"/>
        <w:rPr>
          <w:rFonts w:ascii="Times New Roman" w:hAnsi="Times New Roman" w:cs="Times New Roman"/>
          <w:b/>
          <w:bCs/>
          <w:sz w:val="24"/>
          <w:szCs w:val="24"/>
        </w:rPr>
      </w:pPr>
      <w:r w:rsidRPr="007108B2">
        <w:rPr>
          <w:rFonts w:ascii="Times New Roman" w:hAnsi="Times New Roman" w:cs="Times New Roman"/>
          <w:b/>
          <w:bCs/>
          <w:sz w:val="24"/>
          <w:szCs w:val="24"/>
        </w:rPr>
        <w:lastRenderedPageBreak/>
        <w:t>BASELINE FIXED EFFECTS ESTIMATION WITH DRISCOLL-KRAAY STANDARD ERRORS</w:t>
      </w:r>
    </w:p>
    <w:p w14:paraId="00ADC9C4" w14:textId="4C4E3A56"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4 presents the fixed effects regression results for the 2000–2024 sub-period. The within-R² of 0.882 indicates that the governance indicators explain 88.2% of within-country variation in SDG Index scores</w:t>
      </w:r>
      <w:r w:rsidR="007108B2">
        <w:rPr>
          <w:rFonts w:ascii="Times New Roman" w:hAnsi="Times New Roman" w:cs="Times New Roman"/>
          <w:sz w:val="24"/>
          <w:szCs w:val="24"/>
          <w:lang w:val="en-US"/>
        </w:rPr>
        <w:t xml:space="preserve">, </w:t>
      </w:r>
      <w:r w:rsidRPr="007D00B7">
        <w:rPr>
          <w:rFonts w:ascii="Times New Roman" w:hAnsi="Times New Roman" w:cs="Times New Roman"/>
          <w:sz w:val="24"/>
          <w:szCs w:val="24"/>
        </w:rPr>
        <w:t>a high proportion that attests to the strong systematic relationship between institutional quality and sustainable development performance in this sub-sample. Government effectiveness (β̂ = 0.214, p &lt; 0.001) and rule of law (β̂ = 0.189, p = 0.007) are the strongest positive predictors of SDG outcomes. Control of corruption (β̂ = 0.143, p = 0.024) and voice and accountability (β̂ = 0.127, p = 0.035) are positive and statistically significant at the 5% level. Political stability (β̂ = 0.098, p = 0.080) is marginally significant at the 10% level. Regulatory quality does not attain conventional significance thresholds in the short-run FE specification (β̂ = 0.062, p = 0.386), a pattern whose interpretation is discussed in Section 5.5.</w:t>
      </w:r>
    </w:p>
    <w:p w14:paraId="26220F4A" w14:textId="3E7278E1" w:rsid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application of Driscoll-Kraay standard errors</w:t>
      </w:r>
      <w:r w:rsidR="007108B2">
        <w:rPr>
          <w:rFonts w:ascii="Times New Roman" w:hAnsi="Times New Roman" w:cs="Times New Roman"/>
          <w:sz w:val="24"/>
          <w:szCs w:val="24"/>
          <w:lang w:val="en-US"/>
        </w:rPr>
        <w:t xml:space="preserve">, </w:t>
      </w:r>
      <w:r w:rsidRPr="007D00B7">
        <w:rPr>
          <w:rFonts w:ascii="Times New Roman" w:hAnsi="Times New Roman" w:cs="Times New Roman"/>
          <w:sz w:val="24"/>
          <w:szCs w:val="24"/>
        </w:rPr>
        <w:t>which are robust to cross-sectional dependence, heteroscedasticity, and serial correlation</w:t>
      </w:r>
      <w:r w:rsidR="007108B2">
        <w:rPr>
          <w:rFonts w:ascii="Times New Roman" w:hAnsi="Times New Roman" w:cs="Times New Roman"/>
          <w:sz w:val="24"/>
          <w:szCs w:val="24"/>
          <w:lang w:val="en-US"/>
        </w:rPr>
        <w:t xml:space="preserve"> </w:t>
      </w:r>
      <w:r w:rsidRPr="007D00B7">
        <w:rPr>
          <w:rFonts w:ascii="Times New Roman" w:hAnsi="Times New Roman" w:cs="Times New Roman"/>
          <w:sz w:val="24"/>
          <w:szCs w:val="24"/>
        </w:rPr>
        <w:t>yields modestly wider standard errors relative to simple clustered SEs, confirming that the cross-sectional dependence documented by the CD test has non-negligible implications for inference. The substantive conclusions, however, are unchanged.</w:t>
      </w:r>
    </w:p>
    <w:p w14:paraId="48942861" w14:textId="77777777" w:rsidR="00094430" w:rsidRDefault="00094430" w:rsidP="006D52D3">
      <w:pPr>
        <w:spacing w:before="240" w:after="240" w:line="240" w:lineRule="auto"/>
        <w:ind w:left="238" w:right="238"/>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72"/>
        <w:gridCol w:w="1803"/>
        <w:gridCol w:w="1803"/>
        <w:gridCol w:w="1803"/>
        <w:gridCol w:w="1804"/>
      </w:tblGrid>
      <w:tr w:rsidR="00D90653" w14:paraId="3324717D" w14:textId="77777777" w:rsidTr="00D90653">
        <w:tc>
          <w:tcPr>
            <w:tcW w:w="1555" w:type="dxa"/>
          </w:tcPr>
          <w:p w14:paraId="28CF2595" w14:textId="5A1597CC" w:rsidR="00D90653" w:rsidRPr="00D90653" w:rsidRDefault="00D90653" w:rsidP="006D52D3">
            <w:pPr>
              <w:spacing w:before="240" w:after="240"/>
              <w:ind w:left="238" w:right="238"/>
              <w:jc w:val="center"/>
              <w:rPr>
                <w:rFonts w:ascii="Times New Roman" w:hAnsi="Times New Roman" w:cs="Times New Roman"/>
                <w:b/>
                <w:bCs/>
                <w:sz w:val="24"/>
                <w:szCs w:val="24"/>
              </w:rPr>
            </w:pPr>
            <w:r w:rsidRPr="00D90653">
              <w:rPr>
                <w:b/>
                <w:bCs/>
              </w:rPr>
              <w:t>Variable</w:t>
            </w:r>
          </w:p>
        </w:tc>
        <w:tc>
          <w:tcPr>
            <w:tcW w:w="1803" w:type="dxa"/>
          </w:tcPr>
          <w:p w14:paraId="2DE19FA5" w14:textId="096D5F87" w:rsidR="00D90653" w:rsidRPr="00D90653" w:rsidRDefault="00D90653" w:rsidP="006D52D3">
            <w:pPr>
              <w:spacing w:before="240" w:after="240"/>
              <w:ind w:left="238" w:right="238"/>
              <w:jc w:val="center"/>
              <w:rPr>
                <w:rFonts w:ascii="Times New Roman" w:hAnsi="Times New Roman" w:cs="Times New Roman"/>
                <w:b/>
                <w:bCs/>
                <w:sz w:val="24"/>
                <w:szCs w:val="24"/>
              </w:rPr>
            </w:pPr>
            <w:r w:rsidRPr="00D90653">
              <w:rPr>
                <w:b/>
                <w:bCs/>
              </w:rPr>
              <w:t>Coefficient</w:t>
            </w:r>
          </w:p>
        </w:tc>
        <w:tc>
          <w:tcPr>
            <w:tcW w:w="1803" w:type="dxa"/>
          </w:tcPr>
          <w:p w14:paraId="43B6409A" w14:textId="43F67F88" w:rsidR="00D90653" w:rsidRPr="00D90653" w:rsidRDefault="00D90653" w:rsidP="006D52D3">
            <w:pPr>
              <w:spacing w:before="240" w:after="240"/>
              <w:ind w:left="238" w:right="238"/>
              <w:jc w:val="center"/>
              <w:rPr>
                <w:rFonts w:ascii="Times New Roman" w:hAnsi="Times New Roman" w:cs="Times New Roman"/>
                <w:b/>
                <w:bCs/>
                <w:sz w:val="24"/>
                <w:szCs w:val="24"/>
              </w:rPr>
            </w:pPr>
            <w:r w:rsidRPr="00D90653">
              <w:rPr>
                <w:b/>
                <w:bCs/>
              </w:rPr>
              <w:t>DK Std. Error</w:t>
            </w:r>
          </w:p>
        </w:tc>
        <w:tc>
          <w:tcPr>
            <w:tcW w:w="1803" w:type="dxa"/>
          </w:tcPr>
          <w:p w14:paraId="41D92E9C" w14:textId="628754CD" w:rsidR="00D90653" w:rsidRPr="00D90653" w:rsidRDefault="00D90653" w:rsidP="006D52D3">
            <w:pPr>
              <w:spacing w:before="240" w:after="240"/>
              <w:ind w:left="238" w:right="238"/>
              <w:jc w:val="center"/>
              <w:rPr>
                <w:rFonts w:ascii="Times New Roman" w:hAnsi="Times New Roman" w:cs="Times New Roman"/>
                <w:b/>
                <w:bCs/>
                <w:sz w:val="24"/>
                <w:szCs w:val="24"/>
              </w:rPr>
            </w:pPr>
            <w:r w:rsidRPr="00D90653">
              <w:rPr>
                <w:b/>
                <w:bCs/>
              </w:rPr>
              <w:t>t-stat</w:t>
            </w:r>
          </w:p>
        </w:tc>
        <w:tc>
          <w:tcPr>
            <w:tcW w:w="1804" w:type="dxa"/>
          </w:tcPr>
          <w:p w14:paraId="43DDE845" w14:textId="7CCD38DA" w:rsidR="00D90653" w:rsidRPr="00D90653" w:rsidRDefault="00D90653" w:rsidP="006D52D3">
            <w:pPr>
              <w:spacing w:before="240" w:after="240"/>
              <w:ind w:left="238" w:right="238"/>
              <w:jc w:val="center"/>
              <w:rPr>
                <w:rFonts w:ascii="Times New Roman" w:hAnsi="Times New Roman" w:cs="Times New Roman"/>
                <w:b/>
                <w:bCs/>
                <w:sz w:val="24"/>
                <w:szCs w:val="24"/>
              </w:rPr>
            </w:pPr>
            <w:r w:rsidRPr="00D90653">
              <w:rPr>
                <w:b/>
                <w:bCs/>
              </w:rPr>
              <w:t>p-value</w:t>
            </w:r>
          </w:p>
        </w:tc>
      </w:tr>
      <w:tr w:rsidR="00D90653" w14:paraId="67937FE8" w14:textId="77777777" w:rsidTr="00D90653">
        <w:tc>
          <w:tcPr>
            <w:tcW w:w="1555" w:type="dxa"/>
          </w:tcPr>
          <w:p w14:paraId="18229AC2" w14:textId="680AF11D" w:rsidR="00D90653" w:rsidRDefault="00D90653" w:rsidP="006D52D3">
            <w:pPr>
              <w:spacing w:before="240" w:after="240"/>
              <w:ind w:left="238" w:right="238"/>
              <w:jc w:val="center"/>
              <w:rPr>
                <w:rFonts w:ascii="Times New Roman" w:hAnsi="Times New Roman" w:cs="Times New Roman"/>
                <w:sz w:val="24"/>
                <w:szCs w:val="24"/>
              </w:rPr>
            </w:pPr>
            <w:r w:rsidRPr="000654A2">
              <w:t>Control of Corruption</w:t>
            </w:r>
          </w:p>
        </w:tc>
        <w:tc>
          <w:tcPr>
            <w:tcW w:w="1803" w:type="dxa"/>
          </w:tcPr>
          <w:p w14:paraId="0297CFDC" w14:textId="06D0D15C" w:rsidR="00D90653" w:rsidRDefault="00D90653" w:rsidP="006D52D3">
            <w:pPr>
              <w:spacing w:before="240" w:after="240"/>
              <w:ind w:left="238" w:right="238"/>
              <w:jc w:val="center"/>
              <w:rPr>
                <w:rFonts w:ascii="Times New Roman" w:hAnsi="Times New Roman" w:cs="Times New Roman"/>
                <w:sz w:val="24"/>
                <w:szCs w:val="24"/>
              </w:rPr>
            </w:pPr>
            <w:r w:rsidRPr="000654A2">
              <w:t>0.143**</w:t>
            </w:r>
          </w:p>
        </w:tc>
        <w:tc>
          <w:tcPr>
            <w:tcW w:w="1803" w:type="dxa"/>
          </w:tcPr>
          <w:p w14:paraId="150DD40F" w14:textId="13FC7883" w:rsidR="00D90653" w:rsidRDefault="00D90653" w:rsidP="006D52D3">
            <w:pPr>
              <w:spacing w:before="240" w:after="240"/>
              <w:ind w:left="238" w:right="238"/>
              <w:jc w:val="center"/>
              <w:rPr>
                <w:rFonts w:ascii="Times New Roman" w:hAnsi="Times New Roman" w:cs="Times New Roman"/>
                <w:sz w:val="24"/>
                <w:szCs w:val="24"/>
              </w:rPr>
            </w:pPr>
            <w:r w:rsidRPr="000654A2">
              <w:t>0.062</w:t>
            </w:r>
          </w:p>
        </w:tc>
        <w:tc>
          <w:tcPr>
            <w:tcW w:w="1803" w:type="dxa"/>
          </w:tcPr>
          <w:p w14:paraId="4E8D1293" w14:textId="57A7F502" w:rsidR="00D90653" w:rsidRDefault="00D90653" w:rsidP="006D52D3">
            <w:pPr>
              <w:spacing w:before="240" w:after="240"/>
              <w:ind w:left="238" w:right="238"/>
              <w:jc w:val="center"/>
              <w:rPr>
                <w:rFonts w:ascii="Times New Roman" w:hAnsi="Times New Roman" w:cs="Times New Roman"/>
                <w:sz w:val="24"/>
                <w:szCs w:val="24"/>
              </w:rPr>
            </w:pPr>
            <w:r w:rsidRPr="000654A2">
              <w:t>2.31</w:t>
            </w:r>
          </w:p>
        </w:tc>
        <w:tc>
          <w:tcPr>
            <w:tcW w:w="1804" w:type="dxa"/>
          </w:tcPr>
          <w:p w14:paraId="150E7B0E" w14:textId="616F2923" w:rsidR="00D90653" w:rsidRDefault="00D90653" w:rsidP="006D52D3">
            <w:pPr>
              <w:spacing w:before="240" w:after="240"/>
              <w:ind w:left="238" w:right="238"/>
              <w:jc w:val="center"/>
              <w:rPr>
                <w:rFonts w:ascii="Times New Roman" w:hAnsi="Times New Roman" w:cs="Times New Roman"/>
                <w:sz w:val="24"/>
                <w:szCs w:val="24"/>
              </w:rPr>
            </w:pPr>
            <w:r w:rsidRPr="000654A2">
              <w:t>0.024</w:t>
            </w:r>
          </w:p>
        </w:tc>
      </w:tr>
      <w:tr w:rsidR="00D90653" w14:paraId="72258222" w14:textId="77777777" w:rsidTr="00D90653">
        <w:tc>
          <w:tcPr>
            <w:tcW w:w="1555" w:type="dxa"/>
          </w:tcPr>
          <w:p w14:paraId="209ECD7C" w14:textId="008A14A3" w:rsidR="00D90653" w:rsidRDefault="00D90653" w:rsidP="006D52D3">
            <w:pPr>
              <w:spacing w:before="240" w:after="240"/>
              <w:ind w:left="238" w:right="238"/>
              <w:jc w:val="center"/>
              <w:rPr>
                <w:rFonts w:ascii="Times New Roman" w:hAnsi="Times New Roman" w:cs="Times New Roman"/>
                <w:sz w:val="24"/>
                <w:szCs w:val="24"/>
              </w:rPr>
            </w:pPr>
            <w:r w:rsidRPr="000654A2">
              <w:t>Government Effectiveness</w:t>
            </w:r>
          </w:p>
        </w:tc>
        <w:tc>
          <w:tcPr>
            <w:tcW w:w="1803" w:type="dxa"/>
          </w:tcPr>
          <w:p w14:paraId="073DDE99" w14:textId="4C465A6D" w:rsidR="00D90653" w:rsidRDefault="00D90653" w:rsidP="006D52D3">
            <w:pPr>
              <w:spacing w:before="240" w:after="240"/>
              <w:ind w:left="238" w:right="238"/>
              <w:jc w:val="center"/>
              <w:rPr>
                <w:rFonts w:ascii="Times New Roman" w:hAnsi="Times New Roman" w:cs="Times New Roman"/>
                <w:sz w:val="24"/>
                <w:szCs w:val="24"/>
              </w:rPr>
            </w:pPr>
            <w:r w:rsidRPr="000654A2">
              <w:t>0.214***</w:t>
            </w:r>
          </w:p>
        </w:tc>
        <w:tc>
          <w:tcPr>
            <w:tcW w:w="1803" w:type="dxa"/>
          </w:tcPr>
          <w:p w14:paraId="6B91512C" w14:textId="4207DDB1" w:rsidR="00D90653" w:rsidRDefault="00D90653" w:rsidP="006D52D3">
            <w:pPr>
              <w:spacing w:before="240" w:after="240"/>
              <w:ind w:left="238" w:right="238"/>
              <w:jc w:val="center"/>
              <w:rPr>
                <w:rFonts w:ascii="Times New Roman" w:hAnsi="Times New Roman" w:cs="Times New Roman"/>
                <w:sz w:val="24"/>
                <w:szCs w:val="24"/>
              </w:rPr>
            </w:pPr>
            <w:r w:rsidRPr="000654A2">
              <w:t>0.058</w:t>
            </w:r>
          </w:p>
        </w:tc>
        <w:tc>
          <w:tcPr>
            <w:tcW w:w="1803" w:type="dxa"/>
          </w:tcPr>
          <w:p w14:paraId="40E3EAAA" w14:textId="42D0A94A" w:rsidR="00D90653" w:rsidRDefault="00D90653" w:rsidP="006D52D3">
            <w:pPr>
              <w:spacing w:before="240" w:after="240"/>
              <w:ind w:left="238" w:right="238"/>
              <w:jc w:val="center"/>
              <w:rPr>
                <w:rFonts w:ascii="Times New Roman" w:hAnsi="Times New Roman" w:cs="Times New Roman"/>
                <w:sz w:val="24"/>
                <w:szCs w:val="24"/>
              </w:rPr>
            </w:pPr>
            <w:r w:rsidRPr="000654A2">
              <w:t>3.69</w:t>
            </w:r>
          </w:p>
        </w:tc>
        <w:tc>
          <w:tcPr>
            <w:tcW w:w="1804" w:type="dxa"/>
          </w:tcPr>
          <w:p w14:paraId="02AE41F8" w14:textId="59FB5B7D" w:rsidR="00D90653" w:rsidRDefault="00D90653" w:rsidP="006D52D3">
            <w:pPr>
              <w:spacing w:before="240" w:after="240"/>
              <w:ind w:left="238" w:right="238"/>
              <w:jc w:val="center"/>
              <w:rPr>
                <w:rFonts w:ascii="Times New Roman" w:hAnsi="Times New Roman" w:cs="Times New Roman"/>
                <w:sz w:val="24"/>
                <w:szCs w:val="24"/>
              </w:rPr>
            </w:pPr>
            <w:r w:rsidRPr="000654A2">
              <w:t>0.001</w:t>
            </w:r>
          </w:p>
        </w:tc>
      </w:tr>
      <w:tr w:rsidR="00D90653" w14:paraId="4CFEB662" w14:textId="77777777" w:rsidTr="00D90653">
        <w:tc>
          <w:tcPr>
            <w:tcW w:w="1555" w:type="dxa"/>
          </w:tcPr>
          <w:p w14:paraId="23FE57A7" w14:textId="1AF1C1EC" w:rsidR="00D90653" w:rsidRDefault="00D90653" w:rsidP="006D52D3">
            <w:pPr>
              <w:spacing w:before="240" w:after="240"/>
              <w:ind w:left="238" w:right="238"/>
              <w:jc w:val="center"/>
              <w:rPr>
                <w:rFonts w:ascii="Times New Roman" w:hAnsi="Times New Roman" w:cs="Times New Roman"/>
                <w:sz w:val="24"/>
                <w:szCs w:val="24"/>
              </w:rPr>
            </w:pPr>
            <w:r w:rsidRPr="000654A2">
              <w:t>Political Stability</w:t>
            </w:r>
          </w:p>
        </w:tc>
        <w:tc>
          <w:tcPr>
            <w:tcW w:w="1803" w:type="dxa"/>
          </w:tcPr>
          <w:p w14:paraId="6F757177" w14:textId="47A949B5" w:rsidR="00D90653" w:rsidRDefault="00D90653" w:rsidP="006D52D3">
            <w:pPr>
              <w:spacing w:before="240" w:after="240"/>
              <w:ind w:left="238" w:right="238"/>
              <w:jc w:val="center"/>
              <w:rPr>
                <w:rFonts w:ascii="Times New Roman" w:hAnsi="Times New Roman" w:cs="Times New Roman"/>
                <w:sz w:val="24"/>
                <w:szCs w:val="24"/>
              </w:rPr>
            </w:pPr>
            <w:r w:rsidRPr="000654A2">
              <w:t>0.098*</w:t>
            </w:r>
          </w:p>
        </w:tc>
        <w:tc>
          <w:tcPr>
            <w:tcW w:w="1803" w:type="dxa"/>
          </w:tcPr>
          <w:p w14:paraId="078ECD3B" w14:textId="447D8FD4" w:rsidR="00D90653" w:rsidRDefault="00D90653" w:rsidP="006D52D3">
            <w:pPr>
              <w:spacing w:before="240" w:after="240"/>
              <w:ind w:left="238" w:right="238"/>
              <w:jc w:val="center"/>
              <w:rPr>
                <w:rFonts w:ascii="Times New Roman" w:hAnsi="Times New Roman" w:cs="Times New Roman"/>
                <w:sz w:val="24"/>
                <w:szCs w:val="24"/>
              </w:rPr>
            </w:pPr>
            <w:r w:rsidRPr="000654A2">
              <w:t>0.055</w:t>
            </w:r>
          </w:p>
        </w:tc>
        <w:tc>
          <w:tcPr>
            <w:tcW w:w="1803" w:type="dxa"/>
          </w:tcPr>
          <w:p w14:paraId="0C641299" w14:textId="20038126" w:rsidR="00D90653" w:rsidRDefault="00D90653" w:rsidP="006D52D3">
            <w:pPr>
              <w:spacing w:before="240" w:after="240"/>
              <w:ind w:left="238" w:right="238"/>
              <w:jc w:val="center"/>
              <w:rPr>
                <w:rFonts w:ascii="Times New Roman" w:hAnsi="Times New Roman" w:cs="Times New Roman"/>
                <w:sz w:val="24"/>
                <w:szCs w:val="24"/>
              </w:rPr>
            </w:pPr>
            <w:r w:rsidRPr="000654A2">
              <w:t>1.78</w:t>
            </w:r>
          </w:p>
        </w:tc>
        <w:tc>
          <w:tcPr>
            <w:tcW w:w="1804" w:type="dxa"/>
          </w:tcPr>
          <w:p w14:paraId="762A39F7" w14:textId="417E4D12" w:rsidR="00D90653" w:rsidRDefault="00D90653" w:rsidP="006D52D3">
            <w:pPr>
              <w:spacing w:before="240" w:after="240"/>
              <w:ind w:left="238" w:right="238"/>
              <w:jc w:val="center"/>
              <w:rPr>
                <w:rFonts w:ascii="Times New Roman" w:hAnsi="Times New Roman" w:cs="Times New Roman"/>
                <w:sz w:val="24"/>
                <w:szCs w:val="24"/>
              </w:rPr>
            </w:pPr>
            <w:r w:rsidRPr="000654A2">
              <w:t>0.080</w:t>
            </w:r>
          </w:p>
        </w:tc>
      </w:tr>
      <w:tr w:rsidR="00D90653" w14:paraId="1ECAC4FC" w14:textId="77777777" w:rsidTr="00D90653">
        <w:tc>
          <w:tcPr>
            <w:tcW w:w="1555" w:type="dxa"/>
          </w:tcPr>
          <w:p w14:paraId="62A7BEF7" w14:textId="255F8335" w:rsidR="00D90653" w:rsidRDefault="00D90653" w:rsidP="006D52D3">
            <w:pPr>
              <w:spacing w:before="240" w:after="240"/>
              <w:ind w:left="238" w:right="238"/>
              <w:jc w:val="center"/>
              <w:rPr>
                <w:rFonts w:ascii="Times New Roman" w:hAnsi="Times New Roman" w:cs="Times New Roman"/>
                <w:sz w:val="24"/>
                <w:szCs w:val="24"/>
              </w:rPr>
            </w:pPr>
            <w:r w:rsidRPr="000654A2">
              <w:t>Rule of Law</w:t>
            </w:r>
          </w:p>
        </w:tc>
        <w:tc>
          <w:tcPr>
            <w:tcW w:w="1803" w:type="dxa"/>
          </w:tcPr>
          <w:p w14:paraId="5856031D" w14:textId="5C394FA9" w:rsidR="00D90653" w:rsidRDefault="00D90653" w:rsidP="006D52D3">
            <w:pPr>
              <w:spacing w:before="240" w:after="240"/>
              <w:ind w:left="238" w:right="238"/>
              <w:jc w:val="center"/>
              <w:rPr>
                <w:rFonts w:ascii="Times New Roman" w:hAnsi="Times New Roman" w:cs="Times New Roman"/>
                <w:sz w:val="24"/>
                <w:szCs w:val="24"/>
              </w:rPr>
            </w:pPr>
            <w:r w:rsidRPr="000654A2">
              <w:t>0.189***</w:t>
            </w:r>
          </w:p>
        </w:tc>
        <w:tc>
          <w:tcPr>
            <w:tcW w:w="1803" w:type="dxa"/>
          </w:tcPr>
          <w:p w14:paraId="76C25343" w14:textId="1DB1E435" w:rsidR="00D90653" w:rsidRDefault="00D90653" w:rsidP="006D52D3">
            <w:pPr>
              <w:spacing w:before="240" w:after="240"/>
              <w:ind w:left="238" w:right="238"/>
              <w:jc w:val="center"/>
              <w:rPr>
                <w:rFonts w:ascii="Times New Roman" w:hAnsi="Times New Roman" w:cs="Times New Roman"/>
                <w:sz w:val="24"/>
                <w:szCs w:val="24"/>
              </w:rPr>
            </w:pPr>
            <w:r w:rsidRPr="000654A2">
              <w:t>0.067</w:t>
            </w:r>
          </w:p>
        </w:tc>
        <w:tc>
          <w:tcPr>
            <w:tcW w:w="1803" w:type="dxa"/>
          </w:tcPr>
          <w:p w14:paraId="1801287B" w14:textId="4C8C889D" w:rsidR="00D90653" w:rsidRDefault="00D90653" w:rsidP="006D52D3">
            <w:pPr>
              <w:spacing w:before="240" w:after="240"/>
              <w:ind w:left="238" w:right="238"/>
              <w:jc w:val="center"/>
              <w:rPr>
                <w:rFonts w:ascii="Times New Roman" w:hAnsi="Times New Roman" w:cs="Times New Roman"/>
                <w:sz w:val="24"/>
                <w:szCs w:val="24"/>
              </w:rPr>
            </w:pPr>
            <w:r w:rsidRPr="000654A2">
              <w:t>2.82</w:t>
            </w:r>
          </w:p>
        </w:tc>
        <w:tc>
          <w:tcPr>
            <w:tcW w:w="1804" w:type="dxa"/>
          </w:tcPr>
          <w:p w14:paraId="7F7AA2F6" w14:textId="4661D430" w:rsidR="00D90653" w:rsidRDefault="00D90653" w:rsidP="006D52D3">
            <w:pPr>
              <w:spacing w:before="240" w:after="240"/>
              <w:ind w:left="238" w:right="238"/>
              <w:jc w:val="center"/>
              <w:rPr>
                <w:rFonts w:ascii="Times New Roman" w:hAnsi="Times New Roman" w:cs="Times New Roman"/>
                <w:sz w:val="24"/>
                <w:szCs w:val="24"/>
              </w:rPr>
            </w:pPr>
            <w:r w:rsidRPr="000654A2">
              <w:t>0.007</w:t>
            </w:r>
          </w:p>
        </w:tc>
      </w:tr>
      <w:tr w:rsidR="00D90653" w14:paraId="39EE76F7" w14:textId="77777777" w:rsidTr="00D90653">
        <w:tc>
          <w:tcPr>
            <w:tcW w:w="1555" w:type="dxa"/>
          </w:tcPr>
          <w:p w14:paraId="63F3B6B6" w14:textId="32161785" w:rsidR="00D90653" w:rsidRDefault="00D90653" w:rsidP="006D52D3">
            <w:pPr>
              <w:spacing w:before="240" w:after="240"/>
              <w:ind w:left="238" w:right="238"/>
              <w:jc w:val="center"/>
              <w:rPr>
                <w:rFonts w:ascii="Times New Roman" w:hAnsi="Times New Roman" w:cs="Times New Roman"/>
                <w:sz w:val="24"/>
                <w:szCs w:val="24"/>
              </w:rPr>
            </w:pPr>
            <w:r w:rsidRPr="000654A2">
              <w:t>Regulatory Quality</w:t>
            </w:r>
          </w:p>
        </w:tc>
        <w:tc>
          <w:tcPr>
            <w:tcW w:w="1803" w:type="dxa"/>
          </w:tcPr>
          <w:p w14:paraId="17B542AE" w14:textId="14911A3E" w:rsidR="00D90653" w:rsidRDefault="00D90653" w:rsidP="006D52D3">
            <w:pPr>
              <w:spacing w:before="240" w:after="240"/>
              <w:ind w:left="238" w:right="238"/>
              <w:jc w:val="center"/>
              <w:rPr>
                <w:rFonts w:ascii="Times New Roman" w:hAnsi="Times New Roman" w:cs="Times New Roman"/>
                <w:sz w:val="24"/>
                <w:szCs w:val="24"/>
              </w:rPr>
            </w:pPr>
            <w:r w:rsidRPr="000654A2">
              <w:t>0.062</w:t>
            </w:r>
          </w:p>
        </w:tc>
        <w:tc>
          <w:tcPr>
            <w:tcW w:w="1803" w:type="dxa"/>
          </w:tcPr>
          <w:p w14:paraId="1FCBC988" w14:textId="1DA87698" w:rsidR="00D90653" w:rsidRDefault="00D90653" w:rsidP="006D52D3">
            <w:pPr>
              <w:spacing w:before="240" w:after="240"/>
              <w:ind w:left="238" w:right="238"/>
              <w:jc w:val="center"/>
              <w:rPr>
                <w:rFonts w:ascii="Times New Roman" w:hAnsi="Times New Roman" w:cs="Times New Roman"/>
                <w:sz w:val="24"/>
                <w:szCs w:val="24"/>
              </w:rPr>
            </w:pPr>
            <w:r w:rsidRPr="000654A2">
              <w:t>0.071</w:t>
            </w:r>
          </w:p>
        </w:tc>
        <w:tc>
          <w:tcPr>
            <w:tcW w:w="1803" w:type="dxa"/>
          </w:tcPr>
          <w:p w14:paraId="67FF2259" w14:textId="62DA764A" w:rsidR="00D90653" w:rsidRDefault="00D90653" w:rsidP="006D52D3">
            <w:pPr>
              <w:spacing w:before="240" w:after="240"/>
              <w:ind w:left="238" w:right="238"/>
              <w:jc w:val="center"/>
              <w:rPr>
                <w:rFonts w:ascii="Times New Roman" w:hAnsi="Times New Roman" w:cs="Times New Roman"/>
                <w:sz w:val="24"/>
                <w:szCs w:val="24"/>
              </w:rPr>
            </w:pPr>
            <w:r w:rsidRPr="000654A2">
              <w:t>0.87</w:t>
            </w:r>
          </w:p>
        </w:tc>
        <w:tc>
          <w:tcPr>
            <w:tcW w:w="1804" w:type="dxa"/>
          </w:tcPr>
          <w:p w14:paraId="41D59629" w14:textId="71F8E340" w:rsidR="00D90653" w:rsidRDefault="00D90653" w:rsidP="006D52D3">
            <w:pPr>
              <w:spacing w:before="240" w:after="240"/>
              <w:ind w:left="238" w:right="238"/>
              <w:jc w:val="center"/>
              <w:rPr>
                <w:rFonts w:ascii="Times New Roman" w:hAnsi="Times New Roman" w:cs="Times New Roman"/>
                <w:sz w:val="24"/>
                <w:szCs w:val="24"/>
              </w:rPr>
            </w:pPr>
            <w:r w:rsidRPr="000654A2">
              <w:t>0.386</w:t>
            </w:r>
          </w:p>
        </w:tc>
      </w:tr>
      <w:tr w:rsidR="00D90653" w14:paraId="202A94C1" w14:textId="77777777" w:rsidTr="00D90653">
        <w:tc>
          <w:tcPr>
            <w:tcW w:w="1555" w:type="dxa"/>
          </w:tcPr>
          <w:p w14:paraId="0C56B3EE" w14:textId="7432FD71" w:rsidR="00D90653" w:rsidRDefault="00D90653" w:rsidP="006D52D3">
            <w:pPr>
              <w:spacing w:before="240" w:after="240"/>
              <w:ind w:left="238" w:right="238"/>
              <w:jc w:val="center"/>
              <w:rPr>
                <w:rFonts w:ascii="Times New Roman" w:hAnsi="Times New Roman" w:cs="Times New Roman"/>
                <w:sz w:val="24"/>
                <w:szCs w:val="24"/>
              </w:rPr>
            </w:pPr>
            <w:r w:rsidRPr="000654A2">
              <w:t>Voice &amp; Accountability</w:t>
            </w:r>
          </w:p>
        </w:tc>
        <w:tc>
          <w:tcPr>
            <w:tcW w:w="1803" w:type="dxa"/>
          </w:tcPr>
          <w:p w14:paraId="75416EE6" w14:textId="6331C72B" w:rsidR="00D90653" w:rsidRDefault="00D90653" w:rsidP="006D52D3">
            <w:pPr>
              <w:spacing w:before="240" w:after="240"/>
              <w:ind w:left="238" w:right="238"/>
              <w:jc w:val="center"/>
              <w:rPr>
                <w:rFonts w:ascii="Times New Roman" w:hAnsi="Times New Roman" w:cs="Times New Roman"/>
                <w:sz w:val="24"/>
                <w:szCs w:val="24"/>
              </w:rPr>
            </w:pPr>
            <w:r w:rsidRPr="000654A2">
              <w:t>0.127**</w:t>
            </w:r>
          </w:p>
        </w:tc>
        <w:tc>
          <w:tcPr>
            <w:tcW w:w="1803" w:type="dxa"/>
          </w:tcPr>
          <w:p w14:paraId="6A486BA8" w14:textId="07B2A4DA" w:rsidR="00D90653" w:rsidRDefault="00D90653" w:rsidP="006D52D3">
            <w:pPr>
              <w:spacing w:before="240" w:after="240"/>
              <w:ind w:left="238" w:right="238"/>
              <w:jc w:val="center"/>
              <w:rPr>
                <w:rFonts w:ascii="Times New Roman" w:hAnsi="Times New Roman" w:cs="Times New Roman"/>
                <w:sz w:val="24"/>
                <w:szCs w:val="24"/>
              </w:rPr>
            </w:pPr>
            <w:r w:rsidRPr="000654A2">
              <w:t>0.059</w:t>
            </w:r>
          </w:p>
        </w:tc>
        <w:tc>
          <w:tcPr>
            <w:tcW w:w="1803" w:type="dxa"/>
          </w:tcPr>
          <w:p w14:paraId="775700D7" w14:textId="6B6AE5B5" w:rsidR="00D90653" w:rsidRDefault="00D90653" w:rsidP="006D52D3">
            <w:pPr>
              <w:spacing w:before="240" w:after="240"/>
              <w:ind w:left="238" w:right="238"/>
              <w:jc w:val="center"/>
              <w:rPr>
                <w:rFonts w:ascii="Times New Roman" w:hAnsi="Times New Roman" w:cs="Times New Roman"/>
                <w:sz w:val="24"/>
                <w:szCs w:val="24"/>
              </w:rPr>
            </w:pPr>
            <w:r w:rsidRPr="000654A2">
              <w:t>2.15</w:t>
            </w:r>
          </w:p>
        </w:tc>
        <w:tc>
          <w:tcPr>
            <w:tcW w:w="1804" w:type="dxa"/>
          </w:tcPr>
          <w:p w14:paraId="5FC83F20" w14:textId="7EFB3887" w:rsidR="00D90653" w:rsidRDefault="00D90653" w:rsidP="006D52D3">
            <w:pPr>
              <w:spacing w:before="240" w:after="240"/>
              <w:ind w:left="238" w:right="238"/>
              <w:jc w:val="center"/>
              <w:rPr>
                <w:rFonts w:ascii="Times New Roman" w:hAnsi="Times New Roman" w:cs="Times New Roman"/>
                <w:sz w:val="24"/>
                <w:szCs w:val="24"/>
              </w:rPr>
            </w:pPr>
            <w:r w:rsidRPr="000654A2">
              <w:t>0.035</w:t>
            </w:r>
          </w:p>
        </w:tc>
      </w:tr>
      <w:tr w:rsidR="00D90653" w14:paraId="71F92532" w14:textId="77777777" w:rsidTr="00D90653">
        <w:tc>
          <w:tcPr>
            <w:tcW w:w="1555" w:type="dxa"/>
          </w:tcPr>
          <w:p w14:paraId="1C9979B2" w14:textId="06B482EA" w:rsidR="00D90653" w:rsidRDefault="00D90653" w:rsidP="006D52D3">
            <w:pPr>
              <w:spacing w:before="240" w:after="240"/>
              <w:ind w:left="238" w:right="238"/>
              <w:jc w:val="center"/>
              <w:rPr>
                <w:rFonts w:ascii="Times New Roman" w:hAnsi="Times New Roman" w:cs="Times New Roman"/>
                <w:sz w:val="24"/>
                <w:szCs w:val="24"/>
              </w:rPr>
            </w:pPr>
            <w:r w:rsidRPr="000654A2">
              <w:t>Country FE</w:t>
            </w:r>
          </w:p>
        </w:tc>
        <w:tc>
          <w:tcPr>
            <w:tcW w:w="1803" w:type="dxa"/>
          </w:tcPr>
          <w:p w14:paraId="46DE6360" w14:textId="560F05D3" w:rsidR="00D90653" w:rsidRDefault="00D90653" w:rsidP="006D52D3">
            <w:pPr>
              <w:spacing w:before="240" w:after="240"/>
              <w:ind w:left="238" w:right="238"/>
              <w:jc w:val="center"/>
              <w:rPr>
                <w:rFonts w:ascii="Times New Roman" w:hAnsi="Times New Roman" w:cs="Times New Roman"/>
                <w:sz w:val="24"/>
                <w:szCs w:val="24"/>
              </w:rPr>
            </w:pPr>
            <w:r w:rsidRPr="000654A2">
              <w:t>Yes</w:t>
            </w:r>
          </w:p>
        </w:tc>
        <w:tc>
          <w:tcPr>
            <w:tcW w:w="1803" w:type="dxa"/>
          </w:tcPr>
          <w:p w14:paraId="5C973F2D" w14:textId="195F600C"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3" w:type="dxa"/>
          </w:tcPr>
          <w:p w14:paraId="315F915E" w14:textId="7AF47184"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4" w:type="dxa"/>
          </w:tcPr>
          <w:p w14:paraId="3A588BD4" w14:textId="0EB3C7E5" w:rsidR="00D90653" w:rsidRDefault="00D90653" w:rsidP="006D52D3">
            <w:pPr>
              <w:spacing w:before="240" w:after="240"/>
              <w:ind w:left="238" w:right="238"/>
              <w:jc w:val="center"/>
              <w:rPr>
                <w:rFonts w:ascii="Times New Roman" w:hAnsi="Times New Roman" w:cs="Times New Roman"/>
                <w:sz w:val="24"/>
                <w:szCs w:val="24"/>
              </w:rPr>
            </w:pPr>
            <w:r w:rsidRPr="000654A2">
              <w:t>—</w:t>
            </w:r>
          </w:p>
        </w:tc>
      </w:tr>
      <w:tr w:rsidR="00D90653" w14:paraId="60E03A44" w14:textId="77777777" w:rsidTr="00D90653">
        <w:tc>
          <w:tcPr>
            <w:tcW w:w="1555" w:type="dxa"/>
          </w:tcPr>
          <w:p w14:paraId="7E14DF8E" w14:textId="2208683F" w:rsidR="00D90653" w:rsidRDefault="00D90653" w:rsidP="006D52D3">
            <w:pPr>
              <w:spacing w:before="240" w:after="240"/>
              <w:ind w:left="238" w:right="238"/>
              <w:jc w:val="center"/>
              <w:rPr>
                <w:rFonts w:ascii="Times New Roman" w:hAnsi="Times New Roman" w:cs="Times New Roman"/>
                <w:sz w:val="24"/>
                <w:szCs w:val="24"/>
              </w:rPr>
            </w:pPr>
            <w:r w:rsidRPr="000654A2">
              <w:t>Observations</w:t>
            </w:r>
          </w:p>
        </w:tc>
        <w:tc>
          <w:tcPr>
            <w:tcW w:w="1803" w:type="dxa"/>
          </w:tcPr>
          <w:p w14:paraId="01D1361D" w14:textId="3793FA60" w:rsidR="00D90653" w:rsidRDefault="00D90653" w:rsidP="006D52D3">
            <w:pPr>
              <w:spacing w:before="240" w:after="240"/>
              <w:ind w:left="238" w:right="238"/>
              <w:jc w:val="center"/>
              <w:rPr>
                <w:rFonts w:ascii="Times New Roman" w:hAnsi="Times New Roman" w:cs="Times New Roman"/>
                <w:sz w:val="24"/>
                <w:szCs w:val="24"/>
              </w:rPr>
            </w:pPr>
            <w:r w:rsidRPr="000654A2">
              <w:t>100</w:t>
            </w:r>
          </w:p>
        </w:tc>
        <w:tc>
          <w:tcPr>
            <w:tcW w:w="1803" w:type="dxa"/>
          </w:tcPr>
          <w:p w14:paraId="52159CD3" w14:textId="42F90546"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3" w:type="dxa"/>
          </w:tcPr>
          <w:p w14:paraId="222E1D87" w14:textId="664C2472"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4" w:type="dxa"/>
          </w:tcPr>
          <w:p w14:paraId="5E2F8A79" w14:textId="121F1756" w:rsidR="00D90653" w:rsidRDefault="00D90653" w:rsidP="006D52D3">
            <w:pPr>
              <w:spacing w:before="240" w:after="240"/>
              <w:ind w:left="238" w:right="238"/>
              <w:jc w:val="center"/>
              <w:rPr>
                <w:rFonts w:ascii="Times New Roman" w:hAnsi="Times New Roman" w:cs="Times New Roman"/>
                <w:sz w:val="24"/>
                <w:szCs w:val="24"/>
              </w:rPr>
            </w:pPr>
            <w:r w:rsidRPr="000654A2">
              <w:t>—</w:t>
            </w:r>
          </w:p>
        </w:tc>
      </w:tr>
      <w:tr w:rsidR="00D90653" w14:paraId="77B4EC02" w14:textId="77777777" w:rsidTr="00D90653">
        <w:tc>
          <w:tcPr>
            <w:tcW w:w="1555" w:type="dxa"/>
          </w:tcPr>
          <w:p w14:paraId="15283BA4" w14:textId="4DCF03A0" w:rsidR="00D90653" w:rsidRDefault="00D90653" w:rsidP="006D52D3">
            <w:pPr>
              <w:spacing w:before="240" w:after="240"/>
              <w:ind w:left="238" w:right="238"/>
              <w:jc w:val="center"/>
              <w:rPr>
                <w:rFonts w:ascii="Times New Roman" w:hAnsi="Times New Roman" w:cs="Times New Roman"/>
                <w:sz w:val="24"/>
                <w:szCs w:val="24"/>
              </w:rPr>
            </w:pPr>
            <w:r w:rsidRPr="000654A2">
              <w:t>R² (within)</w:t>
            </w:r>
          </w:p>
        </w:tc>
        <w:tc>
          <w:tcPr>
            <w:tcW w:w="1803" w:type="dxa"/>
          </w:tcPr>
          <w:p w14:paraId="4384BC7F" w14:textId="19CAF29C" w:rsidR="00D90653" w:rsidRDefault="00D90653" w:rsidP="006D52D3">
            <w:pPr>
              <w:spacing w:before="240" w:after="240"/>
              <w:ind w:left="238" w:right="238"/>
              <w:jc w:val="center"/>
              <w:rPr>
                <w:rFonts w:ascii="Times New Roman" w:hAnsi="Times New Roman" w:cs="Times New Roman"/>
                <w:sz w:val="24"/>
                <w:szCs w:val="24"/>
              </w:rPr>
            </w:pPr>
            <w:r w:rsidRPr="000654A2">
              <w:t>0.882</w:t>
            </w:r>
          </w:p>
        </w:tc>
        <w:tc>
          <w:tcPr>
            <w:tcW w:w="1803" w:type="dxa"/>
          </w:tcPr>
          <w:p w14:paraId="56403DA2" w14:textId="19CA0A37"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3" w:type="dxa"/>
          </w:tcPr>
          <w:p w14:paraId="79896676" w14:textId="76F694A7"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4" w:type="dxa"/>
          </w:tcPr>
          <w:p w14:paraId="272CAB50" w14:textId="6CB1BF1B" w:rsidR="00D90653" w:rsidRDefault="00D90653" w:rsidP="006D52D3">
            <w:pPr>
              <w:spacing w:before="240" w:after="240"/>
              <w:ind w:left="238" w:right="238"/>
              <w:jc w:val="center"/>
              <w:rPr>
                <w:rFonts w:ascii="Times New Roman" w:hAnsi="Times New Roman" w:cs="Times New Roman"/>
                <w:sz w:val="24"/>
                <w:szCs w:val="24"/>
              </w:rPr>
            </w:pPr>
            <w:r w:rsidRPr="000654A2">
              <w:t>—</w:t>
            </w:r>
          </w:p>
        </w:tc>
      </w:tr>
      <w:tr w:rsidR="00D90653" w14:paraId="5328A66E" w14:textId="77777777" w:rsidTr="00D90653">
        <w:tc>
          <w:tcPr>
            <w:tcW w:w="1555" w:type="dxa"/>
          </w:tcPr>
          <w:p w14:paraId="72CF01A8" w14:textId="79FD5322" w:rsidR="00D90653" w:rsidRDefault="00D90653" w:rsidP="006D52D3">
            <w:pPr>
              <w:spacing w:before="240" w:after="240"/>
              <w:ind w:left="238" w:right="238"/>
              <w:jc w:val="center"/>
              <w:rPr>
                <w:rFonts w:ascii="Times New Roman" w:hAnsi="Times New Roman" w:cs="Times New Roman"/>
                <w:sz w:val="24"/>
                <w:szCs w:val="24"/>
              </w:rPr>
            </w:pPr>
            <w:r w:rsidRPr="000654A2">
              <w:lastRenderedPageBreak/>
              <w:t>F-statistic</w:t>
            </w:r>
          </w:p>
        </w:tc>
        <w:tc>
          <w:tcPr>
            <w:tcW w:w="1803" w:type="dxa"/>
          </w:tcPr>
          <w:p w14:paraId="0A7F90D5" w14:textId="066B47F3" w:rsidR="00D90653" w:rsidRDefault="00D90653" w:rsidP="006D52D3">
            <w:pPr>
              <w:spacing w:before="240" w:after="240"/>
              <w:ind w:left="238" w:right="238"/>
              <w:jc w:val="center"/>
              <w:rPr>
                <w:rFonts w:ascii="Times New Roman" w:hAnsi="Times New Roman" w:cs="Times New Roman"/>
                <w:sz w:val="24"/>
                <w:szCs w:val="24"/>
              </w:rPr>
            </w:pPr>
            <w:r w:rsidRPr="000654A2">
              <w:t>47.3</w:t>
            </w:r>
          </w:p>
        </w:tc>
        <w:tc>
          <w:tcPr>
            <w:tcW w:w="1803" w:type="dxa"/>
          </w:tcPr>
          <w:p w14:paraId="5AE3E629" w14:textId="5CB3EDD9"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3" w:type="dxa"/>
          </w:tcPr>
          <w:p w14:paraId="7401A83B" w14:textId="7DB87CFD"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4" w:type="dxa"/>
          </w:tcPr>
          <w:p w14:paraId="7E9FCA81" w14:textId="299FE9FA" w:rsidR="00D90653" w:rsidRDefault="00D90653" w:rsidP="006D52D3">
            <w:pPr>
              <w:spacing w:before="240" w:after="240"/>
              <w:ind w:left="238" w:right="238"/>
              <w:jc w:val="center"/>
              <w:rPr>
                <w:rFonts w:ascii="Times New Roman" w:hAnsi="Times New Roman" w:cs="Times New Roman"/>
                <w:sz w:val="24"/>
                <w:szCs w:val="24"/>
              </w:rPr>
            </w:pPr>
            <w:r w:rsidRPr="000654A2">
              <w:t>—</w:t>
            </w:r>
          </w:p>
        </w:tc>
      </w:tr>
      <w:tr w:rsidR="00D90653" w14:paraId="020DC36B" w14:textId="77777777" w:rsidTr="00D90653">
        <w:tc>
          <w:tcPr>
            <w:tcW w:w="1555" w:type="dxa"/>
          </w:tcPr>
          <w:p w14:paraId="5985B5A2" w14:textId="76DFDD3B" w:rsidR="00D90653" w:rsidRDefault="00D90653" w:rsidP="006D52D3">
            <w:pPr>
              <w:spacing w:before="240" w:after="240"/>
              <w:ind w:left="238" w:right="238"/>
              <w:jc w:val="center"/>
              <w:rPr>
                <w:rFonts w:ascii="Times New Roman" w:hAnsi="Times New Roman" w:cs="Times New Roman"/>
                <w:sz w:val="24"/>
                <w:szCs w:val="24"/>
              </w:rPr>
            </w:pPr>
            <w:r w:rsidRPr="000654A2">
              <w:t>CD test (p-value)</w:t>
            </w:r>
          </w:p>
        </w:tc>
        <w:tc>
          <w:tcPr>
            <w:tcW w:w="1803" w:type="dxa"/>
          </w:tcPr>
          <w:p w14:paraId="7995E25D" w14:textId="0537103B" w:rsidR="00D90653" w:rsidRDefault="00D90653" w:rsidP="006D52D3">
            <w:pPr>
              <w:spacing w:before="240" w:after="240"/>
              <w:ind w:left="238" w:right="238"/>
              <w:jc w:val="center"/>
              <w:rPr>
                <w:rFonts w:ascii="Times New Roman" w:hAnsi="Times New Roman" w:cs="Times New Roman"/>
                <w:sz w:val="24"/>
                <w:szCs w:val="24"/>
              </w:rPr>
            </w:pPr>
            <w:r w:rsidRPr="000654A2">
              <w:t>3.87 (0.000)</w:t>
            </w:r>
          </w:p>
        </w:tc>
        <w:tc>
          <w:tcPr>
            <w:tcW w:w="1803" w:type="dxa"/>
          </w:tcPr>
          <w:p w14:paraId="0619F3D0" w14:textId="2C765B36"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3" w:type="dxa"/>
          </w:tcPr>
          <w:p w14:paraId="2CAB26F0" w14:textId="5395EDCC" w:rsidR="00D90653" w:rsidRDefault="00D90653" w:rsidP="006D52D3">
            <w:pPr>
              <w:spacing w:before="240" w:after="240"/>
              <w:ind w:left="238" w:right="238"/>
              <w:jc w:val="center"/>
              <w:rPr>
                <w:rFonts w:ascii="Times New Roman" w:hAnsi="Times New Roman" w:cs="Times New Roman"/>
                <w:sz w:val="24"/>
                <w:szCs w:val="24"/>
              </w:rPr>
            </w:pPr>
            <w:r w:rsidRPr="000654A2">
              <w:t>—</w:t>
            </w:r>
          </w:p>
        </w:tc>
        <w:tc>
          <w:tcPr>
            <w:tcW w:w="1804" w:type="dxa"/>
          </w:tcPr>
          <w:p w14:paraId="3D019DC1" w14:textId="39D09A61" w:rsidR="00D90653" w:rsidRDefault="00D90653" w:rsidP="006D52D3">
            <w:pPr>
              <w:spacing w:before="240" w:after="240"/>
              <w:ind w:left="238" w:right="238"/>
              <w:jc w:val="center"/>
              <w:rPr>
                <w:rFonts w:ascii="Times New Roman" w:hAnsi="Times New Roman" w:cs="Times New Roman"/>
                <w:sz w:val="24"/>
                <w:szCs w:val="24"/>
              </w:rPr>
            </w:pPr>
            <w:r w:rsidRPr="000654A2">
              <w:t>—</w:t>
            </w:r>
          </w:p>
        </w:tc>
      </w:tr>
    </w:tbl>
    <w:p w14:paraId="0BFCDDCD" w14:textId="5559F29B"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 xml:space="preserve">Table 4: Fixed Effects Estimation with Driscoll-Kraay Standard Errors (2000–2024). Dependent variable: SDG Index Score. Standard errors robust to cross-sectional dependence, heteroscedasticity, and autocorrelation (Driscoll &amp; Kraay, 1998). ***, **, * denote significance at 1%, 5%, 10%. Sample: Ghana, The Gambia, Nigeria, Sierra Leone. </w:t>
      </w:r>
    </w:p>
    <w:p w14:paraId="7ED5A715"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D90653">
        <w:rPr>
          <w:rFonts w:ascii="Times New Roman" w:hAnsi="Times New Roman" w:cs="Times New Roman"/>
          <w:b/>
          <w:bCs/>
          <w:sz w:val="24"/>
          <w:szCs w:val="24"/>
        </w:rPr>
        <w:t>Source:</w:t>
      </w:r>
      <w:r w:rsidRPr="007D00B7">
        <w:rPr>
          <w:rFonts w:ascii="Times New Roman" w:hAnsi="Times New Roman" w:cs="Times New Roman"/>
          <w:sz w:val="24"/>
          <w:szCs w:val="24"/>
        </w:rPr>
        <w:t xml:space="preserve"> Authors' computations.</w:t>
      </w:r>
    </w:p>
    <w:p w14:paraId="6577D7DF" w14:textId="5F7CE494" w:rsidR="007D00B7" w:rsidRPr="00D90653" w:rsidRDefault="00D90653" w:rsidP="006D52D3">
      <w:pPr>
        <w:spacing w:before="240" w:after="240" w:line="240" w:lineRule="auto"/>
        <w:ind w:left="238" w:right="238"/>
        <w:jc w:val="both"/>
        <w:rPr>
          <w:rFonts w:ascii="Times New Roman" w:hAnsi="Times New Roman" w:cs="Times New Roman"/>
          <w:b/>
          <w:bCs/>
          <w:sz w:val="24"/>
          <w:szCs w:val="24"/>
        </w:rPr>
      </w:pPr>
      <w:r w:rsidRPr="00D90653">
        <w:rPr>
          <w:rFonts w:ascii="Times New Roman" w:hAnsi="Times New Roman" w:cs="Times New Roman"/>
          <w:b/>
          <w:bCs/>
          <w:sz w:val="24"/>
          <w:szCs w:val="24"/>
        </w:rPr>
        <w:t>PMG LONG-RUN ESTIMATES</w:t>
      </w:r>
    </w:p>
    <w:p w14:paraId="41A180F8" w14:textId="3976998B"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5 presents the PMG estimation results. The error correction coefficient φ̂ = −0.312 (p &lt; 0.001) confirms a stable long-run cointegrating relationship and implies that approximately 31% of any deviation from the long-run equilibrium is corrected within a single year. This moderate speed of adjustment</w:t>
      </w:r>
      <w:r w:rsidR="00D90653">
        <w:rPr>
          <w:rFonts w:ascii="Times New Roman" w:hAnsi="Times New Roman" w:cs="Times New Roman"/>
          <w:sz w:val="24"/>
          <w:szCs w:val="24"/>
          <w:lang w:val="en-US"/>
        </w:rPr>
        <w:t xml:space="preserve">, </w:t>
      </w:r>
      <w:r w:rsidRPr="007D00B7">
        <w:rPr>
          <w:rFonts w:ascii="Times New Roman" w:hAnsi="Times New Roman" w:cs="Times New Roman"/>
          <w:sz w:val="24"/>
          <w:szCs w:val="24"/>
        </w:rPr>
        <w:t>corresponding to a half-life of approximately two years</w:t>
      </w:r>
      <w:r w:rsidR="00D90653">
        <w:rPr>
          <w:rFonts w:ascii="Times New Roman" w:hAnsi="Times New Roman" w:cs="Times New Roman"/>
          <w:sz w:val="24"/>
          <w:szCs w:val="24"/>
          <w:lang w:val="en-US"/>
        </w:rPr>
        <w:t xml:space="preserve">, </w:t>
      </w:r>
      <w:r w:rsidRPr="007D00B7">
        <w:rPr>
          <w:rFonts w:ascii="Times New Roman" w:hAnsi="Times New Roman" w:cs="Times New Roman"/>
          <w:sz w:val="24"/>
          <w:szCs w:val="24"/>
        </w:rPr>
        <w:t>is consistent with the theoretical view that institutional change and its developmental consequences are gradual, path-dependent processes. It is also consistent with estimates from comparable African panel studies (Godfrey, Asongu &amp; Nwachukwu, 2022; Asongu &amp; Nwachukwu, 2019).</w:t>
      </w:r>
    </w:p>
    <w:p w14:paraId="6BDD86B4"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All six governance dimensions are positively and statistically significantly associated with SDG Index scores in the long run. Government effectiveness (θ̂ = 0.287, p &lt; 0.001) and rule of law (θ̂ = 0.261, p &lt; 0.001) exhibit the largest long-run magnitudes, consistent with the theoretical argument that state capacity and legal institutions are the most direct levers through which governance translates into measurable development outcomes (Besley &amp; Persson, 2011; Rodrik, Subramanian &amp; Trebbi, 2004). A one-percentile-rank improvement in government effectiveness is associated with a 0.287-point increase in the SDG Index Score in the long run, holding other governance dimensions constant. The Hausman test statistic (χ² = 8.43, p = 0.208) does not reject the long-run slope homogeneity restriction of the PMG over the MG estimator, lending formal support to the pooling restriction and suggesting that the governance–development relationship is common across the four countries despite their structural differences.</w:t>
      </w:r>
    </w:p>
    <w:tbl>
      <w:tblPr>
        <w:tblStyle w:val="TableGrid"/>
        <w:tblW w:w="0" w:type="auto"/>
        <w:tblLook w:val="04A0" w:firstRow="1" w:lastRow="0" w:firstColumn="1" w:lastColumn="0" w:noHBand="0" w:noVBand="1"/>
      </w:tblPr>
      <w:tblGrid>
        <w:gridCol w:w="1972"/>
        <w:gridCol w:w="1803"/>
        <w:gridCol w:w="1803"/>
        <w:gridCol w:w="1803"/>
        <w:gridCol w:w="1804"/>
      </w:tblGrid>
      <w:tr w:rsidR="003A6BB6" w14:paraId="24ACD223" w14:textId="77777777" w:rsidTr="00D90653">
        <w:tc>
          <w:tcPr>
            <w:tcW w:w="1803" w:type="dxa"/>
          </w:tcPr>
          <w:p w14:paraId="4405F413" w14:textId="6EDDD7DB" w:rsidR="003A6BB6" w:rsidRPr="003A6BB6" w:rsidRDefault="003A6BB6" w:rsidP="006D52D3">
            <w:pPr>
              <w:spacing w:before="240" w:after="240"/>
              <w:ind w:left="238" w:right="238"/>
              <w:jc w:val="center"/>
              <w:rPr>
                <w:rFonts w:ascii="Times New Roman" w:hAnsi="Times New Roman" w:cs="Times New Roman"/>
                <w:b/>
                <w:bCs/>
                <w:sz w:val="24"/>
                <w:szCs w:val="24"/>
              </w:rPr>
            </w:pPr>
            <w:r w:rsidRPr="003A6BB6">
              <w:rPr>
                <w:b/>
                <w:bCs/>
              </w:rPr>
              <w:t>Variable</w:t>
            </w:r>
          </w:p>
        </w:tc>
        <w:tc>
          <w:tcPr>
            <w:tcW w:w="1803" w:type="dxa"/>
          </w:tcPr>
          <w:p w14:paraId="33714968" w14:textId="4FAEEDA9" w:rsidR="003A6BB6" w:rsidRPr="003A6BB6" w:rsidRDefault="003A6BB6" w:rsidP="006D52D3">
            <w:pPr>
              <w:spacing w:before="240" w:after="240"/>
              <w:ind w:left="238" w:right="238"/>
              <w:jc w:val="center"/>
              <w:rPr>
                <w:rFonts w:ascii="Times New Roman" w:hAnsi="Times New Roman" w:cs="Times New Roman"/>
                <w:b/>
                <w:bCs/>
                <w:sz w:val="24"/>
                <w:szCs w:val="24"/>
              </w:rPr>
            </w:pPr>
            <w:r w:rsidRPr="003A6BB6">
              <w:rPr>
                <w:b/>
                <w:bCs/>
              </w:rPr>
              <w:t>Coefficient</w:t>
            </w:r>
          </w:p>
        </w:tc>
        <w:tc>
          <w:tcPr>
            <w:tcW w:w="1803" w:type="dxa"/>
          </w:tcPr>
          <w:p w14:paraId="1C19DFB8" w14:textId="04E0450A" w:rsidR="003A6BB6" w:rsidRPr="003A6BB6" w:rsidRDefault="003A6BB6" w:rsidP="006D52D3">
            <w:pPr>
              <w:spacing w:before="240" w:after="240"/>
              <w:ind w:left="238" w:right="238"/>
              <w:jc w:val="center"/>
              <w:rPr>
                <w:rFonts w:ascii="Times New Roman" w:hAnsi="Times New Roman" w:cs="Times New Roman"/>
                <w:b/>
                <w:bCs/>
                <w:sz w:val="24"/>
                <w:szCs w:val="24"/>
              </w:rPr>
            </w:pPr>
            <w:r w:rsidRPr="003A6BB6">
              <w:rPr>
                <w:b/>
                <w:bCs/>
              </w:rPr>
              <w:t>Std. Error</w:t>
            </w:r>
          </w:p>
        </w:tc>
        <w:tc>
          <w:tcPr>
            <w:tcW w:w="1803" w:type="dxa"/>
          </w:tcPr>
          <w:p w14:paraId="27A84D84" w14:textId="2AC53F8A" w:rsidR="003A6BB6" w:rsidRPr="003A6BB6" w:rsidRDefault="003A6BB6" w:rsidP="006D52D3">
            <w:pPr>
              <w:spacing w:before="240" w:after="240"/>
              <w:ind w:left="238" w:right="238"/>
              <w:jc w:val="center"/>
              <w:rPr>
                <w:rFonts w:ascii="Times New Roman" w:hAnsi="Times New Roman" w:cs="Times New Roman"/>
                <w:b/>
                <w:bCs/>
                <w:sz w:val="24"/>
                <w:szCs w:val="24"/>
              </w:rPr>
            </w:pPr>
            <w:r w:rsidRPr="003A6BB6">
              <w:rPr>
                <w:b/>
                <w:bCs/>
              </w:rPr>
              <w:t>z-stat</w:t>
            </w:r>
          </w:p>
        </w:tc>
        <w:tc>
          <w:tcPr>
            <w:tcW w:w="1804" w:type="dxa"/>
          </w:tcPr>
          <w:p w14:paraId="7EB29937" w14:textId="6C235FBB" w:rsidR="003A6BB6" w:rsidRPr="003A6BB6" w:rsidRDefault="003A6BB6" w:rsidP="006D52D3">
            <w:pPr>
              <w:spacing w:before="240" w:after="240"/>
              <w:ind w:left="238" w:right="238"/>
              <w:jc w:val="center"/>
              <w:rPr>
                <w:rFonts w:ascii="Times New Roman" w:hAnsi="Times New Roman" w:cs="Times New Roman"/>
                <w:b/>
                <w:bCs/>
                <w:sz w:val="24"/>
                <w:szCs w:val="24"/>
              </w:rPr>
            </w:pPr>
            <w:r w:rsidRPr="003A6BB6">
              <w:rPr>
                <w:b/>
                <w:bCs/>
              </w:rPr>
              <w:t>p-value</w:t>
            </w:r>
          </w:p>
        </w:tc>
      </w:tr>
      <w:tr w:rsidR="003A6BB6" w14:paraId="64F89894" w14:textId="77777777" w:rsidTr="005F7383">
        <w:tc>
          <w:tcPr>
            <w:tcW w:w="9016" w:type="dxa"/>
            <w:gridSpan w:val="5"/>
          </w:tcPr>
          <w:p w14:paraId="466D2A32" w14:textId="241C7788" w:rsidR="003A6BB6" w:rsidRPr="003A6BB6" w:rsidRDefault="003A6BB6" w:rsidP="006D52D3">
            <w:pPr>
              <w:spacing w:before="240" w:after="240"/>
              <w:ind w:left="238" w:right="238"/>
              <w:jc w:val="both"/>
              <w:rPr>
                <w:rFonts w:ascii="Times New Roman" w:hAnsi="Times New Roman" w:cs="Times New Roman"/>
                <w:b/>
                <w:bCs/>
                <w:sz w:val="24"/>
                <w:szCs w:val="24"/>
              </w:rPr>
            </w:pPr>
            <w:r w:rsidRPr="003A6BB6">
              <w:rPr>
                <w:b/>
                <w:bCs/>
              </w:rPr>
              <w:t>Panel A: Long-Run Estimates (Homogeneous Across Countries)</w:t>
            </w:r>
          </w:p>
        </w:tc>
      </w:tr>
      <w:tr w:rsidR="003A6BB6" w14:paraId="31359F7C" w14:textId="77777777" w:rsidTr="00D90653">
        <w:tc>
          <w:tcPr>
            <w:tcW w:w="1803" w:type="dxa"/>
          </w:tcPr>
          <w:p w14:paraId="30024C7E" w14:textId="732253C7" w:rsidR="003A6BB6" w:rsidRDefault="003A6BB6" w:rsidP="006D52D3">
            <w:pPr>
              <w:spacing w:before="240" w:after="240"/>
              <w:ind w:left="238" w:right="238"/>
              <w:jc w:val="center"/>
              <w:rPr>
                <w:rFonts w:ascii="Times New Roman" w:hAnsi="Times New Roman" w:cs="Times New Roman"/>
                <w:sz w:val="24"/>
                <w:szCs w:val="24"/>
              </w:rPr>
            </w:pPr>
            <w:r w:rsidRPr="00255FB2">
              <w:t>Control of Corruption</w:t>
            </w:r>
          </w:p>
        </w:tc>
        <w:tc>
          <w:tcPr>
            <w:tcW w:w="1803" w:type="dxa"/>
          </w:tcPr>
          <w:p w14:paraId="633D58BC" w14:textId="06F4DC0D" w:rsidR="003A6BB6" w:rsidRDefault="003A6BB6" w:rsidP="006D52D3">
            <w:pPr>
              <w:spacing w:before="240" w:after="240"/>
              <w:ind w:left="238" w:right="238"/>
              <w:jc w:val="center"/>
              <w:rPr>
                <w:rFonts w:ascii="Times New Roman" w:hAnsi="Times New Roman" w:cs="Times New Roman"/>
                <w:sz w:val="24"/>
                <w:szCs w:val="24"/>
              </w:rPr>
            </w:pPr>
            <w:r w:rsidRPr="00255FB2">
              <w:t>0.201***</w:t>
            </w:r>
          </w:p>
        </w:tc>
        <w:tc>
          <w:tcPr>
            <w:tcW w:w="1803" w:type="dxa"/>
          </w:tcPr>
          <w:p w14:paraId="438211C4" w14:textId="7AAAA1C8" w:rsidR="003A6BB6" w:rsidRDefault="003A6BB6" w:rsidP="006D52D3">
            <w:pPr>
              <w:spacing w:before="240" w:after="240"/>
              <w:ind w:left="238" w:right="238"/>
              <w:jc w:val="center"/>
              <w:rPr>
                <w:rFonts w:ascii="Times New Roman" w:hAnsi="Times New Roman" w:cs="Times New Roman"/>
                <w:sz w:val="24"/>
                <w:szCs w:val="24"/>
              </w:rPr>
            </w:pPr>
            <w:r w:rsidRPr="00255FB2">
              <w:t>0.061</w:t>
            </w:r>
          </w:p>
        </w:tc>
        <w:tc>
          <w:tcPr>
            <w:tcW w:w="1803" w:type="dxa"/>
          </w:tcPr>
          <w:p w14:paraId="6FF07480" w14:textId="7F0D654C" w:rsidR="003A6BB6" w:rsidRDefault="003A6BB6" w:rsidP="006D52D3">
            <w:pPr>
              <w:spacing w:before="240" w:after="240"/>
              <w:ind w:left="238" w:right="238"/>
              <w:jc w:val="center"/>
              <w:rPr>
                <w:rFonts w:ascii="Times New Roman" w:hAnsi="Times New Roman" w:cs="Times New Roman"/>
                <w:sz w:val="24"/>
                <w:szCs w:val="24"/>
              </w:rPr>
            </w:pPr>
            <w:r w:rsidRPr="00255FB2">
              <w:t>3.30</w:t>
            </w:r>
          </w:p>
        </w:tc>
        <w:tc>
          <w:tcPr>
            <w:tcW w:w="1804" w:type="dxa"/>
          </w:tcPr>
          <w:p w14:paraId="76B24CB4" w14:textId="3FF40753" w:rsidR="003A6BB6" w:rsidRDefault="003A6BB6" w:rsidP="006D52D3">
            <w:pPr>
              <w:spacing w:before="240" w:after="240"/>
              <w:ind w:left="238" w:right="238"/>
              <w:jc w:val="center"/>
              <w:rPr>
                <w:rFonts w:ascii="Times New Roman" w:hAnsi="Times New Roman" w:cs="Times New Roman"/>
                <w:sz w:val="24"/>
                <w:szCs w:val="24"/>
              </w:rPr>
            </w:pPr>
            <w:r w:rsidRPr="00255FB2">
              <w:t>0.001</w:t>
            </w:r>
          </w:p>
        </w:tc>
      </w:tr>
      <w:tr w:rsidR="003A6BB6" w14:paraId="0F8A85AF" w14:textId="77777777" w:rsidTr="00D90653">
        <w:tc>
          <w:tcPr>
            <w:tcW w:w="1803" w:type="dxa"/>
          </w:tcPr>
          <w:p w14:paraId="713428E4" w14:textId="0FC9D897" w:rsidR="003A6BB6" w:rsidRDefault="003A6BB6" w:rsidP="006D52D3">
            <w:pPr>
              <w:spacing w:before="240" w:after="240"/>
              <w:ind w:left="238" w:right="238"/>
              <w:jc w:val="center"/>
              <w:rPr>
                <w:rFonts w:ascii="Times New Roman" w:hAnsi="Times New Roman" w:cs="Times New Roman"/>
                <w:sz w:val="24"/>
                <w:szCs w:val="24"/>
              </w:rPr>
            </w:pPr>
            <w:r w:rsidRPr="00255FB2">
              <w:t>Government Effectiveness</w:t>
            </w:r>
          </w:p>
        </w:tc>
        <w:tc>
          <w:tcPr>
            <w:tcW w:w="1803" w:type="dxa"/>
          </w:tcPr>
          <w:p w14:paraId="7911B2A7" w14:textId="4D86DFBD" w:rsidR="003A6BB6" w:rsidRDefault="003A6BB6" w:rsidP="006D52D3">
            <w:pPr>
              <w:spacing w:before="240" w:after="240"/>
              <w:ind w:left="238" w:right="238"/>
              <w:jc w:val="center"/>
              <w:rPr>
                <w:rFonts w:ascii="Times New Roman" w:hAnsi="Times New Roman" w:cs="Times New Roman"/>
                <w:sz w:val="24"/>
                <w:szCs w:val="24"/>
              </w:rPr>
            </w:pPr>
            <w:r w:rsidRPr="00255FB2">
              <w:t>0.287***</w:t>
            </w:r>
          </w:p>
        </w:tc>
        <w:tc>
          <w:tcPr>
            <w:tcW w:w="1803" w:type="dxa"/>
          </w:tcPr>
          <w:p w14:paraId="36FFAC60" w14:textId="4A42290E" w:rsidR="003A6BB6" w:rsidRDefault="003A6BB6" w:rsidP="006D52D3">
            <w:pPr>
              <w:spacing w:before="240" w:after="240"/>
              <w:ind w:left="238" w:right="238"/>
              <w:jc w:val="center"/>
              <w:rPr>
                <w:rFonts w:ascii="Times New Roman" w:hAnsi="Times New Roman" w:cs="Times New Roman"/>
                <w:sz w:val="24"/>
                <w:szCs w:val="24"/>
              </w:rPr>
            </w:pPr>
            <w:r w:rsidRPr="00255FB2">
              <w:t>0.065</w:t>
            </w:r>
          </w:p>
        </w:tc>
        <w:tc>
          <w:tcPr>
            <w:tcW w:w="1803" w:type="dxa"/>
          </w:tcPr>
          <w:p w14:paraId="0984B486" w14:textId="672DDE4B" w:rsidR="003A6BB6" w:rsidRDefault="003A6BB6" w:rsidP="006D52D3">
            <w:pPr>
              <w:spacing w:before="240" w:after="240"/>
              <w:ind w:left="238" w:right="238"/>
              <w:jc w:val="center"/>
              <w:rPr>
                <w:rFonts w:ascii="Times New Roman" w:hAnsi="Times New Roman" w:cs="Times New Roman"/>
                <w:sz w:val="24"/>
                <w:szCs w:val="24"/>
              </w:rPr>
            </w:pPr>
            <w:r w:rsidRPr="00255FB2">
              <w:t>4.42</w:t>
            </w:r>
          </w:p>
        </w:tc>
        <w:tc>
          <w:tcPr>
            <w:tcW w:w="1804" w:type="dxa"/>
          </w:tcPr>
          <w:p w14:paraId="430E1D65" w14:textId="65B5C5C6" w:rsidR="003A6BB6" w:rsidRDefault="003A6BB6" w:rsidP="006D52D3">
            <w:pPr>
              <w:spacing w:before="240" w:after="240"/>
              <w:ind w:left="238" w:right="238"/>
              <w:jc w:val="center"/>
              <w:rPr>
                <w:rFonts w:ascii="Times New Roman" w:hAnsi="Times New Roman" w:cs="Times New Roman"/>
                <w:sz w:val="24"/>
                <w:szCs w:val="24"/>
              </w:rPr>
            </w:pPr>
            <w:r w:rsidRPr="00255FB2">
              <w:t>0.000</w:t>
            </w:r>
          </w:p>
        </w:tc>
      </w:tr>
      <w:tr w:rsidR="003A6BB6" w14:paraId="4F36E69E" w14:textId="77777777" w:rsidTr="00D90653">
        <w:tc>
          <w:tcPr>
            <w:tcW w:w="1803" w:type="dxa"/>
          </w:tcPr>
          <w:p w14:paraId="503743D2" w14:textId="097137AA" w:rsidR="003A6BB6" w:rsidRDefault="003A6BB6" w:rsidP="006D52D3">
            <w:pPr>
              <w:spacing w:before="240" w:after="240"/>
              <w:ind w:left="238" w:right="238"/>
              <w:jc w:val="center"/>
              <w:rPr>
                <w:rFonts w:ascii="Times New Roman" w:hAnsi="Times New Roman" w:cs="Times New Roman"/>
                <w:sz w:val="24"/>
                <w:szCs w:val="24"/>
              </w:rPr>
            </w:pPr>
            <w:r w:rsidRPr="00255FB2">
              <w:t>Political Stability</w:t>
            </w:r>
          </w:p>
        </w:tc>
        <w:tc>
          <w:tcPr>
            <w:tcW w:w="1803" w:type="dxa"/>
          </w:tcPr>
          <w:p w14:paraId="7331A06F" w14:textId="57713C77" w:rsidR="003A6BB6" w:rsidRDefault="003A6BB6" w:rsidP="006D52D3">
            <w:pPr>
              <w:spacing w:before="240" w:after="240"/>
              <w:ind w:left="238" w:right="238"/>
              <w:jc w:val="center"/>
              <w:rPr>
                <w:rFonts w:ascii="Times New Roman" w:hAnsi="Times New Roman" w:cs="Times New Roman"/>
                <w:sz w:val="24"/>
                <w:szCs w:val="24"/>
              </w:rPr>
            </w:pPr>
            <w:r w:rsidRPr="00255FB2">
              <w:t>0.154**</w:t>
            </w:r>
          </w:p>
        </w:tc>
        <w:tc>
          <w:tcPr>
            <w:tcW w:w="1803" w:type="dxa"/>
          </w:tcPr>
          <w:p w14:paraId="51E4B7A9" w14:textId="2E29748D" w:rsidR="003A6BB6" w:rsidRDefault="003A6BB6" w:rsidP="006D52D3">
            <w:pPr>
              <w:spacing w:before="240" w:after="240"/>
              <w:ind w:left="238" w:right="238"/>
              <w:jc w:val="center"/>
              <w:rPr>
                <w:rFonts w:ascii="Times New Roman" w:hAnsi="Times New Roman" w:cs="Times New Roman"/>
                <w:sz w:val="24"/>
                <w:szCs w:val="24"/>
              </w:rPr>
            </w:pPr>
            <w:r w:rsidRPr="00255FB2">
              <w:t>0.063</w:t>
            </w:r>
          </w:p>
        </w:tc>
        <w:tc>
          <w:tcPr>
            <w:tcW w:w="1803" w:type="dxa"/>
          </w:tcPr>
          <w:p w14:paraId="4E66B99E" w14:textId="07691E77" w:rsidR="003A6BB6" w:rsidRDefault="003A6BB6" w:rsidP="006D52D3">
            <w:pPr>
              <w:spacing w:before="240" w:after="240"/>
              <w:ind w:left="238" w:right="238"/>
              <w:jc w:val="center"/>
              <w:rPr>
                <w:rFonts w:ascii="Times New Roman" w:hAnsi="Times New Roman" w:cs="Times New Roman"/>
                <w:sz w:val="24"/>
                <w:szCs w:val="24"/>
              </w:rPr>
            </w:pPr>
            <w:r w:rsidRPr="00255FB2">
              <w:t>2.44</w:t>
            </w:r>
          </w:p>
        </w:tc>
        <w:tc>
          <w:tcPr>
            <w:tcW w:w="1804" w:type="dxa"/>
          </w:tcPr>
          <w:p w14:paraId="55EBB977" w14:textId="66C27B84" w:rsidR="003A6BB6" w:rsidRDefault="003A6BB6" w:rsidP="006D52D3">
            <w:pPr>
              <w:spacing w:before="240" w:after="240"/>
              <w:ind w:left="238" w:right="238"/>
              <w:jc w:val="center"/>
              <w:rPr>
                <w:rFonts w:ascii="Times New Roman" w:hAnsi="Times New Roman" w:cs="Times New Roman"/>
                <w:sz w:val="24"/>
                <w:szCs w:val="24"/>
              </w:rPr>
            </w:pPr>
            <w:r w:rsidRPr="00255FB2">
              <w:t>0.015</w:t>
            </w:r>
          </w:p>
        </w:tc>
      </w:tr>
      <w:tr w:rsidR="003A6BB6" w14:paraId="2F997342" w14:textId="77777777" w:rsidTr="00D90653">
        <w:tc>
          <w:tcPr>
            <w:tcW w:w="1803" w:type="dxa"/>
          </w:tcPr>
          <w:p w14:paraId="083A13D1" w14:textId="4E09714F" w:rsidR="003A6BB6" w:rsidRDefault="003A6BB6" w:rsidP="006D52D3">
            <w:pPr>
              <w:spacing w:before="240" w:after="240"/>
              <w:ind w:left="238" w:right="238"/>
              <w:jc w:val="center"/>
              <w:rPr>
                <w:rFonts w:ascii="Times New Roman" w:hAnsi="Times New Roman" w:cs="Times New Roman"/>
                <w:sz w:val="24"/>
                <w:szCs w:val="24"/>
              </w:rPr>
            </w:pPr>
            <w:r w:rsidRPr="00255FB2">
              <w:lastRenderedPageBreak/>
              <w:t>Rule of Law</w:t>
            </w:r>
          </w:p>
        </w:tc>
        <w:tc>
          <w:tcPr>
            <w:tcW w:w="1803" w:type="dxa"/>
          </w:tcPr>
          <w:p w14:paraId="3716F94A" w14:textId="5B4CD54A" w:rsidR="003A6BB6" w:rsidRDefault="003A6BB6" w:rsidP="006D52D3">
            <w:pPr>
              <w:spacing w:before="240" w:after="240"/>
              <w:ind w:left="238" w:right="238"/>
              <w:jc w:val="center"/>
              <w:rPr>
                <w:rFonts w:ascii="Times New Roman" w:hAnsi="Times New Roman" w:cs="Times New Roman"/>
                <w:sz w:val="24"/>
                <w:szCs w:val="24"/>
              </w:rPr>
            </w:pPr>
            <w:r w:rsidRPr="00255FB2">
              <w:t>0.261***</w:t>
            </w:r>
          </w:p>
        </w:tc>
        <w:tc>
          <w:tcPr>
            <w:tcW w:w="1803" w:type="dxa"/>
          </w:tcPr>
          <w:p w14:paraId="076666D9" w14:textId="2D9F5FCF" w:rsidR="003A6BB6" w:rsidRDefault="003A6BB6" w:rsidP="006D52D3">
            <w:pPr>
              <w:spacing w:before="240" w:after="240"/>
              <w:ind w:left="238" w:right="238"/>
              <w:jc w:val="center"/>
              <w:rPr>
                <w:rFonts w:ascii="Times New Roman" w:hAnsi="Times New Roman" w:cs="Times New Roman"/>
                <w:sz w:val="24"/>
                <w:szCs w:val="24"/>
              </w:rPr>
            </w:pPr>
            <w:r w:rsidRPr="00255FB2">
              <w:t>0.072</w:t>
            </w:r>
          </w:p>
        </w:tc>
        <w:tc>
          <w:tcPr>
            <w:tcW w:w="1803" w:type="dxa"/>
          </w:tcPr>
          <w:p w14:paraId="7E8459EF" w14:textId="562B5F91" w:rsidR="003A6BB6" w:rsidRDefault="003A6BB6" w:rsidP="006D52D3">
            <w:pPr>
              <w:spacing w:before="240" w:after="240"/>
              <w:ind w:left="238" w:right="238"/>
              <w:jc w:val="center"/>
              <w:rPr>
                <w:rFonts w:ascii="Times New Roman" w:hAnsi="Times New Roman" w:cs="Times New Roman"/>
                <w:sz w:val="24"/>
                <w:szCs w:val="24"/>
              </w:rPr>
            </w:pPr>
            <w:r w:rsidRPr="00255FB2">
              <w:t>3.63</w:t>
            </w:r>
          </w:p>
        </w:tc>
        <w:tc>
          <w:tcPr>
            <w:tcW w:w="1804" w:type="dxa"/>
          </w:tcPr>
          <w:p w14:paraId="367B347D" w14:textId="58FE0F92" w:rsidR="003A6BB6" w:rsidRDefault="003A6BB6" w:rsidP="006D52D3">
            <w:pPr>
              <w:spacing w:before="240" w:after="240"/>
              <w:ind w:left="238" w:right="238"/>
              <w:jc w:val="center"/>
              <w:rPr>
                <w:rFonts w:ascii="Times New Roman" w:hAnsi="Times New Roman" w:cs="Times New Roman"/>
                <w:sz w:val="24"/>
                <w:szCs w:val="24"/>
              </w:rPr>
            </w:pPr>
            <w:r w:rsidRPr="00255FB2">
              <w:t>0.000</w:t>
            </w:r>
          </w:p>
        </w:tc>
      </w:tr>
      <w:tr w:rsidR="003A6BB6" w14:paraId="0C17D34B" w14:textId="77777777" w:rsidTr="00D90653">
        <w:tc>
          <w:tcPr>
            <w:tcW w:w="1803" w:type="dxa"/>
          </w:tcPr>
          <w:p w14:paraId="2CE76845" w14:textId="25A84256" w:rsidR="003A6BB6" w:rsidRDefault="003A6BB6" w:rsidP="006D52D3">
            <w:pPr>
              <w:spacing w:before="240" w:after="240"/>
              <w:ind w:left="238" w:right="238"/>
              <w:jc w:val="center"/>
              <w:rPr>
                <w:rFonts w:ascii="Times New Roman" w:hAnsi="Times New Roman" w:cs="Times New Roman"/>
                <w:sz w:val="24"/>
                <w:szCs w:val="24"/>
              </w:rPr>
            </w:pPr>
            <w:r w:rsidRPr="00255FB2">
              <w:t>Regulatory Quality</w:t>
            </w:r>
          </w:p>
        </w:tc>
        <w:tc>
          <w:tcPr>
            <w:tcW w:w="1803" w:type="dxa"/>
          </w:tcPr>
          <w:p w14:paraId="4497E8DF" w14:textId="43059F1B" w:rsidR="003A6BB6" w:rsidRDefault="003A6BB6" w:rsidP="006D52D3">
            <w:pPr>
              <w:spacing w:before="240" w:after="240"/>
              <w:ind w:left="238" w:right="238"/>
              <w:jc w:val="center"/>
              <w:rPr>
                <w:rFonts w:ascii="Times New Roman" w:hAnsi="Times New Roman" w:cs="Times New Roman"/>
                <w:sz w:val="24"/>
                <w:szCs w:val="24"/>
              </w:rPr>
            </w:pPr>
            <w:r w:rsidRPr="00255FB2">
              <w:t>0.138**</w:t>
            </w:r>
          </w:p>
        </w:tc>
        <w:tc>
          <w:tcPr>
            <w:tcW w:w="1803" w:type="dxa"/>
          </w:tcPr>
          <w:p w14:paraId="12CD89A2" w14:textId="49B59BAF" w:rsidR="003A6BB6" w:rsidRDefault="003A6BB6" w:rsidP="006D52D3">
            <w:pPr>
              <w:spacing w:before="240" w:after="240"/>
              <w:ind w:left="238" w:right="238"/>
              <w:jc w:val="center"/>
              <w:rPr>
                <w:rFonts w:ascii="Times New Roman" w:hAnsi="Times New Roman" w:cs="Times New Roman"/>
                <w:sz w:val="24"/>
                <w:szCs w:val="24"/>
              </w:rPr>
            </w:pPr>
            <w:r w:rsidRPr="00255FB2">
              <w:t>0.068</w:t>
            </w:r>
          </w:p>
        </w:tc>
        <w:tc>
          <w:tcPr>
            <w:tcW w:w="1803" w:type="dxa"/>
          </w:tcPr>
          <w:p w14:paraId="7225BE6D" w14:textId="57227059" w:rsidR="003A6BB6" w:rsidRDefault="003A6BB6" w:rsidP="006D52D3">
            <w:pPr>
              <w:spacing w:before="240" w:after="240"/>
              <w:ind w:left="238" w:right="238"/>
              <w:jc w:val="center"/>
              <w:rPr>
                <w:rFonts w:ascii="Times New Roman" w:hAnsi="Times New Roman" w:cs="Times New Roman"/>
                <w:sz w:val="24"/>
                <w:szCs w:val="24"/>
              </w:rPr>
            </w:pPr>
            <w:r w:rsidRPr="00255FB2">
              <w:t>2.03</w:t>
            </w:r>
          </w:p>
        </w:tc>
        <w:tc>
          <w:tcPr>
            <w:tcW w:w="1804" w:type="dxa"/>
          </w:tcPr>
          <w:p w14:paraId="2D074CBE" w14:textId="5F3CF620" w:rsidR="003A6BB6" w:rsidRDefault="003A6BB6" w:rsidP="006D52D3">
            <w:pPr>
              <w:spacing w:before="240" w:after="240"/>
              <w:ind w:left="238" w:right="238"/>
              <w:jc w:val="center"/>
              <w:rPr>
                <w:rFonts w:ascii="Times New Roman" w:hAnsi="Times New Roman" w:cs="Times New Roman"/>
                <w:sz w:val="24"/>
                <w:szCs w:val="24"/>
              </w:rPr>
            </w:pPr>
            <w:r w:rsidRPr="00255FB2">
              <w:t>0.042</w:t>
            </w:r>
          </w:p>
        </w:tc>
      </w:tr>
      <w:tr w:rsidR="003A6BB6" w14:paraId="16AC2B4A" w14:textId="77777777" w:rsidTr="00D90653">
        <w:tc>
          <w:tcPr>
            <w:tcW w:w="1803" w:type="dxa"/>
          </w:tcPr>
          <w:p w14:paraId="0911958D" w14:textId="40BB03C4" w:rsidR="003A6BB6" w:rsidRDefault="003A6BB6" w:rsidP="006D52D3">
            <w:pPr>
              <w:spacing w:before="240" w:after="240"/>
              <w:ind w:left="238" w:right="238"/>
              <w:jc w:val="center"/>
              <w:rPr>
                <w:rFonts w:ascii="Times New Roman" w:hAnsi="Times New Roman" w:cs="Times New Roman"/>
                <w:sz w:val="24"/>
                <w:szCs w:val="24"/>
              </w:rPr>
            </w:pPr>
            <w:r w:rsidRPr="00255FB2">
              <w:t>Voice &amp; Accountability</w:t>
            </w:r>
          </w:p>
        </w:tc>
        <w:tc>
          <w:tcPr>
            <w:tcW w:w="1803" w:type="dxa"/>
          </w:tcPr>
          <w:p w14:paraId="02A309A2" w14:textId="618C3D62" w:rsidR="003A6BB6" w:rsidRDefault="003A6BB6" w:rsidP="006D52D3">
            <w:pPr>
              <w:spacing w:before="240" w:after="240"/>
              <w:ind w:left="238" w:right="238"/>
              <w:jc w:val="center"/>
              <w:rPr>
                <w:rFonts w:ascii="Times New Roman" w:hAnsi="Times New Roman" w:cs="Times New Roman"/>
                <w:sz w:val="24"/>
                <w:szCs w:val="24"/>
              </w:rPr>
            </w:pPr>
            <w:r w:rsidRPr="00255FB2">
              <w:t>0.175***</w:t>
            </w:r>
          </w:p>
        </w:tc>
        <w:tc>
          <w:tcPr>
            <w:tcW w:w="1803" w:type="dxa"/>
          </w:tcPr>
          <w:p w14:paraId="43B5434C" w14:textId="5C1BC7DE" w:rsidR="003A6BB6" w:rsidRDefault="003A6BB6" w:rsidP="006D52D3">
            <w:pPr>
              <w:spacing w:before="240" w:after="240"/>
              <w:ind w:left="238" w:right="238"/>
              <w:jc w:val="center"/>
              <w:rPr>
                <w:rFonts w:ascii="Times New Roman" w:hAnsi="Times New Roman" w:cs="Times New Roman"/>
                <w:sz w:val="24"/>
                <w:szCs w:val="24"/>
              </w:rPr>
            </w:pPr>
            <w:r w:rsidRPr="00255FB2">
              <w:t>0.060</w:t>
            </w:r>
          </w:p>
        </w:tc>
        <w:tc>
          <w:tcPr>
            <w:tcW w:w="1803" w:type="dxa"/>
          </w:tcPr>
          <w:p w14:paraId="1BE3A457" w14:textId="30CF85BD" w:rsidR="003A6BB6" w:rsidRDefault="003A6BB6" w:rsidP="006D52D3">
            <w:pPr>
              <w:spacing w:before="240" w:after="240"/>
              <w:ind w:left="238" w:right="238"/>
              <w:jc w:val="center"/>
              <w:rPr>
                <w:rFonts w:ascii="Times New Roman" w:hAnsi="Times New Roman" w:cs="Times New Roman"/>
                <w:sz w:val="24"/>
                <w:szCs w:val="24"/>
              </w:rPr>
            </w:pPr>
            <w:r w:rsidRPr="00255FB2">
              <w:t>2.92</w:t>
            </w:r>
          </w:p>
        </w:tc>
        <w:tc>
          <w:tcPr>
            <w:tcW w:w="1804" w:type="dxa"/>
          </w:tcPr>
          <w:p w14:paraId="07244D0A" w14:textId="244A6154" w:rsidR="003A6BB6" w:rsidRDefault="003A6BB6" w:rsidP="006D52D3">
            <w:pPr>
              <w:spacing w:before="240" w:after="240"/>
              <w:ind w:left="238" w:right="238"/>
              <w:jc w:val="center"/>
              <w:rPr>
                <w:rFonts w:ascii="Times New Roman" w:hAnsi="Times New Roman" w:cs="Times New Roman"/>
                <w:sz w:val="24"/>
                <w:szCs w:val="24"/>
              </w:rPr>
            </w:pPr>
            <w:r w:rsidRPr="00255FB2">
              <w:t>0.004</w:t>
            </w:r>
          </w:p>
        </w:tc>
      </w:tr>
      <w:tr w:rsidR="003A6BB6" w14:paraId="25683F2C" w14:textId="77777777" w:rsidTr="005F7383">
        <w:tc>
          <w:tcPr>
            <w:tcW w:w="9016" w:type="dxa"/>
            <w:gridSpan w:val="5"/>
          </w:tcPr>
          <w:p w14:paraId="45CB5AD4" w14:textId="548499CC" w:rsidR="003A6BB6" w:rsidRPr="003A6BB6" w:rsidRDefault="003A6BB6" w:rsidP="006D52D3">
            <w:pPr>
              <w:spacing w:before="240" w:after="240"/>
              <w:ind w:left="238" w:right="238"/>
              <w:jc w:val="both"/>
              <w:rPr>
                <w:rFonts w:ascii="Times New Roman" w:hAnsi="Times New Roman" w:cs="Times New Roman"/>
                <w:b/>
                <w:bCs/>
                <w:sz w:val="24"/>
                <w:szCs w:val="24"/>
              </w:rPr>
            </w:pPr>
            <w:r w:rsidRPr="003A6BB6">
              <w:rPr>
                <w:b/>
                <w:bCs/>
              </w:rPr>
              <w:t>Panel B: Error Correction (Country-Specific Averages Reported)</w:t>
            </w:r>
          </w:p>
        </w:tc>
      </w:tr>
      <w:tr w:rsidR="003A6BB6" w14:paraId="235D990E" w14:textId="77777777" w:rsidTr="00D90653">
        <w:tc>
          <w:tcPr>
            <w:tcW w:w="1803" w:type="dxa"/>
          </w:tcPr>
          <w:p w14:paraId="2B4C51C1" w14:textId="7E0D0F7B" w:rsidR="003A6BB6" w:rsidRDefault="003A6BB6" w:rsidP="006D52D3">
            <w:pPr>
              <w:spacing w:before="240" w:after="240"/>
              <w:ind w:left="238" w:right="238"/>
              <w:jc w:val="center"/>
              <w:rPr>
                <w:rFonts w:ascii="Times New Roman" w:hAnsi="Times New Roman" w:cs="Times New Roman"/>
                <w:sz w:val="24"/>
                <w:szCs w:val="24"/>
              </w:rPr>
            </w:pPr>
            <w:r w:rsidRPr="00255FB2">
              <w:t>φ̂ (Speed of Adjustment)</w:t>
            </w:r>
          </w:p>
        </w:tc>
        <w:tc>
          <w:tcPr>
            <w:tcW w:w="1803" w:type="dxa"/>
          </w:tcPr>
          <w:p w14:paraId="29E919A1" w14:textId="5617E2DC" w:rsidR="003A6BB6" w:rsidRDefault="003A6BB6" w:rsidP="006D52D3">
            <w:pPr>
              <w:spacing w:before="240" w:after="240"/>
              <w:ind w:left="238" w:right="238"/>
              <w:jc w:val="center"/>
              <w:rPr>
                <w:rFonts w:ascii="Times New Roman" w:hAnsi="Times New Roman" w:cs="Times New Roman"/>
                <w:sz w:val="24"/>
                <w:szCs w:val="24"/>
              </w:rPr>
            </w:pPr>
            <w:r w:rsidRPr="00255FB2">
              <w:t>−0.312***</w:t>
            </w:r>
          </w:p>
        </w:tc>
        <w:tc>
          <w:tcPr>
            <w:tcW w:w="1803" w:type="dxa"/>
          </w:tcPr>
          <w:p w14:paraId="6E88F806" w14:textId="6D66F174" w:rsidR="003A6BB6" w:rsidRDefault="003A6BB6" w:rsidP="006D52D3">
            <w:pPr>
              <w:spacing w:before="240" w:after="240"/>
              <w:ind w:left="238" w:right="238"/>
              <w:jc w:val="center"/>
              <w:rPr>
                <w:rFonts w:ascii="Times New Roman" w:hAnsi="Times New Roman" w:cs="Times New Roman"/>
                <w:sz w:val="24"/>
                <w:szCs w:val="24"/>
              </w:rPr>
            </w:pPr>
            <w:r w:rsidRPr="00255FB2">
              <w:t>0.084</w:t>
            </w:r>
          </w:p>
        </w:tc>
        <w:tc>
          <w:tcPr>
            <w:tcW w:w="1803" w:type="dxa"/>
          </w:tcPr>
          <w:p w14:paraId="179FE369" w14:textId="2149DFAF" w:rsidR="003A6BB6" w:rsidRDefault="003A6BB6" w:rsidP="006D52D3">
            <w:pPr>
              <w:spacing w:before="240" w:after="240"/>
              <w:ind w:left="238" w:right="238"/>
              <w:jc w:val="center"/>
              <w:rPr>
                <w:rFonts w:ascii="Times New Roman" w:hAnsi="Times New Roman" w:cs="Times New Roman"/>
                <w:sz w:val="24"/>
                <w:szCs w:val="24"/>
              </w:rPr>
            </w:pPr>
            <w:r w:rsidRPr="00255FB2">
              <w:t>−3.71</w:t>
            </w:r>
          </w:p>
        </w:tc>
        <w:tc>
          <w:tcPr>
            <w:tcW w:w="1804" w:type="dxa"/>
          </w:tcPr>
          <w:p w14:paraId="6BE3F5E7" w14:textId="2A170FD2" w:rsidR="003A6BB6" w:rsidRDefault="003A6BB6" w:rsidP="006D52D3">
            <w:pPr>
              <w:spacing w:before="240" w:after="240"/>
              <w:ind w:left="238" w:right="238"/>
              <w:jc w:val="center"/>
              <w:rPr>
                <w:rFonts w:ascii="Times New Roman" w:hAnsi="Times New Roman" w:cs="Times New Roman"/>
                <w:sz w:val="24"/>
                <w:szCs w:val="24"/>
              </w:rPr>
            </w:pPr>
            <w:r w:rsidRPr="00255FB2">
              <w:t>0.000</w:t>
            </w:r>
          </w:p>
        </w:tc>
      </w:tr>
      <w:tr w:rsidR="003A6BB6" w14:paraId="2F977BA7" w14:textId="77777777" w:rsidTr="00D90653">
        <w:tc>
          <w:tcPr>
            <w:tcW w:w="1803" w:type="dxa"/>
          </w:tcPr>
          <w:p w14:paraId="58C5648F" w14:textId="51C6BD8F" w:rsidR="003A6BB6" w:rsidRDefault="003A6BB6" w:rsidP="006D52D3">
            <w:pPr>
              <w:spacing w:before="240" w:after="240"/>
              <w:ind w:left="238" w:right="238"/>
              <w:jc w:val="center"/>
              <w:rPr>
                <w:rFonts w:ascii="Times New Roman" w:hAnsi="Times New Roman" w:cs="Times New Roman"/>
                <w:sz w:val="24"/>
                <w:szCs w:val="24"/>
              </w:rPr>
            </w:pPr>
            <w:r w:rsidRPr="00255FB2">
              <w:t>Hausman Test (χ², df=6)</w:t>
            </w:r>
          </w:p>
        </w:tc>
        <w:tc>
          <w:tcPr>
            <w:tcW w:w="1803" w:type="dxa"/>
          </w:tcPr>
          <w:p w14:paraId="27AF9DD0" w14:textId="506301B9" w:rsidR="003A6BB6" w:rsidRDefault="003A6BB6" w:rsidP="006D52D3">
            <w:pPr>
              <w:spacing w:before="240" w:after="240"/>
              <w:ind w:left="238" w:right="238"/>
              <w:jc w:val="center"/>
              <w:rPr>
                <w:rFonts w:ascii="Times New Roman" w:hAnsi="Times New Roman" w:cs="Times New Roman"/>
                <w:sz w:val="24"/>
                <w:szCs w:val="24"/>
              </w:rPr>
            </w:pPr>
            <w:r w:rsidRPr="00255FB2">
              <w:t>8.43 (p = 0.208)</w:t>
            </w:r>
          </w:p>
        </w:tc>
        <w:tc>
          <w:tcPr>
            <w:tcW w:w="1803" w:type="dxa"/>
          </w:tcPr>
          <w:p w14:paraId="17460291" w14:textId="0145E9D5" w:rsidR="003A6BB6" w:rsidRDefault="003A6BB6" w:rsidP="006D52D3">
            <w:pPr>
              <w:spacing w:before="240" w:after="240"/>
              <w:ind w:left="238" w:right="238"/>
              <w:jc w:val="center"/>
              <w:rPr>
                <w:rFonts w:ascii="Times New Roman" w:hAnsi="Times New Roman" w:cs="Times New Roman"/>
                <w:sz w:val="24"/>
                <w:szCs w:val="24"/>
              </w:rPr>
            </w:pPr>
            <w:r w:rsidRPr="00255FB2">
              <w:t>—</w:t>
            </w:r>
          </w:p>
        </w:tc>
        <w:tc>
          <w:tcPr>
            <w:tcW w:w="1803" w:type="dxa"/>
          </w:tcPr>
          <w:p w14:paraId="73DD2B85" w14:textId="722838C3" w:rsidR="003A6BB6" w:rsidRDefault="003A6BB6" w:rsidP="006D52D3">
            <w:pPr>
              <w:spacing w:before="240" w:after="240"/>
              <w:ind w:left="238" w:right="238"/>
              <w:jc w:val="center"/>
              <w:rPr>
                <w:rFonts w:ascii="Times New Roman" w:hAnsi="Times New Roman" w:cs="Times New Roman"/>
                <w:sz w:val="24"/>
                <w:szCs w:val="24"/>
              </w:rPr>
            </w:pPr>
            <w:r w:rsidRPr="00255FB2">
              <w:t>—</w:t>
            </w:r>
          </w:p>
        </w:tc>
        <w:tc>
          <w:tcPr>
            <w:tcW w:w="1804" w:type="dxa"/>
          </w:tcPr>
          <w:p w14:paraId="06DB8C06" w14:textId="0C168D60" w:rsidR="003A6BB6" w:rsidRDefault="003A6BB6" w:rsidP="006D52D3">
            <w:pPr>
              <w:spacing w:before="240" w:after="240"/>
              <w:ind w:left="238" w:right="238"/>
              <w:jc w:val="center"/>
              <w:rPr>
                <w:rFonts w:ascii="Times New Roman" w:hAnsi="Times New Roman" w:cs="Times New Roman"/>
                <w:sz w:val="24"/>
                <w:szCs w:val="24"/>
              </w:rPr>
            </w:pPr>
            <w:r w:rsidRPr="00255FB2">
              <w:t>PMG preferred</w:t>
            </w:r>
          </w:p>
        </w:tc>
      </w:tr>
      <w:tr w:rsidR="003A6BB6" w14:paraId="57FCF1E1" w14:textId="77777777" w:rsidTr="00D90653">
        <w:tc>
          <w:tcPr>
            <w:tcW w:w="1803" w:type="dxa"/>
          </w:tcPr>
          <w:p w14:paraId="616F755B" w14:textId="583A568B" w:rsidR="003A6BB6" w:rsidRDefault="003A6BB6" w:rsidP="006D52D3">
            <w:pPr>
              <w:spacing w:before="240" w:after="240"/>
              <w:ind w:left="238" w:right="238"/>
              <w:jc w:val="center"/>
              <w:rPr>
                <w:rFonts w:ascii="Times New Roman" w:hAnsi="Times New Roman" w:cs="Times New Roman"/>
                <w:sz w:val="24"/>
                <w:szCs w:val="24"/>
              </w:rPr>
            </w:pPr>
            <w:r w:rsidRPr="00255FB2">
              <w:t>Observations</w:t>
            </w:r>
          </w:p>
        </w:tc>
        <w:tc>
          <w:tcPr>
            <w:tcW w:w="1803" w:type="dxa"/>
          </w:tcPr>
          <w:p w14:paraId="0BF60D09" w14:textId="5116F4F3" w:rsidR="003A6BB6" w:rsidRDefault="003A6BB6" w:rsidP="006D52D3">
            <w:pPr>
              <w:spacing w:before="240" w:after="240"/>
              <w:ind w:left="238" w:right="238"/>
              <w:jc w:val="center"/>
              <w:rPr>
                <w:rFonts w:ascii="Times New Roman" w:hAnsi="Times New Roman" w:cs="Times New Roman"/>
                <w:sz w:val="24"/>
                <w:szCs w:val="24"/>
              </w:rPr>
            </w:pPr>
            <w:r w:rsidRPr="00255FB2">
              <w:t>96</w:t>
            </w:r>
          </w:p>
        </w:tc>
        <w:tc>
          <w:tcPr>
            <w:tcW w:w="1803" w:type="dxa"/>
          </w:tcPr>
          <w:p w14:paraId="795ED819" w14:textId="78C0020A" w:rsidR="003A6BB6" w:rsidRDefault="003A6BB6" w:rsidP="006D52D3">
            <w:pPr>
              <w:spacing w:before="240" w:after="240"/>
              <w:ind w:left="238" w:right="238"/>
              <w:jc w:val="center"/>
              <w:rPr>
                <w:rFonts w:ascii="Times New Roman" w:hAnsi="Times New Roman" w:cs="Times New Roman"/>
                <w:sz w:val="24"/>
                <w:szCs w:val="24"/>
              </w:rPr>
            </w:pPr>
            <w:r w:rsidRPr="00255FB2">
              <w:t>—</w:t>
            </w:r>
          </w:p>
        </w:tc>
        <w:tc>
          <w:tcPr>
            <w:tcW w:w="1803" w:type="dxa"/>
          </w:tcPr>
          <w:p w14:paraId="46954260" w14:textId="791B2BD2" w:rsidR="003A6BB6" w:rsidRDefault="003A6BB6" w:rsidP="006D52D3">
            <w:pPr>
              <w:spacing w:before="240" w:after="240"/>
              <w:ind w:left="238" w:right="238"/>
              <w:jc w:val="center"/>
              <w:rPr>
                <w:rFonts w:ascii="Times New Roman" w:hAnsi="Times New Roman" w:cs="Times New Roman"/>
                <w:sz w:val="24"/>
                <w:szCs w:val="24"/>
              </w:rPr>
            </w:pPr>
            <w:r w:rsidRPr="00255FB2">
              <w:t>—</w:t>
            </w:r>
          </w:p>
        </w:tc>
        <w:tc>
          <w:tcPr>
            <w:tcW w:w="1804" w:type="dxa"/>
          </w:tcPr>
          <w:p w14:paraId="67202A20" w14:textId="226D109A" w:rsidR="003A6BB6" w:rsidRDefault="003A6BB6" w:rsidP="006D52D3">
            <w:pPr>
              <w:spacing w:before="240" w:after="240"/>
              <w:ind w:left="238" w:right="238"/>
              <w:jc w:val="center"/>
              <w:rPr>
                <w:rFonts w:ascii="Times New Roman" w:hAnsi="Times New Roman" w:cs="Times New Roman"/>
                <w:sz w:val="24"/>
                <w:szCs w:val="24"/>
              </w:rPr>
            </w:pPr>
            <w:r w:rsidRPr="00255FB2">
              <w:t>—</w:t>
            </w:r>
          </w:p>
        </w:tc>
      </w:tr>
    </w:tbl>
    <w:p w14:paraId="02C87974" w14:textId="4D229A6B" w:rsidR="007D00B7" w:rsidRPr="007D00B7" w:rsidRDefault="007D00B7" w:rsidP="006D52D3">
      <w:pPr>
        <w:spacing w:before="240" w:after="240" w:line="240" w:lineRule="auto"/>
        <w:ind w:left="238" w:right="238"/>
        <w:jc w:val="both"/>
        <w:rPr>
          <w:rFonts w:ascii="Times New Roman" w:hAnsi="Times New Roman" w:cs="Times New Roman"/>
          <w:sz w:val="24"/>
          <w:szCs w:val="24"/>
        </w:rPr>
      </w:pPr>
    </w:p>
    <w:p w14:paraId="5FE7F868"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Table 5: Pooled Mean Group (PMG) Estimation — Long-Run Coefficients (2000–2024). PMG estimator following Pesaran, Shin &amp; Smith (1999). Long-run slope coefficients constrained to be homogeneous across countries; short-run coefficients and speed of adjustment are country-specific. Hausman test (p = 0.208) confirms PMG over MG. Observations reduced to 96 due to lagging. ***, ** denote significance at 1% and 5%. Source: Authors' computations.</w:t>
      </w:r>
    </w:p>
    <w:p w14:paraId="6131A07F" w14:textId="459597F9" w:rsidR="007D00B7" w:rsidRPr="003A6BB6" w:rsidRDefault="003A6BB6" w:rsidP="006D52D3">
      <w:pPr>
        <w:spacing w:before="240" w:after="240" w:line="240" w:lineRule="auto"/>
        <w:ind w:left="238" w:right="238"/>
        <w:jc w:val="both"/>
        <w:rPr>
          <w:rFonts w:ascii="Times New Roman" w:hAnsi="Times New Roman" w:cs="Times New Roman"/>
          <w:b/>
          <w:bCs/>
          <w:sz w:val="24"/>
          <w:szCs w:val="24"/>
        </w:rPr>
      </w:pPr>
      <w:r w:rsidRPr="003A6BB6">
        <w:rPr>
          <w:rFonts w:ascii="Times New Roman" w:hAnsi="Times New Roman" w:cs="Times New Roman"/>
          <w:b/>
          <w:bCs/>
          <w:sz w:val="24"/>
          <w:szCs w:val="24"/>
        </w:rPr>
        <w:t>DISCUSSION</w:t>
      </w:r>
    </w:p>
    <w:p w14:paraId="47E71C80" w14:textId="77777777"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empirical findings provide consistent and robust evidence that institutional quality is a significant and positive driver of sustainable development performance in Anglophone West Africa. Several substantive insights merit extended discussion.</w:t>
      </w:r>
    </w:p>
    <w:p w14:paraId="083D37B7" w14:textId="18F40739"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First, the primacy of government effectiveness and rule of law across both the short-run FE and long-run PMG specifications confirms the theoretical arguments of Besley and Persson (2011) and North (1990): state capacity and legal institutions are the proximate channels through which governance quality translates into SDG outcomes. Ghana's consistently superior scores on government effectiveness averaging approximately 44 percentile points over the study period, compared to Nigeria's approximately 8 percentile points</w:t>
      </w:r>
      <w:r w:rsidR="003A6BB6">
        <w:rPr>
          <w:rFonts w:ascii="Times New Roman" w:hAnsi="Times New Roman" w:cs="Times New Roman"/>
          <w:sz w:val="24"/>
          <w:szCs w:val="24"/>
          <w:lang w:val="en-US"/>
        </w:rPr>
        <w:t xml:space="preserve">, </w:t>
      </w:r>
      <w:r w:rsidRPr="007D00B7">
        <w:rPr>
          <w:rFonts w:ascii="Times New Roman" w:hAnsi="Times New Roman" w:cs="Times New Roman"/>
          <w:sz w:val="24"/>
          <w:szCs w:val="24"/>
        </w:rPr>
        <w:t>are mirrored in its stronger upward SDG trajectory, rising from 53.85 in 2000 to 63.13 in 2024. This country-level correspondence provides within-panel evidence consistent with the cross-country findings of Fukuda-Parr et al. (2012), Cooray and Schneider (2023), and Godfrey, Asongu, and Nwachukwu (2022).</w:t>
      </w:r>
    </w:p>
    <w:p w14:paraId="2F8F1975" w14:textId="1D8CB776" w:rsidR="007D00B7" w:rsidRPr="007D00B7" w:rsidRDefault="003A6BB6" w:rsidP="006D52D3">
      <w:pPr>
        <w:spacing w:before="240" w:after="240" w:line="240" w:lineRule="auto"/>
        <w:ind w:left="238" w:right="238"/>
        <w:jc w:val="both"/>
        <w:rPr>
          <w:rFonts w:ascii="Times New Roman" w:hAnsi="Times New Roman" w:cs="Times New Roman"/>
          <w:sz w:val="24"/>
          <w:szCs w:val="24"/>
        </w:rPr>
      </w:pPr>
      <w:r>
        <w:rPr>
          <w:rFonts w:ascii="Times New Roman" w:hAnsi="Times New Roman" w:cs="Times New Roman"/>
          <w:sz w:val="24"/>
          <w:szCs w:val="24"/>
          <w:lang w:val="en-US"/>
        </w:rPr>
        <w:t>Furthermore</w:t>
      </w:r>
      <w:r w:rsidR="007D00B7" w:rsidRPr="007D00B7">
        <w:rPr>
          <w:rFonts w:ascii="Times New Roman" w:hAnsi="Times New Roman" w:cs="Times New Roman"/>
          <w:sz w:val="24"/>
          <w:szCs w:val="24"/>
        </w:rPr>
        <w:t>, the positive but relatively modest short-run coefficient on political stability (β̂ = 0.098) and its larger long-run magnitude (θ̂ = 0.154) suggest that stability's developmental dividends accumulate over time, consistent with Collier and Hoeffler's (2004) conflict-trap framework. Sierra Leone's improving SDG scores despite persistently low political stability reflect successful post-conflict reconstruction dynamics</w:t>
      </w:r>
      <w:r w:rsidR="00FD1DE8">
        <w:rPr>
          <w:rFonts w:ascii="Times New Roman" w:hAnsi="Times New Roman" w:cs="Times New Roman"/>
          <w:sz w:val="24"/>
          <w:szCs w:val="24"/>
          <w:lang w:val="en-US"/>
        </w:rPr>
        <w:t xml:space="preserve"> through </w:t>
      </w:r>
      <w:r w:rsidR="007D00B7" w:rsidRPr="007D00B7">
        <w:rPr>
          <w:rFonts w:ascii="Times New Roman" w:hAnsi="Times New Roman" w:cs="Times New Roman"/>
          <w:sz w:val="24"/>
          <w:szCs w:val="24"/>
        </w:rPr>
        <w:t xml:space="preserve">institutional rebuilding efforts (Conteh, 2020). The Gambia's measurable institutional improvements post-2017, visible in rising voice and accountability scores, are associated with observable </w:t>
      </w:r>
      <w:r w:rsidR="007D00B7" w:rsidRPr="007D00B7">
        <w:rPr>
          <w:rFonts w:ascii="Times New Roman" w:hAnsi="Times New Roman" w:cs="Times New Roman"/>
          <w:sz w:val="24"/>
          <w:szCs w:val="24"/>
        </w:rPr>
        <w:lastRenderedPageBreak/>
        <w:t>SDG improvements that provide a within-sample natural experiment in the developmental returns to democratic transition (Perfect, 2016).</w:t>
      </w:r>
    </w:p>
    <w:p w14:paraId="1FD07D44" w14:textId="75BB9B3C" w:rsidR="007D00B7" w:rsidRPr="007D00B7" w:rsidRDefault="00E740C5" w:rsidP="006D52D3">
      <w:pPr>
        <w:spacing w:before="240" w:after="240" w:line="240" w:lineRule="auto"/>
        <w:ind w:left="238" w:right="238"/>
        <w:jc w:val="both"/>
        <w:rPr>
          <w:rFonts w:ascii="Times New Roman" w:hAnsi="Times New Roman" w:cs="Times New Roman"/>
          <w:sz w:val="24"/>
          <w:szCs w:val="24"/>
        </w:rPr>
      </w:pPr>
      <w:r>
        <w:rPr>
          <w:rFonts w:ascii="Times New Roman" w:hAnsi="Times New Roman" w:cs="Times New Roman"/>
          <w:sz w:val="24"/>
          <w:szCs w:val="24"/>
          <w:lang w:val="en-US"/>
        </w:rPr>
        <w:t>Moreover</w:t>
      </w:r>
      <w:r w:rsidR="007D00B7" w:rsidRPr="007D00B7">
        <w:rPr>
          <w:rFonts w:ascii="Times New Roman" w:hAnsi="Times New Roman" w:cs="Times New Roman"/>
          <w:sz w:val="24"/>
          <w:szCs w:val="24"/>
        </w:rPr>
        <w:t>, the divergence between the short-run insignificance and long-run significance of regulatory quality (θ̂ = 0.138, p = 0.042) carries an important policy implication</w:t>
      </w:r>
      <w:r>
        <w:rPr>
          <w:rFonts w:ascii="Times New Roman" w:hAnsi="Times New Roman" w:cs="Times New Roman"/>
          <w:sz w:val="24"/>
          <w:szCs w:val="24"/>
          <w:lang w:val="en-US"/>
        </w:rPr>
        <w:t>. T</w:t>
      </w:r>
      <w:r w:rsidR="007D00B7" w:rsidRPr="007D00B7">
        <w:rPr>
          <w:rFonts w:ascii="Times New Roman" w:hAnsi="Times New Roman" w:cs="Times New Roman"/>
          <w:sz w:val="24"/>
          <w:szCs w:val="24"/>
        </w:rPr>
        <w:t>he developmental dividends of sound regulation materialise over multi-year to decade-long horizons, not in short-run fiscal or social outcomes. This finding is consistent with Asiedu (2006), who documents long gestation lags between regulatory reforms and FDI, and with World Bank (2020) evidence that regulatory quality improvements take 5–10 years to translate into measurable improvements in business investment and structural transformation. The current study's 29-year horizon is precisely what is needed to detect these effects, and the fact that previous shorter-panel studies have failed to identify them reflects a methodological limitation of short-horizon estimation rather than a genuine absence of regulatory effects.</w:t>
      </w:r>
    </w:p>
    <w:p w14:paraId="0300E656" w14:textId="7466F60E" w:rsidR="007D00B7" w:rsidRPr="007D00B7" w:rsidRDefault="00E740C5" w:rsidP="006D52D3">
      <w:pPr>
        <w:spacing w:before="240" w:after="240" w:line="240" w:lineRule="auto"/>
        <w:ind w:left="238" w:right="238"/>
        <w:jc w:val="both"/>
        <w:rPr>
          <w:rFonts w:ascii="Times New Roman" w:hAnsi="Times New Roman" w:cs="Times New Roman"/>
          <w:sz w:val="24"/>
          <w:szCs w:val="24"/>
        </w:rPr>
      </w:pPr>
      <w:r>
        <w:rPr>
          <w:rFonts w:ascii="Times New Roman" w:hAnsi="Times New Roman" w:cs="Times New Roman"/>
          <w:sz w:val="24"/>
          <w:szCs w:val="24"/>
          <w:lang w:val="en-US"/>
        </w:rPr>
        <w:t>Finally</w:t>
      </w:r>
      <w:r w:rsidR="007D00B7" w:rsidRPr="007D00B7">
        <w:rPr>
          <w:rFonts w:ascii="Times New Roman" w:hAnsi="Times New Roman" w:cs="Times New Roman"/>
          <w:sz w:val="24"/>
          <w:szCs w:val="24"/>
        </w:rPr>
        <w:t>, the long-run significance of control of corruption (θ̂ = 0.201, p = 0.001), controlling for all other governance dimensions, underscores its independent developmental role. In a region where domestic revenue mobilisation remains chronically below the 20% of GDP AU threshold</w:t>
      </w:r>
      <w:r>
        <w:rPr>
          <w:rFonts w:ascii="Times New Roman" w:hAnsi="Times New Roman" w:cs="Times New Roman"/>
          <w:sz w:val="24"/>
          <w:szCs w:val="24"/>
          <w:lang w:val="en-US"/>
        </w:rPr>
        <w:t xml:space="preserve">, </w:t>
      </w:r>
      <w:r w:rsidR="007D00B7" w:rsidRPr="007D00B7">
        <w:rPr>
          <w:rFonts w:ascii="Times New Roman" w:hAnsi="Times New Roman" w:cs="Times New Roman"/>
          <w:sz w:val="24"/>
          <w:szCs w:val="24"/>
        </w:rPr>
        <w:t>partly because corruption depresses tax compliance and diverts public resources</w:t>
      </w:r>
      <w:r>
        <w:rPr>
          <w:rFonts w:ascii="Times New Roman" w:hAnsi="Times New Roman" w:cs="Times New Roman"/>
          <w:sz w:val="24"/>
          <w:szCs w:val="24"/>
          <w:lang w:val="en-US"/>
        </w:rPr>
        <w:t xml:space="preserve">, </w:t>
      </w:r>
      <w:r w:rsidR="007D00B7" w:rsidRPr="007D00B7">
        <w:rPr>
          <w:rFonts w:ascii="Times New Roman" w:hAnsi="Times New Roman" w:cs="Times New Roman"/>
          <w:sz w:val="24"/>
          <w:szCs w:val="24"/>
        </w:rPr>
        <w:t>anti-corruption institutions constitute a direct channel through which governance quality enables SDG financing (Gupta, Davoodi &amp; Tiongson, 2000; Okafor, 2017; Cooray &amp; Schneider, 2023). </w:t>
      </w:r>
    </w:p>
    <w:p w14:paraId="54911056" w14:textId="1DB603E8" w:rsidR="007D00B7" w:rsidRPr="00E740C5" w:rsidRDefault="00E740C5" w:rsidP="006D52D3">
      <w:pPr>
        <w:spacing w:before="240" w:after="240" w:line="240" w:lineRule="auto"/>
        <w:ind w:left="238" w:right="238"/>
        <w:jc w:val="both"/>
        <w:rPr>
          <w:rFonts w:ascii="Times New Roman" w:hAnsi="Times New Roman" w:cs="Times New Roman"/>
          <w:b/>
          <w:bCs/>
          <w:sz w:val="24"/>
          <w:szCs w:val="24"/>
        </w:rPr>
      </w:pPr>
      <w:r w:rsidRPr="00E740C5">
        <w:rPr>
          <w:rFonts w:ascii="Times New Roman" w:hAnsi="Times New Roman" w:cs="Times New Roman"/>
          <w:b/>
          <w:bCs/>
          <w:sz w:val="24"/>
          <w:szCs w:val="24"/>
        </w:rPr>
        <w:t>CONCLUSION AND POLICY IMPLICATIONS</w:t>
      </w:r>
    </w:p>
    <w:p w14:paraId="5C2C9BB1" w14:textId="51C0D462"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This study has provided systematic empirical evidence that institutional quality is a significant, positive, and long-run driver of sustainable development outcomes in Anglophone West Africa. Using a 29-year balanced panel (1996–2024) covering Ghana, The Gambia, Nigeria, and Sierra Leone, and employing fixed effects estimation with Driscoll-Kraay standard errors, the Pooled Mean Group estimator, and a Dynamic Fixed Effects robustness check, the study demonstrates that all six WGI governance dimensions are positively associated with SDG Index scores in the long run. Government effectiveness (θ̂ = 0.287) and rule of law (θ̂ = 0.261) exhibit the largest long-run magnitudes. The error correction coefficient (φ̂ = −0.312) implies a moderate but meaningful speed of adjustment</w:t>
      </w:r>
      <w:r w:rsidR="008110DE">
        <w:rPr>
          <w:rFonts w:ascii="Times New Roman" w:hAnsi="Times New Roman" w:cs="Times New Roman"/>
          <w:sz w:val="24"/>
          <w:szCs w:val="24"/>
          <w:lang w:val="en-US"/>
        </w:rPr>
        <w:t xml:space="preserve"> indicating that </w:t>
      </w:r>
      <w:r w:rsidRPr="007D00B7">
        <w:rPr>
          <w:rFonts w:ascii="Times New Roman" w:hAnsi="Times New Roman" w:cs="Times New Roman"/>
          <w:sz w:val="24"/>
          <w:szCs w:val="24"/>
        </w:rPr>
        <w:t>approximately 31% of deviations from the long-run equilibrium corrected annually</w:t>
      </w:r>
      <w:r w:rsidR="008110DE">
        <w:rPr>
          <w:rFonts w:ascii="Times New Roman" w:hAnsi="Times New Roman" w:cs="Times New Roman"/>
          <w:sz w:val="24"/>
          <w:szCs w:val="24"/>
          <w:lang w:val="en-US"/>
        </w:rPr>
        <w:t xml:space="preserve"> is </w:t>
      </w:r>
      <w:r w:rsidRPr="007D00B7">
        <w:rPr>
          <w:rFonts w:ascii="Times New Roman" w:hAnsi="Times New Roman" w:cs="Times New Roman"/>
          <w:sz w:val="24"/>
          <w:szCs w:val="24"/>
        </w:rPr>
        <w:t>consistent with the gradual, path-dependent nature of institutional change.</w:t>
      </w:r>
    </w:p>
    <w:p w14:paraId="365DCE16" w14:textId="209991E6"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t>The findings carry important and specific policy implications for the sub-region. First, they reinforce the case for institutional reform as a prerequisite</w:t>
      </w:r>
      <w:r w:rsidR="008110DE">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not merely </w:t>
      </w:r>
      <w:r w:rsidR="008110DE">
        <w:rPr>
          <w:rFonts w:ascii="Times New Roman" w:hAnsi="Times New Roman" w:cs="Times New Roman"/>
          <w:sz w:val="24"/>
          <w:szCs w:val="24"/>
          <w:lang w:val="en-US"/>
        </w:rPr>
        <w:t xml:space="preserve">as </w:t>
      </w:r>
      <w:r w:rsidRPr="007D00B7">
        <w:rPr>
          <w:rFonts w:ascii="Times New Roman" w:hAnsi="Times New Roman" w:cs="Times New Roman"/>
          <w:sz w:val="24"/>
          <w:szCs w:val="24"/>
        </w:rPr>
        <w:t>a complement</w:t>
      </w:r>
      <w:r w:rsidR="008110DE">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for accelerating SDG progress. National development strategies and donor engagement frameworks in Nigeria, Sierra Leone, and The Gambia should prioritise investments in state capacity, legal infrastructure, anti-corruption frameworks, and democratic accountability mechanisms. </w:t>
      </w:r>
      <w:r w:rsidR="008110DE">
        <w:rPr>
          <w:rFonts w:ascii="Times New Roman" w:hAnsi="Times New Roman" w:cs="Times New Roman"/>
          <w:sz w:val="24"/>
          <w:szCs w:val="24"/>
          <w:lang w:val="en-US"/>
        </w:rPr>
        <w:t>Furthermore</w:t>
      </w:r>
      <w:r w:rsidRPr="007D00B7">
        <w:rPr>
          <w:rFonts w:ascii="Times New Roman" w:hAnsi="Times New Roman" w:cs="Times New Roman"/>
          <w:sz w:val="24"/>
          <w:szCs w:val="24"/>
        </w:rPr>
        <w:t>, the long-run significance of regulatory quality</w:t>
      </w:r>
      <w:r w:rsidR="008110DE">
        <w:rPr>
          <w:rFonts w:ascii="Times New Roman" w:hAnsi="Times New Roman" w:cs="Times New Roman"/>
          <w:sz w:val="24"/>
          <w:szCs w:val="24"/>
          <w:lang w:val="en-US"/>
        </w:rPr>
        <w:t xml:space="preserve">, </w:t>
      </w:r>
      <w:r w:rsidRPr="007D00B7">
        <w:rPr>
          <w:rFonts w:ascii="Times New Roman" w:hAnsi="Times New Roman" w:cs="Times New Roman"/>
          <w:sz w:val="24"/>
          <w:szCs w:val="24"/>
        </w:rPr>
        <w:t>detectable only over the 29-year analytical horizon of this study</w:t>
      </w:r>
      <w:r w:rsidR="008110DE">
        <w:rPr>
          <w:rFonts w:ascii="Times New Roman" w:hAnsi="Times New Roman" w:cs="Times New Roman"/>
          <w:sz w:val="24"/>
          <w:szCs w:val="24"/>
          <w:lang w:val="en-US"/>
        </w:rPr>
        <w:t xml:space="preserve"> </w:t>
      </w:r>
      <w:r w:rsidRPr="007D00B7">
        <w:rPr>
          <w:rFonts w:ascii="Times New Roman" w:hAnsi="Times New Roman" w:cs="Times New Roman"/>
          <w:sz w:val="24"/>
          <w:szCs w:val="24"/>
        </w:rPr>
        <w:t>underscores the importance of patient, long-term regulatory institution-building rather than short-term technocratic interventions. Regulatory reform should be treated as a long-run investment with predictable, if delayed, development dividends, rather than as a short-term growth lever.</w:t>
      </w:r>
    </w:p>
    <w:p w14:paraId="47B7F457" w14:textId="4839E628" w:rsidR="007D00B7" w:rsidRPr="007D00B7" w:rsidRDefault="008110DE" w:rsidP="006D52D3">
      <w:pPr>
        <w:spacing w:before="240" w:after="240" w:line="240" w:lineRule="auto"/>
        <w:ind w:left="238" w:right="238"/>
        <w:jc w:val="both"/>
        <w:rPr>
          <w:rFonts w:ascii="Times New Roman" w:hAnsi="Times New Roman" w:cs="Times New Roman"/>
          <w:sz w:val="24"/>
          <w:szCs w:val="24"/>
        </w:rPr>
      </w:pPr>
      <w:r>
        <w:rPr>
          <w:rFonts w:ascii="Times New Roman" w:hAnsi="Times New Roman" w:cs="Times New Roman"/>
          <w:sz w:val="24"/>
          <w:szCs w:val="24"/>
          <w:lang w:val="en-US"/>
        </w:rPr>
        <w:t>Moreover</w:t>
      </w:r>
      <w:r w:rsidR="007D00B7" w:rsidRPr="007D00B7">
        <w:rPr>
          <w:rFonts w:ascii="Times New Roman" w:hAnsi="Times New Roman" w:cs="Times New Roman"/>
          <w:sz w:val="24"/>
          <w:szCs w:val="24"/>
        </w:rPr>
        <w:t>, the persistent governance gap between Ghana and the other three countries, and its close correspondence to divergent SDG trajectories, suggests that targeted institutional reforms in Nigeria, Sierra Leone, and The Gambia could yield substantial and sustained development dividends. Specifically, for Nigeria</w:t>
      </w:r>
      <w:r>
        <w:rPr>
          <w:rFonts w:ascii="Times New Roman" w:hAnsi="Times New Roman" w:cs="Times New Roman"/>
          <w:sz w:val="24"/>
          <w:szCs w:val="24"/>
          <w:lang w:val="en-US"/>
        </w:rPr>
        <w:t xml:space="preserve">, </w:t>
      </w:r>
      <w:r w:rsidR="007D00B7" w:rsidRPr="007D00B7">
        <w:rPr>
          <w:rFonts w:ascii="Times New Roman" w:hAnsi="Times New Roman" w:cs="Times New Roman"/>
          <w:sz w:val="24"/>
          <w:szCs w:val="24"/>
        </w:rPr>
        <w:t>where political stability scores have approached the sample minimum</w:t>
      </w:r>
      <w:r>
        <w:rPr>
          <w:rFonts w:ascii="Times New Roman" w:hAnsi="Times New Roman" w:cs="Times New Roman"/>
          <w:sz w:val="24"/>
          <w:szCs w:val="24"/>
          <w:lang w:val="en-US"/>
        </w:rPr>
        <w:t xml:space="preserve">, </w:t>
      </w:r>
      <w:r w:rsidR="007D00B7" w:rsidRPr="007D00B7">
        <w:rPr>
          <w:rFonts w:ascii="Times New Roman" w:hAnsi="Times New Roman" w:cs="Times New Roman"/>
          <w:sz w:val="24"/>
          <w:szCs w:val="24"/>
        </w:rPr>
        <w:t>conflict resolution, security sector reform, and inclusive political settlement represent the institutional investments most likely to generate SDG improvements. For The Gambia, consolidating the post-2017 democratic gains in voice and accountability and translating them into improved government effectiveness and rule of law represents the critical institutional challenge. For Sierra Leone, sustaining the post-conflict institutional reconstruction and deepening anti-corruption reforms remain the priority.</w:t>
      </w:r>
    </w:p>
    <w:p w14:paraId="772578FB" w14:textId="5B0EC611" w:rsidR="007D00B7" w:rsidRPr="007D00B7" w:rsidRDefault="007D00B7" w:rsidP="006D52D3">
      <w:pPr>
        <w:spacing w:before="240" w:after="240" w:line="240" w:lineRule="auto"/>
        <w:ind w:left="238" w:right="238"/>
        <w:jc w:val="both"/>
        <w:rPr>
          <w:rFonts w:ascii="Times New Roman" w:hAnsi="Times New Roman" w:cs="Times New Roman"/>
          <w:sz w:val="24"/>
          <w:szCs w:val="24"/>
        </w:rPr>
      </w:pPr>
      <w:r w:rsidRPr="007D00B7">
        <w:rPr>
          <w:rFonts w:ascii="Times New Roman" w:hAnsi="Times New Roman" w:cs="Times New Roman"/>
          <w:sz w:val="24"/>
          <w:szCs w:val="24"/>
        </w:rPr>
        <w:lastRenderedPageBreak/>
        <w:t>The study acknowledges several limitations that future research should address. First, the panel consists of only four countries (N = 4), limiting the degrees of freedom for between-country identification and restricting the generalisability of findings. Future research should expand the sample to include Francophone and Portuguese-speaking West African countries, which would increase N and enable second-generation panel methods with stronger power against cross-sectional dependence. Second</w:t>
      </w:r>
      <w:proofErr w:type="spellStart"/>
      <w:r w:rsidR="00E912FC">
        <w:rPr>
          <w:rFonts w:ascii="Times New Roman" w:hAnsi="Times New Roman" w:cs="Times New Roman"/>
          <w:sz w:val="24"/>
          <w:szCs w:val="24"/>
          <w:lang w:val="en-US"/>
        </w:rPr>
        <w:t>ly</w:t>
      </w:r>
      <w:proofErr w:type="spellEnd"/>
      <w:r w:rsidRPr="007D00B7">
        <w:rPr>
          <w:rFonts w:ascii="Times New Roman" w:hAnsi="Times New Roman" w:cs="Times New Roman"/>
          <w:sz w:val="24"/>
          <w:szCs w:val="24"/>
        </w:rPr>
        <w:t>, instrumental variables estimation</w:t>
      </w:r>
      <w:r w:rsidR="00E912FC">
        <w:rPr>
          <w:rFonts w:ascii="Times New Roman" w:hAnsi="Times New Roman" w:cs="Times New Roman"/>
          <w:sz w:val="24"/>
          <w:szCs w:val="24"/>
          <w:lang w:val="en-US"/>
        </w:rPr>
        <w:t xml:space="preserve">, </w:t>
      </w:r>
      <w:r w:rsidRPr="007D00B7">
        <w:rPr>
          <w:rFonts w:ascii="Times New Roman" w:hAnsi="Times New Roman" w:cs="Times New Roman"/>
          <w:sz w:val="24"/>
          <w:szCs w:val="24"/>
        </w:rPr>
        <w:t>using historical instruments such as pre-colonial political centralisation, settler mortality, or legal tradition</w:t>
      </w:r>
      <w:r w:rsidR="00E912FC">
        <w:rPr>
          <w:rFonts w:ascii="Times New Roman" w:hAnsi="Times New Roman" w:cs="Times New Roman"/>
          <w:sz w:val="24"/>
          <w:szCs w:val="24"/>
          <w:lang w:val="en-US"/>
        </w:rPr>
        <w:t xml:space="preserve"> </w:t>
      </w:r>
      <w:r w:rsidRPr="007D00B7">
        <w:rPr>
          <w:rFonts w:ascii="Times New Roman" w:hAnsi="Times New Roman" w:cs="Times New Roman"/>
          <w:sz w:val="24"/>
          <w:szCs w:val="24"/>
        </w:rPr>
        <w:t xml:space="preserve">would more rigorously address reverse causality. </w:t>
      </w:r>
      <w:r w:rsidR="00E912FC">
        <w:rPr>
          <w:rFonts w:ascii="Times New Roman" w:hAnsi="Times New Roman" w:cs="Times New Roman"/>
          <w:sz w:val="24"/>
          <w:szCs w:val="24"/>
          <w:lang w:val="en-US"/>
        </w:rPr>
        <w:t>Furthermore</w:t>
      </w:r>
      <w:r w:rsidRPr="007D00B7">
        <w:rPr>
          <w:rFonts w:ascii="Times New Roman" w:hAnsi="Times New Roman" w:cs="Times New Roman"/>
          <w:sz w:val="24"/>
          <w:szCs w:val="24"/>
        </w:rPr>
        <w:t xml:space="preserve">, disaggregating the SDG Index to individual goals and targets would identify which dimensions of sustainability are most sensitive to each governance dimension. </w:t>
      </w:r>
      <w:r w:rsidR="00E912FC">
        <w:rPr>
          <w:rFonts w:ascii="Times New Roman" w:hAnsi="Times New Roman" w:cs="Times New Roman"/>
          <w:sz w:val="24"/>
          <w:szCs w:val="24"/>
          <w:lang w:val="en-US"/>
        </w:rPr>
        <w:t>Moreover</w:t>
      </w:r>
      <w:r w:rsidRPr="007D00B7">
        <w:rPr>
          <w:rFonts w:ascii="Times New Roman" w:hAnsi="Times New Roman" w:cs="Times New Roman"/>
          <w:sz w:val="24"/>
          <w:szCs w:val="24"/>
        </w:rPr>
        <w:t>, the integration of time-varying controls</w:t>
      </w:r>
      <w:r w:rsidR="00E912FC">
        <w:rPr>
          <w:rFonts w:ascii="Times New Roman" w:hAnsi="Times New Roman" w:cs="Times New Roman"/>
          <w:sz w:val="24"/>
          <w:szCs w:val="24"/>
          <w:lang w:val="en-US"/>
        </w:rPr>
        <w:t xml:space="preserve">, </w:t>
      </w:r>
      <w:r w:rsidRPr="007D00B7">
        <w:rPr>
          <w:rFonts w:ascii="Times New Roman" w:hAnsi="Times New Roman" w:cs="Times New Roman"/>
          <w:sz w:val="24"/>
          <w:szCs w:val="24"/>
        </w:rPr>
        <w:t>GDP per capita, trade openness, foreign aid, natural resource rents, and human capital</w:t>
      </w:r>
      <w:r w:rsidR="00E912FC">
        <w:rPr>
          <w:rFonts w:ascii="Times New Roman" w:hAnsi="Times New Roman" w:cs="Times New Roman"/>
          <w:sz w:val="24"/>
          <w:szCs w:val="24"/>
          <w:lang w:val="en-US"/>
        </w:rPr>
        <w:t xml:space="preserve">, </w:t>
      </w:r>
      <w:r w:rsidRPr="007D00B7">
        <w:rPr>
          <w:rFonts w:ascii="Times New Roman" w:hAnsi="Times New Roman" w:cs="Times New Roman"/>
          <w:sz w:val="24"/>
          <w:szCs w:val="24"/>
        </w:rPr>
        <w:t>would strengthen causal identification and address potential omitted-variable bias. Fi</w:t>
      </w:r>
      <w:proofErr w:type="spellStart"/>
      <w:r w:rsidR="00E912FC">
        <w:rPr>
          <w:rFonts w:ascii="Times New Roman" w:hAnsi="Times New Roman" w:cs="Times New Roman"/>
          <w:sz w:val="24"/>
          <w:szCs w:val="24"/>
          <w:lang w:val="en-US"/>
        </w:rPr>
        <w:t>nally</w:t>
      </w:r>
      <w:proofErr w:type="spellEnd"/>
      <w:r w:rsidRPr="007D00B7">
        <w:rPr>
          <w:rFonts w:ascii="Times New Roman" w:hAnsi="Times New Roman" w:cs="Times New Roman"/>
          <w:sz w:val="24"/>
          <w:szCs w:val="24"/>
        </w:rPr>
        <w:t>, threshold regression methods could test for non-linearities in the governance</w:t>
      </w:r>
      <w:r w:rsidR="00E912FC">
        <w:rPr>
          <w:rFonts w:ascii="Times New Roman" w:hAnsi="Times New Roman" w:cs="Times New Roman"/>
          <w:sz w:val="24"/>
          <w:szCs w:val="24"/>
          <w:lang w:val="en-US"/>
        </w:rPr>
        <w:t xml:space="preserve"> </w:t>
      </w:r>
      <w:r w:rsidRPr="007D00B7">
        <w:rPr>
          <w:rFonts w:ascii="Times New Roman" w:hAnsi="Times New Roman" w:cs="Times New Roman"/>
          <w:sz w:val="24"/>
          <w:szCs w:val="24"/>
        </w:rPr>
        <w:t>SDG relationship, examining whether there are minimum governance quality thresholds above which development effects accelerate. </w:t>
      </w:r>
    </w:p>
    <w:p w14:paraId="54749BE8" w14:textId="77777777" w:rsidR="004E7029" w:rsidRDefault="004E7029" w:rsidP="006D52D3">
      <w:pPr>
        <w:spacing w:before="240" w:after="240" w:line="240" w:lineRule="auto"/>
        <w:ind w:left="238" w:right="238"/>
        <w:jc w:val="both"/>
        <w:rPr>
          <w:rFonts w:ascii="Times New Roman" w:hAnsi="Times New Roman" w:cs="Times New Roman"/>
          <w:b/>
          <w:bCs/>
          <w:sz w:val="24"/>
          <w:szCs w:val="24"/>
        </w:rPr>
      </w:pPr>
    </w:p>
    <w:p w14:paraId="739F2B0B" w14:textId="7356652E" w:rsidR="007D00B7" w:rsidRPr="008110DE" w:rsidRDefault="008110DE" w:rsidP="006D52D3">
      <w:pPr>
        <w:spacing w:before="240" w:after="240" w:line="240" w:lineRule="auto"/>
        <w:ind w:left="238" w:right="238"/>
        <w:jc w:val="both"/>
        <w:rPr>
          <w:rFonts w:ascii="Times New Roman" w:hAnsi="Times New Roman" w:cs="Times New Roman"/>
          <w:b/>
          <w:bCs/>
          <w:sz w:val="24"/>
          <w:szCs w:val="24"/>
        </w:rPr>
      </w:pPr>
      <w:r w:rsidRPr="008110DE">
        <w:rPr>
          <w:rFonts w:ascii="Times New Roman" w:hAnsi="Times New Roman" w:cs="Times New Roman"/>
          <w:b/>
          <w:bCs/>
          <w:sz w:val="24"/>
          <w:szCs w:val="24"/>
        </w:rPr>
        <w:t>REFERENCES</w:t>
      </w:r>
    </w:p>
    <w:p w14:paraId="3C433A8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Acemoglu, D., Johnson, S., &amp; Robinson, J. A. (2001). The colonial origins of comparative development: An empirical investigation. </w:t>
      </w:r>
      <w:r w:rsidRPr="00514720">
        <w:rPr>
          <w:rFonts w:ascii="Times New Roman" w:hAnsi="Times New Roman" w:cs="Times New Roman"/>
          <w:i/>
          <w:iCs/>
          <w:sz w:val="24"/>
          <w:szCs w:val="24"/>
        </w:rPr>
        <w:t>American Economic Review,</w:t>
      </w:r>
      <w:r w:rsidRPr="00514720">
        <w:rPr>
          <w:rFonts w:ascii="Times New Roman" w:hAnsi="Times New Roman" w:cs="Times New Roman"/>
          <w:sz w:val="24"/>
          <w:szCs w:val="24"/>
        </w:rPr>
        <w:t xml:space="preserve"> 91(5), 1369–1401. https://doi.org/10.1257/aer.91.5.1369</w:t>
      </w:r>
    </w:p>
    <w:p w14:paraId="7A2A59A3"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Acemoglu, D., &amp; Robinson, J. A. (2012). Why Nations Fail: The Origins of Power, Prosperity, and Poverty. Crown Publishers.</w:t>
      </w:r>
    </w:p>
    <w:p w14:paraId="45BDAC50"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Acemoglu, D., Naidu, S., Restrepo, P., &amp; Robinson, J. A. (2019). Democracy does cause growth. </w:t>
      </w:r>
      <w:r w:rsidRPr="00514720">
        <w:rPr>
          <w:rFonts w:ascii="Times New Roman" w:hAnsi="Times New Roman" w:cs="Times New Roman"/>
          <w:i/>
          <w:iCs/>
          <w:sz w:val="24"/>
          <w:szCs w:val="24"/>
        </w:rPr>
        <w:t>Journal of Political Economy</w:t>
      </w:r>
      <w:r w:rsidRPr="00514720">
        <w:rPr>
          <w:rFonts w:ascii="Times New Roman" w:hAnsi="Times New Roman" w:cs="Times New Roman"/>
          <w:sz w:val="24"/>
          <w:szCs w:val="24"/>
        </w:rPr>
        <w:t>, 127(1), 47–100. https://doi.org/10.1086/700936</w:t>
      </w:r>
    </w:p>
    <w:p w14:paraId="18885AB2"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Ahlerup, P., Baskaran, T., &amp; Bigsten, A. (2020). Political institutions and economic growth in sub-Saharan Africa. </w:t>
      </w:r>
      <w:r w:rsidRPr="00514720">
        <w:rPr>
          <w:rFonts w:ascii="Times New Roman" w:hAnsi="Times New Roman" w:cs="Times New Roman"/>
          <w:i/>
          <w:iCs/>
          <w:sz w:val="24"/>
          <w:szCs w:val="24"/>
        </w:rPr>
        <w:t>Journal of Development Studies</w:t>
      </w:r>
      <w:r w:rsidRPr="00514720">
        <w:rPr>
          <w:rFonts w:ascii="Times New Roman" w:hAnsi="Times New Roman" w:cs="Times New Roman"/>
          <w:sz w:val="24"/>
          <w:szCs w:val="24"/>
        </w:rPr>
        <w:t>, 56(2), 272–291. https://doi.org/10.1080/00220388.2019.1577388</w:t>
      </w:r>
    </w:p>
    <w:p w14:paraId="420C2C24"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Anyanwu, J. C., &amp; Erhijakpor, A. E. O. (2014). Does oil wealth affect democracy in Africa? </w:t>
      </w:r>
      <w:r w:rsidRPr="00514720">
        <w:rPr>
          <w:rFonts w:ascii="Times New Roman" w:hAnsi="Times New Roman" w:cs="Times New Roman"/>
          <w:i/>
          <w:iCs/>
          <w:sz w:val="24"/>
          <w:szCs w:val="24"/>
        </w:rPr>
        <w:t>African Development Review</w:t>
      </w:r>
      <w:r w:rsidRPr="00514720">
        <w:rPr>
          <w:rFonts w:ascii="Times New Roman" w:hAnsi="Times New Roman" w:cs="Times New Roman"/>
          <w:sz w:val="24"/>
          <w:szCs w:val="24"/>
        </w:rPr>
        <w:t>, 26(1), 15–37. https://doi.org/10.1111/1467-8268.12061</w:t>
      </w:r>
    </w:p>
    <w:p w14:paraId="680633D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Asiedu, E. (2006). Foreign direct investment in Africa: The role of natural resources, market size, government policy, institutions and political instability. </w:t>
      </w:r>
      <w:r w:rsidRPr="00514720">
        <w:rPr>
          <w:rFonts w:ascii="Times New Roman" w:hAnsi="Times New Roman" w:cs="Times New Roman"/>
          <w:i/>
          <w:iCs/>
          <w:sz w:val="24"/>
          <w:szCs w:val="24"/>
        </w:rPr>
        <w:t>World Economy</w:t>
      </w:r>
      <w:r w:rsidRPr="00514720">
        <w:rPr>
          <w:rFonts w:ascii="Times New Roman" w:hAnsi="Times New Roman" w:cs="Times New Roman"/>
          <w:sz w:val="24"/>
          <w:szCs w:val="24"/>
        </w:rPr>
        <w:t>, 29(1), 63–77.</w:t>
      </w:r>
    </w:p>
    <w:p w14:paraId="5100E733"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Asongu, S. A., Nnanna, J., &amp; Acha-Anyi, P. N. (2020). Finance, institutions and private investment in Africa. </w:t>
      </w:r>
      <w:r w:rsidRPr="00514720">
        <w:rPr>
          <w:rFonts w:ascii="Times New Roman" w:hAnsi="Times New Roman" w:cs="Times New Roman"/>
          <w:i/>
          <w:iCs/>
          <w:sz w:val="24"/>
          <w:szCs w:val="24"/>
        </w:rPr>
        <w:t>Politics &amp; Policy,</w:t>
      </w:r>
      <w:r w:rsidRPr="00514720">
        <w:rPr>
          <w:rFonts w:ascii="Times New Roman" w:hAnsi="Times New Roman" w:cs="Times New Roman"/>
          <w:sz w:val="24"/>
          <w:szCs w:val="24"/>
        </w:rPr>
        <w:t xml:space="preserve"> 48(4), 600–627. https://doi.org/10.1111/polp.12365</w:t>
      </w:r>
    </w:p>
    <w:p w14:paraId="2AB26CAA"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Asongu, S. A., &amp; Nwachukwu, J. C. (2019). The comparative inclusive human development of globalisation in Africa. </w:t>
      </w:r>
      <w:r w:rsidRPr="00514720">
        <w:rPr>
          <w:rFonts w:ascii="Times New Roman" w:hAnsi="Times New Roman" w:cs="Times New Roman"/>
          <w:i/>
          <w:iCs/>
          <w:sz w:val="24"/>
          <w:szCs w:val="24"/>
        </w:rPr>
        <w:t>Social Indicators Research</w:t>
      </w:r>
      <w:r w:rsidRPr="00514720">
        <w:rPr>
          <w:rFonts w:ascii="Times New Roman" w:hAnsi="Times New Roman" w:cs="Times New Roman"/>
          <w:sz w:val="24"/>
          <w:szCs w:val="24"/>
        </w:rPr>
        <w:t>, 134(1), 1–26. https://doi.org/10.1007/s11205-016-1467-z</w:t>
      </w:r>
    </w:p>
    <w:p w14:paraId="19FF8722"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Bai, J., &amp; Perron, P. (1998). Estimating and testing linear models with multiple structural changes. </w:t>
      </w:r>
      <w:r w:rsidRPr="00514720">
        <w:rPr>
          <w:rFonts w:ascii="Times New Roman" w:hAnsi="Times New Roman" w:cs="Times New Roman"/>
          <w:i/>
          <w:iCs/>
          <w:sz w:val="24"/>
          <w:szCs w:val="24"/>
        </w:rPr>
        <w:t>Econometrica</w:t>
      </w:r>
      <w:r w:rsidRPr="00514720">
        <w:rPr>
          <w:rFonts w:ascii="Times New Roman" w:hAnsi="Times New Roman" w:cs="Times New Roman"/>
          <w:sz w:val="24"/>
          <w:szCs w:val="24"/>
        </w:rPr>
        <w:t>, 66(1), 47–78. https://doi.org/10.2307/2998540</w:t>
      </w:r>
    </w:p>
    <w:p w14:paraId="7AEFE0DD"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Besley, T., &amp; Persson, T. (2011). Pillars of Prosperity: The Political Economics of Development Clusters. Princeton University Press.</w:t>
      </w:r>
    </w:p>
    <w:p w14:paraId="5F92835B"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Blattman, C., &amp; Miguel, E. (2010). Civil war. </w:t>
      </w:r>
      <w:r w:rsidRPr="00514720">
        <w:rPr>
          <w:rFonts w:ascii="Times New Roman" w:hAnsi="Times New Roman" w:cs="Times New Roman"/>
          <w:i/>
          <w:iCs/>
          <w:sz w:val="24"/>
          <w:szCs w:val="24"/>
        </w:rPr>
        <w:t>Journal of Economic Literature,</w:t>
      </w:r>
      <w:r w:rsidRPr="00514720">
        <w:rPr>
          <w:rFonts w:ascii="Times New Roman" w:hAnsi="Times New Roman" w:cs="Times New Roman"/>
          <w:sz w:val="24"/>
          <w:szCs w:val="24"/>
        </w:rPr>
        <w:t xml:space="preserve"> 48(1), 3–57. https://doi.org/10.1257/jel.48.1.3</w:t>
      </w:r>
    </w:p>
    <w:p w14:paraId="12C62AAE"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Blundell, R., &amp; Bond, S. (1998). Initial conditions and moment restrictions in dynamic panel data models. </w:t>
      </w:r>
      <w:r w:rsidRPr="00514720">
        <w:rPr>
          <w:rFonts w:ascii="Times New Roman" w:hAnsi="Times New Roman" w:cs="Times New Roman"/>
          <w:i/>
          <w:iCs/>
          <w:sz w:val="24"/>
          <w:szCs w:val="24"/>
        </w:rPr>
        <w:t>Journal of Econometrics,</w:t>
      </w:r>
      <w:r w:rsidRPr="00514720">
        <w:rPr>
          <w:rFonts w:ascii="Times New Roman" w:hAnsi="Times New Roman" w:cs="Times New Roman"/>
          <w:sz w:val="24"/>
          <w:szCs w:val="24"/>
        </w:rPr>
        <w:t xml:space="preserve"> 87(1), 115–143. https://doi.org/10.1016/S0304-4076(98)00009-8</w:t>
      </w:r>
    </w:p>
    <w:p w14:paraId="576008E9"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Bonanomi, E. B. (2015). The 2030 Agenda and its SDG 16 on peace, justice and strong institutions: A critical assessment of commitments and limitations. </w:t>
      </w:r>
      <w:r w:rsidRPr="00514720">
        <w:rPr>
          <w:rFonts w:ascii="Times New Roman" w:hAnsi="Times New Roman" w:cs="Times New Roman"/>
          <w:i/>
          <w:iCs/>
          <w:sz w:val="24"/>
          <w:szCs w:val="24"/>
        </w:rPr>
        <w:t>Third World Thematics</w:t>
      </w:r>
      <w:r w:rsidRPr="00514720">
        <w:rPr>
          <w:rFonts w:ascii="Times New Roman" w:hAnsi="Times New Roman" w:cs="Times New Roman"/>
          <w:sz w:val="24"/>
          <w:szCs w:val="24"/>
        </w:rPr>
        <w:t>, 4(1), 16–27.</w:t>
      </w:r>
    </w:p>
    <w:p w14:paraId="1A42B939"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Booth, D., &amp; Cammack, D. (2013). Governance for Development in Africa: Solving Collective Action Problems. Zed Books.</w:t>
      </w:r>
    </w:p>
    <w:p w14:paraId="0CC88CBD"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Botchway, M. K. (2021). Rule of law and sustainable development: Evidence from sub-Saharan Africa. </w:t>
      </w:r>
      <w:r w:rsidRPr="00514720">
        <w:rPr>
          <w:rFonts w:ascii="Times New Roman" w:hAnsi="Times New Roman" w:cs="Times New Roman"/>
          <w:i/>
          <w:iCs/>
          <w:sz w:val="24"/>
          <w:szCs w:val="24"/>
        </w:rPr>
        <w:t>African Journal of Political Science and International Relations</w:t>
      </w:r>
      <w:r w:rsidRPr="00514720">
        <w:rPr>
          <w:rFonts w:ascii="Times New Roman" w:hAnsi="Times New Roman" w:cs="Times New Roman"/>
          <w:sz w:val="24"/>
          <w:szCs w:val="24"/>
        </w:rPr>
        <w:t>, 15(2), 21–35.</w:t>
      </w:r>
    </w:p>
    <w:p w14:paraId="04CBD7A6"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lastRenderedPageBreak/>
        <w:t xml:space="preserve">Collier, P., &amp; Hoeffler, A. (2004). Greed and grievance in civil war. </w:t>
      </w:r>
      <w:r w:rsidRPr="00514720">
        <w:rPr>
          <w:rFonts w:ascii="Times New Roman" w:hAnsi="Times New Roman" w:cs="Times New Roman"/>
          <w:i/>
          <w:iCs/>
          <w:sz w:val="24"/>
          <w:szCs w:val="24"/>
        </w:rPr>
        <w:t xml:space="preserve">Oxford Economic Papers, </w:t>
      </w:r>
      <w:r w:rsidRPr="00514720">
        <w:rPr>
          <w:rFonts w:ascii="Times New Roman" w:hAnsi="Times New Roman" w:cs="Times New Roman"/>
          <w:sz w:val="24"/>
          <w:szCs w:val="24"/>
        </w:rPr>
        <w:t>56(4), 563–595. https://doi.org/10.1093/oep/gpf064</w:t>
      </w:r>
    </w:p>
    <w:p w14:paraId="1B1CBC7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Conteh, C. (2020). Institutional capacity and post-conflict development in Sierra Leone. </w:t>
      </w:r>
      <w:r w:rsidRPr="00514720">
        <w:rPr>
          <w:rFonts w:ascii="Times New Roman" w:hAnsi="Times New Roman" w:cs="Times New Roman"/>
          <w:i/>
          <w:iCs/>
          <w:sz w:val="24"/>
          <w:szCs w:val="24"/>
        </w:rPr>
        <w:t xml:space="preserve">Public Administration &amp; Development, </w:t>
      </w:r>
      <w:r w:rsidRPr="00514720">
        <w:rPr>
          <w:rFonts w:ascii="Times New Roman" w:hAnsi="Times New Roman" w:cs="Times New Roman"/>
          <w:sz w:val="24"/>
          <w:szCs w:val="24"/>
        </w:rPr>
        <w:t>40(3), 142–153. https://doi.org/10.1002/pad.1879</w:t>
      </w:r>
    </w:p>
    <w:p w14:paraId="387808AA"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Cooray, A., &amp; Schneider, F. (2023). Governance, corruption, and the SDGs: A global empirical analysis. </w:t>
      </w:r>
      <w:r w:rsidRPr="00514720">
        <w:rPr>
          <w:rFonts w:ascii="Times New Roman" w:hAnsi="Times New Roman" w:cs="Times New Roman"/>
          <w:i/>
          <w:iCs/>
          <w:sz w:val="24"/>
          <w:szCs w:val="24"/>
        </w:rPr>
        <w:t>Journal of International Development,</w:t>
      </w:r>
      <w:r w:rsidRPr="00514720">
        <w:rPr>
          <w:rFonts w:ascii="Times New Roman" w:hAnsi="Times New Roman" w:cs="Times New Roman"/>
          <w:sz w:val="24"/>
          <w:szCs w:val="24"/>
        </w:rPr>
        <w:t xml:space="preserve"> 35(4), 521–544. https://doi.org/10.1002/jid.3698</w:t>
      </w:r>
    </w:p>
    <w:p w14:paraId="6FF121E5"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Driscoll, J. C., &amp; Kraay, A. C. (1998). Consistent covariance matrix estimation with spatially dependent panel data. </w:t>
      </w:r>
      <w:r w:rsidRPr="00514720">
        <w:rPr>
          <w:rFonts w:ascii="Times New Roman" w:hAnsi="Times New Roman" w:cs="Times New Roman"/>
          <w:i/>
          <w:iCs/>
          <w:sz w:val="24"/>
          <w:szCs w:val="24"/>
        </w:rPr>
        <w:t>Review of Economics and Statistics</w:t>
      </w:r>
      <w:r w:rsidRPr="00514720">
        <w:rPr>
          <w:rFonts w:ascii="Times New Roman" w:hAnsi="Times New Roman" w:cs="Times New Roman"/>
          <w:sz w:val="24"/>
          <w:szCs w:val="24"/>
        </w:rPr>
        <w:t>, 80(4), 549–560. https://doi.org/10.1162/003465398557825</w:t>
      </w:r>
    </w:p>
    <w:p w14:paraId="10AE3A9E"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Fosu, A. K. (2015). Growth, inequality, and poverty in sub-Saharan Africa: Recent progress and emerging challenges. In C. Monga &amp; J. Y. Lin (Eds.), The Oxford Handbook of Africa and Economics (Vol. 2). Oxford University Press.</w:t>
      </w:r>
    </w:p>
    <w:p w14:paraId="070B6C96"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Fosu, A. K., &amp; Gafa, D. W. (2020). Governance and economic growth in Africa: New empirical frontiers. </w:t>
      </w:r>
      <w:r w:rsidRPr="00514720">
        <w:rPr>
          <w:rFonts w:ascii="Times New Roman" w:hAnsi="Times New Roman" w:cs="Times New Roman"/>
          <w:i/>
          <w:iCs/>
          <w:sz w:val="24"/>
          <w:szCs w:val="24"/>
        </w:rPr>
        <w:t>African Development Review</w:t>
      </w:r>
      <w:r w:rsidRPr="00514720">
        <w:rPr>
          <w:rFonts w:ascii="Times New Roman" w:hAnsi="Times New Roman" w:cs="Times New Roman"/>
          <w:sz w:val="24"/>
          <w:szCs w:val="24"/>
        </w:rPr>
        <w:t>, 32(S1), S3–S19. https://doi.org/10.1111/1467-8268.12464</w:t>
      </w:r>
    </w:p>
    <w:p w14:paraId="5C5157E9"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Fukuda-Parr, S., Greenstein, J., &amp; Stewart, D. (2012). How should MDG success and failure be judged: Faster progress or achieving the targets? </w:t>
      </w:r>
      <w:r w:rsidRPr="00514720">
        <w:rPr>
          <w:rFonts w:ascii="Times New Roman" w:hAnsi="Times New Roman" w:cs="Times New Roman"/>
          <w:i/>
          <w:iCs/>
          <w:sz w:val="24"/>
          <w:szCs w:val="24"/>
        </w:rPr>
        <w:t>World Development,</w:t>
      </w:r>
      <w:r w:rsidRPr="00514720">
        <w:rPr>
          <w:rFonts w:ascii="Times New Roman" w:hAnsi="Times New Roman" w:cs="Times New Roman"/>
          <w:sz w:val="24"/>
          <w:szCs w:val="24"/>
        </w:rPr>
        <w:t xml:space="preserve"> 41, 19–30. https://doi.org/10.1016/j.worlddev.2012.06.014</w:t>
      </w:r>
    </w:p>
    <w:p w14:paraId="37A65FE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Fukuyama, F. (2013). What is governance? </w:t>
      </w:r>
      <w:r w:rsidRPr="00514720">
        <w:rPr>
          <w:rFonts w:ascii="Times New Roman" w:hAnsi="Times New Roman" w:cs="Times New Roman"/>
          <w:i/>
          <w:iCs/>
          <w:sz w:val="24"/>
          <w:szCs w:val="24"/>
        </w:rPr>
        <w:t>Governance</w:t>
      </w:r>
      <w:r w:rsidRPr="00514720">
        <w:rPr>
          <w:rFonts w:ascii="Times New Roman" w:hAnsi="Times New Roman" w:cs="Times New Roman"/>
          <w:sz w:val="24"/>
          <w:szCs w:val="24"/>
        </w:rPr>
        <w:t>, 26(3), 347–368. https://doi.org/10.1111/gove.12035</w:t>
      </w:r>
    </w:p>
    <w:p w14:paraId="04BB28F2"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Godfrey, N., Asongu, S. A., &amp; Nwachukwu, J. C. (2022). Governance and human development in Africa: New panel evidence on heterogeneous long-run dynamics.</w:t>
      </w:r>
      <w:r w:rsidRPr="00514720">
        <w:rPr>
          <w:rFonts w:ascii="Times New Roman" w:hAnsi="Times New Roman" w:cs="Times New Roman"/>
          <w:i/>
          <w:iCs/>
          <w:sz w:val="24"/>
          <w:szCs w:val="24"/>
        </w:rPr>
        <w:t xml:space="preserve"> International Journal of Finance &amp; Economics,</w:t>
      </w:r>
      <w:r w:rsidRPr="00514720">
        <w:rPr>
          <w:rFonts w:ascii="Times New Roman" w:hAnsi="Times New Roman" w:cs="Times New Roman"/>
          <w:sz w:val="24"/>
          <w:szCs w:val="24"/>
        </w:rPr>
        <w:t xml:space="preserve"> 27(2), 1961–1977. https://doi.org/10.1002/ijfe.2259</w:t>
      </w:r>
    </w:p>
    <w:p w14:paraId="1B1E8C94"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Gupta, S., Davoodi, H., &amp; Tiongson, E. (2000). Corruption and the provision of health care and education services (IMF Working Paper WP/00/116). International Monetary Fund.</w:t>
      </w:r>
    </w:p>
    <w:p w14:paraId="7E03DA3C"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Gyimah-Boateng, K. (2015). The dynamics of party politics and democracy in West Africa. African Affairs, 114(455), 290–310. https://doi.org/10.1093/afraf/adv010</w:t>
      </w:r>
    </w:p>
    <w:p w14:paraId="74D83325"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Halle, S., Jensen, E., &amp; Lim, S. (2016). Leaving No One Behind: A Critical Path for the First 1,000 Days of the Sustainable Development Goals. UN Environment Programme.</w:t>
      </w:r>
    </w:p>
    <w:p w14:paraId="50E1131B" w14:textId="168E0D72" w:rsidR="005F7383" w:rsidRPr="00514720" w:rsidRDefault="005F7383"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bCs/>
          <w:sz w:val="24"/>
          <w:szCs w:val="24"/>
        </w:rPr>
        <w:t>Haggard, S., &amp; Tiede, L. (2020).</w:t>
      </w:r>
      <w:r w:rsidRPr="00514720">
        <w:rPr>
          <w:rFonts w:ascii="Times New Roman" w:hAnsi="Times New Roman" w:cs="Times New Roman"/>
          <w:sz w:val="24"/>
          <w:szCs w:val="24"/>
        </w:rPr>
        <w:t xml:space="preserve"> The rule of law, property rights, and economic development: A consideration of the evidence. </w:t>
      </w:r>
      <w:r w:rsidRPr="00514720">
        <w:rPr>
          <w:rFonts w:ascii="Times New Roman" w:hAnsi="Times New Roman" w:cs="Times New Roman"/>
          <w:i/>
          <w:iCs/>
          <w:sz w:val="24"/>
          <w:szCs w:val="24"/>
        </w:rPr>
        <w:t>World Development</w:t>
      </w:r>
      <w:r w:rsidRPr="00514720">
        <w:rPr>
          <w:rFonts w:ascii="Times New Roman" w:hAnsi="Times New Roman" w:cs="Times New Roman"/>
          <w:sz w:val="24"/>
          <w:szCs w:val="24"/>
        </w:rPr>
        <w:t>, 127, 104768.</w:t>
      </w:r>
    </w:p>
    <w:p w14:paraId="252EFC51" w14:textId="1BC0DCBE"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Hanlon, J. (2005). Is the international community helping to recreate the preconditions for war in Sierra Leone? Round Table, 94(381), 459–472.</w:t>
      </w:r>
    </w:p>
    <w:p w14:paraId="16927C3B"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Hansen, B. E. (1999). Threshold effects in non-dynamic panels: Estimation, testing, and inference. </w:t>
      </w:r>
      <w:r w:rsidRPr="00514720">
        <w:rPr>
          <w:rFonts w:ascii="Times New Roman" w:hAnsi="Times New Roman" w:cs="Times New Roman"/>
          <w:i/>
          <w:iCs/>
          <w:sz w:val="24"/>
          <w:szCs w:val="24"/>
        </w:rPr>
        <w:t>Journal of Econometrics,</w:t>
      </w:r>
      <w:r w:rsidRPr="00514720">
        <w:rPr>
          <w:rFonts w:ascii="Times New Roman" w:hAnsi="Times New Roman" w:cs="Times New Roman"/>
          <w:sz w:val="24"/>
          <w:szCs w:val="24"/>
        </w:rPr>
        <w:t xml:space="preserve"> 93(2), 345–368. https://doi.org/10.1016/S0304-4076(99)00025-1</w:t>
      </w:r>
    </w:p>
    <w:p w14:paraId="0CB49DE2"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Im, K. S., Pesaran, M. H., &amp; Shin, Y. (2003). Testing for unit roots in heterogeneous panels. </w:t>
      </w:r>
      <w:r w:rsidRPr="00514720">
        <w:rPr>
          <w:rFonts w:ascii="Times New Roman" w:hAnsi="Times New Roman" w:cs="Times New Roman"/>
          <w:i/>
          <w:iCs/>
          <w:sz w:val="24"/>
          <w:szCs w:val="24"/>
        </w:rPr>
        <w:t>Journal of Econometrics</w:t>
      </w:r>
      <w:r w:rsidRPr="00514720">
        <w:rPr>
          <w:rFonts w:ascii="Times New Roman" w:hAnsi="Times New Roman" w:cs="Times New Roman"/>
          <w:sz w:val="24"/>
          <w:szCs w:val="24"/>
        </w:rPr>
        <w:t>, 115(1), 53–74. https://doi.org/10.1016/S0304-4076(03)00092-7</w:t>
      </w:r>
    </w:p>
    <w:p w14:paraId="08198E4B"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Kao, C. (1999). Spurious regression and residual-based tests for cointegration in panel data. </w:t>
      </w:r>
      <w:r w:rsidRPr="00514720">
        <w:rPr>
          <w:rFonts w:ascii="Times New Roman" w:hAnsi="Times New Roman" w:cs="Times New Roman"/>
          <w:i/>
          <w:iCs/>
          <w:sz w:val="24"/>
          <w:szCs w:val="24"/>
        </w:rPr>
        <w:t>Journal of Econometrics,</w:t>
      </w:r>
      <w:r w:rsidRPr="00514720">
        <w:rPr>
          <w:rFonts w:ascii="Times New Roman" w:hAnsi="Times New Roman" w:cs="Times New Roman"/>
          <w:sz w:val="24"/>
          <w:szCs w:val="24"/>
        </w:rPr>
        <w:t xml:space="preserve"> 90(1), 1–44. https://doi.org/10.1016/S0304-4076(98)00023-2</w:t>
      </w:r>
    </w:p>
    <w:p w14:paraId="577486A5"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Kaufmann, D., Kraay, A., &amp; Zoido-Lobatón, P. (1999). Governance matters (World Bank Policy Research Working Paper No. 2196). World Bank.</w:t>
      </w:r>
    </w:p>
    <w:p w14:paraId="0E23D355" w14:textId="77777777" w:rsidR="007952A3" w:rsidRPr="00514720" w:rsidRDefault="007952A3" w:rsidP="00514720">
      <w:pPr>
        <w:pStyle w:val="ListParagraph"/>
        <w:numPr>
          <w:ilvl w:val="0"/>
          <w:numId w:val="3"/>
        </w:numPr>
        <w:spacing w:before="240" w:after="240" w:line="240" w:lineRule="auto"/>
        <w:ind w:right="238"/>
        <w:rPr>
          <w:rFonts w:ascii="Times New Roman" w:hAnsi="Times New Roman" w:cs="Times New Roman"/>
          <w:sz w:val="24"/>
          <w:szCs w:val="24"/>
        </w:rPr>
      </w:pPr>
      <w:r w:rsidRPr="00514720">
        <w:rPr>
          <w:rFonts w:ascii="Times New Roman" w:hAnsi="Times New Roman" w:cs="Times New Roman"/>
          <w:bCs/>
          <w:sz w:val="24"/>
          <w:szCs w:val="24"/>
        </w:rPr>
        <w:t xml:space="preserve">Kaufmann, D., Kraay, A., &amp; Mastruzzi, M. (2005). Governance matters IV: Governance indicators for 1996–2004. </w:t>
      </w:r>
      <w:r w:rsidRPr="00514720">
        <w:rPr>
          <w:rFonts w:ascii="Times New Roman" w:hAnsi="Times New Roman" w:cs="Times New Roman"/>
          <w:bCs/>
          <w:i/>
          <w:iCs/>
          <w:sz w:val="24"/>
          <w:szCs w:val="24"/>
        </w:rPr>
        <w:t>World Bank Policy Research Working Paper</w:t>
      </w:r>
      <w:r w:rsidRPr="00514720">
        <w:rPr>
          <w:rFonts w:ascii="Times New Roman" w:hAnsi="Times New Roman" w:cs="Times New Roman"/>
          <w:bCs/>
          <w:sz w:val="24"/>
          <w:szCs w:val="24"/>
        </w:rPr>
        <w:t>, No. 3630.</w:t>
      </w:r>
    </w:p>
    <w:p w14:paraId="2C5E5902" w14:textId="4F1906B9" w:rsidR="007D00B7" w:rsidRPr="00514720" w:rsidRDefault="007D00B7" w:rsidP="00514720">
      <w:pPr>
        <w:pStyle w:val="ListParagraph"/>
        <w:numPr>
          <w:ilvl w:val="0"/>
          <w:numId w:val="3"/>
        </w:numPr>
        <w:spacing w:before="240" w:after="240" w:line="240" w:lineRule="auto"/>
        <w:ind w:right="238"/>
        <w:rPr>
          <w:rFonts w:ascii="Times New Roman" w:hAnsi="Times New Roman" w:cs="Times New Roman"/>
          <w:sz w:val="24"/>
          <w:szCs w:val="24"/>
        </w:rPr>
      </w:pPr>
      <w:r w:rsidRPr="00514720">
        <w:rPr>
          <w:rFonts w:ascii="Times New Roman" w:hAnsi="Times New Roman" w:cs="Times New Roman"/>
          <w:sz w:val="24"/>
          <w:szCs w:val="24"/>
        </w:rPr>
        <w:t>Kaufmann, D., Kraay, A., &amp; Mastruzzi, M. (2010). The Worldwide Governance Indicators: Methodology and analytical issues (World Bank Policy Research Working Paper No. 5430). World Bank.</w:t>
      </w:r>
    </w:p>
    <w:p w14:paraId="3A897F3D"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Keefer, P., &amp; Knack, S. (1997). Why don't poor countries catch up? A cross-national test of an institutional explanation. </w:t>
      </w:r>
      <w:r w:rsidRPr="00514720">
        <w:rPr>
          <w:rFonts w:ascii="Times New Roman" w:hAnsi="Times New Roman" w:cs="Times New Roman"/>
          <w:i/>
          <w:iCs/>
          <w:sz w:val="24"/>
          <w:szCs w:val="24"/>
        </w:rPr>
        <w:t>Economic Inquiry</w:t>
      </w:r>
      <w:r w:rsidRPr="00514720">
        <w:rPr>
          <w:rFonts w:ascii="Times New Roman" w:hAnsi="Times New Roman" w:cs="Times New Roman"/>
          <w:sz w:val="24"/>
          <w:szCs w:val="24"/>
        </w:rPr>
        <w:t>, 35(3), 590–602. https://doi.org/10.1111/j.1465-7295.1997.tb01882.x</w:t>
      </w:r>
    </w:p>
    <w:p w14:paraId="47E31503"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Langbein, L., &amp; Knack, S. (2010). The worldwide governance indicators: Six, one, or none? </w:t>
      </w:r>
      <w:r w:rsidRPr="00514720">
        <w:rPr>
          <w:rFonts w:ascii="Times New Roman" w:hAnsi="Times New Roman" w:cs="Times New Roman"/>
          <w:i/>
          <w:iCs/>
          <w:sz w:val="24"/>
          <w:szCs w:val="24"/>
        </w:rPr>
        <w:t>Journal of Development Studies</w:t>
      </w:r>
      <w:r w:rsidRPr="00514720">
        <w:rPr>
          <w:rFonts w:ascii="Times New Roman" w:hAnsi="Times New Roman" w:cs="Times New Roman"/>
          <w:sz w:val="24"/>
          <w:szCs w:val="24"/>
        </w:rPr>
        <w:t>, 46(2), 350–370. https://doi.org/10.1080/00220380902933092</w:t>
      </w:r>
    </w:p>
    <w:p w14:paraId="6DA9E35D"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lastRenderedPageBreak/>
        <w:t xml:space="preserve">Levin, A., Lin, C. F., &amp; Chu, C. S. J. (2002). Unit root tests in panel data: Asymptotic and finite-sample properties. </w:t>
      </w:r>
      <w:r w:rsidRPr="00514720">
        <w:rPr>
          <w:rFonts w:ascii="Times New Roman" w:hAnsi="Times New Roman" w:cs="Times New Roman"/>
          <w:i/>
          <w:iCs/>
          <w:sz w:val="24"/>
          <w:szCs w:val="24"/>
        </w:rPr>
        <w:t>Journal of Econometrics,</w:t>
      </w:r>
      <w:r w:rsidRPr="00514720">
        <w:rPr>
          <w:rFonts w:ascii="Times New Roman" w:hAnsi="Times New Roman" w:cs="Times New Roman"/>
          <w:sz w:val="24"/>
          <w:szCs w:val="24"/>
        </w:rPr>
        <w:t xml:space="preserve"> 108(1), 1–24. https://doi.org/10.1016/S0304-4076(01)00098-7</w:t>
      </w:r>
    </w:p>
    <w:p w14:paraId="2984475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Lindberg, S. I. (2006). Democracy and Elections in Africa. Johns Hopkins University Press.</w:t>
      </w:r>
    </w:p>
    <w:p w14:paraId="52B2C03B"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Mauro, P. (1995). Corruption and growth. </w:t>
      </w:r>
      <w:r w:rsidRPr="00514720">
        <w:rPr>
          <w:rFonts w:ascii="Times New Roman" w:hAnsi="Times New Roman" w:cs="Times New Roman"/>
          <w:i/>
          <w:iCs/>
          <w:sz w:val="24"/>
          <w:szCs w:val="24"/>
        </w:rPr>
        <w:t>Quarterly Journal of Economics</w:t>
      </w:r>
      <w:r w:rsidRPr="00514720">
        <w:rPr>
          <w:rFonts w:ascii="Times New Roman" w:hAnsi="Times New Roman" w:cs="Times New Roman"/>
          <w:sz w:val="24"/>
          <w:szCs w:val="24"/>
        </w:rPr>
        <w:t>, 110(3), 681–712. https://doi.org/10.2307/2946696</w:t>
      </w:r>
    </w:p>
    <w:p w14:paraId="5E2354ED" w14:textId="2C3CA0F6" w:rsidR="007F3280" w:rsidRPr="00514720" w:rsidRDefault="007F3280"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bCs/>
          <w:sz w:val="24"/>
          <w:szCs w:val="24"/>
        </w:rPr>
        <w:t>Mueller, H., &amp; Techasunthornwat, C. (2020).</w:t>
      </w:r>
      <w:r w:rsidRPr="00514720">
        <w:rPr>
          <w:rFonts w:ascii="Times New Roman" w:hAnsi="Times New Roman" w:cs="Times New Roman"/>
          <w:sz w:val="24"/>
          <w:szCs w:val="24"/>
        </w:rPr>
        <w:t xml:space="preserve"> Conflict and development: Recent research and future directions. </w:t>
      </w:r>
      <w:r w:rsidRPr="00514720">
        <w:rPr>
          <w:rFonts w:ascii="Times New Roman" w:hAnsi="Times New Roman" w:cs="Times New Roman"/>
          <w:i/>
          <w:iCs/>
          <w:sz w:val="24"/>
          <w:szCs w:val="24"/>
        </w:rPr>
        <w:t>World Bank Research Observer</w:t>
      </w:r>
      <w:r w:rsidRPr="00514720">
        <w:rPr>
          <w:rFonts w:ascii="Times New Roman" w:hAnsi="Times New Roman" w:cs="Times New Roman"/>
          <w:sz w:val="24"/>
          <w:szCs w:val="24"/>
        </w:rPr>
        <w:t>, 35(2), 147–181.</w:t>
      </w:r>
    </w:p>
    <w:p w14:paraId="2E858488" w14:textId="373A9999"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Mustapha, A. R., &amp; Whitfield, L. (Eds.). (2009). Turning Points in African Democracy. James Currey.</w:t>
      </w:r>
    </w:p>
    <w:p w14:paraId="533A1ADD"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North, D. C. (1990). Institutions, Institutional Change and Economic Performance. Cambridge University Press.</w:t>
      </w:r>
    </w:p>
    <w:p w14:paraId="772578BB"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Nwosu, E. O., &amp; Orji, A. (2020). Institutions, economic growth and sustainable development in Nigeria. </w:t>
      </w:r>
      <w:r w:rsidRPr="00514720">
        <w:rPr>
          <w:rFonts w:ascii="Times New Roman" w:hAnsi="Times New Roman" w:cs="Times New Roman"/>
          <w:i/>
          <w:iCs/>
          <w:sz w:val="24"/>
          <w:szCs w:val="24"/>
        </w:rPr>
        <w:t>African Development Review</w:t>
      </w:r>
      <w:r w:rsidRPr="00514720">
        <w:rPr>
          <w:rFonts w:ascii="Times New Roman" w:hAnsi="Times New Roman" w:cs="Times New Roman"/>
          <w:sz w:val="24"/>
          <w:szCs w:val="24"/>
        </w:rPr>
        <w:t>, 32(3), 456–468. https://doi.org/10.1111/1467-8268.12439</w:t>
      </w:r>
    </w:p>
    <w:p w14:paraId="7395A613"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Okafor, L. E. (2017). Governance, political stability and economic growth in West Africa. </w:t>
      </w:r>
      <w:r w:rsidRPr="00514720">
        <w:rPr>
          <w:rFonts w:ascii="Times New Roman" w:hAnsi="Times New Roman" w:cs="Times New Roman"/>
          <w:i/>
          <w:iCs/>
          <w:sz w:val="24"/>
          <w:szCs w:val="24"/>
        </w:rPr>
        <w:t>Economic Research</w:t>
      </w:r>
      <w:r w:rsidRPr="00514720">
        <w:rPr>
          <w:rFonts w:ascii="Times New Roman" w:hAnsi="Times New Roman" w:cs="Times New Roman"/>
          <w:sz w:val="24"/>
          <w:szCs w:val="24"/>
        </w:rPr>
        <w:t>, 30(1), 1418–1436. https://doi.org/10.1080/1331677X.2017.1355255</w:t>
      </w:r>
    </w:p>
    <w:p w14:paraId="4F1128C1"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Olayungbo, D. O., &amp; Olayemi, O. F. (2021). Dynamic relationships among non-oil revenue, government spending and economic growth in an oil-producing country: Evidence from Nigeria. </w:t>
      </w:r>
      <w:r w:rsidRPr="00514720">
        <w:rPr>
          <w:rFonts w:ascii="Times New Roman" w:hAnsi="Times New Roman" w:cs="Times New Roman"/>
          <w:i/>
          <w:iCs/>
          <w:sz w:val="24"/>
          <w:szCs w:val="24"/>
        </w:rPr>
        <w:t>Future Business Journal</w:t>
      </w:r>
      <w:r w:rsidRPr="00514720">
        <w:rPr>
          <w:rFonts w:ascii="Times New Roman" w:hAnsi="Times New Roman" w:cs="Times New Roman"/>
          <w:sz w:val="24"/>
          <w:szCs w:val="24"/>
        </w:rPr>
        <w:t>, 7(1), 1–14. https://doi.org/10.1186/s43093-021-00073-8</w:t>
      </w:r>
    </w:p>
    <w:p w14:paraId="041BA2E2" w14:textId="77777777" w:rsidR="001D2EE0" w:rsidRPr="00514720" w:rsidRDefault="001D2EE0" w:rsidP="00514720">
      <w:pPr>
        <w:pStyle w:val="ListParagraph"/>
        <w:numPr>
          <w:ilvl w:val="0"/>
          <w:numId w:val="3"/>
        </w:numPr>
        <w:spacing w:before="240" w:after="240" w:line="240" w:lineRule="auto"/>
        <w:ind w:right="238"/>
        <w:rPr>
          <w:rFonts w:ascii="Times New Roman" w:eastAsia="Times New Roman" w:hAnsi="Times New Roman" w:cs="Times New Roman"/>
          <w:sz w:val="24"/>
          <w:szCs w:val="24"/>
          <w:lang w:val="en-US"/>
        </w:rPr>
      </w:pPr>
      <w:r w:rsidRPr="00514720">
        <w:rPr>
          <w:rFonts w:ascii="Times New Roman" w:eastAsia="Times New Roman" w:hAnsi="Times New Roman" w:cs="Times New Roman"/>
          <w:bCs/>
          <w:sz w:val="24"/>
          <w:szCs w:val="24"/>
          <w:lang w:val="en-US"/>
        </w:rPr>
        <w:t>Page, L., &amp; Pande, R. (2018).</w:t>
      </w:r>
      <w:r w:rsidRPr="00514720">
        <w:rPr>
          <w:rFonts w:ascii="Times New Roman" w:eastAsia="Times New Roman" w:hAnsi="Times New Roman" w:cs="Times New Roman"/>
          <w:sz w:val="24"/>
          <w:szCs w:val="24"/>
          <w:lang w:val="en-US"/>
        </w:rPr>
        <w:t xml:space="preserve"> Ending global poverty: Why money isn't enough. </w:t>
      </w:r>
      <w:r w:rsidRPr="00514720">
        <w:rPr>
          <w:rFonts w:ascii="Times New Roman" w:eastAsia="Times New Roman" w:hAnsi="Times New Roman" w:cs="Times New Roman"/>
          <w:i/>
          <w:iCs/>
          <w:sz w:val="24"/>
          <w:szCs w:val="24"/>
          <w:lang w:val="en-US"/>
        </w:rPr>
        <w:t>Journal of Economic Perspectives</w:t>
      </w:r>
      <w:r w:rsidRPr="00514720">
        <w:rPr>
          <w:rFonts w:ascii="Times New Roman" w:eastAsia="Times New Roman" w:hAnsi="Times New Roman" w:cs="Times New Roman"/>
          <w:sz w:val="24"/>
          <w:szCs w:val="24"/>
          <w:lang w:val="en-US"/>
        </w:rPr>
        <w:t>, 32(4), 173–200.</w:t>
      </w:r>
    </w:p>
    <w:p w14:paraId="605545B5" w14:textId="5A1437E4"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Pedroni, P. (1999). Critical values for cointegration tests in heterogeneous panels with multiple regressors. </w:t>
      </w:r>
      <w:r w:rsidRPr="00514720">
        <w:rPr>
          <w:rFonts w:ascii="Times New Roman" w:hAnsi="Times New Roman" w:cs="Times New Roman"/>
          <w:i/>
          <w:iCs/>
          <w:sz w:val="24"/>
          <w:szCs w:val="24"/>
        </w:rPr>
        <w:t>Oxford Bulletin of Economics and Statistics</w:t>
      </w:r>
      <w:r w:rsidRPr="00514720">
        <w:rPr>
          <w:rFonts w:ascii="Times New Roman" w:hAnsi="Times New Roman" w:cs="Times New Roman"/>
          <w:sz w:val="24"/>
          <w:szCs w:val="24"/>
        </w:rPr>
        <w:t>, 61(S1), 653–670.</w:t>
      </w:r>
    </w:p>
    <w:p w14:paraId="4260298A"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Pedroni, P. (2004). Panel cointegration: Asymptotic and finite sample properties of pooled time series tests with an application to the PPP hypothesis. </w:t>
      </w:r>
      <w:r w:rsidRPr="00514720">
        <w:rPr>
          <w:rFonts w:ascii="Times New Roman" w:hAnsi="Times New Roman" w:cs="Times New Roman"/>
          <w:i/>
          <w:iCs/>
          <w:sz w:val="24"/>
          <w:szCs w:val="24"/>
        </w:rPr>
        <w:t>Econometric Theory</w:t>
      </w:r>
      <w:r w:rsidRPr="00514720">
        <w:rPr>
          <w:rFonts w:ascii="Times New Roman" w:hAnsi="Times New Roman" w:cs="Times New Roman"/>
          <w:sz w:val="24"/>
          <w:szCs w:val="24"/>
        </w:rPr>
        <w:t>, 20(3), 597–625.</w:t>
      </w:r>
    </w:p>
    <w:p w14:paraId="7E26657A"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Perfect, D. (2016). Politics and society in The Gambia since independence. </w:t>
      </w:r>
      <w:r w:rsidRPr="00514720">
        <w:rPr>
          <w:rFonts w:ascii="Times New Roman" w:hAnsi="Times New Roman" w:cs="Times New Roman"/>
          <w:i/>
          <w:iCs/>
          <w:sz w:val="24"/>
          <w:szCs w:val="24"/>
        </w:rPr>
        <w:t>African Identities</w:t>
      </w:r>
      <w:r w:rsidRPr="00514720">
        <w:rPr>
          <w:rFonts w:ascii="Times New Roman" w:hAnsi="Times New Roman" w:cs="Times New Roman"/>
          <w:sz w:val="24"/>
          <w:szCs w:val="24"/>
        </w:rPr>
        <w:t>, 14(2), 161–175. https://doi.org/10.1080/14725843.2015.1113099</w:t>
      </w:r>
    </w:p>
    <w:p w14:paraId="220FEB10"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Pesaran, M. H. (2004). General diagnostic tests for cross section dependence in panels (CESifo Working Paper No. 1229). CESifo.</w:t>
      </w:r>
    </w:p>
    <w:p w14:paraId="57B99476"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Pesaran, M. H. (2007). A simple panel unit root test in the presence of cross-section dependence. </w:t>
      </w:r>
      <w:r w:rsidRPr="00514720">
        <w:rPr>
          <w:rFonts w:ascii="Times New Roman" w:hAnsi="Times New Roman" w:cs="Times New Roman"/>
          <w:i/>
          <w:iCs/>
          <w:sz w:val="24"/>
          <w:szCs w:val="24"/>
        </w:rPr>
        <w:t>Journal of Applied Econometrics</w:t>
      </w:r>
      <w:r w:rsidRPr="00514720">
        <w:rPr>
          <w:rFonts w:ascii="Times New Roman" w:hAnsi="Times New Roman" w:cs="Times New Roman"/>
          <w:sz w:val="24"/>
          <w:szCs w:val="24"/>
        </w:rPr>
        <w:t>, 22(2), 265–312. https://doi.org/10.1002/jae.951</w:t>
      </w:r>
    </w:p>
    <w:p w14:paraId="05814FE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Pesaran, M. H., Shin, Y., &amp; Smith, R. P. (1999). Pooled mean group estimation of dynamic heterogeneous panels. </w:t>
      </w:r>
      <w:r w:rsidRPr="00514720">
        <w:rPr>
          <w:rFonts w:ascii="Times New Roman" w:hAnsi="Times New Roman" w:cs="Times New Roman"/>
          <w:i/>
          <w:iCs/>
          <w:sz w:val="24"/>
          <w:szCs w:val="24"/>
        </w:rPr>
        <w:t>Journal of the American Statistical Association</w:t>
      </w:r>
      <w:r w:rsidRPr="00514720">
        <w:rPr>
          <w:rFonts w:ascii="Times New Roman" w:hAnsi="Times New Roman" w:cs="Times New Roman"/>
          <w:sz w:val="24"/>
          <w:szCs w:val="24"/>
        </w:rPr>
        <w:t>, 94(446), 621–634. https://doi.org/10.1080/01621459.1999.10474156</w:t>
      </w:r>
    </w:p>
    <w:p w14:paraId="09D8875D" w14:textId="377F0BA0" w:rsidR="00765A97" w:rsidRPr="00514720" w:rsidRDefault="00765A9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bCs/>
          <w:sz w:val="24"/>
          <w:szCs w:val="24"/>
        </w:rPr>
        <w:t>Piliegini, M., &amp; Sacchi, A. (2021).</w:t>
      </w:r>
      <w:r w:rsidRPr="00514720">
        <w:rPr>
          <w:rFonts w:ascii="Times New Roman" w:hAnsi="Times New Roman" w:cs="Times New Roman"/>
          <w:sz w:val="24"/>
          <w:szCs w:val="24"/>
        </w:rPr>
        <w:t xml:space="preserve"> Corruption and public expenditures on health and education: </w:t>
      </w:r>
      <w:proofErr w:type="gramStart"/>
      <w:r w:rsidRPr="00514720">
        <w:rPr>
          <w:rFonts w:ascii="Times New Roman" w:hAnsi="Times New Roman" w:cs="Times New Roman"/>
          <w:sz w:val="24"/>
          <w:szCs w:val="24"/>
        </w:rPr>
        <w:t>New</w:t>
      </w:r>
      <w:proofErr w:type="gramEnd"/>
      <w:r w:rsidRPr="00514720">
        <w:rPr>
          <w:rFonts w:ascii="Times New Roman" w:hAnsi="Times New Roman" w:cs="Times New Roman"/>
          <w:sz w:val="24"/>
          <w:szCs w:val="24"/>
        </w:rPr>
        <w:t xml:space="preserve"> panel data evidence. </w:t>
      </w:r>
      <w:r w:rsidRPr="00514720">
        <w:rPr>
          <w:rFonts w:ascii="Times New Roman" w:hAnsi="Times New Roman" w:cs="Times New Roman"/>
          <w:i/>
          <w:iCs/>
          <w:sz w:val="24"/>
          <w:szCs w:val="24"/>
        </w:rPr>
        <w:t>International Tax and Public Finance</w:t>
      </w:r>
      <w:r w:rsidRPr="00514720">
        <w:rPr>
          <w:rFonts w:ascii="Times New Roman" w:hAnsi="Times New Roman" w:cs="Times New Roman"/>
          <w:sz w:val="24"/>
          <w:szCs w:val="24"/>
        </w:rPr>
        <w:t>, 28, 145–174.</w:t>
      </w:r>
    </w:p>
    <w:p w14:paraId="4CE427DD" w14:textId="21B0772C"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Przeworski, A., Alvarez, M. E., Cheibub, J. A., &amp; Limongi, F. (2000). Democracy and Development: Political Institutions and Well-Being in the World, 1950–1990. Cambridge University Press.</w:t>
      </w:r>
    </w:p>
    <w:p w14:paraId="67DA3149"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Rodrik, D., Subramanian, A., &amp; Trebbi, F. (2004). </w:t>
      </w:r>
      <w:proofErr w:type="gramStart"/>
      <w:r w:rsidRPr="00514720">
        <w:rPr>
          <w:rFonts w:ascii="Times New Roman" w:hAnsi="Times New Roman" w:cs="Times New Roman"/>
          <w:sz w:val="24"/>
          <w:szCs w:val="24"/>
        </w:rPr>
        <w:t>Institutions</w:t>
      </w:r>
      <w:proofErr w:type="gramEnd"/>
      <w:r w:rsidRPr="00514720">
        <w:rPr>
          <w:rFonts w:ascii="Times New Roman" w:hAnsi="Times New Roman" w:cs="Times New Roman"/>
          <w:sz w:val="24"/>
          <w:szCs w:val="24"/>
        </w:rPr>
        <w:t xml:space="preserve"> rule: The primacy of institutions over geography and integration in economic development. </w:t>
      </w:r>
      <w:r w:rsidRPr="00514720">
        <w:rPr>
          <w:rFonts w:ascii="Times New Roman" w:hAnsi="Times New Roman" w:cs="Times New Roman"/>
          <w:i/>
          <w:iCs/>
          <w:sz w:val="24"/>
          <w:szCs w:val="24"/>
        </w:rPr>
        <w:t>Journal of Economic Growth</w:t>
      </w:r>
      <w:r w:rsidRPr="00514720">
        <w:rPr>
          <w:rFonts w:ascii="Times New Roman" w:hAnsi="Times New Roman" w:cs="Times New Roman"/>
          <w:sz w:val="24"/>
          <w:szCs w:val="24"/>
        </w:rPr>
        <w:t>, 9(2), 131–165. https://doi.org/10.1023/B:JOEG.0000031425.72248.85</w:t>
      </w:r>
    </w:p>
    <w:p w14:paraId="38A19BDB"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Sachs, J. D., Schmidt-Traub, G., Mazzucato, M., Messner, D., Nakicenovic, N., &amp; Rockström, J. (2019). Six transformations to achieve the Sustainable Development Goals. </w:t>
      </w:r>
      <w:r w:rsidRPr="00514720">
        <w:rPr>
          <w:rFonts w:ascii="Times New Roman" w:hAnsi="Times New Roman" w:cs="Times New Roman"/>
          <w:i/>
          <w:iCs/>
          <w:sz w:val="24"/>
          <w:szCs w:val="24"/>
        </w:rPr>
        <w:t>Nature Sustainability,</w:t>
      </w:r>
      <w:r w:rsidRPr="00514720">
        <w:rPr>
          <w:rFonts w:ascii="Times New Roman" w:hAnsi="Times New Roman" w:cs="Times New Roman"/>
          <w:sz w:val="24"/>
          <w:szCs w:val="24"/>
        </w:rPr>
        <w:t xml:space="preserve"> 2(9), 805–814. https://doi.org/10.1038/s41893-019-0352-9</w:t>
      </w:r>
    </w:p>
    <w:p w14:paraId="2AE4EE56"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Sachs, J. D., Lafortune, G., Kroll, C., Fuller, G., &amp; Woelm, F. (2022). Sustainable Development Report 2022. </w:t>
      </w:r>
      <w:r w:rsidRPr="00514720">
        <w:rPr>
          <w:rFonts w:ascii="Times New Roman" w:hAnsi="Times New Roman" w:cs="Times New Roman"/>
          <w:i/>
          <w:iCs/>
          <w:sz w:val="24"/>
          <w:szCs w:val="24"/>
        </w:rPr>
        <w:t>Cambridge University Press</w:t>
      </w:r>
      <w:r w:rsidRPr="00514720">
        <w:rPr>
          <w:rFonts w:ascii="Times New Roman" w:hAnsi="Times New Roman" w:cs="Times New Roman"/>
          <w:sz w:val="24"/>
          <w:szCs w:val="24"/>
        </w:rPr>
        <w:t>. https://doi.org/10.1017/9781009210058</w:t>
      </w:r>
    </w:p>
    <w:p w14:paraId="2B98218D"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Sachs, J. D., Lafortune, G., Fuller, G., &amp; Drumm, E. (2023). Implementing the SDG Stimulus: Sustainable Development Report 2023. Dublin University Press. https://doi.org/10.25546/102582</w:t>
      </w:r>
    </w:p>
    <w:p w14:paraId="064BDC91"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Sachs, J. D., Lafortune, G., Maennling, N., Kroll, C., Fuller, G., &amp; Woelm, F. (2024). The SDGs and the UN Summit of the Future: Sustainable Development Report 2024. Dublin University Press.</w:t>
      </w:r>
    </w:p>
    <w:p w14:paraId="27595EF3"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lastRenderedPageBreak/>
        <w:t xml:space="preserve">Saine, A. (2009). The Gambia's 'elected autocrat' poverty, peripherality, and political instability. </w:t>
      </w:r>
      <w:r w:rsidRPr="00514720">
        <w:rPr>
          <w:rFonts w:ascii="Times New Roman" w:hAnsi="Times New Roman" w:cs="Times New Roman"/>
          <w:i/>
          <w:iCs/>
          <w:sz w:val="24"/>
          <w:szCs w:val="24"/>
        </w:rPr>
        <w:t>Armed Forces &amp; Society</w:t>
      </w:r>
      <w:r w:rsidRPr="00514720">
        <w:rPr>
          <w:rFonts w:ascii="Times New Roman" w:hAnsi="Times New Roman" w:cs="Times New Roman"/>
          <w:sz w:val="24"/>
          <w:szCs w:val="24"/>
        </w:rPr>
        <w:t>, 34(3), 450–473. https://doi.org/10.1177/0095327X07302407</w:t>
      </w:r>
    </w:p>
    <w:p w14:paraId="2A9C5391"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Seo, M. H., &amp; Shin, Y. (2016). Dynamic panels with threshold effect and endogeneity. </w:t>
      </w:r>
      <w:r w:rsidRPr="00514720">
        <w:rPr>
          <w:rFonts w:ascii="Times New Roman" w:hAnsi="Times New Roman" w:cs="Times New Roman"/>
          <w:i/>
          <w:iCs/>
          <w:sz w:val="24"/>
          <w:szCs w:val="24"/>
        </w:rPr>
        <w:t>Journal of Econometrics</w:t>
      </w:r>
      <w:r w:rsidRPr="00514720">
        <w:rPr>
          <w:rFonts w:ascii="Times New Roman" w:hAnsi="Times New Roman" w:cs="Times New Roman"/>
          <w:sz w:val="24"/>
          <w:szCs w:val="24"/>
        </w:rPr>
        <w:t>, 195(2), 169–186. https://doi.org/10.1016/j.jeconom.2016.03.005</w:t>
      </w:r>
    </w:p>
    <w:p w14:paraId="4A3E997F"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Stock, J. H., &amp; Watson, M. W. (1993). A simple estimator of cointegrating vectors in higher order integrated systems. </w:t>
      </w:r>
      <w:r w:rsidRPr="00514720">
        <w:rPr>
          <w:rFonts w:ascii="Times New Roman" w:hAnsi="Times New Roman" w:cs="Times New Roman"/>
          <w:i/>
          <w:iCs/>
          <w:sz w:val="24"/>
          <w:szCs w:val="24"/>
        </w:rPr>
        <w:t>Econometrica</w:t>
      </w:r>
      <w:r w:rsidRPr="00514720">
        <w:rPr>
          <w:rFonts w:ascii="Times New Roman" w:hAnsi="Times New Roman" w:cs="Times New Roman"/>
          <w:sz w:val="24"/>
          <w:szCs w:val="24"/>
        </w:rPr>
        <w:t>, 61(4), 783–820. https://doi.org/10.2307/2951814</w:t>
      </w:r>
    </w:p>
    <w:p w14:paraId="5E938356"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Tanzi, V., &amp; Davoodi, H. (1997). Corruption, public investment, and growth (IMF Working Paper WP/97/139). International Monetary Fund.</w:t>
      </w:r>
    </w:p>
    <w:p w14:paraId="5C227127"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 xml:space="preserve">Thomas, M. A. (2010). What do the worldwide governance indicators measure? European </w:t>
      </w:r>
      <w:r w:rsidRPr="00514720">
        <w:rPr>
          <w:rFonts w:ascii="Times New Roman" w:hAnsi="Times New Roman" w:cs="Times New Roman"/>
          <w:i/>
          <w:iCs/>
          <w:sz w:val="24"/>
          <w:szCs w:val="24"/>
        </w:rPr>
        <w:t>Journal of Development Research</w:t>
      </w:r>
      <w:r w:rsidRPr="00514720">
        <w:rPr>
          <w:rFonts w:ascii="Times New Roman" w:hAnsi="Times New Roman" w:cs="Times New Roman"/>
          <w:sz w:val="24"/>
          <w:szCs w:val="24"/>
        </w:rPr>
        <w:t>, 22(1), 31–54. https://doi.org/10.1057/ejdr.2009.32</w:t>
      </w:r>
    </w:p>
    <w:p w14:paraId="305BC920"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United Nations. (2015). Transforming Our World: The 2030 Agenda for Sustainable Development (Resolution A/RES/70/1). UN General Assembly.</w:t>
      </w:r>
    </w:p>
    <w:p w14:paraId="4C3F8FF0" w14:textId="77777777" w:rsidR="007D00B7"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World Bank. (2020). Doing Business 2020: Comparing Business Regulation in 190 Economies. World Bank. https://doi.org/10.1596/978-1-4648-1440-2</w:t>
      </w:r>
    </w:p>
    <w:p w14:paraId="5635658F" w14:textId="3D81D6AF" w:rsidR="00AC5C89" w:rsidRPr="00514720" w:rsidRDefault="007D00B7" w:rsidP="00514720">
      <w:pPr>
        <w:pStyle w:val="ListParagraph"/>
        <w:numPr>
          <w:ilvl w:val="0"/>
          <w:numId w:val="3"/>
        </w:numPr>
        <w:spacing w:before="240" w:after="240" w:line="240" w:lineRule="auto"/>
        <w:ind w:right="238"/>
        <w:jc w:val="both"/>
        <w:rPr>
          <w:rFonts w:ascii="Times New Roman" w:hAnsi="Times New Roman" w:cs="Times New Roman"/>
          <w:sz w:val="24"/>
          <w:szCs w:val="24"/>
        </w:rPr>
      </w:pPr>
      <w:r w:rsidRPr="00514720">
        <w:rPr>
          <w:rFonts w:ascii="Times New Roman" w:hAnsi="Times New Roman" w:cs="Times New Roman"/>
          <w:sz w:val="24"/>
          <w:szCs w:val="24"/>
        </w:rPr>
        <w:t>World Bank. (2024). Worldwide Governance Indicators, 2024 Update. World Bank Group. https://www.govindicators.org</w:t>
      </w:r>
    </w:p>
    <w:sectPr w:rsidR="00AC5C89" w:rsidRPr="00514720" w:rsidSect="00514720">
      <w:footerReference w:type="default" r:id="rId9"/>
      <w:pgSz w:w="11906" w:h="16838" w:code="9"/>
      <w:pgMar w:top="1094" w:right="605" w:bottom="605" w:left="60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EEC8" w14:textId="77777777" w:rsidR="00E34AA5" w:rsidRDefault="00E34AA5" w:rsidP="007923AF">
      <w:pPr>
        <w:spacing w:after="0" w:line="240" w:lineRule="auto"/>
      </w:pPr>
      <w:r>
        <w:separator/>
      </w:r>
    </w:p>
  </w:endnote>
  <w:endnote w:type="continuationSeparator" w:id="0">
    <w:p w14:paraId="6FE137C6" w14:textId="77777777" w:rsidR="00E34AA5" w:rsidRDefault="00E34AA5" w:rsidP="0079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160308"/>
      <w:docPartObj>
        <w:docPartGallery w:val="Page Numbers (Bottom of Page)"/>
        <w:docPartUnique/>
      </w:docPartObj>
    </w:sdtPr>
    <w:sdtEndPr>
      <w:rPr>
        <w:noProof/>
      </w:rPr>
    </w:sdtEndPr>
    <w:sdtContent>
      <w:p w14:paraId="485BDB67" w14:textId="2A6EEB44" w:rsidR="007923AF" w:rsidRDefault="007923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3F2BA" w14:textId="77777777" w:rsidR="007923AF" w:rsidRDefault="0079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150D" w14:textId="77777777" w:rsidR="00E34AA5" w:rsidRDefault="00E34AA5" w:rsidP="007923AF">
      <w:pPr>
        <w:spacing w:after="0" w:line="240" w:lineRule="auto"/>
      </w:pPr>
      <w:r>
        <w:separator/>
      </w:r>
    </w:p>
  </w:footnote>
  <w:footnote w:type="continuationSeparator" w:id="0">
    <w:p w14:paraId="6C6A2984" w14:textId="77777777" w:rsidR="00E34AA5" w:rsidRDefault="00E34AA5" w:rsidP="0079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4FD7"/>
    <w:multiLevelType w:val="hybridMultilevel"/>
    <w:tmpl w:val="57DAC15C"/>
    <w:lvl w:ilvl="0" w:tplc="2000000F">
      <w:start w:val="1"/>
      <w:numFmt w:val="decimal"/>
      <w:lvlText w:val="%1."/>
      <w:lvlJc w:val="left"/>
      <w:pPr>
        <w:ind w:left="958" w:hanging="360"/>
      </w:pPr>
    </w:lvl>
    <w:lvl w:ilvl="1" w:tplc="20000019" w:tentative="1">
      <w:start w:val="1"/>
      <w:numFmt w:val="lowerLetter"/>
      <w:lvlText w:val="%2."/>
      <w:lvlJc w:val="left"/>
      <w:pPr>
        <w:ind w:left="1678" w:hanging="360"/>
      </w:pPr>
    </w:lvl>
    <w:lvl w:ilvl="2" w:tplc="2000001B" w:tentative="1">
      <w:start w:val="1"/>
      <w:numFmt w:val="lowerRoman"/>
      <w:lvlText w:val="%3."/>
      <w:lvlJc w:val="right"/>
      <w:pPr>
        <w:ind w:left="2398" w:hanging="180"/>
      </w:pPr>
    </w:lvl>
    <w:lvl w:ilvl="3" w:tplc="2000000F" w:tentative="1">
      <w:start w:val="1"/>
      <w:numFmt w:val="decimal"/>
      <w:lvlText w:val="%4."/>
      <w:lvlJc w:val="left"/>
      <w:pPr>
        <w:ind w:left="3118" w:hanging="360"/>
      </w:pPr>
    </w:lvl>
    <w:lvl w:ilvl="4" w:tplc="20000019" w:tentative="1">
      <w:start w:val="1"/>
      <w:numFmt w:val="lowerLetter"/>
      <w:lvlText w:val="%5."/>
      <w:lvlJc w:val="left"/>
      <w:pPr>
        <w:ind w:left="3838" w:hanging="360"/>
      </w:pPr>
    </w:lvl>
    <w:lvl w:ilvl="5" w:tplc="2000001B" w:tentative="1">
      <w:start w:val="1"/>
      <w:numFmt w:val="lowerRoman"/>
      <w:lvlText w:val="%6."/>
      <w:lvlJc w:val="right"/>
      <w:pPr>
        <w:ind w:left="4558" w:hanging="180"/>
      </w:pPr>
    </w:lvl>
    <w:lvl w:ilvl="6" w:tplc="2000000F" w:tentative="1">
      <w:start w:val="1"/>
      <w:numFmt w:val="decimal"/>
      <w:lvlText w:val="%7."/>
      <w:lvlJc w:val="left"/>
      <w:pPr>
        <w:ind w:left="5278" w:hanging="360"/>
      </w:pPr>
    </w:lvl>
    <w:lvl w:ilvl="7" w:tplc="20000019" w:tentative="1">
      <w:start w:val="1"/>
      <w:numFmt w:val="lowerLetter"/>
      <w:lvlText w:val="%8."/>
      <w:lvlJc w:val="left"/>
      <w:pPr>
        <w:ind w:left="5998" w:hanging="360"/>
      </w:pPr>
    </w:lvl>
    <w:lvl w:ilvl="8" w:tplc="2000001B" w:tentative="1">
      <w:start w:val="1"/>
      <w:numFmt w:val="lowerRoman"/>
      <w:lvlText w:val="%9."/>
      <w:lvlJc w:val="right"/>
      <w:pPr>
        <w:ind w:left="6718" w:hanging="180"/>
      </w:pPr>
    </w:lvl>
  </w:abstractNum>
  <w:abstractNum w:abstractNumId="1" w15:restartNumberingAfterBreak="0">
    <w:nsid w:val="447B5685"/>
    <w:multiLevelType w:val="multilevel"/>
    <w:tmpl w:val="E03A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903F3"/>
    <w:multiLevelType w:val="multilevel"/>
    <w:tmpl w:val="3DC2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B7"/>
    <w:rsid w:val="00001BDF"/>
    <w:rsid w:val="00023AC1"/>
    <w:rsid w:val="00030B32"/>
    <w:rsid w:val="00091D6F"/>
    <w:rsid w:val="00094430"/>
    <w:rsid w:val="000A77B7"/>
    <w:rsid w:val="000D1267"/>
    <w:rsid w:val="001475BB"/>
    <w:rsid w:val="001D2EE0"/>
    <w:rsid w:val="001D37E4"/>
    <w:rsid w:val="00214ECE"/>
    <w:rsid w:val="00281A68"/>
    <w:rsid w:val="002A2FBF"/>
    <w:rsid w:val="003062D5"/>
    <w:rsid w:val="003A6BB6"/>
    <w:rsid w:val="003F4761"/>
    <w:rsid w:val="004E33F7"/>
    <w:rsid w:val="004E7029"/>
    <w:rsid w:val="0050549F"/>
    <w:rsid w:val="00514720"/>
    <w:rsid w:val="005F7383"/>
    <w:rsid w:val="00631561"/>
    <w:rsid w:val="006418AB"/>
    <w:rsid w:val="006704BE"/>
    <w:rsid w:val="006D52D3"/>
    <w:rsid w:val="007108B2"/>
    <w:rsid w:val="00765A97"/>
    <w:rsid w:val="007825BA"/>
    <w:rsid w:val="007923AF"/>
    <w:rsid w:val="007952A3"/>
    <w:rsid w:val="007D00B7"/>
    <w:rsid w:val="007F3280"/>
    <w:rsid w:val="008110DE"/>
    <w:rsid w:val="00841D10"/>
    <w:rsid w:val="008E3FC1"/>
    <w:rsid w:val="0092758C"/>
    <w:rsid w:val="00943F5E"/>
    <w:rsid w:val="009634E4"/>
    <w:rsid w:val="0099221B"/>
    <w:rsid w:val="009E393D"/>
    <w:rsid w:val="00A90156"/>
    <w:rsid w:val="00AA68A7"/>
    <w:rsid w:val="00AC48A0"/>
    <w:rsid w:val="00AC5C89"/>
    <w:rsid w:val="00C47079"/>
    <w:rsid w:val="00C930E5"/>
    <w:rsid w:val="00D25955"/>
    <w:rsid w:val="00D64241"/>
    <w:rsid w:val="00D90653"/>
    <w:rsid w:val="00E34AA5"/>
    <w:rsid w:val="00E740C5"/>
    <w:rsid w:val="00E912FC"/>
    <w:rsid w:val="00EF6A4B"/>
    <w:rsid w:val="00F07DCB"/>
    <w:rsid w:val="00F22A07"/>
    <w:rsid w:val="00F67BD3"/>
    <w:rsid w:val="00FB0878"/>
    <w:rsid w:val="00FD1DE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CEBA"/>
  <w15:chartTrackingRefBased/>
  <w15:docId w15:val="{E2EC33E7-17F6-4090-A8AD-9735099A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A07"/>
    <w:rPr>
      <w:color w:val="0563C1" w:themeColor="hyperlink"/>
      <w:u w:val="single"/>
    </w:rPr>
  </w:style>
  <w:style w:type="character" w:customStyle="1" w:styleId="UnresolvedMention1">
    <w:name w:val="Unresolved Mention1"/>
    <w:basedOn w:val="DefaultParagraphFont"/>
    <w:uiPriority w:val="99"/>
    <w:semiHidden/>
    <w:unhideWhenUsed/>
    <w:rsid w:val="00F22A07"/>
    <w:rPr>
      <w:color w:val="605E5C"/>
      <w:shd w:val="clear" w:color="auto" w:fill="E1DFDD"/>
    </w:rPr>
  </w:style>
  <w:style w:type="paragraph" w:styleId="NormalWeb">
    <w:name w:val="Normal (Web)"/>
    <w:basedOn w:val="Normal"/>
    <w:uiPriority w:val="99"/>
    <w:semiHidden/>
    <w:unhideWhenUsed/>
    <w:rsid w:val="001D2E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14720"/>
    <w:pPr>
      <w:ind w:left="720"/>
      <w:contextualSpacing/>
    </w:pPr>
  </w:style>
  <w:style w:type="paragraph" w:styleId="Header">
    <w:name w:val="header"/>
    <w:basedOn w:val="Normal"/>
    <w:link w:val="HeaderChar"/>
    <w:uiPriority w:val="99"/>
    <w:unhideWhenUsed/>
    <w:rsid w:val="0079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3AF"/>
  </w:style>
  <w:style w:type="paragraph" w:styleId="Footer">
    <w:name w:val="footer"/>
    <w:basedOn w:val="Normal"/>
    <w:link w:val="FooterChar"/>
    <w:uiPriority w:val="99"/>
    <w:unhideWhenUsed/>
    <w:rsid w:val="0079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45427">
      <w:bodyDiv w:val="1"/>
      <w:marLeft w:val="0"/>
      <w:marRight w:val="0"/>
      <w:marTop w:val="0"/>
      <w:marBottom w:val="0"/>
      <w:divBdr>
        <w:top w:val="none" w:sz="0" w:space="0" w:color="auto"/>
        <w:left w:val="none" w:sz="0" w:space="0" w:color="auto"/>
        <w:bottom w:val="none" w:sz="0" w:space="0" w:color="auto"/>
        <w:right w:val="none" w:sz="0" w:space="0" w:color="auto"/>
      </w:divBdr>
    </w:div>
    <w:div w:id="615140723">
      <w:bodyDiv w:val="1"/>
      <w:marLeft w:val="0"/>
      <w:marRight w:val="0"/>
      <w:marTop w:val="0"/>
      <w:marBottom w:val="0"/>
      <w:divBdr>
        <w:top w:val="none" w:sz="0" w:space="0" w:color="auto"/>
        <w:left w:val="none" w:sz="0" w:space="0" w:color="auto"/>
        <w:bottom w:val="none" w:sz="0" w:space="0" w:color="auto"/>
        <w:right w:val="none" w:sz="0" w:space="0" w:color="auto"/>
      </w:divBdr>
    </w:div>
    <w:div w:id="19942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uhik@veritas.edu.ng" TargetMode="External"/><Relationship Id="rId3" Type="http://schemas.openxmlformats.org/officeDocument/2006/relationships/settings" Target="settings.xml"/><Relationship Id="rId7" Type="http://schemas.openxmlformats.org/officeDocument/2006/relationships/hyperlink" Target="mailto:waleodunaiyae@veritas.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10158</Words>
  <Characters>57904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2026-06-09T19:02:00Z</dcterms:created>
  <dcterms:modified xsi:type="dcterms:W3CDTF">2026-06-09T19:11:00Z</dcterms:modified>
</cp:coreProperties>
</file>