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22EDE" w14:textId="6B8AC66A" w:rsidR="004D3BDC" w:rsidRPr="00986591" w:rsidRDefault="00567BC6" w:rsidP="00986591">
      <w:pPr>
        <w:spacing w:after="120" w:line="240" w:lineRule="auto"/>
        <w:jc w:val="center"/>
        <w:rPr>
          <w:rFonts w:ascii="Times New Roman" w:hAnsi="Times New Roman" w:cs="Times New Roman"/>
          <w:b/>
          <w:bCs/>
          <w:caps/>
        </w:rPr>
      </w:pPr>
      <w:r w:rsidRPr="00986591">
        <w:rPr>
          <w:rFonts w:ascii="Times New Roman" w:hAnsi="Times New Roman" w:cs="Times New Roman"/>
          <w:b/>
          <w:bCs/>
          <w:caps/>
        </w:rPr>
        <w:t>Nitrogen- and Oxygen-Containing Heterocyclic Compounds as Antimicrobial, Antibiofilm, and Antivirulence Agents: A Review</w:t>
      </w:r>
    </w:p>
    <w:p w14:paraId="0879D270" w14:textId="77777777" w:rsidR="00176F59" w:rsidRDefault="00176F59" w:rsidP="00176F59">
      <w:pPr>
        <w:autoSpaceDE w:val="0"/>
        <w:autoSpaceDN w:val="0"/>
        <w:adjustRightInd w:val="0"/>
        <w:spacing w:after="0" w:line="240" w:lineRule="auto"/>
        <w:jc w:val="center"/>
        <w:rPr>
          <w:rFonts w:ascii="Times New Roman" w:hAnsi="Times New Roman" w:cs="Times New Roman"/>
          <w:b/>
          <w:bCs/>
          <w:sz w:val="28"/>
          <w:szCs w:val="28"/>
          <w:vertAlign w:val="superscript"/>
        </w:rPr>
      </w:pPr>
      <w:proofErr w:type="spellStart"/>
      <w:r>
        <w:rPr>
          <w:rFonts w:ascii="Times New Roman" w:hAnsi="Times New Roman" w:cs="Times New Roman"/>
          <w:b/>
          <w:bCs/>
          <w:sz w:val="28"/>
          <w:szCs w:val="28"/>
        </w:rPr>
        <w:t/>
      </w:r>
      <w:proofErr w:type="spellEnd"/>
      <w:r>
        <w:rPr>
          <w:rFonts w:ascii="Times New Roman" w:hAnsi="Times New Roman" w:cs="Times New Roman"/>
          <w:b/>
          <w:bCs/>
          <w:sz w:val="28"/>
          <w:szCs w:val="28"/>
        </w:rPr>
        <w:t xml:space="preserve"/>
      </w:r>
      <w:r w:rsidRPr="00F01F9F">
        <w:rPr>
          <w:rFonts w:ascii="Times New Roman" w:hAnsi="Times New Roman" w:cs="Times New Roman"/>
          <w:b/>
          <w:bCs/>
          <w:sz w:val="28"/>
          <w:szCs w:val="28"/>
          <w:vertAlign w:val="superscript"/>
        </w:rPr>
        <w:t/>
      </w:r>
      <w:r>
        <w:rPr>
          <w:rFonts w:ascii="Times New Roman" w:hAnsi="Times New Roman" w:cs="Times New Roman"/>
          <w:b/>
          <w:bCs/>
          <w:sz w:val="28"/>
          <w:szCs w:val="28"/>
        </w:rPr>
        <w:t xml:space="preserve"/>
      </w:r>
      <w:proofErr w:type="spellStart"/>
      <w:r>
        <w:rPr>
          <w:rFonts w:ascii="Times New Roman" w:hAnsi="Times New Roman" w:cs="Times New Roman"/>
          <w:b/>
          <w:bCs/>
          <w:sz w:val="28"/>
          <w:szCs w:val="28"/>
        </w:rPr>
        <w:t/>
      </w:r>
      <w:proofErr w:type="spellEnd"/>
      <w:r>
        <w:rPr>
          <w:rFonts w:ascii="Times New Roman" w:hAnsi="Times New Roman" w:cs="Times New Roman"/>
          <w:b/>
          <w:bCs/>
          <w:sz w:val="28"/>
          <w:szCs w:val="28"/>
        </w:rPr>
        <w:t xml:space="preserve"/>
      </w:r>
      <w:r>
        <w:rPr>
          <w:rFonts w:ascii="Times New Roman" w:hAnsi="Times New Roman" w:cs="Times New Roman"/>
          <w:b/>
          <w:bCs/>
          <w:sz w:val="28"/>
          <w:szCs w:val="28"/>
          <w:vertAlign w:val="superscript"/>
        </w:rPr>
        <w:t xml:space="preserve"/>
      </w:r>
    </w:p>
    <w:p w14:paraId="497C4FF5" w14:textId="64E67CDA" w:rsidR="00176F59" w:rsidRPr="00176F59" w:rsidRDefault="00176F59" w:rsidP="00176F59">
      <w:pPr>
        <w:autoSpaceDE w:val="0"/>
        <w:autoSpaceDN w:val="0"/>
        <w:adjustRightInd w:val="0"/>
        <w:spacing w:after="0" w:line="240" w:lineRule="auto"/>
        <w:jc w:val="center"/>
        <w:rPr>
          <w:rFonts w:ascii="Times New Roman" w:hAnsi="Times New Roman" w:cs="Times New Roman"/>
          <w:b/>
          <w:bCs/>
          <w:sz w:val="28"/>
          <w:szCs w:val="28"/>
        </w:rPr>
      </w:pPr>
      <w:proofErr w:type="spellStart"/>
      <w:r w:rsidRPr="00176F59">
        <w:rPr>
          <w:rFonts w:ascii="Times New Roman" w:hAnsi="Times New Roman" w:cs="Times New Roman"/>
          <w:b/>
          <w:bCs/>
          <w:sz w:val="28"/>
          <w:szCs w:val="28"/>
        </w:rPr>
        <w:t/>
      </w:r>
      <w:proofErr w:type="spellEnd"/>
      <w:r w:rsidRPr="00176F59">
        <w:rPr>
          <w:rFonts w:ascii="Times New Roman" w:hAnsi="Times New Roman" w:cs="Times New Roman"/>
          <w:b/>
          <w:bCs/>
          <w:sz w:val="28"/>
          <w:szCs w:val="28"/>
        </w:rPr>
        <w:t xml:space="preserve"/>
      </w:r>
      <w:proofErr w:type="spellStart"/>
      <w:r w:rsidRPr="00176F59">
        <w:rPr>
          <w:rFonts w:ascii="Times New Roman" w:hAnsi="Times New Roman" w:cs="Times New Roman"/>
          <w:b/>
          <w:bCs/>
          <w:sz w:val="28"/>
          <w:szCs w:val="28"/>
        </w:rPr>
        <w:t/>
      </w:r>
      <w:proofErr w:type="spellEnd"/>
      <w:r w:rsidRPr="00176F59">
        <w:rPr>
          <w:rFonts w:ascii="Times New Roman" w:hAnsi="Times New Roman" w:cs="Times New Roman"/>
          <w:b/>
          <w:bCs/>
          <w:sz w:val="28"/>
          <w:szCs w:val="28"/>
        </w:rPr>
        <w:t xml:space="preserve"/>
      </w:r>
      <w:r w:rsidRPr="00176F59">
        <w:rPr>
          <w:rFonts w:ascii="Times New Roman" w:hAnsi="Times New Roman" w:cs="Times New Roman"/>
          <w:b/>
          <w:bCs/>
          <w:sz w:val="28"/>
          <w:szCs w:val="28"/>
          <w:vertAlign w:val="superscript"/>
        </w:rPr>
        <w:t/>
      </w:r>
    </w:p>
    <w:p w14:paraId="68302438" w14:textId="77777777" w:rsidR="00176F59" w:rsidRPr="002B61F4" w:rsidRDefault="00176F59" w:rsidP="00176F59">
      <w:pPr>
        <w:autoSpaceDE w:val="0"/>
        <w:autoSpaceDN w:val="0"/>
        <w:adjustRightInd w:val="0"/>
        <w:spacing w:after="0" w:line="240" w:lineRule="auto"/>
        <w:jc w:val="center"/>
        <w:rPr>
          <w:rFonts w:ascii="Times New Roman" w:hAnsi="Times New Roman" w:cs="Times New Roman"/>
        </w:rPr>
      </w:pPr>
      <w:r w:rsidRPr="002B61F4">
        <w:rPr>
          <w:rFonts w:ascii="Times New Roman" w:hAnsi="Times New Roman" w:cs="Times New Roman"/>
          <w:sz w:val="28"/>
          <w:szCs w:val="28"/>
          <w:vertAlign w:val="superscript"/>
        </w:rPr>
        <w:t/>
      </w:r>
      <w:r>
        <w:rPr>
          <w:rFonts w:ascii="Times New Roman" w:hAnsi="Times New Roman" w:cs="Times New Roman"/>
        </w:rPr>
        <w:t/>
      </w:r>
      <w:r w:rsidRPr="002B61F4">
        <w:rPr>
          <w:rFonts w:ascii="Times New Roman" w:hAnsi="Times New Roman" w:cs="Times New Roman"/>
        </w:rPr>
        <w:t xml:space="preserve"/>
      </w:r>
      <w:r>
        <w:rPr>
          <w:rFonts w:ascii="Times New Roman" w:hAnsi="Times New Roman" w:cs="Times New Roman"/>
        </w:rPr>
        <w:t/>
      </w:r>
      <w:r w:rsidRPr="002B61F4">
        <w:rPr>
          <w:rFonts w:ascii="Times New Roman" w:hAnsi="Times New Roman" w:cs="Times New Roman"/>
        </w:rPr>
        <w:t/>
      </w:r>
      <w:r>
        <w:rPr>
          <w:rFonts w:ascii="Times New Roman" w:hAnsi="Times New Roman" w:cs="Times New Roman"/>
        </w:rPr>
        <w:t xml:space="preserve"/>
      </w:r>
      <w:r w:rsidRPr="002B61F4">
        <w:rPr>
          <w:rFonts w:ascii="Times New Roman" w:hAnsi="Times New Roman" w:cs="Times New Roman"/>
        </w:rPr>
        <w:t/>
      </w:r>
      <w:r>
        <w:rPr>
          <w:rFonts w:ascii="Times New Roman" w:hAnsi="Times New Roman" w:cs="Times New Roman"/>
        </w:rPr>
        <w:t/>
      </w:r>
      <w:r w:rsidRPr="002B61F4">
        <w:rPr>
          <w:rFonts w:ascii="Times New Roman" w:hAnsi="Times New Roman" w:cs="Times New Roman"/>
        </w:rPr>
        <w:t xml:space="preserve"/>
      </w:r>
      <w:r>
        <w:rPr>
          <w:rFonts w:ascii="Times New Roman" w:hAnsi="Times New Roman" w:cs="Times New Roman"/>
        </w:rPr>
        <w:t/>
      </w:r>
    </w:p>
    <w:p w14:paraId="19EA588E" w14:textId="77777777" w:rsidR="00176F59" w:rsidRDefault="00176F59" w:rsidP="00176F59">
      <w:pPr>
        <w:autoSpaceDE w:val="0"/>
        <w:autoSpaceDN w:val="0"/>
        <w:adjustRightInd w:val="0"/>
        <w:spacing w:after="0" w:line="240" w:lineRule="auto"/>
        <w:jc w:val="center"/>
        <w:rPr>
          <w:rFonts w:ascii="Times New Roman" w:hAnsi="Times New Roman" w:cs="Times New Roman"/>
        </w:rPr>
      </w:pPr>
      <w:r w:rsidRPr="003B07E4">
        <w:rPr>
          <w:rFonts w:ascii="Times New Roman" w:hAnsi="Times New Roman" w:cs="Times New Roman"/>
          <w:vertAlign w:val="superscript"/>
        </w:rPr>
        <w:t/>
      </w:r>
      <w:r>
        <w:rPr>
          <w:rFonts w:ascii="Times New Roman" w:hAnsi="Times New Roman" w:cs="Times New Roman"/>
        </w:rPr>
        <w:t/>
      </w:r>
      <w:r w:rsidRPr="002B61F4">
        <w:rPr>
          <w:rFonts w:ascii="Times New Roman" w:hAnsi="Times New Roman" w:cs="Times New Roman"/>
        </w:rPr>
        <w:t xml:space="preserve"/>
      </w:r>
      <w:r>
        <w:rPr>
          <w:rFonts w:ascii="Times New Roman" w:hAnsi="Times New Roman" w:cs="Times New Roman"/>
        </w:rPr>
        <w:t/>
      </w:r>
      <w:r w:rsidRPr="002B61F4">
        <w:rPr>
          <w:rFonts w:ascii="Times New Roman" w:hAnsi="Times New Roman" w:cs="Times New Roman"/>
        </w:rPr>
        <w:t/>
      </w:r>
      <w:r>
        <w:rPr>
          <w:rFonts w:ascii="Times New Roman" w:hAnsi="Times New Roman" w:cs="Times New Roman"/>
        </w:rPr>
        <w:t xml:space="preserve"/>
      </w:r>
      <w:r w:rsidRPr="002B61F4">
        <w:rPr>
          <w:rFonts w:ascii="Times New Roman" w:hAnsi="Times New Roman" w:cs="Times New Roman"/>
        </w:rPr>
        <w:t/>
      </w:r>
      <w:r>
        <w:rPr>
          <w:rFonts w:ascii="Times New Roman" w:hAnsi="Times New Roman" w:cs="Times New Roman"/>
        </w:rPr>
        <w:t/>
      </w:r>
      <w:r w:rsidRPr="002B61F4">
        <w:rPr>
          <w:rFonts w:ascii="Times New Roman" w:hAnsi="Times New Roman" w:cs="Times New Roman"/>
        </w:rPr>
        <w:t xml:space="preserve"/>
      </w:r>
      <w:r>
        <w:rPr>
          <w:rFonts w:ascii="Times New Roman" w:hAnsi="Times New Roman" w:cs="Times New Roman"/>
        </w:rPr>
        <w:t/>
      </w:r>
    </w:p>
    <w:p w14:paraId="2A4E715E" w14:textId="0CDFA7D9" w:rsidR="00176F59" w:rsidRPr="002B61F4" w:rsidRDefault="00176F59" w:rsidP="00176F59">
      <w:pPr>
        <w:autoSpaceDE w:val="0"/>
        <w:autoSpaceDN w:val="0"/>
        <w:adjustRightInd w:val="0"/>
        <w:spacing w:after="0" w:line="240" w:lineRule="auto"/>
        <w:jc w:val="center"/>
        <w:rPr>
          <w:rFonts w:ascii="Times New Roman" w:hAnsi="Times New Roman" w:cs="Times New Roman"/>
        </w:rPr>
      </w:pPr>
      <w:r w:rsidRPr="00176F59">
        <w:rPr>
          <w:rFonts w:ascii="Times New Roman" w:hAnsi="Times New Roman" w:cs="Times New Roman"/>
          <w:vertAlign w:val="superscript"/>
        </w:rPr>
        <w:t/>
      </w:r>
      <w:r>
        <w:rPr>
          <w:rFonts w:ascii="Times New Roman" w:hAnsi="Times New Roman" w:cs="Times New Roman"/>
        </w:rPr>
        <w:t/>
      </w:r>
      <w:r w:rsidRPr="002B61F4">
        <w:rPr>
          <w:rFonts w:ascii="Times New Roman" w:hAnsi="Times New Roman" w:cs="Times New Roman"/>
        </w:rPr>
        <w:t xml:space="preserve"/>
      </w:r>
      <w:r>
        <w:rPr>
          <w:rFonts w:ascii="Times New Roman" w:hAnsi="Times New Roman" w:cs="Times New Roman"/>
        </w:rPr>
        <w:t xml:space="preserve"/>
      </w:r>
      <w:r w:rsidRPr="002B61F4">
        <w:rPr>
          <w:rFonts w:ascii="Times New Roman" w:hAnsi="Times New Roman" w:cs="Times New Roman"/>
        </w:rPr>
        <w:t/>
      </w:r>
      <w:r>
        <w:rPr>
          <w:rFonts w:ascii="Times New Roman" w:hAnsi="Times New Roman" w:cs="Times New Roman"/>
        </w:rPr>
        <w:t/>
      </w:r>
      <w:r w:rsidRPr="002B61F4">
        <w:rPr>
          <w:rFonts w:ascii="Times New Roman" w:hAnsi="Times New Roman" w:cs="Times New Roman"/>
        </w:rPr>
        <w:t xml:space="preserve"/>
      </w:r>
      <w:r>
        <w:rPr>
          <w:rFonts w:ascii="Times New Roman" w:hAnsi="Times New Roman" w:cs="Times New Roman"/>
        </w:rPr>
        <w:t/>
      </w:r>
    </w:p>
    <w:p w14:paraId="79B4DB4F" w14:textId="77777777" w:rsidR="00176F59" w:rsidRPr="002B61F4" w:rsidRDefault="00176F59" w:rsidP="00176F59">
      <w:pPr>
        <w:autoSpaceDE w:val="0"/>
        <w:autoSpaceDN w:val="0"/>
        <w:adjustRightInd w:val="0"/>
        <w:spacing w:after="0" w:line="240" w:lineRule="auto"/>
        <w:jc w:val="center"/>
        <w:rPr>
          <w:rFonts w:ascii="Times New Roman" w:hAnsi="Times New Roman" w:cs="Times New Roman"/>
        </w:rPr>
      </w:pPr>
    </w:p>
    <w:p w14:paraId="26AB8650" w14:textId="77777777" w:rsidR="00176F59" w:rsidRDefault="00176F59" w:rsidP="00176F59">
      <w:pPr>
        <w:autoSpaceDE w:val="0"/>
        <w:autoSpaceDN w:val="0"/>
        <w:adjustRightInd w:val="0"/>
        <w:spacing w:after="0" w:line="240" w:lineRule="auto"/>
        <w:jc w:val="center"/>
        <w:rPr>
          <w:rFonts w:ascii="Times New Roman" w:hAnsi="Times New Roman" w:cs="Times New Roman"/>
          <w:sz w:val="20"/>
          <w:szCs w:val="20"/>
        </w:rPr>
      </w:pPr>
      <w:r w:rsidRPr="002B01F3">
        <w:rPr>
          <w:rFonts w:ascii="Times New Roman" w:hAnsi="Times New Roman" w:cs="Times New Roman"/>
          <w:b/>
          <w:bCs/>
          <w:sz w:val="28"/>
          <w:szCs w:val="28"/>
          <w:vertAlign w:val="superscript"/>
          <w:lang w:val="it-IT"/>
        </w:rPr>
        <w:sym w:font="Wingdings" w:char="F02A"/>
      </w:r>
      <w:r>
        <w:rPr>
          <w:rFonts w:ascii="Times New Roman" w:hAnsi="Times New Roman" w:cs="Times New Roman"/>
          <w:color w:val="1E04BC"/>
          <w:lang w:val="it-IT"/>
        </w:rPr>
        <w:t/>
      </w:r>
      <w:r w:rsidRPr="00176F59">
        <w:rPr>
          <w:rFonts w:ascii="Times New Roman" w:hAnsi="Times New Roman" w:cs="Times New Roman"/>
          <w:color w:val="1E04BC"/>
          <w:lang w:val="it-IT"/>
        </w:rPr>
        <w:t xml:space="preserve"/>
      </w:r>
      <w:hyperlink r:id="rId6" w:history="1">
        <w:r w:rsidRPr="00176F59">
          <w:rPr>
            <w:rStyle w:val="Hyperlink"/>
            <w:rFonts w:ascii="Times New Roman" w:hAnsi="Times New Roman"/>
            <w:sz w:val="20"/>
            <w:szCs w:val="20"/>
            <w:u w:val="none"/>
          </w:rPr>
          <w:t/>
        </w:r>
      </w:hyperlink>
    </w:p>
    <w:p w14:paraId="1D4C7A57" w14:textId="197A9B8F" w:rsidR="00176F59" w:rsidRPr="00176F59" w:rsidRDefault="00176F59" w:rsidP="00176F59">
      <w:pPr>
        <w:autoSpaceDE w:val="0"/>
        <w:autoSpaceDN w:val="0"/>
        <w:adjustRightInd w:val="0"/>
        <w:spacing w:after="0" w:line="240" w:lineRule="auto"/>
        <w:jc w:val="center"/>
        <w:rPr>
          <w:rStyle w:val="Hyperlink"/>
          <w:rFonts w:ascii="Times New Roman" w:hAnsi="Times New Roman"/>
          <w:sz w:val="20"/>
          <w:szCs w:val="20"/>
          <w:u w:val="none"/>
        </w:rPr>
      </w:pPr>
      <w:r w:rsidRPr="00176F59">
        <w:rPr>
          <w:rStyle w:val="Hyperlink"/>
          <w:rFonts w:ascii="Times New Roman" w:hAnsi="Times New Roman"/>
          <w:sz w:val="20"/>
          <w:szCs w:val="20"/>
          <w:u w:val="none"/>
        </w:rPr>
        <w:t xml:space="preserve"/>
      </w:r>
      <w:r>
        <w:rPr>
          <w:rStyle w:val="Hyperlink"/>
          <w:rFonts w:ascii="Times New Roman" w:hAnsi="Times New Roman"/>
          <w:sz w:val="20"/>
          <w:szCs w:val="20"/>
          <w:u w:val="none"/>
        </w:rPr>
        <w:t xml:space="preserve"/>
      </w:r>
      <w:hyperlink r:id="rId7" w:history="1">
        <w:r w:rsidRPr="00176F59">
          <w:rPr>
            <w:rStyle w:val="Hyperlink"/>
            <w:rFonts w:ascii="Times New Roman" w:hAnsi="Times New Roman"/>
            <w:sz w:val="20"/>
            <w:szCs w:val="20"/>
            <w:u w:val="none"/>
          </w:rPr>
          <w:t/>
        </w:r>
      </w:hyperlink>
    </w:p>
    <w:p w14:paraId="0C8DA1EC" w14:textId="0FAE6BB5" w:rsidR="00176F59" w:rsidRPr="00176F59" w:rsidRDefault="00176F59" w:rsidP="00176F59">
      <w:pPr>
        <w:autoSpaceDE w:val="0"/>
        <w:autoSpaceDN w:val="0"/>
        <w:adjustRightInd w:val="0"/>
        <w:spacing w:after="0" w:line="240" w:lineRule="auto"/>
        <w:jc w:val="center"/>
        <w:rPr>
          <w:rStyle w:val="Hyperlink"/>
          <w:rFonts w:ascii="Times New Roman" w:hAnsi="Times New Roman"/>
          <w:sz w:val="20"/>
          <w:szCs w:val="20"/>
          <w:u w:val="none"/>
        </w:rPr>
      </w:pPr>
      <w:r>
        <w:rPr>
          <w:rStyle w:val="Hyperlink"/>
          <w:rFonts w:ascii="Times New Roman" w:hAnsi="Times New Roman"/>
          <w:sz w:val="20"/>
          <w:szCs w:val="20"/>
          <w:u w:val="none"/>
        </w:rPr>
        <w:t xml:space="preserve"/>
      </w:r>
      <w:r w:rsidRPr="00176F59">
        <w:rPr>
          <w:rStyle w:val="Hyperlink"/>
          <w:rFonts w:ascii="Times New Roman" w:hAnsi="Times New Roman"/>
          <w:sz w:val="20"/>
          <w:szCs w:val="20"/>
          <w:u w:val="none"/>
        </w:rPr>
        <w:t/>
      </w:r>
    </w:p>
    <w:p w14:paraId="6F24595C" w14:textId="77777777" w:rsidR="00D2793F" w:rsidRPr="00986591" w:rsidRDefault="00D2793F" w:rsidP="00986591">
      <w:pPr>
        <w:spacing w:after="120" w:line="240" w:lineRule="auto"/>
        <w:jc w:val="both"/>
        <w:rPr>
          <w:rFonts w:ascii="Times New Roman" w:hAnsi="Times New Roman" w:cs="Times New Roman"/>
          <w:caps/>
        </w:rPr>
      </w:pPr>
    </w:p>
    <w:p w14:paraId="274F0CEE" w14:textId="77309C6E" w:rsidR="00137735" w:rsidRPr="00176F59" w:rsidRDefault="00D937E0" w:rsidP="00176F59">
      <w:pPr>
        <w:spacing w:after="120" w:line="360" w:lineRule="auto"/>
        <w:jc w:val="both"/>
        <w:rPr>
          <w:rFonts w:ascii="Times New Roman" w:hAnsi="Times New Roman" w:cs="Times New Roman"/>
        </w:rPr>
      </w:pPr>
      <w:r w:rsidRPr="00986591">
        <w:rPr>
          <w:rFonts w:ascii="Times New Roman" w:hAnsi="Times New Roman" w:cs="Times New Roman"/>
          <w:lang w:val="en-IN"/>
        </w:rPr>
        <w:br/>
      </w:r>
      <w:r w:rsidR="00137735" w:rsidRPr="00986591">
        <w:rPr>
          <w:rFonts w:ascii="Times New Roman" w:hAnsi="Times New Roman" w:cs="Times New Roman"/>
          <w:b/>
          <w:bCs/>
        </w:rPr>
        <w:t/>
      </w:r>
      <w:r w:rsidR="00137735" w:rsidRPr="00986591">
        <w:rPr>
          <w:rFonts w:ascii="Times New Roman" w:hAnsi="Times New Roman" w:cs="Times New Roman"/>
        </w:rPr>
        <w:br/>
      </w:r>
      <w:proofErr w:type="gramStart"/>
      <w:r w:rsidR="00137735" w:rsidRPr="00176F59">
        <w:rPr>
          <w:rFonts w:ascii="Times New Roman" w:hAnsi="Times New Roman" w:cs="Times New Roman"/>
        </w:rPr>
        <w:t/>
      </w:r>
      <w:proofErr w:type="gramEnd"/>
      <w:r w:rsidR="00137735" w:rsidRPr="00176F59">
        <w:rPr>
          <w:rFonts w:ascii="Times New Roman" w:hAnsi="Times New Roman" w:cs="Times New Roman"/>
        </w:rPr>
        <w:t xml:space="preserve"/>
      </w:r>
      <w:r w:rsidR="00986591" w:rsidRPr="00176F59">
        <w:rPr>
          <w:rFonts w:ascii="Times New Roman" w:hAnsi="Times New Roman" w:cs="Times New Roman"/>
        </w:rPr>
        <w:t/>
      </w:r>
      <w:r w:rsidR="00137735" w:rsidRPr="00176F59">
        <w:rPr>
          <w:rFonts w:ascii="Times New Roman" w:hAnsi="Times New Roman" w:cs="Times New Roman"/>
        </w:rPr>
        <w:t xml:space="preserve"/>
      </w:r>
      <w:proofErr w:type="spellStart"/>
      <w:r w:rsidR="00137735" w:rsidRPr="00176F59">
        <w:rPr>
          <w:rFonts w:ascii="Times New Roman" w:hAnsi="Times New Roman" w:cs="Times New Roman"/>
        </w:rPr>
        <w:t/>
      </w:r>
      <w:proofErr w:type="spellEnd"/>
      <w:r w:rsidR="00137735" w:rsidRPr="00176F59">
        <w:rPr>
          <w:rFonts w:ascii="Times New Roman" w:hAnsi="Times New Roman" w:cs="Times New Roman"/>
        </w:rPr>
        <w:t xml:space="preserve"/>
      </w:r>
      <w:proofErr w:type="spellStart"/>
      <w:r w:rsidR="00137735" w:rsidRPr="00176F59">
        <w:rPr>
          <w:rFonts w:ascii="Times New Roman" w:hAnsi="Times New Roman" w:cs="Times New Roman"/>
        </w:rPr>
        <w:t/>
      </w:r>
      <w:proofErr w:type="spellEnd"/>
      <w:r w:rsidR="00137735" w:rsidRPr="00176F59">
        <w:rPr>
          <w:rFonts w:ascii="Times New Roman" w:hAnsi="Times New Roman" w:cs="Times New Roman"/>
        </w:rPr>
        <w:t xml:space="preserve"/>
      </w:r>
      <w:r w:rsidR="00137735" w:rsidRPr="00176F59">
        <w:rPr>
          <w:rFonts w:ascii="Times New Roman" w:hAnsi="Times New Roman" w:cs="Times New Roman"/>
          <w:i/>
          <w:iCs/>
        </w:rPr>
        <w:t/>
      </w:r>
      <w:r w:rsidR="00137735" w:rsidRPr="00176F59">
        <w:rPr>
          <w:rFonts w:ascii="Times New Roman" w:hAnsi="Times New Roman" w:cs="Times New Roman"/>
        </w:rPr>
        <w:t xml:space="preserve"/>
      </w:r>
      <w:r w:rsidR="00137735" w:rsidRPr="00176F59">
        <w:rPr>
          <w:rFonts w:ascii="Times New Roman" w:hAnsi="Times New Roman" w:cs="Times New Roman"/>
          <w:i/>
          <w:iCs/>
        </w:rPr>
        <w:t/>
      </w:r>
      <w:r w:rsidR="00137735" w:rsidRPr="00176F59">
        <w:rPr>
          <w:rFonts w:ascii="Times New Roman" w:hAnsi="Times New Roman" w:cs="Times New Roman"/>
        </w:rPr>
        <w:t/>
      </w:r>
    </w:p>
    <w:p w14:paraId="1EAFC09C" w14:textId="77777777" w:rsidR="00137735" w:rsidRPr="00176F59" w:rsidRDefault="00137735" w:rsidP="00176F59">
      <w:pPr>
        <w:spacing w:after="120" w:line="360" w:lineRule="auto"/>
        <w:jc w:val="both"/>
        <w:rPr>
          <w:rFonts w:ascii="Times New Roman" w:hAnsi="Times New Roman" w:cs="Times New Roman"/>
        </w:rPr>
      </w:pPr>
      <w:r w:rsidRPr="00176F59">
        <w:rPr>
          <w:rFonts w:ascii="Times New Roman" w:hAnsi="Times New Roman" w:cs="Times New Roman"/>
        </w:rPr>
        <w:t/>
      </w:r>
    </w:p>
    <w:p w14:paraId="577CD259" w14:textId="77777777" w:rsidR="00137735" w:rsidRPr="00176F59" w:rsidRDefault="00137735" w:rsidP="00176F59">
      <w:pPr>
        <w:spacing w:after="120" w:line="360" w:lineRule="auto"/>
        <w:jc w:val="both"/>
        <w:rPr>
          <w:rFonts w:ascii="Times New Roman" w:hAnsi="Times New Roman" w:cs="Times New Roman"/>
        </w:rPr>
      </w:pPr>
      <w:r w:rsidRPr="00176F59">
        <w:rPr>
          <w:rFonts w:ascii="Times New Roman" w:hAnsi="Times New Roman" w:cs="Times New Roman"/>
        </w:rPr>
        <w:lastRenderedPageBreak/>
        <w:t/>
      </w:r>
    </w:p>
    <w:p w14:paraId="6A9E8A94" w14:textId="77777777" w:rsidR="00137735" w:rsidRPr="00176F59" w:rsidRDefault="00137735" w:rsidP="00176F59">
      <w:pPr>
        <w:spacing w:after="120" w:line="360" w:lineRule="auto"/>
        <w:jc w:val="both"/>
        <w:rPr>
          <w:rFonts w:ascii="Times New Roman" w:hAnsi="Times New Roman" w:cs="Times New Roman"/>
        </w:rPr>
      </w:pPr>
      <w:r w:rsidRPr="00176F59">
        <w:rPr>
          <w:rFonts w:ascii="Times New Roman" w:hAnsi="Times New Roman" w:cs="Times New Roman"/>
          <w:b/>
          <w:bCs/>
        </w:rPr>
        <w:t/>
      </w:r>
      <w:r w:rsidRPr="00176F59">
        <w:rPr>
          <w:rFonts w:ascii="Times New Roman" w:hAnsi="Times New Roman" w:cs="Times New Roman"/>
        </w:rPr>
        <w:t xml:space="preserve"/>
      </w:r>
      <w:proofErr w:type="spellStart"/>
      <w:r w:rsidRPr="00176F59">
        <w:rPr>
          <w:rFonts w:ascii="Times New Roman" w:hAnsi="Times New Roman" w:cs="Times New Roman"/>
        </w:rPr>
        <w:t/>
      </w:r>
      <w:proofErr w:type="spellEnd"/>
      <w:r w:rsidRPr="00176F59">
        <w:rPr>
          <w:rFonts w:ascii="Times New Roman" w:hAnsi="Times New Roman" w:cs="Times New Roman"/>
        </w:rPr>
        <w:t xml:space="preserve"/>
      </w:r>
      <w:proofErr w:type="spellStart"/>
      <w:r w:rsidRPr="00176F59">
        <w:rPr>
          <w:rFonts w:ascii="Times New Roman" w:hAnsi="Times New Roman" w:cs="Times New Roman"/>
        </w:rPr>
        <w:t/>
      </w:r>
      <w:proofErr w:type="spellEnd"/>
      <w:r w:rsidRPr="00176F59">
        <w:rPr>
          <w:rFonts w:ascii="Times New Roman" w:hAnsi="Times New Roman" w:cs="Times New Roman"/>
        </w:rPr>
        <w:t xml:space="preserve"/>
      </w:r>
      <w:proofErr w:type="spellStart"/>
      <w:r w:rsidRPr="00176F59">
        <w:rPr>
          <w:rFonts w:ascii="Times New Roman" w:hAnsi="Times New Roman" w:cs="Times New Roman"/>
        </w:rPr>
        <w:t/>
      </w:r>
      <w:proofErr w:type="spellEnd"/>
      <w:r w:rsidRPr="00176F59">
        <w:rPr>
          <w:rFonts w:ascii="Times New Roman" w:hAnsi="Times New Roman" w:cs="Times New Roman"/>
        </w:rPr>
        <w:t xml:space="preserve"/>
      </w:r>
    </w:p>
    <w:p w14:paraId="13ACC982" w14:textId="5F373F55" w:rsidR="00D937E0" w:rsidRPr="00176F59" w:rsidRDefault="00D937E0" w:rsidP="00176F59">
      <w:pPr>
        <w:spacing w:after="120" w:line="360" w:lineRule="auto"/>
        <w:jc w:val="both"/>
        <w:rPr>
          <w:rFonts w:ascii="Times New Roman" w:hAnsi="Times New Roman" w:cs="Times New Roman"/>
        </w:rPr>
      </w:pPr>
    </w:p>
    <w:p w14:paraId="7AC24873" w14:textId="77777777" w:rsidR="00986591" w:rsidRPr="00176F59" w:rsidRDefault="00137735" w:rsidP="00176F59">
      <w:pPr>
        <w:spacing w:after="120" w:line="360" w:lineRule="auto"/>
        <w:jc w:val="both"/>
        <w:rPr>
          <w:rFonts w:ascii="Times New Roman" w:hAnsi="Times New Roman" w:cs="Times New Roman"/>
        </w:rPr>
      </w:pPr>
      <w:r w:rsidRPr="00176F59">
        <w:rPr>
          <w:rFonts w:ascii="Times New Roman" w:hAnsi="Times New Roman" w:cs="Times New Roman"/>
          <w:b/>
          <w:bCs/>
        </w:rPr>
        <w:t xml:space="preserve">1. </w:t>
      </w:r>
      <w:r w:rsidRPr="00176F59">
        <w:rPr>
          <w:rFonts w:ascii="Times New Roman" w:hAnsi="Times New Roman" w:cs="Times New Roman"/>
          <w:b/>
          <w:bCs/>
          <w:caps/>
        </w:rPr>
        <w:t>Introduction</w:t>
      </w:r>
    </w:p>
    <w:p w14:paraId="1107760F" w14:textId="320EBF01" w:rsidR="00137735" w:rsidRPr="00176F59" w:rsidRDefault="00137735" w:rsidP="00176F59">
      <w:pPr>
        <w:spacing w:after="120" w:line="360" w:lineRule="auto"/>
        <w:jc w:val="both"/>
        <w:rPr>
          <w:rFonts w:ascii="Times New Roman" w:hAnsi="Times New Roman" w:cs="Times New Roman"/>
        </w:rPr>
      </w:pPr>
      <w:r w:rsidRPr="00176F59">
        <w:rPr>
          <w:rFonts w:ascii="Times New Roman" w:hAnsi="Times New Roman" w:cs="Times New Roman"/>
        </w:rPr>
        <w:t>Antimicrobial resistance (AMR) has emerged as one of the most critical global public health challenges of the 21st century, posing a significant threat to the effective prevention and treatment of infectious diseases. The rapid rise of multidrug-resistant (MDR) pathogens has substantially reduced the efficacy of existing antibiotics, resulting in prolonged illness, increased healthcare costs, and higher mortality rates worldwide. Recent global estimates indicate that, if left unaddressed, AMR could impose severe clinical and economic burdens in the coming decades.</w:t>
      </w:r>
    </w:p>
    <w:p w14:paraId="6648EAD9" w14:textId="52BAFBD9" w:rsidR="00137735" w:rsidRPr="00176F59" w:rsidRDefault="00137735" w:rsidP="00176F59">
      <w:pPr>
        <w:spacing w:after="120" w:line="360" w:lineRule="auto"/>
        <w:jc w:val="both"/>
        <w:rPr>
          <w:rFonts w:ascii="Times New Roman" w:hAnsi="Times New Roman" w:cs="Times New Roman"/>
        </w:rPr>
      </w:pPr>
      <w:r w:rsidRPr="00176F59">
        <w:rPr>
          <w:rFonts w:ascii="Times New Roman" w:hAnsi="Times New Roman" w:cs="Times New Roman"/>
        </w:rPr>
        <w:t>Conventional antimicrobial agents primarily target essential microbial processes such as cell wall synthesis, protein synthesis, and nucleic acid replication. However, these approaches exert strong selective pressure on microbial populations, thereby accelerating the emergence and dissemination of resistant strains. In response to these limitations, alternative therapeutic strategies</w:t>
      </w:r>
      <w:r w:rsidR="00BF4D66" w:rsidRPr="00176F59">
        <w:rPr>
          <w:rFonts w:ascii="Times New Roman" w:hAnsi="Times New Roman" w:cs="Times New Roman"/>
        </w:rPr>
        <w:t>-</w:t>
      </w:r>
      <w:r w:rsidRPr="00176F59">
        <w:rPr>
          <w:rFonts w:ascii="Times New Roman" w:hAnsi="Times New Roman" w:cs="Times New Roman"/>
        </w:rPr>
        <w:t xml:space="preserve">particularly </w:t>
      </w:r>
      <w:proofErr w:type="spellStart"/>
      <w:r w:rsidRPr="00176F59">
        <w:rPr>
          <w:rFonts w:ascii="Times New Roman" w:hAnsi="Times New Roman" w:cs="Times New Roman"/>
        </w:rPr>
        <w:t>antibiofilm</w:t>
      </w:r>
      <w:proofErr w:type="spellEnd"/>
      <w:r w:rsidRPr="00176F59">
        <w:rPr>
          <w:rFonts w:ascii="Times New Roman" w:hAnsi="Times New Roman" w:cs="Times New Roman"/>
        </w:rPr>
        <w:t xml:space="preserve"> and </w:t>
      </w:r>
      <w:proofErr w:type="spellStart"/>
      <w:r w:rsidRPr="00176F59">
        <w:rPr>
          <w:rFonts w:ascii="Times New Roman" w:hAnsi="Times New Roman" w:cs="Times New Roman"/>
        </w:rPr>
        <w:t>antivirulence</w:t>
      </w:r>
      <w:proofErr w:type="spellEnd"/>
      <w:r w:rsidRPr="00176F59">
        <w:rPr>
          <w:rFonts w:ascii="Times New Roman" w:hAnsi="Times New Roman" w:cs="Times New Roman"/>
        </w:rPr>
        <w:t xml:space="preserve"> approaches</w:t>
      </w:r>
      <w:r w:rsidR="00BF4D66" w:rsidRPr="00176F59">
        <w:rPr>
          <w:rFonts w:ascii="Times New Roman" w:hAnsi="Times New Roman" w:cs="Times New Roman"/>
        </w:rPr>
        <w:t>-</w:t>
      </w:r>
      <w:r w:rsidRPr="00176F59">
        <w:rPr>
          <w:rFonts w:ascii="Times New Roman" w:hAnsi="Times New Roman" w:cs="Times New Roman"/>
        </w:rPr>
        <w:t>have gained increasing attention. Unlike traditional antibiotics, these strategies aim to disrupt microbial pathogenic mechanisms, including biofilm formation and quorum sensing-regulated virulence, without necessarily affecting cell viability, thereby reducing the likelihood of resistance development.</w:t>
      </w:r>
    </w:p>
    <w:p w14:paraId="16667907" w14:textId="77777777" w:rsidR="00137735" w:rsidRPr="00176F59" w:rsidRDefault="00137735" w:rsidP="00176F59">
      <w:pPr>
        <w:spacing w:after="120" w:line="360" w:lineRule="auto"/>
        <w:jc w:val="both"/>
        <w:rPr>
          <w:rFonts w:ascii="Times New Roman" w:hAnsi="Times New Roman" w:cs="Times New Roman"/>
        </w:rPr>
      </w:pPr>
      <w:r w:rsidRPr="00176F59">
        <w:rPr>
          <w:rFonts w:ascii="Times New Roman" w:hAnsi="Times New Roman" w:cs="Times New Roman"/>
        </w:rPr>
        <w:t xml:space="preserve">Heterocyclic compounds, especially those containing nitrogen and oxygen atoms, represent a cornerstone of medicinal chemistry due to their structural diversity, tunable physicochemical </w:t>
      </w:r>
      <w:r w:rsidRPr="00176F59">
        <w:rPr>
          <w:rFonts w:ascii="Times New Roman" w:hAnsi="Times New Roman" w:cs="Times New Roman"/>
        </w:rPr>
        <w:lastRenderedPageBreak/>
        <w:t>properties, and broad spectrum of biological activities. Among these, imidazolidine, quinoline, and triazole derivatives have been extensively explored for their antimicrobial potential. These scaffolds are capable of interacting with multiple biological targets, including enzymes, nucleic acids, and membrane components, making them promising candidates for overcoming complex resistance mechanisms.</w:t>
      </w:r>
    </w:p>
    <w:p w14:paraId="743DAE1F" w14:textId="77777777" w:rsidR="00137735" w:rsidRPr="00176F59" w:rsidRDefault="00137735" w:rsidP="00176F59">
      <w:pPr>
        <w:spacing w:after="120" w:line="360" w:lineRule="auto"/>
        <w:jc w:val="both"/>
        <w:rPr>
          <w:rFonts w:ascii="Times New Roman" w:hAnsi="Times New Roman" w:cs="Times New Roman"/>
        </w:rPr>
      </w:pPr>
      <w:r w:rsidRPr="00176F59">
        <w:rPr>
          <w:rFonts w:ascii="Times New Roman" w:hAnsi="Times New Roman" w:cs="Times New Roman"/>
        </w:rPr>
        <w:t>In recent years, the integration of hybrid pharmacophore strategies and computational approaches has significantly advanced the design and optimization of heterocyclic antimicrobial agents. Hybrid molecules combining multiple bioactive scaffolds have demonstrated improved efficacy, selectivity, and pharmacokinetic properties, while computational tools such as molecular docking and molecular dynamics simulations have facilitated the rational identification of high-affinity drug candidates.</w:t>
      </w:r>
    </w:p>
    <w:p w14:paraId="7D4DDE62" w14:textId="77777777" w:rsidR="00137735" w:rsidRPr="00176F59" w:rsidRDefault="00137735" w:rsidP="00176F59">
      <w:pPr>
        <w:spacing w:after="120" w:line="360" w:lineRule="auto"/>
        <w:jc w:val="both"/>
        <w:rPr>
          <w:rFonts w:ascii="Times New Roman" w:hAnsi="Times New Roman" w:cs="Times New Roman"/>
        </w:rPr>
      </w:pPr>
      <w:r w:rsidRPr="00176F59">
        <w:rPr>
          <w:rFonts w:ascii="Times New Roman" w:hAnsi="Times New Roman" w:cs="Times New Roman"/>
        </w:rPr>
        <w:t xml:space="preserve">Despite these advancements, existing literature often addresses antimicrobial, </w:t>
      </w:r>
      <w:proofErr w:type="spellStart"/>
      <w:r w:rsidRPr="00176F59">
        <w:rPr>
          <w:rFonts w:ascii="Times New Roman" w:hAnsi="Times New Roman" w:cs="Times New Roman"/>
        </w:rPr>
        <w:t>antibiofilm</w:t>
      </w:r>
      <w:proofErr w:type="spellEnd"/>
      <w:r w:rsidRPr="00176F59">
        <w:rPr>
          <w:rFonts w:ascii="Times New Roman" w:hAnsi="Times New Roman" w:cs="Times New Roman"/>
        </w:rPr>
        <w:t xml:space="preserve">, and </w:t>
      </w:r>
      <w:proofErr w:type="spellStart"/>
      <w:r w:rsidRPr="00176F59">
        <w:rPr>
          <w:rFonts w:ascii="Times New Roman" w:hAnsi="Times New Roman" w:cs="Times New Roman"/>
        </w:rPr>
        <w:t>antivirulence</w:t>
      </w:r>
      <w:proofErr w:type="spellEnd"/>
      <w:r w:rsidRPr="00176F59">
        <w:rPr>
          <w:rFonts w:ascii="Times New Roman" w:hAnsi="Times New Roman" w:cs="Times New Roman"/>
        </w:rPr>
        <w:t xml:space="preserve"> properties in isolation, with limited efforts to integrate these mechanisms within a unified framework. Additionally, challenges related to pharmacokinetics, toxicity, and clinical translation remain inadequately addressed.</w:t>
      </w:r>
    </w:p>
    <w:p w14:paraId="2F595103" w14:textId="77777777" w:rsidR="00137735" w:rsidRPr="00176F59" w:rsidRDefault="00137735" w:rsidP="00176F59">
      <w:pPr>
        <w:spacing w:after="120" w:line="360" w:lineRule="auto"/>
        <w:jc w:val="both"/>
        <w:rPr>
          <w:rFonts w:ascii="Times New Roman" w:hAnsi="Times New Roman" w:cs="Times New Roman"/>
        </w:rPr>
      </w:pPr>
      <w:r w:rsidRPr="00176F59">
        <w:rPr>
          <w:rFonts w:ascii="Times New Roman" w:hAnsi="Times New Roman" w:cs="Times New Roman"/>
        </w:rPr>
        <w:t xml:space="preserve">Therefore, this review aims to provide a comprehensive and critical overview of nitrogen- and oxygen-containing heterocyclic compounds as antimicrobial agents, with particular emphasis on their </w:t>
      </w:r>
      <w:proofErr w:type="spellStart"/>
      <w:r w:rsidRPr="00176F59">
        <w:rPr>
          <w:rFonts w:ascii="Times New Roman" w:hAnsi="Times New Roman" w:cs="Times New Roman"/>
        </w:rPr>
        <w:t>antibiofilm</w:t>
      </w:r>
      <w:proofErr w:type="spellEnd"/>
      <w:r w:rsidRPr="00176F59">
        <w:rPr>
          <w:rFonts w:ascii="Times New Roman" w:hAnsi="Times New Roman" w:cs="Times New Roman"/>
        </w:rPr>
        <w:t xml:space="preserve"> and </w:t>
      </w:r>
      <w:proofErr w:type="spellStart"/>
      <w:r w:rsidRPr="00176F59">
        <w:rPr>
          <w:rFonts w:ascii="Times New Roman" w:hAnsi="Times New Roman" w:cs="Times New Roman"/>
        </w:rPr>
        <w:t>antivirulence</w:t>
      </w:r>
      <w:proofErr w:type="spellEnd"/>
      <w:r w:rsidRPr="00176F59">
        <w:rPr>
          <w:rFonts w:ascii="Times New Roman" w:hAnsi="Times New Roman" w:cs="Times New Roman"/>
        </w:rPr>
        <w:t xml:space="preserve"> activities, structure–activity relationships (SAR), and the role of computational approaches in drug discovery. By integrating these aspects, the review seeks to highlight emerging strategies that offer a more sustainable and effective approach to combating MDR and biofilm-associated infections.</w:t>
      </w:r>
    </w:p>
    <w:p w14:paraId="11BA0C69" w14:textId="77777777" w:rsidR="00137735" w:rsidRPr="00176F59" w:rsidRDefault="00137735" w:rsidP="00176F59">
      <w:pPr>
        <w:spacing w:after="120" w:line="360" w:lineRule="auto"/>
        <w:jc w:val="both"/>
        <w:rPr>
          <w:rFonts w:ascii="Times New Roman" w:hAnsi="Times New Roman" w:cs="Times New Roman"/>
          <w:b/>
          <w:bCs/>
        </w:rPr>
      </w:pPr>
      <w:r w:rsidRPr="00176F59">
        <w:rPr>
          <w:rFonts w:ascii="Times New Roman" w:hAnsi="Times New Roman" w:cs="Times New Roman"/>
          <w:b/>
          <w:bCs/>
        </w:rPr>
        <w:t>2. LITERATURE REVIEW</w:t>
      </w:r>
    </w:p>
    <w:p w14:paraId="18BEEA6C" w14:textId="77777777" w:rsidR="00F045C2" w:rsidRPr="00176F59" w:rsidRDefault="00137735" w:rsidP="00176F59">
      <w:pPr>
        <w:spacing w:after="120" w:line="360" w:lineRule="auto"/>
        <w:jc w:val="both"/>
        <w:rPr>
          <w:rFonts w:ascii="Times New Roman" w:hAnsi="Times New Roman" w:cs="Times New Roman"/>
          <w:b/>
          <w:bCs/>
        </w:rPr>
      </w:pPr>
      <w:r w:rsidRPr="00176F59">
        <w:rPr>
          <w:rFonts w:ascii="Times New Roman" w:hAnsi="Times New Roman" w:cs="Times New Roman"/>
          <w:b/>
          <w:bCs/>
        </w:rPr>
        <w:t>2.1 Antimicrobial Resistance and Virulence Mechanisms</w:t>
      </w:r>
    </w:p>
    <w:p w14:paraId="297ACCBF" w14:textId="7CA6740C" w:rsidR="00137735" w:rsidRPr="00176F59" w:rsidRDefault="00137735" w:rsidP="00176F59">
      <w:pPr>
        <w:spacing w:after="120" w:line="360" w:lineRule="auto"/>
        <w:jc w:val="both"/>
        <w:rPr>
          <w:rFonts w:ascii="Times New Roman" w:hAnsi="Times New Roman" w:cs="Times New Roman"/>
        </w:rPr>
      </w:pPr>
      <w:r w:rsidRPr="00176F59">
        <w:rPr>
          <w:rFonts w:ascii="Times New Roman" w:hAnsi="Times New Roman" w:cs="Times New Roman"/>
        </w:rPr>
        <w:t>Antimicrobial resistance (AMR) has emerged as a major global concern due to the rapid rise of multidrug-resistant (MDR) pathogens, significantly limiting the effectiveness of existing therapeutic options. Resistance mechanisms are multifaceted and include enzymatic degradation of antibiotics (e.g., β-lactamases), modification of drug targets, reduced membrane permeability, and the overexpression of efflux pumps, which collectively reduce intracellular drug concentrations (Blair et al., 2015).</w:t>
      </w:r>
    </w:p>
    <w:p w14:paraId="670D827E" w14:textId="77777777" w:rsidR="00137735" w:rsidRPr="00176F59" w:rsidRDefault="00137735" w:rsidP="00176F59">
      <w:pPr>
        <w:spacing w:after="120" w:line="360" w:lineRule="auto"/>
        <w:jc w:val="both"/>
        <w:rPr>
          <w:rFonts w:ascii="Times New Roman" w:hAnsi="Times New Roman" w:cs="Times New Roman"/>
        </w:rPr>
      </w:pPr>
      <w:r w:rsidRPr="00176F59">
        <w:rPr>
          <w:rFonts w:ascii="Times New Roman" w:hAnsi="Times New Roman" w:cs="Times New Roman"/>
        </w:rPr>
        <w:lastRenderedPageBreak/>
        <w:t>In addition to these classical mechanisms, biofilm formation plays a critical role in enhancing microbial survival and persistence. Biofilms consist of structured microbial communities embedded within an extracellular polymeric matrix that acts as a physical and chemical barrier, restricting antibiotic penetration and protecting pathogens from host immune responses (</w:t>
      </w:r>
      <w:proofErr w:type="spellStart"/>
      <w:r w:rsidRPr="00176F59">
        <w:rPr>
          <w:rFonts w:ascii="Times New Roman" w:hAnsi="Times New Roman" w:cs="Times New Roman"/>
        </w:rPr>
        <w:t>Costerton</w:t>
      </w:r>
      <w:proofErr w:type="spellEnd"/>
      <w:r w:rsidRPr="00176F59">
        <w:rPr>
          <w:rFonts w:ascii="Times New Roman" w:hAnsi="Times New Roman" w:cs="Times New Roman"/>
        </w:rPr>
        <w:t xml:space="preserve"> et al., 1999). Furthermore, quorum sensing (QS), a cell-to-cell communication system, regulates the expression of virulence factors and coordinates biofilm development, thereby contributing to pathogenicity and resistance (Rutherford &amp; Bassler, 2012).</w:t>
      </w:r>
    </w:p>
    <w:p w14:paraId="0E2D20C0" w14:textId="616870E8" w:rsidR="00137735" w:rsidRPr="00176F59" w:rsidRDefault="00137735" w:rsidP="00176F59">
      <w:pPr>
        <w:spacing w:after="120" w:line="360" w:lineRule="auto"/>
        <w:jc w:val="both"/>
        <w:rPr>
          <w:rFonts w:ascii="Times New Roman" w:hAnsi="Times New Roman" w:cs="Times New Roman"/>
        </w:rPr>
      </w:pPr>
      <w:r w:rsidRPr="00176F59">
        <w:rPr>
          <w:rFonts w:ascii="Times New Roman" w:hAnsi="Times New Roman" w:cs="Times New Roman"/>
        </w:rPr>
        <w:t>While these mechanisms have been extensively studied, current therapeutic strategies often fail to simultaneously address resistance, biofilm formation, and virulence regulation, highlighting a critical gap in antimicrobial intervention approaches.</w:t>
      </w:r>
    </w:p>
    <w:p w14:paraId="444916FC" w14:textId="77777777" w:rsidR="00F045C2" w:rsidRPr="00176F59" w:rsidRDefault="00137735" w:rsidP="00176F59">
      <w:pPr>
        <w:spacing w:after="120" w:line="360" w:lineRule="auto"/>
        <w:jc w:val="both"/>
        <w:rPr>
          <w:rFonts w:ascii="Times New Roman" w:hAnsi="Times New Roman" w:cs="Times New Roman"/>
          <w:b/>
          <w:bCs/>
        </w:rPr>
      </w:pPr>
      <w:r w:rsidRPr="00176F59">
        <w:rPr>
          <w:rFonts w:ascii="Times New Roman" w:hAnsi="Times New Roman" w:cs="Times New Roman"/>
          <w:b/>
          <w:bCs/>
        </w:rPr>
        <w:t>2.2 Role of Heterocyclic Compounds in Antimicrobial Drug Discovery</w:t>
      </w:r>
    </w:p>
    <w:p w14:paraId="744E230A" w14:textId="6C16DDD5" w:rsidR="00137735" w:rsidRPr="00176F59" w:rsidRDefault="00137735" w:rsidP="00176F59">
      <w:pPr>
        <w:spacing w:after="120" w:line="360" w:lineRule="auto"/>
        <w:jc w:val="both"/>
        <w:rPr>
          <w:rFonts w:ascii="Times New Roman" w:hAnsi="Times New Roman" w:cs="Times New Roman"/>
        </w:rPr>
      </w:pPr>
      <w:r w:rsidRPr="00176F59">
        <w:rPr>
          <w:rFonts w:ascii="Times New Roman" w:hAnsi="Times New Roman" w:cs="Times New Roman"/>
        </w:rPr>
        <w:t>Heterocyclic compounds, particularly those containing nitrogen and oxygen atoms, are central to medicinal chemistry due to their structural diversity, tunable physicochemical properties, and ability to interact effectively with a wide range of biological targets. These scaffolds are widely present in clinically approved drugs and are recognized as privileged structures in antimicrobial drug design (</w:t>
      </w:r>
      <w:proofErr w:type="spellStart"/>
      <w:r w:rsidRPr="00176F59">
        <w:rPr>
          <w:rFonts w:ascii="Times New Roman" w:hAnsi="Times New Roman" w:cs="Times New Roman"/>
        </w:rPr>
        <w:t>Vitaku</w:t>
      </w:r>
      <w:proofErr w:type="spellEnd"/>
      <w:r w:rsidRPr="00176F59">
        <w:rPr>
          <w:rFonts w:ascii="Times New Roman" w:hAnsi="Times New Roman" w:cs="Times New Roman"/>
        </w:rPr>
        <w:t xml:space="preserve"> et al., 2014).</w:t>
      </w:r>
    </w:p>
    <w:p w14:paraId="74A326CC" w14:textId="13027366" w:rsidR="00137735" w:rsidRPr="00176F59" w:rsidRDefault="00137735" w:rsidP="00176F59">
      <w:pPr>
        <w:spacing w:after="120" w:line="360" w:lineRule="auto"/>
        <w:jc w:val="both"/>
        <w:rPr>
          <w:rFonts w:ascii="Times New Roman" w:hAnsi="Times New Roman" w:cs="Times New Roman"/>
        </w:rPr>
      </w:pPr>
      <w:r w:rsidRPr="00176F59">
        <w:rPr>
          <w:rFonts w:ascii="Times New Roman" w:hAnsi="Times New Roman" w:cs="Times New Roman"/>
        </w:rPr>
        <w:t>Imidazolidine-2</w:t>
      </w:r>
      <w:proofErr w:type="gramStart"/>
      <w:r w:rsidRPr="00176F59">
        <w:rPr>
          <w:rFonts w:ascii="Times New Roman" w:hAnsi="Times New Roman" w:cs="Times New Roman"/>
        </w:rPr>
        <w:t>,4</w:t>
      </w:r>
      <w:proofErr w:type="gramEnd"/>
      <w:r w:rsidRPr="00176F59">
        <w:rPr>
          <w:rFonts w:ascii="Times New Roman" w:hAnsi="Times New Roman" w:cs="Times New Roman"/>
        </w:rPr>
        <w:t>-dione derivatives have demonstrated broad-spectrum biological activities, including antimicrobial and enzyme inhibitory effects, largely attributed to their structural flexibility and potential for functional modification. Quinoline derivatives are well established for their antibacterial and antimalarial properties, primarily acting through interference with DNA replication and key enzymatic pathways (Kaur et al., 2010). Similarly, triazole derivatives, particularly 1</w:t>
      </w:r>
      <w:proofErr w:type="gramStart"/>
      <w:r w:rsidRPr="00176F59">
        <w:rPr>
          <w:rFonts w:ascii="Times New Roman" w:hAnsi="Times New Roman" w:cs="Times New Roman"/>
        </w:rPr>
        <w:t>,2,3</w:t>
      </w:r>
      <w:proofErr w:type="gramEnd"/>
      <w:r w:rsidRPr="00176F59">
        <w:rPr>
          <w:rFonts w:ascii="Times New Roman" w:hAnsi="Times New Roman" w:cs="Times New Roman"/>
        </w:rPr>
        <w:t>-triazoles, exhibit high metabolic stability and strong binding interactions, making them valuable candidates in antifungal and antibacterial drug development (Zhang et al., 201</w:t>
      </w:r>
      <w:r w:rsidR="00BB432B" w:rsidRPr="00176F59">
        <w:rPr>
          <w:rFonts w:ascii="Times New Roman" w:hAnsi="Times New Roman" w:cs="Times New Roman"/>
        </w:rPr>
        <w:t>9</w:t>
      </w:r>
      <w:r w:rsidRPr="00176F59">
        <w:rPr>
          <w:rFonts w:ascii="Times New Roman" w:hAnsi="Times New Roman" w:cs="Times New Roman"/>
        </w:rPr>
        <w:t>).</w:t>
      </w:r>
    </w:p>
    <w:p w14:paraId="5246F43D" w14:textId="6B1875E3" w:rsidR="00137735" w:rsidRPr="00176F59" w:rsidRDefault="00137735" w:rsidP="00176F59">
      <w:pPr>
        <w:spacing w:after="120" w:line="360" w:lineRule="auto"/>
        <w:jc w:val="both"/>
        <w:rPr>
          <w:rFonts w:ascii="Times New Roman" w:hAnsi="Times New Roman" w:cs="Times New Roman"/>
        </w:rPr>
      </w:pPr>
      <w:r w:rsidRPr="00176F59">
        <w:rPr>
          <w:rFonts w:ascii="Times New Roman" w:hAnsi="Times New Roman" w:cs="Times New Roman"/>
        </w:rPr>
        <w:t>Despite their proven potential, many studies focus on individual scaffolds in isolation, with limited emphasis on integrated or multifunctional therapeutic strategies.</w:t>
      </w:r>
    </w:p>
    <w:p w14:paraId="3DA26D6D" w14:textId="77777777" w:rsidR="00F045C2" w:rsidRPr="00176F59" w:rsidRDefault="00137735" w:rsidP="00176F59">
      <w:pPr>
        <w:spacing w:after="120" w:line="360" w:lineRule="auto"/>
        <w:jc w:val="both"/>
        <w:rPr>
          <w:rFonts w:ascii="Times New Roman" w:hAnsi="Times New Roman" w:cs="Times New Roman"/>
          <w:b/>
          <w:bCs/>
        </w:rPr>
      </w:pPr>
      <w:r w:rsidRPr="00176F59">
        <w:rPr>
          <w:rFonts w:ascii="Times New Roman" w:hAnsi="Times New Roman" w:cs="Times New Roman"/>
          <w:b/>
          <w:bCs/>
        </w:rPr>
        <w:t>2.3 Hybrid Pharmacophore Strategy</w:t>
      </w:r>
    </w:p>
    <w:p w14:paraId="0714BC27" w14:textId="59FC42FB" w:rsidR="00137735" w:rsidRPr="00176F59" w:rsidRDefault="00137735" w:rsidP="00176F59">
      <w:pPr>
        <w:spacing w:after="120" w:line="360" w:lineRule="auto"/>
        <w:jc w:val="both"/>
        <w:rPr>
          <w:rFonts w:ascii="Times New Roman" w:hAnsi="Times New Roman" w:cs="Times New Roman"/>
        </w:rPr>
      </w:pPr>
      <w:r w:rsidRPr="00176F59">
        <w:rPr>
          <w:rFonts w:ascii="Times New Roman" w:hAnsi="Times New Roman" w:cs="Times New Roman"/>
        </w:rPr>
        <w:t xml:space="preserve">The hybrid pharmacophore approach, which involves the rational integration of multiple bioactive scaffolds into a single molecular framework, has emerged as an effective strategy for </w:t>
      </w:r>
      <w:r w:rsidRPr="00176F59">
        <w:rPr>
          <w:rFonts w:ascii="Times New Roman" w:hAnsi="Times New Roman" w:cs="Times New Roman"/>
        </w:rPr>
        <w:lastRenderedPageBreak/>
        <w:t>enhancing biological activity and overcoming resistance. Hybrid molecules are capable of targeting multiple biological pathways simultaneously, thereby reducing the likelihood of resistance development and improving overall therapeutic efficacy (</w:t>
      </w:r>
      <w:r w:rsidR="00BB432B" w:rsidRPr="00176F59">
        <w:rPr>
          <w:rFonts w:ascii="Times New Roman" w:hAnsi="Times New Roman" w:cs="Times New Roman"/>
        </w:rPr>
        <w:t xml:space="preserve">Shaveta </w:t>
      </w:r>
      <w:r w:rsidRPr="00176F59">
        <w:rPr>
          <w:rFonts w:ascii="Times New Roman" w:hAnsi="Times New Roman" w:cs="Times New Roman"/>
        </w:rPr>
        <w:t>et al., 201</w:t>
      </w:r>
      <w:r w:rsidR="00BB432B" w:rsidRPr="00176F59">
        <w:rPr>
          <w:rFonts w:ascii="Times New Roman" w:hAnsi="Times New Roman" w:cs="Times New Roman"/>
        </w:rPr>
        <w:t>6</w:t>
      </w:r>
      <w:r w:rsidRPr="00176F59">
        <w:rPr>
          <w:rFonts w:ascii="Times New Roman" w:hAnsi="Times New Roman" w:cs="Times New Roman"/>
        </w:rPr>
        <w:t>).</w:t>
      </w:r>
    </w:p>
    <w:p w14:paraId="54A01AB7" w14:textId="2FC33398" w:rsidR="00137735" w:rsidRPr="00176F59" w:rsidRDefault="00137735" w:rsidP="00176F59">
      <w:pPr>
        <w:spacing w:after="120" w:line="360" w:lineRule="auto"/>
        <w:jc w:val="both"/>
        <w:rPr>
          <w:rFonts w:ascii="Times New Roman" w:hAnsi="Times New Roman" w:cs="Times New Roman"/>
        </w:rPr>
      </w:pPr>
      <w:r w:rsidRPr="00176F59">
        <w:rPr>
          <w:rFonts w:ascii="Times New Roman" w:hAnsi="Times New Roman" w:cs="Times New Roman"/>
        </w:rPr>
        <w:t xml:space="preserve">Recent studies have reported that quinoline–triazole hybrids exhibit superior antimicrobial and antibiofilm activities compared to their individual counterparts, suggesting a synergistic effect arising from scaffold integration. However, challenges related to increased molecular complexity, potential toxicity, and </w:t>
      </w:r>
      <w:proofErr w:type="gramStart"/>
      <w:r w:rsidRPr="00176F59">
        <w:rPr>
          <w:rFonts w:ascii="Times New Roman" w:hAnsi="Times New Roman" w:cs="Times New Roman"/>
        </w:rPr>
        <w:t>optimization of pharmacokinetic properties remain</w:t>
      </w:r>
      <w:proofErr w:type="gramEnd"/>
      <w:r w:rsidRPr="00176F59">
        <w:rPr>
          <w:rFonts w:ascii="Times New Roman" w:hAnsi="Times New Roman" w:cs="Times New Roman"/>
        </w:rPr>
        <w:t xml:space="preserve"> areas requiring further investigation.</w:t>
      </w:r>
    </w:p>
    <w:p w14:paraId="4000172E" w14:textId="77777777" w:rsidR="00F045C2" w:rsidRPr="00176F59" w:rsidRDefault="00137735" w:rsidP="00176F59">
      <w:pPr>
        <w:spacing w:after="120" w:line="360" w:lineRule="auto"/>
        <w:jc w:val="both"/>
        <w:rPr>
          <w:rFonts w:ascii="Times New Roman" w:hAnsi="Times New Roman" w:cs="Times New Roman"/>
          <w:b/>
          <w:bCs/>
        </w:rPr>
      </w:pPr>
      <w:r w:rsidRPr="00176F59">
        <w:rPr>
          <w:rFonts w:ascii="Times New Roman" w:hAnsi="Times New Roman" w:cs="Times New Roman"/>
          <w:b/>
          <w:bCs/>
        </w:rPr>
        <w:t>2.4 Computational Approaches in Antimicrobial Research</w:t>
      </w:r>
    </w:p>
    <w:p w14:paraId="1D2DBC5E" w14:textId="284A287D" w:rsidR="00137735" w:rsidRPr="00176F59" w:rsidRDefault="00137735" w:rsidP="00176F59">
      <w:pPr>
        <w:spacing w:after="120" w:line="360" w:lineRule="auto"/>
        <w:jc w:val="both"/>
        <w:rPr>
          <w:rFonts w:ascii="Times New Roman" w:hAnsi="Times New Roman" w:cs="Times New Roman"/>
        </w:rPr>
      </w:pPr>
      <w:r w:rsidRPr="00176F59">
        <w:rPr>
          <w:rFonts w:ascii="Times New Roman" w:hAnsi="Times New Roman" w:cs="Times New Roman"/>
        </w:rPr>
        <w:t>The incorporation of computational techniques has significantly advanced antimicrobial drug discovery by enabling rapid screening and optimization of potential drug candidates. Molecular docking provides detailed insights into ligand–protein interactions and binding affinities, facilitating the identification of compounds with high target specificity (Meng et al., 2011). Molecular dynamics (MD) simulations further enhance understanding by evaluating the stability and conformational behavior of protein–ligand complexes under physiological conditions.</w:t>
      </w:r>
    </w:p>
    <w:p w14:paraId="61D7255A" w14:textId="202DE41B" w:rsidR="00137735" w:rsidRPr="00176F59" w:rsidRDefault="00137735" w:rsidP="00176F59">
      <w:pPr>
        <w:spacing w:after="120" w:line="360" w:lineRule="auto"/>
        <w:jc w:val="both"/>
        <w:rPr>
          <w:rFonts w:ascii="Times New Roman" w:hAnsi="Times New Roman" w:cs="Times New Roman"/>
        </w:rPr>
      </w:pPr>
      <w:r w:rsidRPr="00176F59">
        <w:rPr>
          <w:rFonts w:ascii="Times New Roman" w:hAnsi="Times New Roman" w:cs="Times New Roman"/>
        </w:rPr>
        <w:t>In addition, in silico ADME (absorption, distribution, metabolism, and excretion) predictions allow early-stage evaluation of pharmacokinetic and toxicity profiles, thereby reducing time and cost associated with experimental studies (Lipinski, 2004). Despite these advantages, computational predictions are highly dependent on algorithm accuracy and require experimental validation for reliable translation into clinical applications.</w:t>
      </w:r>
    </w:p>
    <w:p w14:paraId="15C0D03B" w14:textId="77777777" w:rsidR="00137735" w:rsidRPr="00176F59" w:rsidRDefault="00137735" w:rsidP="00176F59">
      <w:pPr>
        <w:spacing w:after="120" w:line="360" w:lineRule="auto"/>
        <w:jc w:val="both"/>
        <w:rPr>
          <w:rFonts w:ascii="Times New Roman" w:hAnsi="Times New Roman" w:cs="Times New Roman"/>
        </w:rPr>
      </w:pPr>
      <w:r w:rsidRPr="00176F59">
        <w:rPr>
          <w:rFonts w:ascii="Times New Roman" w:hAnsi="Times New Roman" w:cs="Times New Roman"/>
        </w:rPr>
        <w:t>2.5 Research Gaps and Future Needs</w:t>
      </w:r>
      <w:r w:rsidRPr="00176F59">
        <w:rPr>
          <w:rFonts w:ascii="Times New Roman" w:hAnsi="Times New Roman" w:cs="Times New Roman"/>
        </w:rPr>
        <w:br/>
        <w:t>Despite significant progress in heterocyclic antimicrobial research, several critical challenges persist. A major limitation is the discrepancy between in vitro efficacy and in vivo or clinical outcomes, often due to suboptimal pharmacokinetic properties and toxicity concerns. Furthermore, most studies do not simultaneously target antimicrobial activity, biofilm inhibition, and virulence suppression within a unified framework.</w:t>
      </w:r>
    </w:p>
    <w:p w14:paraId="2E469B29" w14:textId="4B564A90" w:rsidR="00D937E0" w:rsidRPr="00176F59" w:rsidRDefault="00137735" w:rsidP="00176F59">
      <w:pPr>
        <w:spacing w:after="120" w:line="360" w:lineRule="auto"/>
        <w:jc w:val="both"/>
        <w:rPr>
          <w:rFonts w:ascii="Times New Roman" w:hAnsi="Times New Roman" w:cs="Times New Roman"/>
        </w:rPr>
      </w:pPr>
      <w:r w:rsidRPr="00176F59">
        <w:rPr>
          <w:rFonts w:ascii="Times New Roman" w:hAnsi="Times New Roman" w:cs="Times New Roman"/>
        </w:rPr>
        <w:t xml:space="preserve">There is a pressing need for integrated research approaches that combine heterocyclic scaffold design, hybrid pharmacophore strategies, and advanced computational modeling with experimental validation. Such multidisciplinary strategies are essential for developing clinically </w:t>
      </w:r>
      <w:r w:rsidRPr="00176F59">
        <w:rPr>
          <w:rFonts w:ascii="Times New Roman" w:hAnsi="Times New Roman" w:cs="Times New Roman"/>
        </w:rPr>
        <w:lastRenderedPageBreak/>
        <w:t>viable antimicrobial agents capable of effectively addressing MDR and biofilm-associated infections.</w:t>
      </w:r>
    </w:p>
    <w:p w14:paraId="1CA90D39" w14:textId="77777777" w:rsidR="00986591" w:rsidRPr="00176F59" w:rsidRDefault="001C1524" w:rsidP="00176F59">
      <w:pPr>
        <w:spacing w:after="120" w:line="360" w:lineRule="auto"/>
        <w:jc w:val="both"/>
        <w:rPr>
          <w:rFonts w:ascii="Times New Roman" w:hAnsi="Times New Roman" w:cs="Times New Roman"/>
          <w:b/>
          <w:bCs/>
          <w:caps/>
        </w:rPr>
      </w:pPr>
      <w:r w:rsidRPr="00176F59">
        <w:rPr>
          <w:rFonts w:ascii="Times New Roman" w:hAnsi="Times New Roman" w:cs="Times New Roman"/>
          <w:b/>
          <w:bCs/>
          <w:caps/>
        </w:rPr>
        <w:t>3. Mechanisms of Antimicrobial Resistance and Virulence</w:t>
      </w:r>
    </w:p>
    <w:p w14:paraId="3835E95C" w14:textId="34E051A6" w:rsidR="001C1524" w:rsidRPr="00176F59" w:rsidRDefault="001C1524" w:rsidP="00176F59">
      <w:pPr>
        <w:spacing w:after="120" w:line="360" w:lineRule="auto"/>
        <w:jc w:val="both"/>
        <w:rPr>
          <w:rFonts w:ascii="Times New Roman" w:hAnsi="Times New Roman" w:cs="Times New Roman"/>
        </w:rPr>
      </w:pPr>
      <w:r w:rsidRPr="00176F59">
        <w:rPr>
          <w:rFonts w:ascii="Times New Roman" w:hAnsi="Times New Roman" w:cs="Times New Roman"/>
        </w:rPr>
        <w:t>Microorganisms have evolved a diverse array of adaptive mechanisms to counteract the effects of antimicrobial agents, contributing to the rapid emergence and global dissemination of multidrug-resistant (MDR) pathogens. While the fundamental resistance pathways are well established, recent research highlights the dynamic and multifactorial nature of these mechanisms, which often operate in a coordinated manner (Blair et al., 2015).</w:t>
      </w:r>
    </w:p>
    <w:p w14:paraId="291C26D0" w14:textId="1F783ECC" w:rsidR="00194FF3" w:rsidRPr="00176F59" w:rsidRDefault="001C1524" w:rsidP="00176F59">
      <w:pPr>
        <w:spacing w:after="120" w:line="360" w:lineRule="auto"/>
        <w:jc w:val="both"/>
        <w:rPr>
          <w:rFonts w:ascii="Times New Roman" w:hAnsi="Times New Roman" w:cs="Times New Roman"/>
        </w:rPr>
      </w:pPr>
      <w:r w:rsidRPr="00176F59">
        <w:rPr>
          <w:rFonts w:ascii="Times New Roman" w:hAnsi="Times New Roman" w:cs="Times New Roman"/>
        </w:rPr>
        <w:t>Enzymatic degradation remains one of the most prominent resistance strategies, particularly through the production of β-lactamases and related enzymes that hydrolyze antibiotic structures, rendering them inactive. In parallel, modification of drug targets</w:t>
      </w:r>
      <w:r w:rsidR="00BF4D66" w:rsidRPr="00176F59">
        <w:rPr>
          <w:rFonts w:ascii="Times New Roman" w:hAnsi="Times New Roman" w:cs="Times New Roman"/>
        </w:rPr>
        <w:t>-</w:t>
      </w:r>
      <w:r w:rsidRPr="00176F59">
        <w:rPr>
          <w:rFonts w:ascii="Times New Roman" w:hAnsi="Times New Roman" w:cs="Times New Roman"/>
        </w:rPr>
        <w:t>such as alterations in penicillin-binding proteins or ribosomal subunits</w:t>
      </w:r>
      <w:r w:rsidR="00BF4D66" w:rsidRPr="00176F59">
        <w:rPr>
          <w:rFonts w:ascii="Times New Roman" w:hAnsi="Times New Roman" w:cs="Times New Roman"/>
        </w:rPr>
        <w:t>-</w:t>
      </w:r>
      <w:r w:rsidRPr="00176F59">
        <w:rPr>
          <w:rFonts w:ascii="Times New Roman" w:hAnsi="Times New Roman" w:cs="Times New Roman"/>
        </w:rPr>
        <w:t>reduces the binding affinity of antimicrobial agents, thereby diminishing their therapeutic efficacy. These target modifications are often driven by genetic mutations or horizontal gene transfer, facilitating rapid adaptation across microbial populations (Blair et al., 2015).</w:t>
      </w:r>
    </w:p>
    <w:p w14:paraId="2B04C9E8" w14:textId="158CFD92" w:rsidR="001C1524" w:rsidRPr="00176F59" w:rsidRDefault="001C1524" w:rsidP="00176F59">
      <w:pPr>
        <w:spacing w:after="120" w:line="360" w:lineRule="auto"/>
        <w:jc w:val="both"/>
        <w:rPr>
          <w:rFonts w:ascii="Times New Roman" w:hAnsi="Times New Roman" w:cs="Times New Roman"/>
        </w:rPr>
      </w:pPr>
      <w:r w:rsidRPr="00176F59">
        <w:rPr>
          <w:rFonts w:ascii="Times New Roman" w:hAnsi="Times New Roman" w:cs="Times New Roman"/>
        </w:rPr>
        <w:t xml:space="preserve">Efflux pump overexpression represents another critical resistance mechanism, enabling microorganisms to actively expel a wide range of structurally diverse antibiotics. This process significantly lowers intracellular drug concentrations, often below therapeutic thresholds, and contributes to multidrug resistance phenotypes. </w:t>
      </w:r>
      <w:proofErr w:type="gramStart"/>
      <w:r w:rsidRPr="00176F59">
        <w:rPr>
          <w:rFonts w:ascii="Times New Roman" w:hAnsi="Times New Roman" w:cs="Times New Roman"/>
        </w:rPr>
        <w:t>Additionally, reduced membrane permeability, particularly in Gram-negative bacteria, further limits antibiotic entry through alterations in porin channels, creating an effective permeability barrier</w:t>
      </w:r>
      <w:r w:rsidR="0086346E" w:rsidRPr="00176F59">
        <w:rPr>
          <w:rFonts w:ascii="Times New Roman" w:hAnsi="Times New Roman" w:cs="Times New Roman"/>
        </w:rPr>
        <w:t>.</w:t>
      </w:r>
      <w:proofErr w:type="gramEnd"/>
    </w:p>
    <w:p w14:paraId="71C28E83" w14:textId="77777777" w:rsidR="001C1524" w:rsidRPr="00176F59" w:rsidRDefault="001C1524" w:rsidP="00176F59">
      <w:pPr>
        <w:spacing w:after="120" w:line="360" w:lineRule="auto"/>
        <w:jc w:val="both"/>
        <w:rPr>
          <w:rFonts w:ascii="Times New Roman" w:hAnsi="Times New Roman" w:cs="Times New Roman"/>
        </w:rPr>
      </w:pPr>
      <w:r w:rsidRPr="00176F59">
        <w:rPr>
          <w:rFonts w:ascii="Times New Roman" w:hAnsi="Times New Roman" w:cs="Times New Roman"/>
        </w:rPr>
        <w:t xml:space="preserve">Beyond intrinsic resistance mechanisms, microbial virulence is strongly influenced by biofilm formation. Biofilms are highly organized microbial communities embedded within an extracellular polymeric substance (EPS) matrix, which not only impedes antibiotic penetration but also creates a heterogeneous microenvironment that supports the survival of </w:t>
      </w:r>
      <w:proofErr w:type="spellStart"/>
      <w:r w:rsidRPr="00176F59">
        <w:rPr>
          <w:rFonts w:ascii="Times New Roman" w:hAnsi="Times New Roman" w:cs="Times New Roman"/>
        </w:rPr>
        <w:t>persister</w:t>
      </w:r>
      <w:proofErr w:type="spellEnd"/>
      <w:r w:rsidRPr="00176F59">
        <w:rPr>
          <w:rFonts w:ascii="Times New Roman" w:hAnsi="Times New Roman" w:cs="Times New Roman"/>
        </w:rPr>
        <w:t xml:space="preserve"> cells. This structural and functional complexity makes biofilm-associated infections particularly resistant to conventional therapies and prone to chronic recurrence (</w:t>
      </w:r>
      <w:proofErr w:type="spellStart"/>
      <w:r w:rsidRPr="00176F59">
        <w:rPr>
          <w:rFonts w:ascii="Times New Roman" w:hAnsi="Times New Roman" w:cs="Times New Roman"/>
        </w:rPr>
        <w:t>Costerton</w:t>
      </w:r>
      <w:proofErr w:type="spellEnd"/>
      <w:r w:rsidRPr="00176F59">
        <w:rPr>
          <w:rFonts w:ascii="Times New Roman" w:hAnsi="Times New Roman" w:cs="Times New Roman"/>
        </w:rPr>
        <w:t xml:space="preserve"> et al., 1999).</w:t>
      </w:r>
    </w:p>
    <w:p w14:paraId="4FE2317F" w14:textId="77777777" w:rsidR="001C1524" w:rsidRPr="00176F59" w:rsidRDefault="001C1524" w:rsidP="00176F59">
      <w:pPr>
        <w:spacing w:after="120" w:line="360" w:lineRule="auto"/>
        <w:jc w:val="both"/>
        <w:rPr>
          <w:rFonts w:ascii="Times New Roman" w:hAnsi="Times New Roman" w:cs="Times New Roman"/>
        </w:rPr>
      </w:pPr>
      <w:r w:rsidRPr="00176F59">
        <w:rPr>
          <w:rFonts w:ascii="Times New Roman" w:hAnsi="Times New Roman" w:cs="Times New Roman"/>
        </w:rPr>
        <w:t xml:space="preserve">Quorum sensing (QS) further enhances microbial adaptability by regulating gene expression in response to population density. Through QS signaling pathways, microorganisms coordinate the </w:t>
      </w:r>
      <w:r w:rsidRPr="00176F59">
        <w:rPr>
          <w:rFonts w:ascii="Times New Roman" w:hAnsi="Times New Roman" w:cs="Times New Roman"/>
        </w:rPr>
        <w:lastRenderedPageBreak/>
        <w:t>production of virulence factors, toxin secretion, motility, and biofilm development. This collective behavior allows pathogens to optimize survival under hostile conditions, including antibiotic exposure and host immune responses (Rutherford &amp; Bassler, 2012).</w:t>
      </w:r>
    </w:p>
    <w:p w14:paraId="3391C35B" w14:textId="71BFC71A" w:rsidR="001C1524" w:rsidRPr="00176F59" w:rsidRDefault="001C1524" w:rsidP="00176F59">
      <w:pPr>
        <w:spacing w:after="120" w:line="360" w:lineRule="auto"/>
        <w:jc w:val="both"/>
        <w:rPr>
          <w:rFonts w:ascii="Times New Roman" w:hAnsi="Times New Roman" w:cs="Times New Roman"/>
        </w:rPr>
      </w:pPr>
      <w:r w:rsidRPr="00176F59">
        <w:rPr>
          <w:rFonts w:ascii="Times New Roman" w:hAnsi="Times New Roman" w:cs="Times New Roman"/>
        </w:rPr>
        <w:t>Importantly, these resistance and virulence mechanisms do not function in isolation; rather, they interact synergistically to enhance microbial survival and pathogenicity. For instance, QS-regulated biofilm formation can simultaneously increase resistance to antibiotics and immune clearance, while efflux pumps may also contribute to virulence by exporting signaling molecules</w:t>
      </w:r>
      <w:r w:rsidR="0086346E" w:rsidRPr="00176F59">
        <w:rPr>
          <w:rFonts w:ascii="Times New Roman" w:hAnsi="Times New Roman" w:cs="Times New Roman"/>
        </w:rPr>
        <w:t>.</w:t>
      </w:r>
    </w:p>
    <w:p w14:paraId="2B2C3192" w14:textId="0F7E256A" w:rsidR="00194FF3" w:rsidRPr="00176F59" w:rsidRDefault="001C1524" w:rsidP="00176F59">
      <w:pPr>
        <w:spacing w:after="120" w:line="360" w:lineRule="auto"/>
        <w:jc w:val="both"/>
        <w:rPr>
          <w:rFonts w:ascii="Times New Roman" w:hAnsi="Times New Roman" w:cs="Times New Roman"/>
        </w:rPr>
      </w:pPr>
      <w:r w:rsidRPr="00176F59">
        <w:rPr>
          <w:rFonts w:ascii="Times New Roman" w:hAnsi="Times New Roman" w:cs="Times New Roman"/>
        </w:rPr>
        <w:t>Together, these interconnected mechanisms present significant challenges for effective antimicrobial therapy and highlight the necessity for innovative strategies that simultaneously target microbial resistance, biofilm formation, and virulence regulation.</w:t>
      </w:r>
    </w:p>
    <w:p w14:paraId="3822B87C" w14:textId="77777777" w:rsidR="001C1524" w:rsidRPr="00176F59" w:rsidRDefault="001C1524" w:rsidP="00176F59">
      <w:pPr>
        <w:spacing w:after="120" w:line="360" w:lineRule="auto"/>
        <w:jc w:val="both"/>
        <w:rPr>
          <w:rFonts w:ascii="Times New Roman" w:hAnsi="Times New Roman" w:cs="Times New Roman"/>
          <w:b/>
          <w:bCs/>
          <w:lang w:val="en-IN"/>
        </w:rPr>
      </w:pPr>
    </w:p>
    <w:p w14:paraId="166A812B" w14:textId="77777777" w:rsidR="00986591" w:rsidRPr="00176F59" w:rsidRDefault="001C1524" w:rsidP="00176F59">
      <w:pPr>
        <w:spacing w:after="120" w:line="360" w:lineRule="auto"/>
        <w:jc w:val="both"/>
        <w:rPr>
          <w:rFonts w:ascii="Times New Roman" w:hAnsi="Times New Roman" w:cs="Times New Roman"/>
          <w:b/>
          <w:bCs/>
          <w:caps/>
        </w:rPr>
      </w:pPr>
      <w:r w:rsidRPr="00176F59">
        <w:rPr>
          <w:rFonts w:ascii="Times New Roman" w:hAnsi="Times New Roman" w:cs="Times New Roman"/>
          <w:b/>
          <w:bCs/>
          <w:caps/>
        </w:rPr>
        <w:t>4. Heterocyclic Compounds in Antimicrobial Drug Design</w:t>
      </w:r>
    </w:p>
    <w:p w14:paraId="21250281" w14:textId="44A3F0A1" w:rsidR="001C1524" w:rsidRPr="00176F59" w:rsidRDefault="001C1524" w:rsidP="00176F59">
      <w:pPr>
        <w:spacing w:after="120" w:line="360" w:lineRule="auto"/>
        <w:jc w:val="both"/>
        <w:rPr>
          <w:rFonts w:ascii="Times New Roman" w:hAnsi="Times New Roman" w:cs="Times New Roman"/>
        </w:rPr>
      </w:pPr>
      <w:r w:rsidRPr="00176F59">
        <w:rPr>
          <w:rFonts w:ascii="Times New Roman" w:hAnsi="Times New Roman" w:cs="Times New Roman"/>
        </w:rPr>
        <w:t>Heterocyclic compounds constitute a fundamental class of molecules in medicinal chemistry and play a pivotal role in the development of antimicrobial agents. The presence of heteroatoms such as nitrogen and oxygen within the ring system imparts diverse physicochemical properties, including enhanced polarity, hydrogen bonding capacity, and electronic modulation, enabling strong interactions with biological targets. Due to their structural versatility and pharmacological relevance, heterocyclic scaffolds are widely employed in the rational design of novel antimicrobial agents capable of overcoming resistance mechanisms (</w:t>
      </w:r>
      <w:proofErr w:type="spellStart"/>
      <w:r w:rsidRPr="00176F59">
        <w:rPr>
          <w:rFonts w:ascii="Times New Roman" w:hAnsi="Times New Roman" w:cs="Times New Roman"/>
        </w:rPr>
        <w:t>Vitaku</w:t>
      </w:r>
      <w:proofErr w:type="spellEnd"/>
      <w:r w:rsidRPr="00176F59">
        <w:rPr>
          <w:rFonts w:ascii="Times New Roman" w:hAnsi="Times New Roman" w:cs="Times New Roman"/>
        </w:rPr>
        <w:t xml:space="preserve"> et al., 2014).</w:t>
      </w:r>
    </w:p>
    <w:p w14:paraId="56C204A5" w14:textId="77777777" w:rsidR="00986591" w:rsidRPr="00176F59" w:rsidRDefault="001C1524" w:rsidP="00176F59">
      <w:pPr>
        <w:spacing w:after="120" w:line="360" w:lineRule="auto"/>
        <w:jc w:val="both"/>
        <w:rPr>
          <w:rFonts w:ascii="Times New Roman" w:hAnsi="Times New Roman" w:cs="Times New Roman"/>
          <w:b/>
          <w:bCs/>
        </w:rPr>
      </w:pPr>
      <w:r w:rsidRPr="00176F59">
        <w:rPr>
          <w:rFonts w:ascii="Times New Roman" w:hAnsi="Times New Roman" w:cs="Times New Roman"/>
          <w:b/>
          <w:bCs/>
        </w:rPr>
        <w:t>4.1 Imidazolidine Derivatives</w:t>
      </w:r>
    </w:p>
    <w:p w14:paraId="23DDE40F" w14:textId="7335170B" w:rsidR="001C1524" w:rsidRPr="00176F59" w:rsidRDefault="001C1524" w:rsidP="00176F59">
      <w:pPr>
        <w:spacing w:after="120" w:line="360" w:lineRule="auto"/>
        <w:jc w:val="both"/>
        <w:rPr>
          <w:rFonts w:ascii="Times New Roman" w:hAnsi="Times New Roman" w:cs="Times New Roman"/>
        </w:rPr>
      </w:pPr>
      <w:r w:rsidRPr="00176F59">
        <w:rPr>
          <w:rFonts w:ascii="Times New Roman" w:hAnsi="Times New Roman" w:cs="Times New Roman"/>
        </w:rPr>
        <w:t>Imidazolidine derivatives, particularly imidazolidine-2</w:t>
      </w:r>
      <w:proofErr w:type="gramStart"/>
      <w:r w:rsidRPr="00176F59">
        <w:rPr>
          <w:rFonts w:ascii="Times New Roman" w:hAnsi="Times New Roman" w:cs="Times New Roman"/>
        </w:rPr>
        <w:t>,4</w:t>
      </w:r>
      <w:proofErr w:type="gramEnd"/>
      <w:r w:rsidRPr="00176F59">
        <w:rPr>
          <w:rFonts w:ascii="Times New Roman" w:hAnsi="Times New Roman" w:cs="Times New Roman"/>
        </w:rPr>
        <w:t>-diones, have attracted significant attention due to their broad-spectrum antimicrobial and enzyme inhibitory activities. These compounds exhibit considerable structural flexibility, allowing diverse substitutions at different positions of the ring system, which can effectively modulate lipophilicity, electronic distribution, and biological activity.</w:t>
      </w:r>
    </w:p>
    <w:p w14:paraId="43436827" w14:textId="36F8D6A7" w:rsidR="001C1524" w:rsidRDefault="001C1524" w:rsidP="00176F59">
      <w:pPr>
        <w:spacing w:after="120" w:line="360" w:lineRule="auto"/>
        <w:jc w:val="both"/>
        <w:rPr>
          <w:rFonts w:ascii="Times New Roman" w:hAnsi="Times New Roman" w:cs="Times New Roman"/>
        </w:rPr>
      </w:pPr>
      <w:r w:rsidRPr="00176F59">
        <w:rPr>
          <w:rFonts w:ascii="Times New Roman" w:hAnsi="Times New Roman" w:cs="Times New Roman"/>
        </w:rPr>
        <w:t xml:space="preserve">Mechanistically, imidazolidine derivatives are known to interfere with essential microbial processes, including enzyme function and metabolic pathways. Studies have demonstrated that the incorporation of electron-withdrawing groups (e.g., halogens) enhances antimicrobial potency by improving membrane permeability and strengthening target binding interactions </w:t>
      </w:r>
      <w:r w:rsidRPr="00176F59">
        <w:rPr>
          <w:rFonts w:ascii="Times New Roman" w:hAnsi="Times New Roman" w:cs="Times New Roman"/>
        </w:rPr>
        <w:lastRenderedPageBreak/>
        <w:t>(</w:t>
      </w:r>
      <w:r w:rsidR="00F81060" w:rsidRPr="00176F59">
        <w:rPr>
          <w:rFonts w:ascii="Times New Roman" w:hAnsi="Times New Roman" w:cs="Times New Roman"/>
        </w:rPr>
        <w:t xml:space="preserve">Shaveta </w:t>
      </w:r>
      <w:r w:rsidRPr="00176F59">
        <w:rPr>
          <w:rFonts w:ascii="Times New Roman" w:hAnsi="Times New Roman" w:cs="Times New Roman"/>
        </w:rPr>
        <w:t>et al., 201</w:t>
      </w:r>
      <w:r w:rsidR="00F81060" w:rsidRPr="00176F59">
        <w:rPr>
          <w:rFonts w:ascii="Times New Roman" w:hAnsi="Times New Roman" w:cs="Times New Roman"/>
        </w:rPr>
        <w:t>6</w:t>
      </w:r>
      <w:r w:rsidRPr="00176F59">
        <w:rPr>
          <w:rFonts w:ascii="Times New Roman" w:hAnsi="Times New Roman" w:cs="Times New Roman"/>
        </w:rPr>
        <w:t>). Furthermore, structural optimization has been shown to improve selectivity and reduce off-target effects, highlighting their potential as promising scaffolds for next-generation antimicrobial drug development.</w:t>
      </w:r>
    </w:p>
    <w:p w14:paraId="199EDEEB" w14:textId="2180ABAE" w:rsidR="001250F3" w:rsidRDefault="001250F3" w:rsidP="00176F59">
      <w:pPr>
        <w:spacing w:after="120" w:line="360" w:lineRule="auto"/>
        <w:jc w:val="both"/>
        <w:rPr>
          <w:rFonts w:ascii="Times New Roman" w:eastAsia="Times New Roman" w:hAnsi="Times New Roman" w:cs="Times New Roman"/>
        </w:rPr>
      </w:pPr>
      <w:r w:rsidRPr="00916CF6">
        <w:rPr>
          <w:rFonts w:ascii="Times New Roman" w:eastAsia="Times New Roman" w:hAnsi="Times New Roman" w:cs="Times New Roman"/>
        </w:rPr>
        <w:t>The imidazolidine-2</w:t>
      </w:r>
      <w:proofErr w:type="gramStart"/>
      <w:r w:rsidRPr="00916CF6">
        <w:rPr>
          <w:rFonts w:ascii="Times New Roman" w:eastAsia="Times New Roman" w:hAnsi="Times New Roman" w:cs="Times New Roman"/>
        </w:rPr>
        <w:t>,4</w:t>
      </w:r>
      <w:proofErr w:type="gramEnd"/>
      <w:r w:rsidRPr="00916CF6">
        <w:rPr>
          <w:rFonts w:ascii="Times New Roman" w:eastAsia="Times New Roman" w:hAnsi="Times New Roman" w:cs="Times New Roman"/>
        </w:rPr>
        <w:t>-dione nucleus possesses remarkable structural adaptability, enabling modification at different positions of the ring system. Such structural flexibility allows researchers to optimize biological activity through changes in electronic properties, steric interactions, and lipophilicity</w:t>
      </w:r>
      <w:r>
        <w:rPr>
          <w:rFonts w:ascii="Times New Roman" w:eastAsia="Times New Roman" w:hAnsi="Times New Roman" w:cs="Times New Roman"/>
        </w:rPr>
        <w:t xml:space="preserve">. </w:t>
      </w:r>
    </w:p>
    <w:p w14:paraId="23690E56" w14:textId="77777777" w:rsidR="001250F3" w:rsidRPr="00916CF6" w:rsidRDefault="001250F3" w:rsidP="001250F3">
      <w:pPr>
        <w:spacing w:before="100" w:beforeAutospacing="1" w:after="100" w:afterAutospacing="1" w:line="240" w:lineRule="auto"/>
        <w:rPr>
          <w:rFonts w:ascii="Times New Roman" w:hAnsi="Times New Roman" w:cs="Times New Roman"/>
        </w:rPr>
      </w:pPr>
      <w:r w:rsidRPr="00916CF6">
        <w:rPr>
          <w:rFonts w:ascii="Times New Roman" w:hAnsi="Times New Roman" w:cs="Times New Roman"/>
        </w:rPr>
        <w:t>Imidazolidine-2</w:t>
      </w:r>
      <w:proofErr w:type="gramStart"/>
      <w:r w:rsidRPr="00916CF6">
        <w:rPr>
          <w:rFonts w:ascii="Times New Roman" w:hAnsi="Times New Roman" w:cs="Times New Roman"/>
        </w:rPr>
        <w:t>,4</w:t>
      </w:r>
      <w:proofErr w:type="gramEnd"/>
      <w:r w:rsidRPr="00916CF6">
        <w:rPr>
          <w:rFonts w:ascii="Times New Roman" w:hAnsi="Times New Roman" w:cs="Times New Roman"/>
        </w:rPr>
        <w:t>-diones consist of a five-membered heterocyclic ring containing:</w:t>
      </w:r>
    </w:p>
    <w:p w14:paraId="1057ADC5" w14:textId="77777777" w:rsidR="001250F3" w:rsidRPr="00916CF6" w:rsidRDefault="001250F3" w:rsidP="001250F3">
      <w:pPr>
        <w:numPr>
          <w:ilvl w:val="0"/>
          <w:numId w:val="31"/>
        </w:numPr>
        <w:spacing w:before="100" w:beforeAutospacing="1" w:after="100" w:afterAutospacing="1" w:line="360" w:lineRule="auto"/>
        <w:rPr>
          <w:rFonts w:ascii="Times New Roman" w:hAnsi="Times New Roman" w:cs="Times New Roman"/>
        </w:rPr>
      </w:pPr>
      <w:r w:rsidRPr="00916CF6">
        <w:rPr>
          <w:rFonts w:ascii="Times New Roman" w:hAnsi="Times New Roman" w:cs="Times New Roman"/>
        </w:rPr>
        <w:t>Two nitrogen atoms</w:t>
      </w:r>
    </w:p>
    <w:p w14:paraId="0EB21EB5" w14:textId="77777777" w:rsidR="001250F3" w:rsidRPr="00916CF6" w:rsidRDefault="001250F3" w:rsidP="001250F3">
      <w:pPr>
        <w:numPr>
          <w:ilvl w:val="0"/>
          <w:numId w:val="31"/>
        </w:numPr>
        <w:spacing w:before="100" w:beforeAutospacing="1" w:after="100" w:afterAutospacing="1" w:line="360" w:lineRule="auto"/>
        <w:rPr>
          <w:rFonts w:ascii="Times New Roman" w:hAnsi="Times New Roman" w:cs="Times New Roman"/>
        </w:rPr>
      </w:pPr>
      <w:r w:rsidRPr="00916CF6">
        <w:rPr>
          <w:rFonts w:ascii="Times New Roman" w:hAnsi="Times New Roman" w:cs="Times New Roman"/>
        </w:rPr>
        <w:t>Carbonyl groups at positions 2 and 4</w:t>
      </w:r>
    </w:p>
    <w:p w14:paraId="6250CBCF" w14:textId="77777777" w:rsidR="001250F3" w:rsidRPr="00916CF6" w:rsidRDefault="001250F3" w:rsidP="001250F3">
      <w:pPr>
        <w:numPr>
          <w:ilvl w:val="0"/>
          <w:numId w:val="31"/>
        </w:numPr>
        <w:spacing w:before="100" w:beforeAutospacing="1" w:after="100" w:afterAutospacing="1" w:line="360" w:lineRule="auto"/>
        <w:rPr>
          <w:rFonts w:ascii="Times New Roman" w:hAnsi="Times New Roman" w:cs="Times New Roman"/>
        </w:rPr>
      </w:pPr>
      <w:r w:rsidRPr="00916CF6">
        <w:rPr>
          <w:rFonts w:ascii="Times New Roman" w:hAnsi="Times New Roman" w:cs="Times New Roman"/>
        </w:rPr>
        <w:t>Saturated carbon atoms completing the ring structure</w:t>
      </w:r>
    </w:p>
    <w:p w14:paraId="50A7BE08" w14:textId="77777777" w:rsidR="001250F3" w:rsidRPr="00916CF6" w:rsidRDefault="001250F3" w:rsidP="001250F3">
      <w:pPr>
        <w:spacing w:before="100" w:beforeAutospacing="1" w:after="100" w:afterAutospacing="1" w:line="240" w:lineRule="auto"/>
        <w:rPr>
          <w:rFonts w:ascii="Times New Roman" w:hAnsi="Times New Roman" w:cs="Times New Roman"/>
        </w:rPr>
      </w:pPr>
      <w:r w:rsidRPr="00916CF6">
        <w:rPr>
          <w:rFonts w:ascii="Times New Roman" w:hAnsi="Times New Roman" w:cs="Times New Roman"/>
        </w:rPr>
        <w:t>General ring positions:</w:t>
      </w:r>
    </w:p>
    <w:p w14:paraId="4E322015" w14:textId="77777777" w:rsidR="001250F3" w:rsidRPr="00916CF6" w:rsidRDefault="001250F3" w:rsidP="001250F3">
      <w:pPr>
        <w:numPr>
          <w:ilvl w:val="0"/>
          <w:numId w:val="32"/>
        </w:numPr>
        <w:spacing w:before="100" w:beforeAutospacing="1" w:after="100" w:afterAutospacing="1" w:line="360" w:lineRule="auto"/>
        <w:rPr>
          <w:rFonts w:ascii="Times New Roman" w:hAnsi="Times New Roman" w:cs="Times New Roman"/>
        </w:rPr>
      </w:pPr>
      <w:r w:rsidRPr="00916CF6">
        <w:rPr>
          <w:rFonts w:ascii="Times New Roman" w:hAnsi="Times New Roman" w:cs="Times New Roman"/>
        </w:rPr>
        <w:t>N1: Nitrogen atom at position 1</w:t>
      </w:r>
    </w:p>
    <w:p w14:paraId="7405A409" w14:textId="77777777" w:rsidR="001250F3" w:rsidRPr="00916CF6" w:rsidRDefault="001250F3" w:rsidP="001250F3">
      <w:pPr>
        <w:numPr>
          <w:ilvl w:val="0"/>
          <w:numId w:val="32"/>
        </w:numPr>
        <w:spacing w:before="100" w:beforeAutospacing="1" w:after="100" w:afterAutospacing="1" w:line="360" w:lineRule="auto"/>
        <w:rPr>
          <w:rFonts w:ascii="Times New Roman" w:hAnsi="Times New Roman" w:cs="Times New Roman"/>
        </w:rPr>
      </w:pPr>
      <w:r w:rsidRPr="00916CF6">
        <w:rPr>
          <w:rFonts w:ascii="Times New Roman" w:hAnsi="Times New Roman" w:cs="Times New Roman"/>
        </w:rPr>
        <w:t>C2: Carbonyl carbon</w:t>
      </w:r>
    </w:p>
    <w:p w14:paraId="1772E861" w14:textId="77777777" w:rsidR="001250F3" w:rsidRPr="00916CF6" w:rsidRDefault="001250F3" w:rsidP="001250F3">
      <w:pPr>
        <w:numPr>
          <w:ilvl w:val="0"/>
          <w:numId w:val="32"/>
        </w:numPr>
        <w:spacing w:before="100" w:beforeAutospacing="1" w:after="100" w:afterAutospacing="1" w:line="360" w:lineRule="auto"/>
        <w:rPr>
          <w:rFonts w:ascii="Times New Roman" w:hAnsi="Times New Roman" w:cs="Times New Roman"/>
        </w:rPr>
      </w:pPr>
      <w:r w:rsidRPr="00916CF6">
        <w:rPr>
          <w:rFonts w:ascii="Times New Roman" w:hAnsi="Times New Roman" w:cs="Times New Roman"/>
        </w:rPr>
        <w:t>N3: Second nitrogen atom</w:t>
      </w:r>
    </w:p>
    <w:p w14:paraId="2E499580" w14:textId="77777777" w:rsidR="001250F3" w:rsidRPr="00916CF6" w:rsidRDefault="001250F3" w:rsidP="001250F3">
      <w:pPr>
        <w:numPr>
          <w:ilvl w:val="0"/>
          <w:numId w:val="32"/>
        </w:numPr>
        <w:spacing w:before="100" w:beforeAutospacing="1" w:after="100" w:afterAutospacing="1" w:line="360" w:lineRule="auto"/>
        <w:rPr>
          <w:rFonts w:ascii="Times New Roman" w:hAnsi="Times New Roman" w:cs="Times New Roman"/>
        </w:rPr>
      </w:pPr>
      <w:r w:rsidRPr="00916CF6">
        <w:rPr>
          <w:rFonts w:ascii="Times New Roman" w:hAnsi="Times New Roman" w:cs="Times New Roman"/>
        </w:rPr>
        <w:t>C4: Carbonyl carbon</w:t>
      </w:r>
    </w:p>
    <w:p w14:paraId="57F9152F" w14:textId="77777777" w:rsidR="001250F3" w:rsidRPr="00916CF6" w:rsidRDefault="001250F3" w:rsidP="001250F3">
      <w:pPr>
        <w:numPr>
          <w:ilvl w:val="0"/>
          <w:numId w:val="32"/>
        </w:numPr>
        <w:spacing w:before="100" w:beforeAutospacing="1" w:after="100" w:afterAutospacing="1" w:line="360" w:lineRule="auto"/>
        <w:rPr>
          <w:rFonts w:ascii="Times New Roman" w:hAnsi="Times New Roman" w:cs="Times New Roman"/>
        </w:rPr>
      </w:pPr>
      <w:r w:rsidRPr="00916CF6">
        <w:rPr>
          <w:rFonts w:ascii="Times New Roman" w:hAnsi="Times New Roman" w:cs="Times New Roman"/>
        </w:rPr>
        <w:t>C5: Carbon bearing substituent groups</w:t>
      </w:r>
    </w:p>
    <w:p w14:paraId="09AE8312" w14:textId="77777777" w:rsidR="001250F3" w:rsidRPr="00916CF6" w:rsidRDefault="001250F3" w:rsidP="001250F3">
      <w:pPr>
        <w:spacing w:before="100" w:beforeAutospacing="1" w:after="100" w:afterAutospacing="1" w:line="360" w:lineRule="auto"/>
        <w:rPr>
          <w:rFonts w:ascii="Times New Roman" w:hAnsi="Times New Roman" w:cs="Times New Roman"/>
        </w:rPr>
      </w:pPr>
      <w:r w:rsidRPr="00916CF6">
        <w:rPr>
          <w:rFonts w:ascii="Times New Roman" w:hAnsi="Times New Roman" w:cs="Times New Roman"/>
        </w:rPr>
        <w:t>The hydantoin ring is rigid enough to maintain a stable pharmacophore while being flexible enough for substitution.</w:t>
      </w:r>
    </w:p>
    <w:p w14:paraId="06E6F899" w14:textId="77777777" w:rsidR="001250F3" w:rsidRPr="00916CF6" w:rsidRDefault="001250F3" w:rsidP="001250F3">
      <w:pPr>
        <w:spacing w:before="100" w:beforeAutospacing="1" w:after="100" w:afterAutospacing="1" w:line="240" w:lineRule="auto"/>
        <w:rPr>
          <w:rFonts w:ascii="Times New Roman" w:hAnsi="Times New Roman" w:cs="Times New Roman"/>
        </w:rPr>
      </w:pPr>
      <w:r w:rsidRPr="00916CF6">
        <w:rPr>
          <w:rFonts w:ascii="Times New Roman" w:hAnsi="Times New Roman" w:cs="Times New Roman"/>
        </w:rPr>
        <w:t>Important characteristics:</w:t>
      </w:r>
    </w:p>
    <w:p w14:paraId="688FAAAC" w14:textId="77777777" w:rsidR="001250F3" w:rsidRDefault="001250F3" w:rsidP="001250F3">
      <w:pPr>
        <w:spacing w:before="100" w:beforeAutospacing="1" w:after="100" w:afterAutospacing="1" w:line="240" w:lineRule="auto"/>
        <w:rPr>
          <w:rFonts w:ascii="Times New Roman" w:hAnsi="Times New Roman" w:cs="Times New Roman"/>
        </w:rPr>
      </w:pPr>
      <w:r w:rsidRPr="00916CF6">
        <w:rPr>
          <w:rFonts w:ascii="Times New Roman" w:hAnsi="Times New Roman" w:cs="Times New Roman"/>
        </w:rPr>
        <w:t xml:space="preserve">• Presence of hydrogen bond donor and acceptor sites </w:t>
      </w:r>
    </w:p>
    <w:p w14:paraId="37182ED2" w14:textId="77777777" w:rsidR="001250F3" w:rsidRDefault="001250F3" w:rsidP="001250F3">
      <w:pPr>
        <w:spacing w:before="100" w:beforeAutospacing="1" w:after="100" w:afterAutospacing="1" w:line="240" w:lineRule="auto"/>
        <w:rPr>
          <w:rFonts w:ascii="Times New Roman" w:hAnsi="Times New Roman" w:cs="Times New Roman"/>
        </w:rPr>
      </w:pPr>
      <w:r w:rsidRPr="00916CF6">
        <w:rPr>
          <w:rFonts w:ascii="Times New Roman" w:hAnsi="Times New Roman" w:cs="Times New Roman"/>
        </w:rPr>
        <w:t xml:space="preserve">• Moderate polarity </w:t>
      </w:r>
    </w:p>
    <w:p w14:paraId="7A0505C8" w14:textId="77777777" w:rsidR="001250F3" w:rsidRDefault="001250F3" w:rsidP="001250F3">
      <w:pPr>
        <w:spacing w:before="100" w:beforeAutospacing="1" w:after="100" w:afterAutospacing="1" w:line="240" w:lineRule="auto"/>
        <w:rPr>
          <w:rFonts w:ascii="Times New Roman" w:hAnsi="Times New Roman" w:cs="Times New Roman"/>
        </w:rPr>
      </w:pPr>
      <w:r w:rsidRPr="00916CF6">
        <w:rPr>
          <w:rFonts w:ascii="Times New Roman" w:hAnsi="Times New Roman" w:cs="Times New Roman"/>
        </w:rPr>
        <w:t xml:space="preserve">• Ability to undergo </w:t>
      </w:r>
      <w:proofErr w:type="spellStart"/>
      <w:r w:rsidRPr="00916CF6">
        <w:rPr>
          <w:rFonts w:ascii="Times New Roman" w:hAnsi="Times New Roman" w:cs="Times New Roman"/>
        </w:rPr>
        <w:t>keto</w:t>
      </w:r>
      <w:proofErr w:type="spellEnd"/>
      <w:r w:rsidRPr="00916CF6">
        <w:rPr>
          <w:rFonts w:ascii="Times New Roman" w:hAnsi="Times New Roman" w:cs="Times New Roman"/>
        </w:rPr>
        <w:t>–</w:t>
      </w:r>
      <w:proofErr w:type="spellStart"/>
      <w:r w:rsidRPr="00916CF6">
        <w:rPr>
          <w:rFonts w:ascii="Times New Roman" w:hAnsi="Times New Roman" w:cs="Times New Roman"/>
        </w:rPr>
        <w:t>enol</w:t>
      </w:r>
      <w:proofErr w:type="spellEnd"/>
      <w:r w:rsidRPr="00916CF6">
        <w:rPr>
          <w:rFonts w:ascii="Times New Roman" w:hAnsi="Times New Roman" w:cs="Times New Roman"/>
        </w:rPr>
        <w:t xml:space="preserve"> tautomerism </w:t>
      </w:r>
    </w:p>
    <w:p w14:paraId="65DBBBC1" w14:textId="2DBBBDDF" w:rsidR="001250F3" w:rsidRPr="00916CF6" w:rsidRDefault="001250F3" w:rsidP="001250F3">
      <w:pPr>
        <w:spacing w:before="100" w:beforeAutospacing="1" w:after="100" w:afterAutospacing="1" w:line="240" w:lineRule="auto"/>
        <w:rPr>
          <w:rFonts w:ascii="Times New Roman" w:hAnsi="Times New Roman" w:cs="Times New Roman"/>
        </w:rPr>
      </w:pPr>
      <w:r w:rsidRPr="00916CF6">
        <w:rPr>
          <w:rFonts w:ascii="Times New Roman" w:hAnsi="Times New Roman" w:cs="Times New Roman"/>
        </w:rPr>
        <w:t>• Good synthetic accessibility • High metabolic stability</w:t>
      </w:r>
    </w:p>
    <w:p w14:paraId="39BEC177" w14:textId="77777777" w:rsidR="001250F3" w:rsidRDefault="001250F3" w:rsidP="001250F3">
      <w:pPr>
        <w:spacing w:before="100" w:beforeAutospacing="1" w:after="100" w:afterAutospacing="1" w:line="240" w:lineRule="auto"/>
        <w:rPr>
          <w:rFonts w:ascii="Times New Roman" w:hAnsi="Times New Roman" w:cs="Times New Roman"/>
        </w:rPr>
      </w:pPr>
      <w:r w:rsidRPr="00916CF6">
        <w:rPr>
          <w:rFonts w:ascii="Times New Roman" w:hAnsi="Times New Roman" w:cs="Times New Roman"/>
        </w:rPr>
        <w:t>These properties contribute significantly to interactions with biological targets.</w:t>
      </w:r>
    </w:p>
    <w:p w14:paraId="4D179E06" w14:textId="77777777" w:rsidR="001250F3" w:rsidRPr="00916CF6" w:rsidRDefault="001250F3" w:rsidP="001250F3">
      <w:pPr>
        <w:spacing w:before="100" w:beforeAutospacing="1" w:after="100" w:afterAutospacing="1" w:line="240" w:lineRule="auto"/>
        <w:outlineLvl w:val="1"/>
        <w:rPr>
          <w:rFonts w:ascii="Times New Roman" w:hAnsi="Times New Roman" w:cs="Times New Roman"/>
          <w:b/>
        </w:rPr>
      </w:pPr>
      <w:r w:rsidRPr="00916CF6">
        <w:rPr>
          <w:rFonts w:ascii="Times New Roman" w:hAnsi="Times New Roman" w:cs="Times New Roman"/>
          <w:b/>
        </w:rPr>
        <w:lastRenderedPageBreak/>
        <w:t>Broad Spectrum Antimicrobial Activity</w:t>
      </w:r>
    </w:p>
    <w:p w14:paraId="1E16359B" w14:textId="77777777" w:rsidR="001250F3" w:rsidRPr="00916CF6" w:rsidRDefault="001250F3" w:rsidP="001250F3">
      <w:pPr>
        <w:spacing w:after="0" w:line="360" w:lineRule="auto"/>
        <w:rPr>
          <w:rFonts w:ascii="Times New Roman" w:hAnsi="Times New Roman" w:cs="Times New Roman"/>
        </w:rPr>
      </w:pPr>
      <w:r w:rsidRPr="00916CF6">
        <w:rPr>
          <w:rFonts w:ascii="Times New Roman" w:hAnsi="Times New Roman" w:cs="Times New Roman"/>
        </w:rPr>
        <w:t>Hydantoin derivatives possess broad-spectrum antimicrobial effects against:</w:t>
      </w:r>
    </w:p>
    <w:p w14:paraId="5F3B210E" w14:textId="0D620059" w:rsidR="001250F3" w:rsidRPr="00916CF6" w:rsidRDefault="001250F3" w:rsidP="001250F3">
      <w:pPr>
        <w:spacing w:after="0" w:line="360" w:lineRule="auto"/>
        <w:outlineLvl w:val="2"/>
        <w:rPr>
          <w:rFonts w:ascii="Times New Roman" w:hAnsi="Times New Roman" w:cs="Times New Roman"/>
          <w:b/>
        </w:rPr>
      </w:pPr>
      <w:r w:rsidRPr="00916CF6">
        <w:rPr>
          <w:rFonts w:ascii="Times New Roman" w:hAnsi="Times New Roman" w:cs="Times New Roman"/>
          <w:b/>
        </w:rPr>
        <w:t>Gram-positive bacteria</w:t>
      </w:r>
    </w:p>
    <w:p w14:paraId="7A700BDF" w14:textId="77777777" w:rsidR="001250F3" w:rsidRPr="00916CF6" w:rsidRDefault="001250F3" w:rsidP="001250F3">
      <w:pPr>
        <w:spacing w:after="0" w:line="360" w:lineRule="auto"/>
        <w:ind w:left="720"/>
        <w:rPr>
          <w:rFonts w:ascii="Times New Roman" w:eastAsia="Times New Roman" w:hAnsi="Times New Roman" w:cs="Times New Roman"/>
        </w:rPr>
      </w:pPr>
      <w:r w:rsidRPr="00916CF6">
        <w:rPr>
          <w:rFonts w:ascii="Times New Roman" w:eastAsia="Times New Roman" w:hAnsi="Times New Roman" w:cs="Times New Roman"/>
        </w:rPr>
        <w:t xml:space="preserve">Staphylococcus </w:t>
      </w:r>
      <w:proofErr w:type="spellStart"/>
      <w:r w:rsidRPr="00916CF6">
        <w:rPr>
          <w:rFonts w:ascii="Times New Roman" w:eastAsia="Times New Roman" w:hAnsi="Times New Roman" w:cs="Times New Roman"/>
        </w:rPr>
        <w:t>aureus</w:t>
      </w:r>
      <w:proofErr w:type="spellEnd"/>
    </w:p>
    <w:p w14:paraId="37845888" w14:textId="77777777" w:rsidR="001250F3" w:rsidRPr="00916CF6" w:rsidRDefault="001250F3" w:rsidP="001250F3">
      <w:pPr>
        <w:spacing w:after="0" w:line="360" w:lineRule="auto"/>
        <w:ind w:left="720"/>
        <w:rPr>
          <w:rFonts w:ascii="Times New Roman" w:eastAsia="Times New Roman" w:hAnsi="Times New Roman" w:cs="Times New Roman"/>
        </w:rPr>
      </w:pPr>
      <w:r w:rsidRPr="00916CF6">
        <w:rPr>
          <w:rFonts w:ascii="Times New Roman" w:eastAsia="Times New Roman" w:hAnsi="Times New Roman" w:cs="Times New Roman"/>
        </w:rPr>
        <w:t xml:space="preserve">Bacillus </w:t>
      </w:r>
      <w:proofErr w:type="spellStart"/>
      <w:r w:rsidRPr="00916CF6">
        <w:rPr>
          <w:rFonts w:ascii="Times New Roman" w:eastAsia="Times New Roman" w:hAnsi="Times New Roman" w:cs="Times New Roman"/>
        </w:rPr>
        <w:t>subtilis</w:t>
      </w:r>
      <w:proofErr w:type="spellEnd"/>
    </w:p>
    <w:p w14:paraId="6B45303F" w14:textId="77777777" w:rsidR="001250F3" w:rsidRPr="00916CF6" w:rsidRDefault="001250F3" w:rsidP="001250F3">
      <w:pPr>
        <w:spacing w:after="0" w:line="360" w:lineRule="auto"/>
        <w:outlineLvl w:val="2"/>
        <w:rPr>
          <w:rFonts w:ascii="Times New Roman" w:eastAsia="Times New Roman" w:hAnsi="Times New Roman" w:cs="Times New Roman"/>
          <w:b/>
          <w:bCs/>
          <w:sz w:val="27"/>
          <w:szCs w:val="27"/>
        </w:rPr>
      </w:pPr>
      <w:r w:rsidRPr="00916CF6">
        <w:rPr>
          <w:rFonts w:ascii="Times New Roman" w:eastAsia="Times New Roman" w:hAnsi="Times New Roman" w:cs="Times New Roman"/>
          <w:b/>
          <w:bCs/>
          <w:sz w:val="27"/>
          <w:szCs w:val="27"/>
        </w:rPr>
        <w:t>Gram-negative bacteria</w:t>
      </w:r>
    </w:p>
    <w:p w14:paraId="61FFC0B6" w14:textId="77777777" w:rsidR="001250F3" w:rsidRPr="00916CF6" w:rsidRDefault="001250F3" w:rsidP="001250F3">
      <w:pPr>
        <w:spacing w:after="0" w:line="360" w:lineRule="auto"/>
        <w:ind w:left="720"/>
        <w:rPr>
          <w:rFonts w:ascii="Times New Roman" w:eastAsia="Times New Roman" w:hAnsi="Times New Roman" w:cs="Times New Roman"/>
        </w:rPr>
      </w:pPr>
      <w:r w:rsidRPr="00916CF6">
        <w:rPr>
          <w:rFonts w:ascii="Times New Roman" w:eastAsia="Times New Roman" w:hAnsi="Times New Roman" w:cs="Times New Roman"/>
        </w:rPr>
        <w:t>Escherichia coli</w:t>
      </w:r>
    </w:p>
    <w:p w14:paraId="2B90EBB9" w14:textId="77777777" w:rsidR="001250F3" w:rsidRPr="00916CF6" w:rsidRDefault="001250F3" w:rsidP="001250F3">
      <w:pPr>
        <w:spacing w:after="0" w:line="360" w:lineRule="auto"/>
        <w:ind w:left="720"/>
        <w:rPr>
          <w:rFonts w:ascii="Times New Roman" w:eastAsia="Times New Roman" w:hAnsi="Times New Roman" w:cs="Times New Roman"/>
        </w:rPr>
      </w:pPr>
      <w:r w:rsidRPr="00916CF6">
        <w:rPr>
          <w:rFonts w:ascii="Times New Roman" w:eastAsia="Times New Roman" w:hAnsi="Times New Roman" w:cs="Times New Roman"/>
        </w:rPr>
        <w:t>Pseudomonas aeruginosa</w:t>
      </w:r>
    </w:p>
    <w:p w14:paraId="71AFD75E" w14:textId="77777777" w:rsidR="001250F3" w:rsidRPr="00916CF6" w:rsidRDefault="001250F3" w:rsidP="001250F3">
      <w:pPr>
        <w:spacing w:after="0" w:line="360" w:lineRule="auto"/>
        <w:outlineLvl w:val="2"/>
        <w:rPr>
          <w:rFonts w:ascii="Times New Roman" w:eastAsia="Times New Roman" w:hAnsi="Times New Roman" w:cs="Times New Roman"/>
          <w:b/>
          <w:bCs/>
          <w:sz w:val="27"/>
          <w:szCs w:val="27"/>
        </w:rPr>
      </w:pPr>
      <w:r w:rsidRPr="00916CF6">
        <w:rPr>
          <w:rFonts w:ascii="Times New Roman" w:eastAsia="Times New Roman" w:hAnsi="Times New Roman" w:cs="Times New Roman"/>
          <w:b/>
          <w:bCs/>
          <w:sz w:val="27"/>
          <w:szCs w:val="27"/>
        </w:rPr>
        <w:t>Fungi</w:t>
      </w:r>
    </w:p>
    <w:p w14:paraId="77B53337" w14:textId="77777777" w:rsidR="001250F3" w:rsidRPr="00916CF6" w:rsidRDefault="001250F3" w:rsidP="001250F3">
      <w:pPr>
        <w:spacing w:after="0" w:line="360" w:lineRule="auto"/>
        <w:ind w:left="720"/>
        <w:rPr>
          <w:rFonts w:ascii="Times New Roman" w:eastAsia="Times New Roman" w:hAnsi="Times New Roman" w:cs="Times New Roman"/>
        </w:rPr>
      </w:pPr>
      <w:r w:rsidRPr="00916CF6">
        <w:rPr>
          <w:rFonts w:ascii="Times New Roman" w:eastAsia="Times New Roman" w:hAnsi="Times New Roman" w:cs="Times New Roman"/>
        </w:rPr>
        <w:t xml:space="preserve">Candida </w:t>
      </w:r>
      <w:proofErr w:type="spellStart"/>
      <w:r w:rsidRPr="00916CF6">
        <w:rPr>
          <w:rFonts w:ascii="Times New Roman" w:eastAsia="Times New Roman" w:hAnsi="Times New Roman" w:cs="Times New Roman"/>
        </w:rPr>
        <w:t>albicans</w:t>
      </w:r>
      <w:proofErr w:type="spellEnd"/>
    </w:p>
    <w:p w14:paraId="7D7ACDA6" w14:textId="77777777" w:rsidR="001250F3" w:rsidRPr="00916CF6" w:rsidRDefault="001250F3" w:rsidP="001250F3">
      <w:pPr>
        <w:spacing w:after="0" w:line="360" w:lineRule="auto"/>
        <w:ind w:left="720"/>
        <w:rPr>
          <w:rFonts w:ascii="Times New Roman" w:eastAsia="Times New Roman" w:hAnsi="Times New Roman" w:cs="Times New Roman"/>
        </w:rPr>
      </w:pPr>
      <w:proofErr w:type="spellStart"/>
      <w:r w:rsidRPr="00916CF6">
        <w:rPr>
          <w:rFonts w:ascii="Times New Roman" w:eastAsia="Times New Roman" w:hAnsi="Times New Roman" w:cs="Times New Roman"/>
        </w:rPr>
        <w:t>Aspergillus</w:t>
      </w:r>
      <w:proofErr w:type="spellEnd"/>
      <w:r w:rsidRPr="00916CF6">
        <w:rPr>
          <w:rFonts w:ascii="Times New Roman" w:eastAsia="Times New Roman" w:hAnsi="Times New Roman" w:cs="Times New Roman"/>
        </w:rPr>
        <w:t xml:space="preserve"> species</w:t>
      </w:r>
    </w:p>
    <w:p w14:paraId="6B30560F" w14:textId="77777777" w:rsidR="001250F3" w:rsidRPr="00916CF6" w:rsidRDefault="001250F3" w:rsidP="001250F3">
      <w:pPr>
        <w:spacing w:after="0" w:line="360" w:lineRule="auto"/>
        <w:rPr>
          <w:rFonts w:ascii="Times New Roman" w:eastAsia="Times New Roman" w:hAnsi="Times New Roman" w:cs="Times New Roman"/>
        </w:rPr>
      </w:pPr>
      <w:r w:rsidRPr="00916CF6">
        <w:rPr>
          <w:rFonts w:ascii="Times New Roman" w:eastAsia="Times New Roman" w:hAnsi="Times New Roman" w:cs="Times New Roman"/>
        </w:rPr>
        <w:t>Possible mechanisms include:</w:t>
      </w:r>
    </w:p>
    <w:p w14:paraId="386267EC" w14:textId="77777777" w:rsidR="001250F3" w:rsidRPr="00916CF6" w:rsidRDefault="001250F3" w:rsidP="001250F3">
      <w:pPr>
        <w:numPr>
          <w:ilvl w:val="0"/>
          <w:numId w:val="36"/>
        </w:numPr>
        <w:spacing w:after="0" w:line="360" w:lineRule="auto"/>
        <w:rPr>
          <w:rFonts w:ascii="Times New Roman" w:eastAsia="Times New Roman" w:hAnsi="Times New Roman" w:cs="Times New Roman"/>
        </w:rPr>
      </w:pPr>
      <w:r w:rsidRPr="00916CF6">
        <w:rPr>
          <w:rFonts w:ascii="Times New Roman" w:eastAsia="Times New Roman" w:hAnsi="Times New Roman" w:cs="Times New Roman"/>
        </w:rPr>
        <w:t>Cell wall disruption</w:t>
      </w:r>
    </w:p>
    <w:p w14:paraId="3239A6EC" w14:textId="77777777" w:rsidR="001250F3" w:rsidRPr="00916CF6" w:rsidRDefault="001250F3" w:rsidP="001250F3">
      <w:pPr>
        <w:numPr>
          <w:ilvl w:val="0"/>
          <w:numId w:val="36"/>
        </w:numPr>
        <w:spacing w:after="0" w:line="360" w:lineRule="auto"/>
        <w:rPr>
          <w:rFonts w:ascii="Times New Roman" w:eastAsia="Times New Roman" w:hAnsi="Times New Roman" w:cs="Times New Roman"/>
        </w:rPr>
      </w:pPr>
      <w:r w:rsidRPr="00916CF6">
        <w:rPr>
          <w:rFonts w:ascii="Times New Roman" w:eastAsia="Times New Roman" w:hAnsi="Times New Roman" w:cs="Times New Roman"/>
        </w:rPr>
        <w:t>Membrane damage</w:t>
      </w:r>
    </w:p>
    <w:p w14:paraId="68C56B92" w14:textId="77777777" w:rsidR="001250F3" w:rsidRPr="00916CF6" w:rsidRDefault="001250F3" w:rsidP="001250F3">
      <w:pPr>
        <w:numPr>
          <w:ilvl w:val="0"/>
          <w:numId w:val="36"/>
        </w:numPr>
        <w:spacing w:after="0" w:line="360" w:lineRule="auto"/>
        <w:rPr>
          <w:rFonts w:ascii="Times New Roman" w:eastAsia="Times New Roman" w:hAnsi="Times New Roman" w:cs="Times New Roman"/>
        </w:rPr>
      </w:pPr>
      <w:r w:rsidRPr="00916CF6">
        <w:rPr>
          <w:rFonts w:ascii="Times New Roman" w:eastAsia="Times New Roman" w:hAnsi="Times New Roman" w:cs="Times New Roman"/>
        </w:rPr>
        <w:t>Enzyme inhibition</w:t>
      </w:r>
    </w:p>
    <w:p w14:paraId="78BCB6F2" w14:textId="77777777" w:rsidR="001250F3" w:rsidRPr="00916CF6" w:rsidRDefault="001250F3" w:rsidP="001250F3">
      <w:pPr>
        <w:numPr>
          <w:ilvl w:val="0"/>
          <w:numId w:val="36"/>
        </w:numPr>
        <w:spacing w:after="0" w:line="360" w:lineRule="auto"/>
        <w:rPr>
          <w:rFonts w:ascii="Times New Roman" w:eastAsia="Times New Roman" w:hAnsi="Times New Roman" w:cs="Times New Roman"/>
        </w:rPr>
      </w:pPr>
      <w:r w:rsidRPr="00916CF6">
        <w:rPr>
          <w:rFonts w:ascii="Times New Roman" w:eastAsia="Times New Roman" w:hAnsi="Times New Roman" w:cs="Times New Roman"/>
        </w:rPr>
        <w:t>Interference with DNA synthesis</w:t>
      </w:r>
    </w:p>
    <w:p w14:paraId="7AC36C3A" w14:textId="77777777" w:rsidR="001250F3" w:rsidRPr="00916CF6" w:rsidRDefault="001250F3" w:rsidP="001250F3">
      <w:pPr>
        <w:numPr>
          <w:ilvl w:val="0"/>
          <w:numId w:val="36"/>
        </w:numPr>
        <w:spacing w:after="0" w:line="360" w:lineRule="auto"/>
        <w:rPr>
          <w:rFonts w:ascii="Times New Roman" w:eastAsia="Times New Roman" w:hAnsi="Times New Roman" w:cs="Times New Roman"/>
        </w:rPr>
      </w:pPr>
      <w:r w:rsidRPr="00916CF6">
        <w:rPr>
          <w:rFonts w:ascii="Times New Roman" w:eastAsia="Times New Roman" w:hAnsi="Times New Roman" w:cs="Times New Roman"/>
        </w:rPr>
        <w:t>Protein synthesis inhibition</w:t>
      </w:r>
    </w:p>
    <w:p w14:paraId="7B73C568" w14:textId="5C97EBEA" w:rsidR="001250F3" w:rsidRPr="00176F59" w:rsidRDefault="001250F3" w:rsidP="001250F3">
      <w:pPr>
        <w:spacing w:before="100" w:beforeAutospacing="1" w:after="100" w:afterAutospacing="1" w:line="360" w:lineRule="auto"/>
        <w:rPr>
          <w:rFonts w:ascii="Times New Roman" w:hAnsi="Times New Roman" w:cs="Times New Roman"/>
        </w:rPr>
      </w:pPr>
      <w:r w:rsidRPr="00916CF6">
        <w:rPr>
          <w:rFonts w:ascii="Times New Roman" w:eastAsia="Times New Roman" w:hAnsi="Times New Roman" w:cs="Times New Roman"/>
        </w:rPr>
        <w:t>Aromatic substitutions frequently improve antimicrobial activity because of increased hydrophobic interactions with microbial membranes.</w:t>
      </w:r>
    </w:p>
    <w:p w14:paraId="3F45D183" w14:textId="77777777" w:rsidR="00986591" w:rsidRPr="00176F59" w:rsidRDefault="001C1524" w:rsidP="00176F59">
      <w:pPr>
        <w:spacing w:after="120" w:line="360" w:lineRule="auto"/>
        <w:jc w:val="both"/>
        <w:rPr>
          <w:rFonts w:ascii="Times New Roman" w:hAnsi="Times New Roman" w:cs="Times New Roman"/>
          <w:b/>
          <w:bCs/>
        </w:rPr>
      </w:pPr>
      <w:r w:rsidRPr="00176F59">
        <w:rPr>
          <w:rFonts w:ascii="Times New Roman" w:hAnsi="Times New Roman" w:cs="Times New Roman"/>
          <w:b/>
          <w:bCs/>
        </w:rPr>
        <w:t>4.2 Quinoline Derivatives</w:t>
      </w:r>
    </w:p>
    <w:p w14:paraId="0BFF658E" w14:textId="7FECECD0" w:rsidR="001C1524" w:rsidRPr="00176F59" w:rsidRDefault="001C1524" w:rsidP="00176F59">
      <w:pPr>
        <w:spacing w:after="120" w:line="360" w:lineRule="auto"/>
        <w:jc w:val="both"/>
        <w:rPr>
          <w:rFonts w:ascii="Times New Roman" w:hAnsi="Times New Roman" w:cs="Times New Roman"/>
        </w:rPr>
      </w:pPr>
      <w:r w:rsidRPr="00176F59">
        <w:rPr>
          <w:rFonts w:ascii="Times New Roman" w:hAnsi="Times New Roman" w:cs="Times New Roman"/>
        </w:rPr>
        <w:t>Quinoline-based compounds represent one of the most extensively investigated heterocyclic systems in antimicrobial drug discovery. These compounds are well known for their potent antibacterial and antimalarial activities and are present in several clinically approved drugs.</w:t>
      </w:r>
    </w:p>
    <w:p w14:paraId="5FE7B3B4" w14:textId="77777777" w:rsidR="001C1524" w:rsidRPr="00176F59" w:rsidRDefault="001C1524" w:rsidP="00176F59">
      <w:pPr>
        <w:spacing w:after="120" w:line="360" w:lineRule="auto"/>
        <w:jc w:val="both"/>
        <w:rPr>
          <w:rFonts w:ascii="Times New Roman" w:hAnsi="Times New Roman" w:cs="Times New Roman"/>
        </w:rPr>
      </w:pPr>
      <w:r w:rsidRPr="00176F59">
        <w:rPr>
          <w:rFonts w:ascii="Times New Roman" w:hAnsi="Times New Roman" w:cs="Times New Roman"/>
        </w:rPr>
        <w:t>Quinoline derivatives primarily exert their antimicrobial effects by interfering with DNA replication and transcription processes, as well as inhibiting key enzymes involved in nucleic acid synthesis. Structural modifications of the quinoline core, particularly through substitution at specific positions, have been shown to significantly enhance biological activity, selectivity, and efficacy against resistant strains (Kaur et al., 2010).</w:t>
      </w:r>
    </w:p>
    <w:p w14:paraId="4CC0A649" w14:textId="034F979E" w:rsidR="001C1524" w:rsidRPr="00176F59" w:rsidRDefault="001C1524" w:rsidP="00176F59">
      <w:pPr>
        <w:spacing w:after="120" w:line="360" w:lineRule="auto"/>
        <w:jc w:val="both"/>
        <w:rPr>
          <w:rFonts w:ascii="Times New Roman" w:hAnsi="Times New Roman" w:cs="Times New Roman"/>
        </w:rPr>
      </w:pPr>
      <w:r w:rsidRPr="00176F59">
        <w:rPr>
          <w:rFonts w:ascii="Times New Roman" w:hAnsi="Times New Roman" w:cs="Times New Roman"/>
        </w:rPr>
        <w:lastRenderedPageBreak/>
        <w:t>Recent studies further indicate that quinoline derivatives exhibit notable activity against multidrug-resistant (MDR) pathogens, making them valuable candidates in the development of novel antimicrobial therapies. However, challenges related to toxicity and resistance development necessitate continued optimization and combination strategies.</w:t>
      </w:r>
    </w:p>
    <w:p w14:paraId="792AE557" w14:textId="77777777" w:rsidR="00986591" w:rsidRPr="00176F59" w:rsidRDefault="001C1524" w:rsidP="00176F59">
      <w:pPr>
        <w:spacing w:after="120" w:line="360" w:lineRule="auto"/>
        <w:jc w:val="both"/>
        <w:rPr>
          <w:rFonts w:ascii="Times New Roman" w:hAnsi="Times New Roman" w:cs="Times New Roman"/>
          <w:b/>
          <w:bCs/>
        </w:rPr>
      </w:pPr>
      <w:r w:rsidRPr="00176F59">
        <w:rPr>
          <w:rFonts w:ascii="Times New Roman" w:hAnsi="Times New Roman" w:cs="Times New Roman"/>
          <w:b/>
          <w:bCs/>
        </w:rPr>
        <w:t>4.3 Triazole Derivatives</w:t>
      </w:r>
    </w:p>
    <w:p w14:paraId="15B80C99" w14:textId="429BDF1A" w:rsidR="001C1524" w:rsidRDefault="001C1524" w:rsidP="00176F59">
      <w:pPr>
        <w:spacing w:after="120" w:line="360" w:lineRule="auto"/>
        <w:jc w:val="both"/>
        <w:rPr>
          <w:rFonts w:ascii="Times New Roman" w:hAnsi="Times New Roman" w:cs="Times New Roman"/>
        </w:rPr>
      </w:pPr>
      <w:r w:rsidRPr="00176F59">
        <w:rPr>
          <w:rFonts w:ascii="Times New Roman" w:hAnsi="Times New Roman" w:cs="Times New Roman"/>
        </w:rPr>
        <w:t>Triazole derivatives, especially 1</w:t>
      </w:r>
      <w:proofErr w:type="gramStart"/>
      <w:r w:rsidRPr="00176F59">
        <w:rPr>
          <w:rFonts w:ascii="Times New Roman" w:hAnsi="Times New Roman" w:cs="Times New Roman"/>
        </w:rPr>
        <w:t>,2,3</w:t>
      </w:r>
      <w:proofErr w:type="gramEnd"/>
      <w:r w:rsidRPr="00176F59">
        <w:rPr>
          <w:rFonts w:ascii="Times New Roman" w:hAnsi="Times New Roman" w:cs="Times New Roman"/>
        </w:rPr>
        <w:t>-triazoles, are widely recognized for their remarkable chemical stability, bioavailability, and strong binding interactions with biological targets. These compounds are extensively utilized in antifungal and antibacterial drug development due to their ability to form hydrogen bonds and engage in π–π interactions with target proteins (Zhang et al., 201</w:t>
      </w:r>
      <w:r w:rsidR="00BB432B" w:rsidRPr="00176F59">
        <w:rPr>
          <w:rFonts w:ascii="Times New Roman" w:hAnsi="Times New Roman" w:cs="Times New Roman"/>
        </w:rPr>
        <w:t>9</w:t>
      </w:r>
      <w:r w:rsidRPr="00176F59">
        <w:rPr>
          <w:rFonts w:ascii="Times New Roman" w:hAnsi="Times New Roman" w:cs="Times New Roman"/>
        </w:rPr>
        <w:t>).</w:t>
      </w:r>
    </w:p>
    <w:p w14:paraId="65B3D8B0" w14:textId="77777777" w:rsidR="001250F3" w:rsidRPr="001250F3" w:rsidRDefault="001250F3" w:rsidP="001250F3">
      <w:pPr>
        <w:spacing w:before="100" w:beforeAutospacing="1" w:after="100" w:afterAutospacing="1" w:line="360" w:lineRule="auto"/>
        <w:rPr>
          <w:rFonts w:ascii="Times New Roman" w:hAnsi="Times New Roman" w:cs="Times New Roman"/>
        </w:rPr>
      </w:pPr>
      <w:r w:rsidRPr="001250F3">
        <w:rPr>
          <w:rFonts w:ascii="Times New Roman" w:hAnsi="Times New Roman" w:cs="Times New Roman"/>
        </w:rPr>
        <w:t>A notable scientific advancement is the use of click chemistry (</w:t>
      </w:r>
      <w:proofErr w:type="spellStart"/>
      <w:r w:rsidRPr="001250F3">
        <w:rPr>
          <w:rFonts w:ascii="Times New Roman" w:hAnsi="Times New Roman" w:cs="Times New Roman"/>
        </w:rPr>
        <w:t>CuAAC</w:t>
      </w:r>
      <w:proofErr w:type="spellEnd"/>
      <w:r w:rsidRPr="001250F3">
        <w:rPr>
          <w:rFonts w:ascii="Times New Roman" w:hAnsi="Times New Roman" w:cs="Times New Roman"/>
        </w:rPr>
        <w:t xml:space="preserve">: Copper-Catalyzed </w:t>
      </w:r>
      <w:proofErr w:type="spellStart"/>
      <w:r w:rsidRPr="001250F3">
        <w:rPr>
          <w:rFonts w:ascii="Times New Roman" w:hAnsi="Times New Roman" w:cs="Times New Roman"/>
        </w:rPr>
        <w:t>Azide</w:t>
      </w:r>
      <w:proofErr w:type="spellEnd"/>
      <w:r w:rsidRPr="001250F3">
        <w:rPr>
          <w:rFonts w:ascii="Times New Roman" w:hAnsi="Times New Roman" w:cs="Times New Roman"/>
        </w:rPr>
        <w:t xml:space="preserve">–Alkyne </w:t>
      </w:r>
      <w:proofErr w:type="spellStart"/>
      <w:r w:rsidRPr="001250F3">
        <w:rPr>
          <w:rFonts w:ascii="Times New Roman" w:hAnsi="Times New Roman" w:cs="Times New Roman"/>
        </w:rPr>
        <w:t>Cycloaddition</w:t>
      </w:r>
      <w:proofErr w:type="spellEnd"/>
      <w:r w:rsidRPr="001250F3">
        <w:rPr>
          <w:rFonts w:ascii="Times New Roman" w:hAnsi="Times New Roman" w:cs="Times New Roman"/>
        </w:rPr>
        <w:t>) for rapid synthesis of 1</w:t>
      </w:r>
      <w:proofErr w:type="gramStart"/>
      <w:r w:rsidRPr="001250F3">
        <w:rPr>
          <w:rFonts w:ascii="Times New Roman" w:hAnsi="Times New Roman" w:cs="Times New Roman"/>
        </w:rPr>
        <w:t>,2,3</w:t>
      </w:r>
      <w:proofErr w:type="gramEnd"/>
      <w:r w:rsidRPr="001250F3">
        <w:rPr>
          <w:rFonts w:ascii="Times New Roman" w:hAnsi="Times New Roman" w:cs="Times New Roman"/>
        </w:rPr>
        <w:t xml:space="preserve">-triazoles. This strategy enables efficient generation of structurally diverse molecular libraries with high </w:t>
      </w:r>
      <w:proofErr w:type="spellStart"/>
      <w:r w:rsidRPr="001250F3">
        <w:rPr>
          <w:rFonts w:ascii="Times New Roman" w:hAnsi="Times New Roman" w:cs="Times New Roman"/>
        </w:rPr>
        <w:t>regioselectivity</w:t>
      </w:r>
      <w:proofErr w:type="spellEnd"/>
      <w:r w:rsidRPr="001250F3">
        <w:rPr>
          <w:rFonts w:ascii="Times New Roman" w:hAnsi="Times New Roman" w:cs="Times New Roman"/>
        </w:rPr>
        <w:t xml:space="preserve"> and minimal by-products, accelerating lead optimization in medicinal chemistry.</w:t>
      </w:r>
    </w:p>
    <w:p w14:paraId="3F8CD3B8" w14:textId="77777777" w:rsidR="001250F3" w:rsidRPr="001250F3" w:rsidRDefault="001250F3" w:rsidP="001250F3">
      <w:pPr>
        <w:spacing w:before="100" w:beforeAutospacing="1" w:after="100" w:afterAutospacing="1" w:line="360" w:lineRule="auto"/>
        <w:rPr>
          <w:rFonts w:ascii="Times New Roman" w:hAnsi="Times New Roman" w:cs="Times New Roman"/>
        </w:rPr>
      </w:pPr>
      <w:r w:rsidRPr="001250F3">
        <w:rPr>
          <w:rFonts w:ascii="Times New Roman" w:hAnsi="Times New Roman" w:cs="Times New Roman"/>
        </w:rPr>
        <w:t>Recent studies indicate that 1</w:t>
      </w:r>
      <w:proofErr w:type="gramStart"/>
      <w:r w:rsidRPr="001250F3">
        <w:rPr>
          <w:rFonts w:ascii="Times New Roman" w:hAnsi="Times New Roman" w:cs="Times New Roman"/>
        </w:rPr>
        <w:t>,2,3</w:t>
      </w:r>
      <w:proofErr w:type="gramEnd"/>
      <w:r w:rsidRPr="001250F3">
        <w:rPr>
          <w:rFonts w:ascii="Times New Roman" w:hAnsi="Times New Roman" w:cs="Times New Roman"/>
        </w:rPr>
        <w:t xml:space="preserve">-triazoles function as multifunctional </w:t>
      </w:r>
      <w:proofErr w:type="spellStart"/>
      <w:r w:rsidRPr="001250F3">
        <w:rPr>
          <w:rFonts w:ascii="Times New Roman" w:hAnsi="Times New Roman" w:cs="Times New Roman"/>
        </w:rPr>
        <w:t>pharmacophores</w:t>
      </w:r>
      <w:proofErr w:type="spellEnd"/>
      <w:r w:rsidRPr="001250F3">
        <w:rPr>
          <w:rFonts w:ascii="Times New Roman" w:hAnsi="Times New Roman" w:cs="Times New Roman"/>
        </w:rPr>
        <w:t xml:space="preserve"> rather than simple connecting units. Their nitrogen-rich aromatic ring provides a strong platform for hydrogen bonding, dipole–dipole interactions, metal coordination, and π–π stacking, improving affinity toward biological targets such as enzymes and receptors. These interactions contribute significantly to antifungal and antibacterial efficacy.</w:t>
      </w:r>
    </w:p>
    <w:p w14:paraId="18A31662" w14:textId="77777777" w:rsidR="001250F3" w:rsidRPr="001250F3" w:rsidRDefault="001250F3" w:rsidP="001250F3">
      <w:pPr>
        <w:spacing w:before="100" w:beforeAutospacing="1" w:after="100" w:afterAutospacing="1" w:line="360" w:lineRule="auto"/>
        <w:rPr>
          <w:rFonts w:ascii="Times New Roman" w:hAnsi="Times New Roman" w:cs="Times New Roman"/>
        </w:rPr>
      </w:pPr>
      <w:r w:rsidRPr="001250F3">
        <w:rPr>
          <w:rFonts w:ascii="Times New Roman" w:hAnsi="Times New Roman" w:cs="Times New Roman"/>
        </w:rPr>
        <w:t xml:space="preserve">An emerging concept is the development of hybrid </w:t>
      </w:r>
      <w:proofErr w:type="spellStart"/>
      <w:r w:rsidRPr="001250F3">
        <w:rPr>
          <w:rFonts w:ascii="Times New Roman" w:hAnsi="Times New Roman" w:cs="Times New Roman"/>
        </w:rPr>
        <w:t>triazole</w:t>
      </w:r>
      <w:proofErr w:type="spellEnd"/>
      <w:r w:rsidRPr="001250F3">
        <w:rPr>
          <w:rFonts w:ascii="Times New Roman" w:hAnsi="Times New Roman" w:cs="Times New Roman"/>
        </w:rPr>
        <w:t xml:space="preserve">-based molecules, where the </w:t>
      </w:r>
      <w:proofErr w:type="spellStart"/>
      <w:r w:rsidRPr="001250F3">
        <w:rPr>
          <w:rFonts w:ascii="Times New Roman" w:hAnsi="Times New Roman" w:cs="Times New Roman"/>
        </w:rPr>
        <w:t>triazole</w:t>
      </w:r>
      <w:proofErr w:type="spellEnd"/>
      <w:r w:rsidRPr="001250F3">
        <w:rPr>
          <w:rFonts w:ascii="Times New Roman" w:hAnsi="Times New Roman" w:cs="Times New Roman"/>
        </w:rPr>
        <w:t xml:space="preserve"> ring is integrated with pharmacologically active scaffolds such as quinoline, </w:t>
      </w:r>
      <w:proofErr w:type="spellStart"/>
      <w:r w:rsidRPr="001250F3">
        <w:rPr>
          <w:rFonts w:ascii="Times New Roman" w:hAnsi="Times New Roman" w:cs="Times New Roman"/>
        </w:rPr>
        <w:t>coumarin</w:t>
      </w:r>
      <w:proofErr w:type="spellEnd"/>
      <w:r w:rsidRPr="001250F3">
        <w:rPr>
          <w:rFonts w:ascii="Times New Roman" w:hAnsi="Times New Roman" w:cs="Times New Roman"/>
        </w:rPr>
        <w:t xml:space="preserve">, </w:t>
      </w:r>
      <w:proofErr w:type="spellStart"/>
      <w:r w:rsidRPr="001250F3">
        <w:rPr>
          <w:rFonts w:ascii="Times New Roman" w:hAnsi="Times New Roman" w:cs="Times New Roman"/>
        </w:rPr>
        <w:t>indole</w:t>
      </w:r>
      <w:proofErr w:type="spellEnd"/>
      <w:r w:rsidRPr="001250F3">
        <w:rPr>
          <w:rFonts w:ascii="Times New Roman" w:hAnsi="Times New Roman" w:cs="Times New Roman"/>
        </w:rPr>
        <w:t xml:space="preserve">, </w:t>
      </w:r>
      <w:proofErr w:type="spellStart"/>
      <w:r w:rsidRPr="001250F3">
        <w:rPr>
          <w:rFonts w:ascii="Times New Roman" w:hAnsi="Times New Roman" w:cs="Times New Roman"/>
        </w:rPr>
        <w:t>chalcone</w:t>
      </w:r>
      <w:proofErr w:type="spellEnd"/>
      <w:r w:rsidRPr="001250F3">
        <w:rPr>
          <w:rFonts w:ascii="Times New Roman" w:hAnsi="Times New Roman" w:cs="Times New Roman"/>
        </w:rPr>
        <w:t xml:space="preserve">, and </w:t>
      </w:r>
      <w:proofErr w:type="spellStart"/>
      <w:r w:rsidRPr="001250F3">
        <w:rPr>
          <w:rFonts w:ascii="Times New Roman" w:hAnsi="Times New Roman" w:cs="Times New Roman"/>
        </w:rPr>
        <w:t>benzimidazole</w:t>
      </w:r>
      <w:proofErr w:type="spellEnd"/>
      <w:r w:rsidRPr="001250F3">
        <w:rPr>
          <w:rFonts w:ascii="Times New Roman" w:hAnsi="Times New Roman" w:cs="Times New Roman"/>
        </w:rPr>
        <w:t xml:space="preserve"> systems. Such molecular hybridization can enhance target selectivity, reduce resistance, and generate synergistic biological responses.</w:t>
      </w:r>
    </w:p>
    <w:p w14:paraId="439E6D97" w14:textId="77777777" w:rsidR="001250F3" w:rsidRPr="001250F3" w:rsidRDefault="001250F3" w:rsidP="001250F3">
      <w:pPr>
        <w:spacing w:before="100" w:beforeAutospacing="1" w:after="100" w:afterAutospacing="1" w:line="360" w:lineRule="auto"/>
        <w:rPr>
          <w:rFonts w:ascii="Times New Roman" w:hAnsi="Times New Roman" w:cs="Times New Roman"/>
        </w:rPr>
      </w:pPr>
      <w:r w:rsidRPr="001250F3">
        <w:rPr>
          <w:rFonts w:ascii="Times New Roman" w:hAnsi="Times New Roman" w:cs="Times New Roman"/>
        </w:rPr>
        <w:t xml:space="preserve">Furthermore, computational approaches including molecular docking, QSAR modeling, and artificial intelligence-assisted drug design have shown that substitution patterns around the </w:t>
      </w:r>
      <w:proofErr w:type="spellStart"/>
      <w:r w:rsidRPr="001250F3">
        <w:rPr>
          <w:rFonts w:ascii="Times New Roman" w:hAnsi="Times New Roman" w:cs="Times New Roman"/>
        </w:rPr>
        <w:t>triazole</w:t>
      </w:r>
      <w:proofErr w:type="spellEnd"/>
      <w:r w:rsidRPr="001250F3">
        <w:rPr>
          <w:rFonts w:ascii="Times New Roman" w:hAnsi="Times New Roman" w:cs="Times New Roman"/>
        </w:rPr>
        <w:t xml:space="preserve"> nucleus critically influence lipophilicity, electronic distribution, and target recognition. Current research is also exploring </w:t>
      </w:r>
      <w:proofErr w:type="spellStart"/>
      <w:r w:rsidRPr="001250F3">
        <w:rPr>
          <w:rFonts w:ascii="Times New Roman" w:hAnsi="Times New Roman" w:cs="Times New Roman"/>
        </w:rPr>
        <w:t>triazole</w:t>
      </w:r>
      <w:proofErr w:type="spellEnd"/>
      <w:r w:rsidRPr="001250F3">
        <w:rPr>
          <w:rFonts w:ascii="Times New Roman" w:hAnsi="Times New Roman" w:cs="Times New Roman"/>
        </w:rPr>
        <w:t xml:space="preserve"> derivatives as multi-target antimicrobial agents, </w:t>
      </w:r>
      <w:r w:rsidRPr="001250F3">
        <w:rPr>
          <w:rFonts w:ascii="Times New Roman" w:hAnsi="Times New Roman" w:cs="Times New Roman"/>
        </w:rPr>
        <w:lastRenderedPageBreak/>
        <w:t>aiming to overcome microbial resistance through simultaneous modulation of multiple biochemical pathways.</w:t>
      </w:r>
    </w:p>
    <w:p w14:paraId="2FDF1857" w14:textId="77777777" w:rsidR="001250F3" w:rsidRPr="001250F3" w:rsidRDefault="001250F3" w:rsidP="001250F3">
      <w:pPr>
        <w:spacing w:before="100" w:beforeAutospacing="1" w:after="100" w:afterAutospacing="1" w:line="360" w:lineRule="auto"/>
        <w:rPr>
          <w:rFonts w:ascii="Times New Roman" w:hAnsi="Times New Roman" w:cs="Times New Roman"/>
        </w:rPr>
      </w:pPr>
      <w:r w:rsidRPr="001250F3">
        <w:rPr>
          <w:rFonts w:ascii="Times New Roman" w:hAnsi="Times New Roman" w:cs="Times New Roman"/>
        </w:rPr>
        <w:t>Thus, 1</w:t>
      </w:r>
      <w:proofErr w:type="gramStart"/>
      <w:r w:rsidRPr="001250F3">
        <w:rPr>
          <w:rFonts w:ascii="Times New Roman" w:hAnsi="Times New Roman" w:cs="Times New Roman"/>
        </w:rPr>
        <w:t>,2,3</w:t>
      </w:r>
      <w:proofErr w:type="gramEnd"/>
      <w:r w:rsidRPr="001250F3">
        <w:rPr>
          <w:rFonts w:ascii="Times New Roman" w:hAnsi="Times New Roman" w:cs="Times New Roman"/>
        </w:rPr>
        <w:t>-triazoles represent a next-generation scaffold with broad potential in designing innovative antimicrobial therapeutics and precision drug candidates.</w:t>
      </w:r>
    </w:p>
    <w:p w14:paraId="03F3C43A" w14:textId="77777777" w:rsidR="001250F3" w:rsidRPr="00176F59" w:rsidRDefault="001250F3" w:rsidP="00176F59">
      <w:pPr>
        <w:spacing w:after="120" w:line="360" w:lineRule="auto"/>
        <w:jc w:val="both"/>
        <w:rPr>
          <w:rFonts w:ascii="Times New Roman" w:hAnsi="Times New Roman" w:cs="Times New Roman"/>
        </w:rPr>
      </w:pPr>
    </w:p>
    <w:p w14:paraId="50C80766" w14:textId="77777777" w:rsidR="001C1524" w:rsidRPr="00176F59" w:rsidRDefault="001C1524" w:rsidP="00176F59">
      <w:pPr>
        <w:spacing w:after="120" w:line="360" w:lineRule="auto"/>
        <w:jc w:val="both"/>
        <w:rPr>
          <w:rFonts w:ascii="Times New Roman" w:hAnsi="Times New Roman" w:cs="Times New Roman"/>
        </w:rPr>
      </w:pPr>
      <w:r w:rsidRPr="00176F59">
        <w:rPr>
          <w:rFonts w:ascii="Times New Roman" w:hAnsi="Times New Roman" w:cs="Times New Roman"/>
        </w:rPr>
        <w:t xml:space="preserve">Triazoles typically act by inhibiting key enzymatic pathways and disrupting cell membrane integrity in microorganisms. Their compatibility with “click chemistry” approaches, particularly copper-catalyzed </w:t>
      </w:r>
      <w:proofErr w:type="spellStart"/>
      <w:r w:rsidRPr="00176F59">
        <w:rPr>
          <w:rFonts w:ascii="Times New Roman" w:hAnsi="Times New Roman" w:cs="Times New Roman"/>
        </w:rPr>
        <w:t>azide</w:t>
      </w:r>
      <w:proofErr w:type="spellEnd"/>
      <w:r w:rsidRPr="00176F59">
        <w:rPr>
          <w:rFonts w:ascii="Times New Roman" w:hAnsi="Times New Roman" w:cs="Times New Roman"/>
        </w:rPr>
        <w:t xml:space="preserve">–alkyne </w:t>
      </w:r>
      <w:proofErr w:type="spellStart"/>
      <w:r w:rsidRPr="00176F59">
        <w:rPr>
          <w:rFonts w:ascii="Times New Roman" w:hAnsi="Times New Roman" w:cs="Times New Roman"/>
        </w:rPr>
        <w:t>cycloaddition</w:t>
      </w:r>
      <w:proofErr w:type="spellEnd"/>
      <w:r w:rsidRPr="00176F59">
        <w:rPr>
          <w:rFonts w:ascii="Times New Roman" w:hAnsi="Times New Roman" w:cs="Times New Roman"/>
        </w:rPr>
        <w:t xml:space="preserve"> (</w:t>
      </w:r>
      <w:proofErr w:type="spellStart"/>
      <w:r w:rsidRPr="00176F59">
        <w:rPr>
          <w:rFonts w:ascii="Times New Roman" w:hAnsi="Times New Roman" w:cs="Times New Roman"/>
        </w:rPr>
        <w:t>CuAAC</w:t>
      </w:r>
      <w:proofErr w:type="spellEnd"/>
      <w:r w:rsidRPr="00176F59">
        <w:rPr>
          <w:rFonts w:ascii="Times New Roman" w:hAnsi="Times New Roman" w:cs="Times New Roman"/>
        </w:rPr>
        <w:t>), enables the efficient synthesis of structurally diverse and functionally optimized derivatives.</w:t>
      </w:r>
    </w:p>
    <w:p w14:paraId="08F40D42" w14:textId="77777777" w:rsidR="00986591" w:rsidRPr="00176F59" w:rsidRDefault="001C1524" w:rsidP="00176F59">
      <w:pPr>
        <w:spacing w:after="120" w:line="360" w:lineRule="auto"/>
        <w:jc w:val="both"/>
        <w:rPr>
          <w:rFonts w:ascii="Times New Roman" w:hAnsi="Times New Roman" w:cs="Times New Roman"/>
        </w:rPr>
      </w:pPr>
      <w:r w:rsidRPr="00176F59">
        <w:rPr>
          <w:rFonts w:ascii="Times New Roman" w:hAnsi="Times New Roman" w:cs="Times New Roman"/>
        </w:rPr>
        <w:t>Importantly, recent developments highlight that triazole-based compounds, when incorporated into hybrid pharmacophore systems, exhibit enhanced antimicrobial efficacy and improved pharmacokinetic profiles. Despite these advantages, further investigation is required to address issues related to long-term toxicity and clinical translation.</w:t>
      </w:r>
    </w:p>
    <w:p w14:paraId="0904B000" w14:textId="77777777" w:rsidR="00194FF3" w:rsidRPr="00176F59" w:rsidRDefault="00194FF3" w:rsidP="00176F59">
      <w:pPr>
        <w:spacing w:after="120" w:line="360" w:lineRule="auto"/>
        <w:jc w:val="both"/>
        <w:rPr>
          <w:rFonts w:ascii="Times New Roman" w:hAnsi="Times New Roman" w:cs="Times New Roman"/>
        </w:rPr>
      </w:pPr>
    </w:p>
    <w:p w14:paraId="4302D769" w14:textId="4130D1F9" w:rsidR="00986591" w:rsidRPr="00176F59" w:rsidRDefault="001C1524" w:rsidP="00176F59">
      <w:pPr>
        <w:spacing w:after="120" w:line="360" w:lineRule="auto"/>
        <w:jc w:val="both"/>
        <w:rPr>
          <w:rFonts w:ascii="Times New Roman" w:hAnsi="Times New Roman" w:cs="Times New Roman"/>
          <w:caps/>
        </w:rPr>
      </w:pPr>
      <w:r w:rsidRPr="00176F59">
        <w:rPr>
          <w:rFonts w:ascii="Times New Roman" w:hAnsi="Times New Roman" w:cs="Times New Roman"/>
          <w:b/>
          <w:bCs/>
          <w:caps/>
        </w:rPr>
        <w:t xml:space="preserve">5. </w:t>
      </w:r>
      <w:bookmarkStart w:id="0" w:name="_GoBack"/>
      <w:r w:rsidRPr="00176F59">
        <w:rPr>
          <w:rFonts w:ascii="Times New Roman" w:hAnsi="Times New Roman" w:cs="Times New Roman"/>
          <w:b/>
          <w:bCs/>
          <w:caps/>
        </w:rPr>
        <w:t>Hybrid Pharmacophore Strategy</w:t>
      </w:r>
      <w:bookmarkEnd w:id="0"/>
    </w:p>
    <w:p w14:paraId="5284CBD4" w14:textId="23AEC45C" w:rsidR="001C1524" w:rsidRPr="00176F59" w:rsidRDefault="001C1524" w:rsidP="00176F59">
      <w:pPr>
        <w:spacing w:after="120" w:line="360" w:lineRule="auto"/>
        <w:jc w:val="both"/>
        <w:rPr>
          <w:rFonts w:ascii="Times New Roman" w:hAnsi="Times New Roman" w:cs="Times New Roman"/>
        </w:rPr>
      </w:pPr>
      <w:r w:rsidRPr="00176F59">
        <w:rPr>
          <w:rFonts w:ascii="Times New Roman" w:hAnsi="Times New Roman" w:cs="Times New Roman"/>
        </w:rPr>
        <w:t>The hybrid pharmacophore strategy has emerged as a powerful and rational approach in modern drug design, particularly in the development of antimicrobial agents. This approach involves the integration of two or more bioactive scaffolds into a single molecular framework, with the aim of combining their individual pharmacological properties to achieve enhanced biological activity and improved therapeutic efficacy (</w:t>
      </w:r>
      <w:r w:rsidR="00F045C2" w:rsidRPr="00176F59">
        <w:rPr>
          <w:rFonts w:ascii="Times New Roman" w:hAnsi="Times New Roman" w:cs="Times New Roman"/>
        </w:rPr>
        <w:t xml:space="preserve">Shaveta </w:t>
      </w:r>
      <w:r w:rsidRPr="00176F59">
        <w:rPr>
          <w:rFonts w:ascii="Times New Roman" w:hAnsi="Times New Roman" w:cs="Times New Roman"/>
        </w:rPr>
        <w:t>et al., 201</w:t>
      </w:r>
      <w:r w:rsidR="00F045C2" w:rsidRPr="00176F59">
        <w:rPr>
          <w:rFonts w:ascii="Times New Roman" w:hAnsi="Times New Roman" w:cs="Times New Roman"/>
        </w:rPr>
        <w:t>6</w:t>
      </w:r>
      <w:r w:rsidRPr="00176F59">
        <w:rPr>
          <w:rFonts w:ascii="Times New Roman" w:hAnsi="Times New Roman" w:cs="Times New Roman"/>
        </w:rPr>
        <w:t>).</w:t>
      </w:r>
    </w:p>
    <w:p w14:paraId="4B8C55B0" w14:textId="77777777" w:rsidR="001C1524" w:rsidRPr="00176F59" w:rsidRDefault="001C1524" w:rsidP="00176F59">
      <w:pPr>
        <w:spacing w:after="120" w:line="360" w:lineRule="auto"/>
        <w:jc w:val="both"/>
        <w:rPr>
          <w:rFonts w:ascii="Times New Roman" w:hAnsi="Times New Roman" w:cs="Times New Roman"/>
        </w:rPr>
      </w:pPr>
      <w:r w:rsidRPr="00176F59">
        <w:rPr>
          <w:rFonts w:ascii="Times New Roman" w:hAnsi="Times New Roman" w:cs="Times New Roman"/>
        </w:rPr>
        <w:t>Hybrid molecules offer several advantages over conventional single-scaffold compounds. By simultaneously targeting multiple biological pathways, they reduce the likelihood of resistance development and enhance overall antimicrobial potency. Additionally, hybridization can improve key physicochemical and pharmacokinetic properties, including solubility, metabolic stability, and bioavailability, thereby increasing drug-likeness and therapeutic potential.</w:t>
      </w:r>
    </w:p>
    <w:p w14:paraId="506C78DE" w14:textId="2AFCD9AE" w:rsidR="00194FF3" w:rsidRPr="00176F59" w:rsidRDefault="001C1524" w:rsidP="00176F59">
      <w:pPr>
        <w:spacing w:after="120" w:line="360" w:lineRule="auto"/>
        <w:jc w:val="both"/>
        <w:rPr>
          <w:rFonts w:ascii="Times New Roman" w:hAnsi="Times New Roman" w:cs="Times New Roman"/>
        </w:rPr>
      </w:pPr>
      <w:r w:rsidRPr="00176F59">
        <w:rPr>
          <w:rFonts w:ascii="Times New Roman" w:hAnsi="Times New Roman" w:cs="Times New Roman"/>
        </w:rPr>
        <w:t xml:space="preserve">Among various hybrid systems, quinoline–triazole hybrids have gained particular attention due to their synergistic effects. The quinoline moiety contributes strong antimicrobial activity through interference with DNA replication and enzymatic processes, while the triazole ring </w:t>
      </w:r>
      <w:r w:rsidRPr="00176F59">
        <w:rPr>
          <w:rFonts w:ascii="Times New Roman" w:hAnsi="Times New Roman" w:cs="Times New Roman"/>
        </w:rPr>
        <w:lastRenderedPageBreak/>
        <w:t>enhances binding affinity, metabolic stability, and target specificity (Kaur et al., 2010;</w:t>
      </w:r>
      <w:r w:rsidRPr="00176F59">
        <w:rPr>
          <w:rFonts w:ascii="Times New Roman" w:hAnsi="Times New Roman" w:cs="Times New Roman"/>
          <w:b/>
          <w:bCs/>
        </w:rPr>
        <w:t xml:space="preserve"> </w:t>
      </w:r>
      <w:r w:rsidRPr="00176F59">
        <w:rPr>
          <w:rFonts w:ascii="Times New Roman" w:hAnsi="Times New Roman" w:cs="Times New Roman"/>
        </w:rPr>
        <w:t>Zhang et al., 201</w:t>
      </w:r>
      <w:r w:rsidR="00BB432B" w:rsidRPr="00176F59">
        <w:rPr>
          <w:rFonts w:ascii="Times New Roman" w:hAnsi="Times New Roman" w:cs="Times New Roman"/>
        </w:rPr>
        <w:t>9</w:t>
      </w:r>
      <w:r w:rsidRPr="00176F59">
        <w:rPr>
          <w:rFonts w:ascii="Times New Roman" w:hAnsi="Times New Roman" w:cs="Times New Roman"/>
        </w:rPr>
        <w:t>). The integration of these scaffolds often results in compounds with superior antimicrobial and antibiofilm activity compared to their individual counterparts.</w:t>
      </w:r>
    </w:p>
    <w:p w14:paraId="21BED6BE" w14:textId="77777777" w:rsidR="001C1524" w:rsidRPr="00176F59" w:rsidRDefault="001C1524" w:rsidP="00176F59">
      <w:pPr>
        <w:spacing w:after="120" w:line="360" w:lineRule="auto"/>
        <w:jc w:val="both"/>
        <w:rPr>
          <w:rFonts w:ascii="Times New Roman" w:hAnsi="Times New Roman" w:cs="Times New Roman"/>
        </w:rPr>
      </w:pPr>
      <w:r w:rsidRPr="00176F59">
        <w:rPr>
          <w:rFonts w:ascii="Times New Roman" w:hAnsi="Times New Roman" w:cs="Times New Roman"/>
        </w:rPr>
        <w:t>Recent studies have demonstrated that hybrid heterocyclic compounds exhibit enhanced efficacy against multidrug-resistant (MDR) pathogens and are capable of simultaneously disrupting biofilm formation and quorum sensing pathways. This dual or multi-target mechanism is particularly advantageous in addressing complex resistance mechanisms and persistent infections.</w:t>
      </w:r>
    </w:p>
    <w:p w14:paraId="314102C7" w14:textId="77777777" w:rsidR="001C1524" w:rsidRPr="00176F59" w:rsidRDefault="001C1524" w:rsidP="00176F59">
      <w:pPr>
        <w:spacing w:after="120" w:line="360" w:lineRule="auto"/>
        <w:jc w:val="both"/>
        <w:rPr>
          <w:rFonts w:ascii="Times New Roman" w:hAnsi="Times New Roman" w:cs="Times New Roman"/>
        </w:rPr>
      </w:pPr>
      <w:r w:rsidRPr="00176F59">
        <w:rPr>
          <w:rFonts w:ascii="Times New Roman" w:hAnsi="Times New Roman" w:cs="Times New Roman"/>
        </w:rPr>
        <w:t>Despite these advantages, hybrid pharmacophore-based molecules also present certain challenges. Increased molecular complexity may lead to difficulties in synthesis, optimization, and large-scale production. Furthermore, issues related to toxicity, off-target interactions, and pharmacokinetic variability must be carefully evaluated during the drug development process.</w:t>
      </w:r>
    </w:p>
    <w:p w14:paraId="26145846" w14:textId="77777777" w:rsidR="001C1524" w:rsidRPr="00176F59" w:rsidRDefault="001C1524" w:rsidP="00176F59">
      <w:pPr>
        <w:spacing w:after="120" w:line="360" w:lineRule="auto"/>
        <w:jc w:val="both"/>
        <w:rPr>
          <w:rFonts w:ascii="Times New Roman" w:hAnsi="Times New Roman" w:cs="Times New Roman"/>
        </w:rPr>
      </w:pPr>
      <w:r w:rsidRPr="00176F59">
        <w:rPr>
          <w:rFonts w:ascii="Times New Roman" w:hAnsi="Times New Roman" w:cs="Times New Roman"/>
        </w:rPr>
        <w:t>Overall, the hybrid pharmacophore strategy represents a promising direction in antimicrobial drug design, offering a multifaceted approach to overcoming resistance while enhancing therapeutic efficacy. Continued integration of rational design principles with computational and experimental validation is essential for translating these compounds into clinically viable agents.</w:t>
      </w:r>
    </w:p>
    <w:p w14:paraId="17BE725A" w14:textId="77777777" w:rsidR="00194FF3" w:rsidRPr="00176F59" w:rsidRDefault="00194FF3" w:rsidP="00176F59">
      <w:pPr>
        <w:spacing w:after="120" w:line="360" w:lineRule="auto"/>
        <w:jc w:val="both"/>
        <w:rPr>
          <w:rFonts w:ascii="Times New Roman" w:hAnsi="Times New Roman" w:cs="Times New Roman"/>
        </w:rPr>
      </w:pPr>
    </w:p>
    <w:p w14:paraId="08423616" w14:textId="36DF870D" w:rsidR="00194FF3" w:rsidRPr="00176F59" w:rsidRDefault="00194FF3" w:rsidP="00176F59">
      <w:pPr>
        <w:spacing w:after="120" w:line="360" w:lineRule="auto"/>
        <w:jc w:val="both"/>
        <w:rPr>
          <w:rFonts w:ascii="Times New Roman" w:hAnsi="Times New Roman" w:cs="Times New Roman"/>
        </w:rPr>
      </w:pPr>
      <w:r w:rsidRPr="00176F59">
        <w:rPr>
          <w:rFonts w:ascii="Times New Roman" w:hAnsi="Times New Roman" w:cs="Times New Roman"/>
          <w:noProof/>
        </w:rPr>
        <w:lastRenderedPageBreak/>
        <w:drawing>
          <wp:inline distT="0" distB="0" distL="0" distR="0" wp14:anchorId="384CD7CA" wp14:editId="57E00E2F">
            <wp:extent cx="5943600" cy="3936365"/>
            <wp:effectExtent l="0" t="0" r="0" b="6985"/>
            <wp:docPr id="184706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62051" name=""/>
                    <pic:cNvPicPr/>
                  </pic:nvPicPr>
                  <pic:blipFill>
                    <a:blip r:embed="rId8"/>
                    <a:stretch>
                      <a:fillRect/>
                    </a:stretch>
                  </pic:blipFill>
                  <pic:spPr>
                    <a:xfrm>
                      <a:off x="0" y="0"/>
                      <a:ext cx="5943600" cy="3936365"/>
                    </a:xfrm>
                    <a:prstGeom prst="rect">
                      <a:avLst/>
                    </a:prstGeom>
                  </pic:spPr>
                </pic:pic>
              </a:graphicData>
            </a:graphic>
          </wp:inline>
        </w:drawing>
      </w:r>
    </w:p>
    <w:p w14:paraId="598026A1" w14:textId="2DC94A13" w:rsidR="00194FF3" w:rsidRPr="00176F59" w:rsidRDefault="00194FF3" w:rsidP="00176F59">
      <w:pPr>
        <w:spacing w:after="120" w:line="360" w:lineRule="auto"/>
        <w:jc w:val="center"/>
        <w:rPr>
          <w:rFonts w:ascii="Times New Roman" w:hAnsi="Times New Roman" w:cs="Times New Roman"/>
          <w:i/>
          <w:iCs/>
        </w:rPr>
      </w:pPr>
      <w:proofErr w:type="gramStart"/>
      <w:r w:rsidRPr="00176F59">
        <w:rPr>
          <w:rFonts w:ascii="Times New Roman" w:hAnsi="Times New Roman" w:cs="Times New Roman"/>
          <w:i/>
          <w:iCs/>
        </w:rPr>
        <w:t>Figure 1.</w:t>
      </w:r>
      <w:proofErr w:type="gramEnd"/>
      <w:r w:rsidRPr="00176F59">
        <w:rPr>
          <w:rFonts w:ascii="Times New Roman" w:hAnsi="Times New Roman" w:cs="Times New Roman"/>
          <w:i/>
          <w:iCs/>
        </w:rPr>
        <w:t xml:space="preserve"> Conceptual illustration of hybrid pharmacophore design combining multiple bioactive scaffolds to enhance antimicrobial activity.</w:t>
      </w:r>
    </w:p>
    <w:p w14:paraId="269E76AC" w14:textId="77777777" w:rsidR="00194FF3" w:rsidRPr="00176F59" w:rsidRDefault="00194FF3" w:rsidP="00176F59">
      <w:pPr>
        <w:spacing w:after="120" w:line="360" w:lineRule="auto"/>
        <w:jc w:val="both"/>
        <w:rPr>
          <w:rFonts w:ascii="Times New Roman" w:hAnsi="Times New Roman" w:cs="Times New Roman"/>
        </w:rPr>
      </w:pPr>
    </w:p>
    <w:p w14:paraId="3ED714EA" w14:textId="77777777" w:rsidR="00986591" w:rsidRPr="00176F59" w:rsidRDefault="005F5F7A" w:rsidP="00176F59">
      <w:pPr>
        <w:spacing w:after="120" w:line="360" w:lineRule="auto"/>
        <w:jc w:val="both"/>
        <w:rPr>
          <w:rFonts w:ascii="Times New Roman" w:hAnsi="Times New Roman" w:cs="Times New Roman"/>
          <w:caps/>
        </w:rPr>
      </w:pPr>
      <w:r w:rsidRPr="00176F59">
        <w:rPr>
          <w:rFonts w:ascii="Times New Roman" w:hAnsi="Times New Roman" w:cs="Times New Roman"/>
          <w:b/>
          <w:bCs/>
          <w:caps/>
        </w:rPr>
        <w:t>6. Antibiofilm and Antivirulence Approaches</w:t>
      </w:r>
    </w:p>
    <w:p w14:paraId="72DD78D1" w14:textId="37868633"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 xml:space="preserve">In recent years, </w:t>
      </w:r>
      <w:proofErr w:type="spellStart"/>
      <w:r w:rsidRPr="00176F59">
        <w:rPr>
          <w:rFonts w:ascii="Times New Roman" w:hAnsi="Times New Roman" w:cs="Times New Roman"/>
        </w:rPr>
        <w:t>antibiofilm</w:t>
      </w:r>
      <w:proofErr w:type="spellEnd"/>
      <w:r w:rsidRPr="00176F59">
        <w:rPr>
          <w:rFonts w:ascii="Times New Roman" w:hAnsi="Times New Roman" w:cs="Times New Roman"/>
        </w:rPr>
        <w:t xml:space="preserve"> and </w:t>
      </w:r>
      <w:proofErr w:type="spellStart"/>
      <w:r w:rsidRPr="00176F59">
        <w:rPr>
          <w:rFonts w:ascii="Times New Roman" w:hAnsi="Times New Roman" w:cs="Times New Roman"/>
        </w:rPr>
        <w:t>antivirulence</w:t>
      </w:r>
      <w:proofErr w:type="spellEnd"/>
      <w:r w:rsidRPr="00176F59">
        <w:rPr>
          <w:rFonts w:ascii="Times New Roman" w:hAnsi="Times New Roman" w:cs="Times New Roman"/>
        </w:rPr>
        <w:t xml:space="preserve"> strategies have emerged as promising alternatives to conventional antibiotic therapies, particularly in the context of multidrug-resistant (MDR) infections. Unlike traditional antibiotics that primarily target microbial growth or survival, these approaches focus on disrupting microbial pathogenicity, thereby reducing the selective pressure that drives the development of resistance (Rutherford &amp; Bassler, 2012).</w:t>
      </w:r>
    </w:p>
    <w:p w14:paraId="3570E449"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Antibiofilm agents are designed to prevent the formation of biofilms or to disrupt established biofilm structures. Biofilm formation is a dynamic, multi-step process involving initial microbial adhesion, microcolony formation, maturation, and eventual dispersion. These structured microbial communities are embedded within an extracellular polymeric substance (EPS) matrix, which acts as a protective barrier against antibiotics and host immune responses (</w:t>
      </w:r>
      <w:proofErr w:type="spellStart"/>
      <w:r w:rsidRPr="00176F59">
        <w:rPr>
          <w:rFonts w:ascii="Times New Roman" w:hAnsi="Times New Roman" w:cs="Times New Roman"/>
        </w:rPr>
        <w:t>Costerton</w:t>
      </w:r>
      <w:proofErr w:type="spellEnd"/>
      <w:r w:rsidRPr="00176F59">
        <w:rPr>
          <w:rFonts w:ascii="Times New Roman" w:hAnsi="Times New Roman" w:cs="Times New Roman"/>
        </w:rPr>
        <w:t xml:space="preserve"> et al., </w:t>
      </w:r>
      <w:r w:rsidRPr="00176F59">
        <w:rPr>
          <w:rFonts w:ascii="Times New Roman" w:hAnsi="Times New Roman" w:cs="Times New Roman"/>
        </w:rPr>
        <w:lastRenderedPageBreak/>
        <w:t>1999). Antibiofilm compounds can interfere with different stages of this process by inhibiting initial adhesion, degrading the EPS matrix, or enhancing the penetration of antimicrobial agents into the biofilm.</w:t>
      </w:r>
    </w:p>
    <w:p w14:paraId="3DB9756B" w14:textId="076C406B"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 xml:space="preserve">As illustrated in Figure </w:t>
      </w:r>
      <w:r w:rsidR="00194FF3" w:rsidRPr="00176F59">
        <w:rPr>
          <w:rFonts w:ascii="Times New Roman" w:hAnsi="Times New Roman" w:cs="Times New Roman"/>
        </w:rPr>
        <w:t>2</w:t>
      </w:r>
      <w:r w:rsidRPr="00176F59">
        <w:rPr>
          <w:rFonts w:ascii="Times New Roman" w:hAnsi="Times New Roman" w:cs="Times New Roman"/>
        </w:rPr>
        <w:t>, biofilm development is closely regulated by quorum sensing (QS) signaling pathways, which coordinate microbial communication and control the expression of virulence factors. The integration of QS signaling with biofilm maturation highlights the complexity of microbial resistance mechanisms and underscores the importance of targeting these pathways simultaneously.</w:t>
      </w:r>
    </w:p>
    <w:p w14:paraId="6AEB11E4" w14:textId="571A4765"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noProof/>
        </w:rPr>
        <w:drawing>
          <wp:inline distT="0" distB="0" distL="0" distR="0" wp14:anchorId="2631D95E" wp14:editId="2F79F5FC">
            <wp:extent cx="5943600" cy="2510155"/>
            <wp:effectExtent l="0" t="0" r="0" b="4445"/>
            <wp:docPr id="494559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559919" name=""/>
                    <pic:cNvPicPr/>
                  </pic:nvPicPr>
                  <pic:blipFill>
                    <a:blip r:embed="rId9"/>
                    <a:stretch>
                      <a:fillRect/>
                    </a:stretch>
                  </pic:blipFill>
                  <pic:spPr>
                    <a:xfrm>
                      <a:off x="0" y="0"/>
                      <a:ext cx="5943600" cy="2510155"/>
                    </a:xfrm>
                    <a:prstGeom prst="rect">
                      <a:avLst/>
                    </a:prstGeom>
                  </pic:spPr>
                </pic:pic>
              </a:graphicData>
            </a:graphic>
          </wp:inline>
        </w:drawing>
      </w:r>
    </w:p>
    <w:p w14:paraId="7EC34211" w14:textId="77777777" w:rsidR="00453955" w:rsidRPr="00176F59" w:rsidRDefault="00453955" w:rsidP="00176F59">
      <w:pPr>
        <w:spacing w:after="120" w:line="360" w:lineRule="auto"/>
        <w:jc w:val="center"/>
        <w:rPr>
          <w:rFonts w:ascii="Times New Roman" w:hAnsi="Times New Roman" w:cs="Times New Roman"/>
          <w:i/>
          <w:iCs/>
        </w:rPr>
      </w:pPr>
      <w:proofErr w:type="gramStart"/>
      <w:r w:rsidRPr="00176F59">
        <w:rPr>
          <w:rFonts w:ascii="Times New Roman" w:hAnsi="Times New Roman" w:cs="Times New Roman"/>
          <w:i/>
          <w:iCs/>
        </w:rPr>
        <w:t>Figure 2.</w:t>
      </w:r>
      <w:proofErr w:type="gramEnd"/>
      <w:r w:rsidRPr="00176F59">
        <w:rPr>
          <w:rFonts w:ascii="Times New Roman" w:hAnsi="Times New Roman" w:cs="Times New Roman"/>
          <w:i/>
          <w:iCs/>
        </w:rPr>
        <w:t xml:space="preserve"> </w:t>
      </w:r>
      <w:proofErr w:type="gramStart"/>
      <w:r w:rsidRPr="00176F59">
        <w:rPr>
          <w:rFonts w:ascii="Times New Roman" w:hAnsi="Times New Roman" w:cs="Times New Roman"/>
          <w:i/>
          <w:iCs/>
        </w:rPr>
        <w:t>Biofilm formation stages and quorum sensing-mediated regulation of virulence expression.</w:t>
      </w:r>
      <w:proofErr w:type="gramEnd"/>
    </w:p>
    <w:p w14:paraId="7F0F086D" w14:textId="77777777" w:rsidR="00453955" w:rsidRPr="00176F59" w:rsidRDefault="00453955" w:rsidP="00176F59">
      <w:pPr>
        <w:spacing w:after="120" w:line="360" w:lineRule="auto"/>
        <w:jc w:val="both"/>
        <w:rPr>
          <w:rFonts w:ascii="Times New Roman" w:hAnsi="Times New Roman" w:cs="Times New Roman"/>
        </w:rPr>
      </w:pPr>
    </w:p>
    <w:p w14:paraId="1A60D9CC" w14:textId="77777777" w:rsidR="005F5F7A" w:rsidRPr="00176F59" w:rsidRDefault="005F5F7A" w:rsidP="00176F59">
      <w:pPr>
        <w:spacing w:after="120" w:line="360" w:lineRule="auto"/>
        <w:jc w:val="both"/>
        <w:rPr>
          <w:rFonts w:ascii="Times New Roman" w:hAnsi="Times New Roman" w:cs="Times New Roman"/>
        </w:rPr>
      </w:pPr>
    </w:p>
    <w:p w14:paraId="643F0644" w14:textId="2BD6F475" w:rsidR="005F5F7A" w:rsidRPr="00176F59" w:rsidRDefault="005F5F7A" w:rsidP="00176F59">
      <w:pPr>
        <w:spacing w:after="120" w:line="360" w:lineRule="auto"/>
        <w:jc w:val="both"/>
        <w:rPr>
          <w:rFonts w:ascii="Times New Roman" w:hAnsi="Times New Roman" w:cs="Times New Roman"/>
        </w:rPr>
      </w:pPr>
      <w:proofErr w:type="spellStart"/>
      <w:r w:rsidRPr="00176F59">
        <w:rPr>
          <w:rFonts w:ascii="Times New Roman" w:hAnsi="Times New Roman" w:cs="Times New Roman"/>
        </w:rPr>
        <w:t>Antivirulence</w:t>
      </w:r>
      <w:proofErr w:type="spellEnd"/>
      <w:r w:rsidRPr="00176F59">
        <w:rPr>
          <w:rFonts w:ascii="Times New Roman" w:hAnsi="Times New Roman" w:cs="Times New Roman"/>
        </w:rPr>
        <w:t xml:space="preserve"> strategies, on the other hand, specifically target regulatory systems responsible for pathogenic behavior without directly affecting microbial viability. Inhibition of quorum sensing is a key mechanism in this approach, as it disrupts the coordinated expression of virulence factors, including toxin production, motility, and biofilm formation. By attenuating pathogenicity rather than killing microorganisms, </w:t>
      </w:r>
      <w:proofErr w:type="spellStart"/>
      <w:r w:rsidRPr="00176F59">
        <w:rPr>
          <w:rFonts w:ascii="Times New Roman" w:hAnsi="Times New Roman" w:cs="Times New Roman"/>
        </w:rPr>
        <w:t>antivirulence</w:t>
      </w:r>
      <w:proofErr w:type="spellEnd"/>
      <w:r w:rsidRPr="00176F59">
        <w:rPr>
          <w:rFonts w:ascii="Times New Roman" w:hAnsi="Times New Roman" w:cs="Times New Roman"/>
        </w:rPr>
        <w:t xml:space="preserve"> agents reduce the selective pressure associated with resistance development.</w:t>
      </w:r>
    </w:p>
    <w:p w14:paraId="60E0437B"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lastRenderedPageBreak/>
        <w:t xml:space="preserve">Recent studies suggest that heterocyclic compounds, particularly hybrid pharmacophore-based molecules such as quinoline–triazole derivatives, can simultaneously exhibit antimicrobial, </w:t>
      </w:r>
      <w:proofErr w:type="spellStart"/>
      <w:r w:rsidRPr="00176F59">
        <w:rPr>
          <w:rFonts w:ascii="Times New Roman" w:hAnsi="Times New Roman" w:cs="Times New Roman"/>
        </w:rPr>
        <w:t>antibiofilm</w:t>
      </w:r>
      <w:proofErr w:type="spellEnd"/>
      <w:r w:rsidRPr="00176F59">
        <w:rPr>
          <w:rFonts w:ascii="Times New Roman" w:hAnsi="Times New Roman" w:cs="Times New Roman"/>
        </w:rPr>
        <w:t xml:space="preserve">, and </w:t>
      </w:r>
      <w:proofErr w:type="spellStart"/>
      <w:r w:rsidRPr="00176F59">
        <w:rPr>
          <w:rFonts w:ascii="Times New Roman" w:hAnsi="Times New Roman" w:cs="Times New Roman"/>
        </w:rPr>
        <w:t>antivirulence</w:t>
      </w:r>
      <w:proofErr w:type="spellEnd"/>
      <w:r w:rsidRPr="00176F59">
        <w:rPr>
          <w:rFonts w:ascii="Times New Roman" w:hAnsi="Times New Roman" w:cs="Times New Roman"/>
        </w:rPr>
        <w:t xml:space="preserve"> activities. These compounds have demonstrated the ability to disrupt QS-regulated pathways and biofilm architecture, thereby enhancing therapeutic efficacy against persistent infections.</w:t>
      </w:r>
    </w:p>
    <w:p w14:paraId="1689AB4A"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Despite their promising potential, several challenges limit the clinical translation of these approaches. These include variability in experimental biofilm models, limited in vivo validation, and difficulties in achieving effective drug concentrations at infection sites.</w:t>
      </w:r>
    </w:p>
    <w:p w14:paraId="20609575" w14:textId="1C3679F9" w:rsidR="00847C71"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 xml:space="preserve">Overall, </w:t>
      </w:r>
      <w:proofErr w:type="spellStart"/>
      <w:r w:rsidRPr="00176F59">
        <w:rPr>
          <w:rFonts w:ascii="Times New Roman" w:hAnsi="Times New Roman" w:cs="Times New Roman"/>
        </w:rPr>
        <w:t>antibiofilm</w:t>
      </w:r>
      <w:proofErr w:type="spellEnd"/>
      <w:r w:rsidRPr="00176F59">
        <w:rPr>
          <w:rFonts w:ascii="Times New Roman" w:hAnsi="Times New Roman" w:cs="Times New Roman"/>
        </w:rPr>
        <w:t xml:space="preserve"> and </w:t>
      </w:r>
      <w:proofErr w:type="spellStart"/>
      <w:r w:rsidRPr="00176F59">
        <w:rPr>
          <w:rFonts w:ascii="Times New Roman" w:hAnsi="Times New Roman" w:cs="Times New Roman"/>
        </w:rPr>
        <w:t>antivirulence</w:t>
      </w:r>
      <w:proofErr w:type="spellEnd"/>
      <w:r w:rsidRPr="00176F59">
        <w:rPr>
          <w:rFonts w:ascii="Times New Roman" w:hAnsi="Times New Roman" w:cs="Times New Roman"/>
        </w:rPr>
        <w:t xml:space="preserve"> strategies represent a sustainable and targeted approach for combating MDR infections, particularly when integrated with hybrid pharmacophore design and advanced drug delivery systems.</w:t>
      </w:r>
    </w:p>
    <w:p w14:paraId="04A2244F" w14:textId="70F206F1" w:rsidR="00847C71" w:rsidRPr="00176F59" w:rsidRDefault="007C7553" w:rsidP="00176F59">
      <w:pPr>
        <w:spacing w:after="120" w:line="360" w:lineRule="auto"/>
        <w:jc w:val="both"/>
        <w:rPr>
          <w:rFonts w:ascii="Times New Roman" w:hAnsi="Times New Roman" w:cs="Times New Roman"/>
          <w:b/>
          <w:bCs/>
          <w:caps/>
          <w:lang w:val="en-IN"/>
        </w:rPr>
      </w:pPr>
      <w:r w:rsidRPr="00176F59">
        <w:rPr>
          <w:rFonts w:ascii="Times New Roman" w:hAnsi="Times New Roman" w:cs="Times New Roman"/>
          <w:b/>
          <w:bCs/>
          <w:caps/>
          <w:lang w:val="en-IN"/>
        </w:rPr>
        <w:t>7</w:t>
      </w:r>
      <w:r w:rsidR="00847C71" w:rsidRPr="00176F59">
        <w:rPr>
          <w:rFonts w:ascii="Times New Roman" w:hAnsi="Times New Roman" w:cs="Times New Roman"/>
          <w:b/>
          <w:bCs/>
          <w:caps/>
          <w:lang w:val="en-IN"/>
        </w:rPr>
        <w:t>. Structure–Activity Relationship (SAR) Insights</w:t>
      </w:r>
    </w:p>
    <w:p w14:paraId="732DF603"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Structure–activity relationship (SAR) studies play a crucial role in elucidating how specific chemical modifications influence the biological activity of heterocyclic compounds. These insights are fundamental for the rational design and optimization of antimicrobial agents with improved efficacy, selectivity, and pharmacokinetic profiles.</w:t>
      </w:r>
    </w:p>
    <w:p w14:paraId="4543C2C2" w14:textId="49D52B65"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One of the most widely reported observations in SAR studies is the impact of halogen substitution on antimicrobial activity. The incorporation of halogen atoms such as chlorine or fluorine generally enhances lipophilicity, facilitating improved penetration across microbial cell membranes and stronger binding interactions with target proteins. Additionally, halogen substitution can modulate electronic distribution within the molecule, thereby increasing target affinity and, in several cases, leading to a 2–</w:t>
      </w:r>
      <w:r w:rsidR="00986591" w:rsidRPr="00176F59">
        <w:rPr>
          <w:rFonts w:ascii="Times New Roman" w:hAnsi="Times New Roman" w:cs="Times New Roman"/>
        </w:rPr>
        <w:t>5-fold</w:t>
      </w:r>
      <w:r w:rsidRPr="00176F59">
        <w:rPr>
          <w:rFonts w:ascii="Times New Roman" w:hAnsi="Times New Roman" w:cs="Times New Roman"/>
        </w:rPr>
        <w:t xml:space="preserve"> enhancement in antimicrobial activity (</w:t>
      </w:r>
      <w:r w:rsidR="00F045C2" w:rsidRPr="00176F59">
        <w:rPr>
          <w:rFonts w:ascii="Times New Roman" w:hAnsi="Times New Roman" w:cs="Times New Roman"/>
        </w:rPr>
        <w:t xml:space="preserve">Shaveta </w:t>
      </w:r>
      <w:r w:rsidRPr="00176F59">
        <w:rPr>
          <w:rFonts w:ascii="Times New Roman" w:hAnsi="Times New Roman" w:cs="Times New Roman"/>
        </w:rPr>
        <w:t>et al., 201</w:t>
      </w:r>
      <w:r w:rsidR="00F045C2" w:rsidRPr="00176F59">
        <w:rPr>
          <w:rFonts w:ascii="Times New Roman" w:hAnsi="Times New Roman" w:cs="Times New Roman"/>
        </w:rPr>
        <w:t>6</w:t>
      </w:r>
      <w:r w:rsidRPr="00176F59">
        <w:rPr>
          <w:rFonts w:ascii="Times New Roman" w:hAnsi="Times New Roman" w:cs="Times New Roman"/>
        </w:rPr>
        <w:t>).</w:t>
      </w:r>
    </w:p>
    <w:p w14:paraId="53935515" w14:textId="77777777" w:rsidR="005F5F7A" w:rsidRPr="00176F59" w:rsidRDefault="005F5F7A" w:rsidP="00176F59">
      <w:pPr>
        <w:spacing w:after="120" w:line="360" w:lineRule="auto"/>
        <w:jc w:val="both"/>
        <w:rPr>
          <w:rFonts w:ascii="Times New Roman" w:hAnsi="Times New Roman" w:cs="Times New Roman"/>
          <w:b/>
          <w:bCs/>
        </w:rPr>
      </w:pPr>
      <w:r w:rsidRPr="00176F59">
        <w:rPr>
          <w:rFonts w:ascii="Times New Roman" w:hAnsi="Times New Roman" w:cs="Times New Roman"/>
        </w:rPr>
        <w:t xml:space="preserve">Another critical determinant of biological activity is the balance between hydrophobicity and hydrophilicity. Optimal lipophilicity enables efficient membrane permeability, while sufficient hydrophilicity ensures adequate solubility and systemic distribution. Compounds with excessive hydrophobicity often exhibit poor aqueous solubility and reduced bioavailability, whereas insufficient lipophilicity can limit cellular uptake. Therefore, achieving an optimal balance is </w:t>
      </w:r>
      <w:r w:rsidRPr="00176F59">
        <w:rPr>
          <w:rFonts w:ascii="Times New Roman" w:hAnsi="Times New Roman" w:cs="Times New Roman"/>
        </w:rPr>
        <w:lastRenderedPageBreak/>
        <w:t>essential for maximizing antimicrobial potency and pharmacokinetic performance (Lipinski, 2004).</w:t>
      </w:r>
    </w:p>
    <w:p w14:paraId="5BD49896" w14:textId="049549BB" w:rsidR="000009D8" w:rsidRPr="00176F59" w:rsidRDefault="000009D8" w:rsidP="00176F59">
      <w:pPr>
        <w:spacing w:after="120" w:line="360" w:lineRule="auto"/>
        <w:jc w:val="both"/>
        <w:rPr>
          <w:rFonts w:ascii="Times New Roman" w:hAnsi="Times New Roman" w:cs="Times New Roman"/>
        </w:rPr>
      </w:pPr>
      <w:r w:rsidRPr="00176F59">
        <w:rPr>
          <w:rFonts w:ascii="Times New Roman" w:hAnsi="Times New Roman" w:cs="Times New Roman"/>
        </w:rPr>
        <w:t>This relationship is further illustrated in Figure 3, which demonstrates the influence of lipophilicity (</w:t>
      </w:r>
      <w:proofErr w:type="spellStart"/>
      <w:r w:rsidRPr="00176F59">
        <w:rPr>
          <w:rFonts w:ascii="Times New Roman" w:hAnsi="Times New Roman" w:cs="Times New Roman"/>
        </w:rPr>
        <w:t>LogP</w:t>
      </w:r>
      <w:proofErr w:type="spellEnd"/>
      <w:r w:rsidRPr="00176F59">
        <w:rPr>
          <w:rFonts w:ascii="Times New Roman" w:hAnsi="Times New Roman" w:cs="Times New Roman"/>
        </w:rPr>
        <w:t>) on antimicrobial activity.</w:t>
      </w:r>
    </w:p>
    <w:p w14:paraId="4645684A" w14:textId="77777777" w:rsidR="000009D8" w:rsidRPr="00176F59" w:rsidRDefault="000009D8" w:rsidP="00176F59">
      <w:pPr>
        <w:spacing w:after="120" w:line="360" w:lineRule="auto"/>
        <w:jc w:val="both"/>
        <w:rPr>
          <w:rFonts w:ascii="Times New Roman" w:hAnsi="Times New Roman" w:cs="Times New Roman"/>
          <w:b/>
          <w:bCs/>
        </w:rPr>
      </w:pPr>
    </w:p>
    <w:p w14:paraId="00AABAF0" w14:textId="1D060570" w:rsidR="000009D8" w:rsidRPr="00176F59" w:rsidRDefault="000009D8" w:rsidP="00176F59">
      <w:pPr>
        <w:spacing w:after="120" w:line="360" w:lineRule="auto"/>
        <w:jc w:val="center"/>
        <w:rPr>
          <w:rFonts w:ascii="Times New Roman" w:hAnsi="Times New Roman" w:cs="Times New Roman"/>
          <w:b/>
          <w:bCs/>
        </w:rPr>
      </w:pPr>
      <w:r w:rsidRPr="00176F59">
        <w:rPr>
          <w:rFonts w:ascii="Times New Roman" w:hAnsi="Times New Roman" w:cs="Times New Roman"/>
          <w:noProof/>
        </w:rPr>
        <w:drawing>
          <wp:inline distT="0" distB="0" distL="0" distR="0" wp14:anchorId="0B0B539C" wp14:editId="4C934ACF">
            <wp:extent cx="4572000" cy="2743200"/>
            <wp:effectExtent l="0" t="0" r="0" b="0"/>
            <wp:docPr id="1861173135"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F7E0A88-19E9-B393-48AE-41CF6CA5A0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BC0F095" w14:textId="77777777" w:rsidR="000009D8" w:rsidRPr="00176F59" w:rsidRDefault="000009D8" w:rsidP="00176F59">
      <w:pPr>
        <w:spacing w:after="120" w:line="360" w:lineRule="auto"/>
        <w:jc w:val="both"/>
        <w:rPr>
          <w:rFonts w:ascii="Times New Roman" w:hAnsi="Times New Roman" w:cs="Times New Roman"/>
          <w:b/>
          <w:bCs/>
        </w:rPr>
      </w:pPr>
    </w:p>
    <w:p w14:paraId="1C84BD92" w14:textId="77777777" w:rsidR="000009D8" w:rsidRPr="00176F59" w:rsidRDefault="000009D8" w:rsidP="00176F59">
      <w:pPr>
        <w:spacing w:after="120" w:line="360" w:lineRule="auto"/>
        <w:jc w:val="center"/>
        <w:rPr>
          <w:rFonts w:ascii="Times New Roman" w:hAnsi="Times New Roman" w:cs="Times New Roman"/>
          <w:i/>
          <w:iCs/>
        </w:rPr>
      </w:pPr>
      <w:proofErr w:type="gramStart"/>
      <w:r w:rsidRPr="00176F59">
        <w:rPr>
          <w:rFonts w:ascii="Times New Roman" w:hAnsi="Times New Roman" w:cs="Times New Roman"/>
          <w:b/>
          <w:bCs/>
          <w:i/>
          <w:iCs/>
        </w:rPr>
        <w:t>Figure 3.</w:t>
      </w:r>
      <w:proofErr w:type="gramEnd"/>
      <w:r w:rsidRPr="00176F59">
        <w:rPr>
          <w:rFonts w:ascii="Times New Roman" w:hAnsi="Times New Roman" w:cs="Times New Roman"/>
          <w:i/>
          <w:iCs/>
        </w:rPr>
        <w:t xml:space="preserve"> </w:t>
      </w:r>
      <w:proofErr w:type="gramStart"/>
      <w:r w:rsidRPr="00176F59">
        <w:rPr>
          <w:rFonts w:ascii="Times New Roman" w:hAnsi="Times New Roman" w:cs="Times New Roman"/>
          <w:i/>
          <w:iCs/>
        </w:rPr>
        <w:t>Generalized structure–activity relationship (SAR) trend illustrating the influence of lipophilicity (</w:t>
      </w:r>
      <w:proofErr w:type="spellStart"/>
      <w:r w:rsidRPr="00176F59">
        <w:rPr>
          <w:rFonts w:ascii="Times New Roman" w:hAnsi="Times New Roman" w:cs="Times New Roman"/>
          <w:i/>
          <w:iCs/>
        </w:rPr>
        <w:t>LogP</w:t>
      </w:r>
      <w:proofErr w:type="spellEnd"/>
      <w:r w:rsidRPr="00176F59">
        <w:rPr>
          <w:rFonts w:ascii="Times New Roman" w:hAnsi="Times New Roman" w:cs="Times New Roman"/>
          <w:i/>
          <w:iCs/>
        </w:rPr>
        <w:t>) on antimicrobial activity.</w:t>
      </w:r>
      <w:proofErr w:type="gramEnd"/>
      <w:r w:rsidRPr="00176F59">
        <w:rPr>
          <w:rFonts w:ascii="Times New Roman" w:hAnsi="Times New Roman" w:cs="Times New Roman"/>
          <w:i/>
          <w:iCs/>
        </w:rPr>
        <w:t xml:space="preserve"> The activity increases with lipophilicity up to an optimal range, beyond which excessive hydrophobicity leads to reduced solubility and decreased biological efficacy.</w:t>
      </w:r>
    </w:p>
    <w:p w14:paraId="5633E0D7"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Furthermore, the positioning and nature of functional groups significantly influence the interaction of heterocyclic compounds with biological targets. Substitutions at specific positions on the heterocyclic ring can alter steric hindrance and electronic properties, thereby affecting binding orientation and activity. Electron-withdrawing groups typically enhance antimicrobial potency by strengthening target interactions, while electron-donating groups may produce variable effects depending on their position within the molecular framework.</w:t>
      </w:r>
    </w:p>
    <w:p w14:paraId="1F458C9F" w14:textId="35741884"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Importantly, recent studies highlight that heterocyclic hybridization</w:t>
      </w:r>
      <w:r w:rsidR="00BF4D66" w:rsidRPr="00176F59">
        <w:rPr>
          <w:rFonts w:ascii="Times New Roman" w:hAnsi="Times New Roman" w:cs="Times New Roman"/>
        </w:rPr>
        <w:t>-</w:t>
      </w:r>
      <w:r w:rsidRPr="00176F59">
        <w:rPr>
          <w:rFonts w:ascii="Times New Roman" w:hAnsi="Times New Roman" w:cs="Times New Roman"/>
        </w:rPr>
        <w:t>particularly the combination of multiple pharmacophores</w:t>
      </w:r>
      <w:r w:rsidR="00BF4D66" w:rsidRPr="00176F59">
        <w:rPr>
          <w:rFonts w:ascii="Times New Roman" w:hAnsi="Times New Roman" w:cs="Times New Roman"/>
        </w:rPr>
        <w:t>-</w:t>
      </w:r>
      <w:r w:rsidRPr="00176F59">
        <w:rPr>
          <w:rFonts w:ascii="Times New Roman" w:hAnsi="Times New Roman" w:cs="Times New Roman"/>
        </w:rPr>
        <w:t>can significantly enhance antimicrobial efficacy by enabling multi-</w:t>
      </w:r>
      <w:r w:rsidRPr="00176F59">
        <w:rPr>
          <w:rFonts w:ascii="Times New Roman" w:hAnsi="Times New Roman" w:cs="Times New Roman"/>
        </w:rPr>
        <w:lastRenderedPageBreak/>
        <w:t xml:space="preserve">target interactions. Such hybrid molecules often demonstrate improved activity against multidrug-resistant (MDR) strains and exhibit additional </w:t>
      </w:r>
      <w:proofErr w:type="spellStart"/>
      <w:r w:rsidRPr="00176F59">
        <w:rPr>
          <w:rFonts w:ascii="Times New Roman" w:hAnsi="Times New Roman" w:cs="Times New Roman"/>
        </w:rPr>
        <w:t>antibiofilm</w:t>
      </w:r>
      <w:proofErr w:type="spellEnd"/>
      <w:r w:rsidRPr="00176F59">
        <w:rPr>
          <w:rFonts w:ascii="Times New Roman" w:hAnsi="Times New Roman" w:cs="Times New Roman"/>
        </w:rPr>
        <w:t xml:space="preserve"> and </w:t>
      </w:r>
      <w:proofErr w:type="spellStart"/>
      <w:r w:rsidRPr="00176F59">
        <w:rPr>
          <w:rFonts w:ascii="Times New Roman" w:hAnsi="Times New Roman" w:cs="Times New Roman"/>
        </w:rPr>
        <w:t>antivirulence</w:t>
      </w:r>
      <w:proofErr w:type="spellEnd"/>
      <w:r w:rsidRPr="00176F59">
        <w:rPr>
          <w:rFonts w:ascii="Times New Roman" w:hAnsi="Times New Roman" w:cs="Times New Roman"/>
        </w:rPr>
        <w:t xml:space="preserve"> properties, further reinforcing their therapeutic potential.</w:t>
      </w:r>
    </w:p>
    <w:p w14:paraId="3FF3EEF5" w14:textId="742C6EB5"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Despite these advances, SAR outcomes are often context-dependent and may vary across different microbial strains and experimental conditions. This variability underscores the need for systematic experimental validation and integration with computational approaches to accurately predict biological responses.</w:t>
      </w:r>
    </w:p>
    <w:p w14:paraId="0C230D84" w14:textId="77777777" w:rsidR="005F5F7A" w:rsidRPr="00176F59" w:rsidRDefault="005F5F7A" w:rsidP="00176F59">
      <w:pPr>
        <w:spacing w:after="120" w:line="360" w:lineRule="auto"/>
        <w:jc w:val="center"/>
        <w:rPr>
          <w:rFonts w:ascii="Times New Roman" w:hAnsi="Times New Roman" w:cs="Times New Roman"/>
        </w:rPr>
      </w:pPr>
      <w:proofErr w:type="gramStart"/>
      <w:r w:rsidRPr="00176F59">
        <w:rPr>
          <w:rFonts w:ascii="Times New Roman" w:hAnsi="Times New Roman" w:cs="Times New Roman"/>
          <w:b/>
          <w:bCs/>
        </w:rPr>
        <w:t>Table 1.</w:t>
      </w:r>
      <w:proofErr w:type="gramEnd"/>
      <w:r w:rsidRPr="00176F59">
        <w:rPr>
          <w:rFonts w:ascii="Times New Roman" w:hAnsi="Times New Roman" w:cs="Times New Roman"/>
          <w:b/>
          <w:bCs/>
        </w:rPr>
        <w:t xml:space="preserve"> Structure–Activity Relationship (SAR) Trends of Heterocyclic Compounds</w:t>
      </w:r>
    </w:p>
    <w:tbl>
      <w:tblPr>
        <w:tblStyle w:val="TableGrid"/>
        <w:tblW w:w="0" w:type="auto"/>
        <w:jc w:val="center"/>
        <w:tblLook w:val="04A0" w:firstRow="1" w:lastRow="0" w:firstColumn="1" w:lastColumn="0" w:noHBand="0" w:noVBand="1"/>
      </w:tblPr>
      <w:tblGrid>
        <w:gridCol w:w="2611"/>
        <w:gridCol w:w="2909"/>
        <w:gridCol w:w="4056"/>
      </w:tblGrid>
      <w:tr w:rsidR="005F5F7A" w:rsidRPr="00176F59" w14:paraId="7598ACE1" w14:textId="77777777" w:rsidTr="00986591">
        <w:trPr>
          <w:jc w:val="center"/>
        </w:trPr>
        <w:tc>
          <w:tcPr>
            <w:tcW w:w="0" w:type="auto"/>
            <w:hideMark/>
          </w:tcPr>
          <w:p w14:paraId="37CA32A2" w14:textId="77777777" w:rsidR="005F5F7A" w:rsidRPr="00176F59" w:rsidRDefault="005F5F7A" w:rsidP="00176F59">
            <w:pPr>
              <w:spacing w:after="120" w:line="360" w:lineRule="auto"/>
              <w:jc w:val="both"/>
              <w:rPr>
                <w:rFonts w:ascii="Times New Roman" w:hAnsi="Times New Roman" w:cs="Times New Roman"/>
                <w:b/>
                <w:bCs/>
              </w:rPr>
            </w:pPr>
            <w:r w:rsidRPr="00176F59">
              <w:rPr>
                <w:rFonts w:ascii="Times New Roman" w:hAnsi="Times New Roman" w:cs="Times New Roman"/>
                <w:b/>
                <w:bCs/>
              </w:rPr>
              <w:t>Structural Feature</w:t>
            </w:r>
          </w:p>
        </w:tc>
        <w:tc>
          <w:tcPr>
            <w:tcW w:w="0" w:type="auto"/>
            <w:hideMark/>
          </w:tcPr>
          <w:p w14:paraId="630534BC" w14:textId="77777777" w:rsidR="005F5F7A" w:rsidRPr="00176F59" w:rsidRDefault="005F5F7A" w:rsidP="00176F59">
            <w:pPr>
              <w:spacing w:after="120" w:line="360" w:lineRule="auto"/>
              <w:jc w:val="both"/>
              <w:rPr>
                <w:rFonts w:ascii="Times New Roman" w:hAnsi="Times New Roman" w:cs="Times New Roman"/>
                <w:b/>
                <w:bCs/>
              </w:rPr>
            </w:pPr>
            <w:r w:rsidRPr="00176F59">
              <w:rPr>
                <w:rFonts w:ascii="Times New Roman" w:hAnsi="Times New Roman" w:cs="Times New Roman"/>
                <w:b/>
                <w:bCs/>
              </w:rPr>
              <w:t>Observed Effect on Activity</w:t>
            </w:r>
          </w:p>
        </w:tc>
        <w:tc>
          <w:tcPr>
            <w:tcW w:w="0" w:type="auto"/>
            <w:hideMark/>
          </w:tcPr>
          <w:p w14:paraId="59C4FFDD" w14:textId="77777777" w:rsidR="005F5F7A" w:rsidRPr="00176F59" w:rsidRDefault="005F5F7A" w:rsidP="00176F59">
            <w:pPr>
              <w:spacing w:after="120" w:line="360" w:lineRule="auto"/>
              <w:jc w:val="both"/>
              <w:rPr>
                <w:rFonts w:ascii="Times New Roman" w:hAnsi="Times New Roman" w:cs="Times New Roman"/>
                <w:b/>
                <w:bCs/>
              </w:rPr>
            </w:pPr>
            <w:r w:rsidRPr="00176F59">
              <w:rPr>
                <w:rFonts w:ascii="Times New Roman" w:hAnsi="Times New Roman" w:cs="Times New Roman"/>
                <w:b/>
                <w:bCs/>
              </w:rPr>
              <w:t>Possible Reason</w:t>
            </w:r>
          </w:p>
        </w:tc>
      </w:tr>
      <w:tr w:rsidR="005F5F7A" w:rsidRPr="00176F59" w14:paraId="0D85800A" w14:textId="77777777" w:rsidTr="00986591">
        <w:trPr>
          <w:jc w:val="center"/>
        </w:trPr>
        <w:tc>
          <w:tcPr>
            <w:tcW w:w="0" w:type="auto"/>
            <w:hideMark/>
          </w:tcPr>
          <w:p w14:paraId="7D2D2DA5"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Halogen substitution (Cl, F)</w:t>
            </w:r>
          </w:p>
        </w:tc>
        <w:tc>
          <w:tcPr>
            <w:tcW w:w="0" w:type="auto"/>
            <w:hideMark/>
          </w:tcPr>
          <w:p w14:paraId="493D0129"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Increased antimicrobial activity</w:t>
            </w:r>
          </w:p>
        </w:tc>
        <w:tc>
          <w:tcPr>
            <w:tcW w:w="0" w:type="auto"/>
            <w:hideMark/>
          </w:tcPr>
          <w:p w14:paraId="4462633A"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Enhances lipophilicity and membrane permeability</w:t>
            </w:r>
          </w:p>
        </w:tc>
      </w:tr>
      <w:tr w:rsidR="005F5F7A" w:rsidRPr="00176F59" w14:paraId="458314B2" w14:textId="77777777" w:rsidTr="00986591">
        <w:trPr>
          <w:jc w:val="center"/>
        </w:trPr>
        <w:tc>
          <w:tcPr>
            <w:tcW w:w="0" w:type="auto"/>
            <w:hideMark/>
          </w:tcPr>
          <w:p w14:paraId="558DBC8C"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Electron-withdrawing groups</w:t>
            </w:r>
          </w:p>
        </w:tc>
        <w:tc>
          <w:tcPr>
            <w:tcW w:w="0" w:type="auto"/>
            <w:hideMark/>
          </w:tcPr>
          <w:p w14:paraId="39873A8D"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Improved potency</w:t>
            </w:r>
          </w:p>
        </w:tc>
        <w:tc>
          <w:tcPr>
            <w:tcW w:w="0" w:type="auto"/>
            <w:hideMark/>
          </w:tcPr>
          <w:p w14:paraId="13DDF816"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Strengthens binding interactions with target proteins</w:t>
            </w:r>
          </w:p>
        </w:tc>
      </w:tr>
      <w:tr w:rsidR="005F5F7A" w:rsidRPr="00176F59" w14:paraId="148C9F04" w14:textId="77777777" w:rsidTr="00986591">
        <w:trPr>
          <w:jc w:val="center"/>
        </w:trPr>
        <w:tc>
          <w:tcPr>
            <w:tcW w:w="0" w:type="auto"/>
            <w:hideMark/>
          </w:tcPr>
          <w:p w14:paraId="50BDCD0D"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Electron-donating groups</w:t>
            </w:r>
          </w:p>
        </w:tc>
        <w:tc>
          <w:tcPr>
            <w:tcW w:w="0" w:type="auto"/>
            <w:hideMark/>
          </w:tcPr>
          <w:p w14:paraId="1C704424"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Variable activity</w:t>
            </w:r>
          </w:p>
        </w:tc>
        <w:tc>
          <w:tcPr>
            <w:tcW w:w="0" w:type="auto"/>
            <w:hideMark/>
          </w:tcPr>
          <w:p w14:paraId="19F2D972"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Alters electronic density and binding affinity</w:t>
            </w:r>
          </w:p>
        </w:tc>
      </w:tr>
      <w:tr w:rsidR="005F5F7A" w:rsidRPr="00176F59" w14:paraId="6C94905F" w14:textId="77777777" w:rsidTr="00986591">
        <w:trPr>
          <w:jc w:val="center"/>
        </w:trPr>
        <w:tc>
          <w:tcPr>
            <w:tcW w:w="0" w:type="auto"/>
            <w:hideMark/>
          </w:tcPr>
          <w:p w14:paraId="71BD238F"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Increased lipophilicity</w:t>
            </w:r>
          </w:p>
        </w:tc>
        <w:tc>
          <w:tcPr>
            <w:tcW w:w="0" w:type="auto"/>
            <w:hideMark/>
          </w:tcPr>
          <w:p w14:paraId="000A0D41"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Enhanced cell penetration</w:t>
            </w:r>
          </w:p>
        </w:tc>
        <w:tc>
          <w:tcPr>
            <w:tcW w:w="0" w:type="auto"/>
            <w:hideMark/>
          </w:tcPr>
          <w:p w14:paraId="1CAB2419"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Facilitates crossing of microbial membranes</w:t>
            </w:r>
          </w:p>
        </w:tc>
      </w:tr>
      <w:tr w:rsidR="005F5F7A" w:rsidRPr="00176F59" w14:paraId="33EF5694" w14:textId="77777777" w:rsidTr="00986591">
        <w:trPr>
          <w:jc w:val="center"/>
        </w:trPr>
        <w:tc>
          <w:tcPr>
            <w:tcW w:w="0" w:type="auto"/>
            <w:hideMark/>
          </w:tcPr>
          <w:p w14:paraId="1A738A52"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Excessive hydrophobicity</w:t>
            </w:r>
          </w:p>
        </w:tc>
        <w:tc>
          <w:tcPr>
            <w:tcW w:w="0" w:type="auto"/>
            <w:hideMark/>
          </w:tcPr>
          <w:p w14:paraId="5D8E1E5D"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Reduced bioavailability</w:t>
            </w:r>
          </w:p>
        </w:tc>
        <w:tc>
          <w:tcPr>
            <w:tcW w:w="0" w:type="auto"/>
            <w:hideMark/>
          </w:tcPr>
          <w:p w14:paraId="302FC6EE"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Poor solubility limits effectiveness</w:t>
            </w:r>
          </w:p>
        </w:tc>
      </w:tr>
      <w:tr w:rsidR="005F5F7A" w:rsidRPr="00176F59" w14:paraId="717933E7" w14:textId="77777777" w:rsidTr="00986591">
        <w:trPr>
          <w:jc w:val="center"/>
        </w:trPr>
        <w:tc>
          <w:tcPr>
            <w:tcW w:w="0" w:type="auto"/>
            <w:hideMark/>
          </w:tcPr>
          <w:p w14:paraId="7FD9357E"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Functional group positioning</w:t>
            </w:r>
          </w:p>
        </w:tc>
        <w:tc>
          <w:tcPr>
            <w:tcW w:w="0" w:type="auto"/>
            <w:hideMark/>
          </w:tcPr>
          <w:p w14:paraId="4AE618C9"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Significant impact on activity</w:t>
            </w:r>
          </w:p>
        </w:tc>
        <w:tc>
          <w:tcPr>
            <w:tcW w:w="0" w:type="auto"/>
            <w:hideMark/>
          </w:tcPr>
          <w:p w14:paraId="7851B427"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Affects steric and electronic interactions</w:t>
            </w:r>
          </w:p>
        </w:tc>
      </w:tr>
      <w:tr w:rsidR="005F5F7A" w:rsidRPr="00176F59" w14:paraId="36D8CADB" w14:textId="77777777" w:rsidTr="00986591">
        <w:trPr>
          <w:jc w:val="center"/>
        </w:trPr>
        <w:tc>
          <w:tcPr>
            <w:tcW w:w="0" w:type="auto"/>
            <w:hideMark/>
          </w:tcPr>
          <w:p w14:paraId="51C908F2"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Heterocyclic hybridization</w:t>
            </w:r>
          </w:p>
        </w:tc>
        <w:tc>
          <w:tcPr>
            <w:tcW w:w="0" w:type="auto"/>
            <w:hideMark/>
          </w:tcPr>
          <w:p w14:paraId="286918A3"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Enhanced broad-spectrum activity</w:t>
            </w:r>
          </w:p>
        </w:tc>
        <w:tc>
          <w:tcPr>
            <w:tcW w:w="0" w:type="auto"/>
            <w:hideMark/>
          </w:tcPr>
          <w:p w14:paraId="62E2EE31"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Targets multiple biological pathways</w:t>
            </w:r>
          </w:p>
        </w:tc>
      </w:tr>
    </w:tbl>
    <w:p w14:paraId="38A9CAC8" w14:textId="77777777" w:rsidR="005F5F7A" w:rsidRPr="00176F59" w:rsidRDefault="005F5F7A" w:rsidP="00176F59">
      <w:pPr>
        <w:spacing w:after="120" w:line="360" w:lineRule="auto"/>
        <w:jc w:val="both"/>
        <w:rPr>
          <w:rFonts w:ascii="Times New Roman" w:hAnsi="Times New Roman" w:cs="Times New Roman"/>
          <w:lang w:val="en-IN"/>
        </w:rPr>
      </w:pPr>
    </w:p>
    <w:p w14:paraId="6B3372D4" w14:textId="1C614037" w:rsidR="00847C71" w:rsidRPr="00176F59" w:rsidRDefault="007C7553" w:rsidP="00176F59">
      <w:pPr>
        <w:spacing w:after="120" w:line="360" w:lineRule="auto"/>
        <w:jc w:val="both"/>
        <w:rPr>
          <w:rFonts w:ascii="Times New Roman" w:hAnsi="Times New Roman" w:cs="Times New Roman"/>
          <w:b/>
          <w:bCs/>
          <w:caps/>
          <w:lang w:val="en-IN"/>
        </w:rPr>
      </w:pPr>
      <w:r w:rsidRPr="00176F59">
        <w:rPr>
          <w:rFonts w:ascii="Times New Roman" w:hAnsi="Times New Roman" w:cs="Times New Roman"/>
          <w:b/>
          <w:bCs/>
          <w:caps/>
          <w:lang w:val="en-IN"/>
        </w:rPr>
        <w:t>8</w:t>
      </w:r>
      <w:r w:rsidR="00847C71" w:rsidRPr="00176F59">
        <w:rPr>
          <w:rFonts w:ascii="Times New Roman" w:hAnsi="Times New Roman" w:cs="Times New Roman"/>
          <w:b/>
          <w:bCs/>
          <w:caps/>
          <w:lang w:val="en-IN"/>
        </w:rPr>
        <w:t>. Role of Computational Approaches</w:t>
      </w:r>
    </w:p>
    <w:p w14:paraId="2E117E33" w14:textId="77777777" w:rsidR="005F5F7A" w:rsidRPr="00176F59" w:rsidRDefault="005F5F7A" w:rsidP="00176F59">
      <w:pPr>
        <w:spacing w:after="120" w:line="360" w:lineRule="auto"/>
        <w:jc w:val="both"/>
        <w:rPr>
          <w:rFonts w:ascii="Times New Roman" w:hAnsi="Times New Roman" w:cs="Times New Roman"/>
          <w:b/>
          <w:bCs/>
        </w:rPr>
      </w:pPr>
      <w:r w:rsidRPr="00176F59">
        <w:rPr>
          <w:rFonts w:ascii="Times New Roman" w:hAnsi="Times New Roman" w:cs="Times New Roman"/>
        </w:rPr>
        <w:lastRenderedPageBreak/>
        <w:t>Computational approaches have become indispensable tools in modern antimicrobial drug discovery, enabling the rapid identification, screening, and optimization of potential drug candidates. These methods complement experimental studies by providing detailed insights into molecular interactions, structural stability, and pharmacokinetic behavior, thereby significantly reducing the time and cost associated with traditional drug development processes (Meng et al., 2011).</w:t>
      </w:r>
    </w:p>
    <w:p w14:paraId="70233335"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 xml:space="preserve">Molecular docking is one of the most widely used computational techniques for predicting the binding affinity and interaction of small molecules with specific biological targets. Commonly used tools such as </w:t>
      </w:r>
      <w:proofErr w:type="spellStart"/>
      <w:r w:rsidRPr="00176F59">
        <w:rPr>
          <w:rFonts w:ascii="Times New Roman" w:hAnsi="Times New Roman" w:cs="Times New Roman"/>
        </w:rPr>
        <w:t>AutoDock</w:t>
      </w:r>
      <w:proofErr w:type="spellEnd"/>
      <w:r w:rsidRPr="00176F59">
        <w:rPr>
          <w:rFonts w:ascii="Times New Roman" w:hAnsi="Times New Roman" w:cs="Times New Roman"/>
        </w:rPr>
        <w:t xml:space="preserve">, </w:t>
      </w:r>
      <w:proofErr w:type="spellStart"/>
      <w:r w:rsidRPr="00176F59">
        <w:rPr>
          <w:rFonts w:ascii="Times New Roman" w:hAnsi="Times New Roman" w:cs="Times New Roman"/>
        </w:rPr>
        <w:t>AutoDock</w:t>
      </w:r>
      <w:proofErr w:type="spellEnd"/>
      <w:r w:rsidRPr="00176F59">
        <w:rPr>
          <w:rFonts w:ascii="Times New Roman" w:hAnsi="Times New Roman" w:cs="Times New Roman"/>
        </w:rPr>
        <w:t xml:space="preserve"> </w:t>
      </w:r>
      <w:proofErr w:type="spellStart"/>
      <w:r w:rsidRPr="00176F59">
        <w:rPr>
          <w:rFonts w:ascii="Times New Roman" w:hAnsi="Times New Roman" w:cs="Times New Roman"/>
        </w:rPr>
        <w:t>Vina</w:t>
      </w:r>
      <w:proofErr w:type="spellEnd"/>
      <w:r w:rsidRPr="00176F59">
        <w:rPr>
          <w:rFonts w:ascii="Times New Roman" w:hAnsi="Times New Roman" w:cs="Times New Roman"/>
        </w:rPr>
        <w:t>, and Glide allow the evaluation of ligand–protein interactions, including hydrogen bonding, hydrophobic contacts, and electrostatic interactions within the active site of target proteins. These analyses facilitate the rational design and optimization of compounds with enhanced target specificity and biological efficacy.</w:t>
      </w:r>
    </w:p>
    <w:p w14:paraId="11707071"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In addition to docking, molecular dynamics (MD) simulations provide a dynamic and time-dependent perspective of protein–ligand interactions. Software platforms such as GROMACS, AMBER, and NAMD are extensively used to analyze the stability, conformational flexibility, and binding behavior of molecular complexes under physiological conditions. MD simulations are particularly valuable for validating docking results and assessing the reliability of predicted binding modes.</w:t>
      </w:r>
    </w:p>
    <w:p w14:paraId="21966004"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 xml:space="preserve">Furthermore, in silico ADME (absorption, distribution, metabolism, and excretion) predictions play a critical role in evaluating the pharmacokinetic and toxicity profiles of compounds at an early stage. Tools such as </w:t>
      </w:r>
      <w:proofErr w:type="spellStart"/>
      <w:r w:rsidRPr="00176F59">
        <w:rPr>
          <w:rFonts w:ascii="Times New Roman" w:hAnsi="Times New Roman" w:cs="Times New Roman"/>
        </w:rPr>
        <w:t>SwissADME</w:t>
      </w:r>
      <w:proofErr w:type="spellEnd"/>
      <w:r w:rsidRPr="00176F59">
        <w:rPr>
          <w:rFonts w:ascii="Times New Roman" w:hAnsi="Times New Roman" w:cs="Times New Roman"/>
        </w:rPr>
        <w:t xml:space="preserve"> and pkCSM enable the prediction of drug-likeness, oral bioavailability, solubility, permeability, and potential toxicity risks based on established models such as Lipinski’s rule of five (Lipinski, 2004). These predictions assist in identifying compounds with favorable pharmacokinetic properties and reduce the likelihood of late-stage failure.</w:t>
      </w:r>
    </w:p>
    <w:p w14:paraId="20EE3F70"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 xml:space="preserve">Importantly, the integration of computational approaches with SAR analysis and hybrid pharmacophore design has significantly enhanced the efficiency of antimicrobial drug discovery. Computational tools enable the identification of high-affinity hybrid molecules, optimization of structural features, and prediction of multi-target interactions, particularly in the context of </w:t>
      </w:r>
      <w:proofErr w:type="spellStart"/>
      <w:r w:rsidRPr="00176F59">
        <w:rPr>
          <w:rFonts w:ascii="Times New Roman" w:hAnsi="Times New Roman" w:cs="Times New Roman"/>
        </w:rPr>
        <w:t>antibiofilm</w:t>
      </w:r>
      <w:proofErr w:type="spellEnd"/>
      <w:r w:rsidRPr="00176F59">
        <w:rPr>
          <w:rFonts w:ascii="Times New Roman" w:hAnsi="Times New Roman" w:cs="Times New Roman"/>
        </w:rPr>
        <w:t xml:space="preserve"> and </w:t>
      </w:r>
      <w:proofErr w:type="spellStart"/>
      <w:r w:rsidRPr="00176F59">
        <w:rPr>
          <w:rFonts w:ascii="Times New Roman" w:hAnsi="Times New Roman" w:cs="Times New Roman"/>
        </w:rPr>
        <w:t>antivirulence</w:t>
      </w:r>
      <w:proofErr w:type="spellEnd"/>
      <w:r w:rsidRPr="00176F59">
        <w:rPr>
          <w:rFonts w:ascii="Times New Roman" w:hAnsi="Times New Roman" w:cs="Times New Roman"/>
        </w:rPr>
        <w:t xml:space="preserve"> strategies.</w:t>
      </w:r>
    </w:p>
    <w:p w14:paraId="6F047830"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lastRenderedPageBreak/>
        <w:t>Despite these advantages, computational predictions are inherently dependent on the quality of input data, scoring functions, and algorithmic limitations. Therefore, these approaches must be complemented with rigorous experimental validation to ensure reliable translation into clinically effective antimicrobial agents.</w:t>
      </w:r>
    </w:p>
    <w:p w14:paraId="1983B4BD"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Overall, the integration of computational methodologies with medicinal chemistry provides a powerful framework for accelerating the development of next-generation antimicrobial compounds targeting multidrug-resistant pathogens.</w:t>
      </w:r>
    </w:p>
    <w:p w14:paraId="5119B197" w14:textId="630413B4" w:rsidR="00847C71" w:rsidRPr="00176F59" w:rsidRDefault="007C7553" w:rsidP="00176F59">
      <w:pPr>
        <w:spacing w:after="120" w:line="360" w:lineRule="auto"/>
        <w:jc w:val="both"/>
        <w:rPr>
          <w:rFonts w:ascii="Times New Roman" w:hAnsi="Times New Roman" w:cs="Times New Roman"/>
          <w:b/>
          <w:bCs/>
          <w:caps/>
          <w:lang w:val="en-IN"/>
        </w:rPr>
      </w:pPr>
      <w:r w:rsidRPr="00176F59">
        <w:rPr>
          <w:rFonts w:ascii="Times New Roman" w:hAnsi="Times New Roman" w:cs="Times New Roman"/>
          <w:b/>
          <w:bCs/>
          <w:caps/>
          <w:lang w:val="en-IN"/>
        </w:rPr>
        <w:t>9</w:t>
      </w:r>
      <w:r w:rsidR="00847C71" w:rsidRPr="00176F59">
        <w:rPr>
          <w:rFonts w:ascii="Times New Roman" w:hAnsi="Times New Roman" w:cs="Times New Roman"/>
          <w:b/>
          <w:bCs/>
          <w:caps/>
          <w:lang w:val="en-IN"/>
        </w:rPr>
        <w:t>. Challenges and Future Directions</w:t>
      </w:r>
    </w:p>
    <w:p w14:paraId="6BF46ADB"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Despite significant advancements in the development of heterocyclic antimicrobial agents, several challenges continue to hinder their successful translation into clinically effective therapies. A major limitation lies in effectively targeting multidrug-resistant (MDR) pathogens, which employ multiple and often synergistic resistance mechanisms that significantly reduce drug efficacy. In addition, biofilm-associated resistance remains a critical barrier, as biofilms create a protective microenvironment that restricts drug penetration and supports persistent infections.</w:t>
      </w:r>
    </w:p>
    <w:p w14:paraId="1AB4338B"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Another key challenge is the poor translation of in vitro findings into in vivo and clinical success. Many compounds that exhibit promising antimicrobial activity under laboratory conditions fail during preclinical or clinical stages due to suboptimal pharmacokinetic properties, toxicity concerns, and reduced efficacy in complex biological systems involving host–pathogen interactions.</w:t>
      </w:r>
    </w:p>
    <w:p w14:paraId="0E2A2933"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To address these challenges, future research should prioritize the rational optimization of hybrid heterocyclic molecules with improved potency, selectivity, and pharmacokinetic profiles. Integration of structure–activity relationship (SAR) analysis with advanced computational modeling can facilitate the identification of high-affinity, multi-target compounds. Furthermore, the development of innovative drug delivery systems, including nanocarriers, liposomal formulations, and targeted delivery platforms, holds significant potential for enhancing drug bioavailability and site-specific action.</w:t>
      </w:r>
    </w:p>
    <w:p w14:paraId="027B4ADE"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 xml:space="preserve">In addition, greater emphasis should be placed on comprehensive in vivo validation, standardized biofilm models, and clinically relevant infection systems to ensure translational reliability. The </w:t>
      </w:r>
      <w:r w:rsidRPr="00176F59">
        <w:rPr>
          <w:rFonts w:ascii="Times New Roman" w:hAnsi="Times New Roman" w:cs="Times New Roman"/>
        </w:rPr>
        <w:lastRenderedPageBreak/>
        <w:t>incorporation of systems biology approaches and artificial intelligence-driven drug design may further accelerate the discovery and optimization of next-generation antimicrobial agents.</w:t>
      </w:r>
    </w:p>
    <w:p w14:paraId="4EF3E91C" w14:textId="77777777" w:rsidR="005F5F7A" w:rsidRPr="00176F59" w:rsidRDefault="005F5F7A" w:rsidP="00176F59">
      <w:pPr>
        <w:spacing w:after="120" w:line="360" w:lineRule="auto"/>
        <w:jc w:val="both"/>
        <w:rPr>
          <w:rFonts w:ascii="Times New Roman" w:hAnsi="Times New Roman" w:cs="Times New Roman"/>
        </w:rPr>
      </w:pPr>
      <w:r w:rsidRPr="00176F59">
        <w:rPr>
          <w:rFonts w:ascii="Times New Roman" w:hAnsi="Times New Roman" w:cs="Times New Roman"/>
        </w:rPr>
        <w:t>Overall, a multidisciplinary strategy integrating medicinal chemistry, computational approaches, and experimental validation will be essential for overcoming current limitations and advancing heterocyclic compounds toward clinical application in the fight against MDR and biofilm-associated infections</w:t>
      </w:r>
    </w:p>
    <w:p w14:paraId="21D6A2BE" w14:textId="4924155B" w:rsidR="00847C71" w:rsidRPr="00176F59" w:rsidRDefault="007C7553" w:rsidP="00176F59">
      <w:pPr>
        <w:spacing w:after="120" w:line="360" w:lineRule="auto"/>
        <w:jc w:val="both"/>
        <w:rPr>
          <w:rFonts w:ascii="Times New Roman" w:hAnsi="Times New Roman" w:cs="Times New Roman"/>
          <w:b/>
          <w:bCs/>
          <w:caps/>
          <w:lang w:val="en-IN"/>
        </w:rPr>
      </w:pPr>
      <w:r w:rsidRPr="00176F59">
        <w:rPr>
          <w:rFonts w:ascii="Times New Roman" w:hAnsi="Times New Roman" w:cs="Times New Roman"/>
          <w:b/>
          <w:bCs/>
          <w:caps/>
          <w:lang w:val="en-IN"/>
        </w:rPr>
        <w:t>10</w:t>
      </w:r>
      <w:r w:rsidR="00847C71" w:rsidRPr="00176F59">
        <w:rPr>
          <w:rFonts w:ascii="Times New Roman" w:hAnsi="Times New Roman" w:cs="Times New Roman"/>
          <w:b/>
          <w:bCs/>
          <w:caps/>
          <w:lang w:val="en-IN"/>
        </w:rPr>
        <w:t>. Conclusion</w:t>
      </w:r>
    </w:p>
    <w:p w14:paraId="11E5BCDD" w14:textId="77777777" w:rsidR="00986591" w:rsidRPr="00176F59" w:rsidRDefault="00986591" w:rsidP="00176F59">
      <w:pPr>
        <w:spacing w:after="120" w:line="360" w:lineRule="auto"/>
        <w:jc w:val="both"/>
        <w:rPr>
          <w:rFonts w:ascii="Times New Roman" w:hAnsi="Times New Roman" w:cs="Times New Roman"/>
        </w:rPr>
      </w:pPr>
      <w:r w:rsidRPr="00176F59">
        <w:rPr>
          <w:rFonts w:ascii="Times New Roman" w:hAnsi="Times New Roman" w:cs="Times New Roman"/>
        </w:rPr>
        <w:t>Nitrogen- and oxygen-containing heterocyclic compounds have emerged as a highly promising class of molecules in the development of next-generation antimicrobial agents. Their structural diversity, tunable physicochemical properties, and ability to interact with multiple biological targets position them as effective candidates for addressing key challenges associated with antimicrobial resistance (AMR). In particular, scaffolds such as imidazolidine, quinoline, and triazole derivatives demonstrate significant potential not only in inhibiting microbial growth but also in disrupting biofilm formation and attenuating virulence mechanisms.</w:t>
      </w:r>
    </w:p>
    <w:p w14:paraId="358B15E5" w14:textId="77777777" w:rsidR="00986591" w:rsidRPr="00176F59" w:rsidRDefault="00986591" w:rsidP="00176F59">
      <w:pPr>
        <w:spacing w:after="120" w:line="360" w:lineRule="auto"/>
        <w:jc w:val="both"/>
        <w:rPr>
          <w:rFonts w:ascii="Times New Roman" w:hAnsi="Times New Roman" w:cs="Times New Roman"/>
        </w:rPr>
      </w:pPr>
      <w:r w:rsidRPr="00176F59">
        <w:rPr>
          <w:rFonts w:ascii="Times New Roman" w:hAnsi="Times New Roman" w:cs="Times New Roman"/>
        </w:rPr>
        <w:t>The integration of hybrid pharmacophore strategies has further enhanced the therapeutic potential of these compounds by enabling multi-target interactions, thereby improving efficacy against multidrug-resistant (MDR) pathogens. In parallel, advances in computational approaches, including molecular docking, molecular dynamics simulations, and in silico ADME predictions, have accelerated the rational design and optimization of drug candidates, bridging the gap between theoretical modeling and experimental validation.</w:t>
      </w:r>
    </w:p>
    <w:p w14:paraId="33D3C118" w14:textId="77777777" w:rsidR="00986591" w:rsidRPr="00176F59" w:rsidRDefault="00986591" w:rsidP="00176F59">
      <w:pPr>
        <w:spacing w:after="120" w:line="360" w:lineRule="auto"/>
        <w:jc w:val="both"/>
        <w:rPr>
          <w:rFonts w:ascii="Times New Roman" w:hAnsi="Times New Roman" w:cs="Times New Roman"/>
        </w:rPr>
      </w:pPr>
      <w:r w:rsidRPr="00176F59">
        <w:rPr>
          <w:rFonts w:ascii="Times New Roman" w:hAnsi="Times New Roman" w:cs="Times New Roman"/>
        </w:rPr>
        <w:t xml:space="preserve">Importantly, this review highlights the synergistic relationship between heterocyclic scaffold design, hybridization strategies, and </w:t>
      </w:r>
      <w:proofErr w:type="spellStart"/>
      <w:r w:rsidRPr="00176F59">
        <w:rPr>
          <w:rFonts w:ascii="Times New Roman" w:hAnsi="Times New Roman" w:cs="Times New Roman"/>
        </w:rPr>
        <w:t>antibiofilm</w:t>
      </w:r>
      <w:proofErr w:type="spellEnd"/>
      <w:r w:rsidRPr="00176F59">
        <w:rPr>
          <w:rFonts w:ascii="Times New Roman" w:hAnsi="Times New Roman" w:cs="Times New Roman"/>
        </w:rPr>
        <w:t>/</w:t>
      </w:r>
      <w:proofErr w:type="spellStart"/>
      <w:r w:rsidRPr="00176F59">
        <w:rPr>
          <w:rFonts w:ascii="Times New Roman" w:hAnsi="Times New Roman" w:cs="Times New Roman"/>
        </w:rPr>
        <w:t>antivirulence</w:t>
      </w:r>
      <w:proofErr w:type="spellEnd"/>
      <w:r w:rsidRPr="00176F59">
        <w:rPr>
          <w:rFonts w:ascii="Times New Roman" w:hAnsi="Times New Roman" w:cs="Times New Roman"/>
        </w:rPr>
        <w:t xml:space="preserve"> approaches, providing a unified framework for the development of more effective antimicrobial therapies.</w:t>
      </w:r>
    </w:p>
    <w:p w14:paraId="5DA37375" w14:textId="77777777" w:rsidR="00986591" w:rsidRPr="00176F59" w:rsidRDefault="00986591" w:rsidP="00176F59">
      <w:pPr>
        <w:spacing w:after="120" w:line="360" w:lineRule="auto"/>
        <w:jc w:val="both"/>
        <w:rPr>
          <w:rFonts w:ascii="Times New Roman" w:hAnsi="Times New Roman" w:cs="Times New Roman"/>
        </w:rPr>
      </w:pPr>
      <w:r w:rsidRPr="00176F59">
        <w:rPr>
          <w:rFonts w:ascii="Times New Roman" w:hAnsi="Times New Roman" w:cs="Times New Roman"/>
        </w:rPr>
        <w:t>Despite these promising advancements, significant challenges remain, particularly in terms of pharmacokinetic optimization, toxicity, and successful clinical translation. Addressing these limitations will require a multidisciplinary approach integrating medicinal chemistry, computational modeling, experimental validation, and advanced drug delivery systems.</w:t>
      </w:r>
    </w:p>
    <w:p w14:paraId="6291431E" w14:textId="77777777" w:rsidR="00986591" w:rsidRPr="00176F59" w:rsidRDefault="00986591" w:rsidP="00176F59">
      <w:pPr>
        <w:spacing w:after="120" w:line="360" w:lineRule="auto"/>
        <w:jc w:val="both"/>
        <w:rPr>
          <w:rFonts w:ascii="Times New Roman" w:hAnsi="Times New Roman" w:cs="Times New Roman"/>
        </w:rPr>
      </w:pPr>
      <w:r w:rsidRPr="00176F59">
        <w:rPr>
          <w:rFonts w:ascii="Times New Roman" w:hAnsi="Times New Roman" w:cs="Times New Roman"/>
        </w:rPr>
        <w:t xml:space="preserve">In conclusion, heterocyclic compounds represent a robust and versatile platform for the development of innovative antimicrobial agents. Continued research focused on multi-target </w:t>
      </w:r>
      <w:r w:rsidRPr="00176F59">
        <w:rPr>
          <w:rFonts w:ascii="Times New Roman" w:hAnsi="Times New Roman" w:cs="Times New Roman"/>
        </w:rPr>
        <w:lastRenderedPageBreak/>
        <w:t>strategies and translational validation is essential to overcome existing limitations and to effectively combat the growing global threat of antimicrobial resistance.</w:t>
      </w:r>
    </w:p>
    <w:p w14:paraId="29E4C354" w14:textId="77777777" w:rsidR="00F045C2" w:rsidRPr="00176F59" w:rsidRDefault="00F045C2" w:rsidP="00176F59">
      <w:pPr>
        <w:spacing w:after="120" w:line="360" w:lineRule="auto"/>
        <w:jc w:val="both"/>
        <w:rPr>
          <w:rFonts w:ascii="Times New Roman" w:hAnsi="Times New Roman" w:cs="Times New Roman"/>
          <w:b/>
          <w:bCs/>
          <w:lang w:val="en-IN"/>
        </w:rPr>
      </w:pPr>
      <w:r w:rsidRPr="00176F59">
        <w:rPr>
          <w:rFonts w:ascii="Times New Roman" w:hAnsi="Times New Roman" w:cs="Times New Roman"/>
          <w:b/>
          <w:bCs/>
          <w:lang w:val="en-IN"/>
        </w:rPr>
        <w:t>REFERENCES</w:t>
      </w:r>
    </w:p>
    <w:p w14:paraId="48263FDD" w14:textId="77777777" w:rsidR="00F045C2" w:rsidRPr="00176F59" w:rsidRDefault="00F045C2" w:rsidP="00176F59">
      <w:pPr>
        <w:spacing w:after="120" w:line="360" w:lineRule="auto"/>
        <w:ind w:left="284" w:hanging="284"/>
        <w:jc w:val="both"/>
        <w:rPr>
          <w:rFonts w:ascii="Times New Roman" w:hAnsi="Times New Roman" w:cs="Times New Roman"/>
          <w:lang w:val="en-IN"/>
        </w:rPr>
      </w:pPr>
      <w:r w:rsidRPr="00176F59">
        <w:rPr>
          <w:rFonts w:ascii="Times New Roman" w:hAnsi="Times New Roman" w:cs="Times New Roman"/>
        </w:rPr>
        <w:t xml:space="preserve">Blair JM, Webber MA, </w:t>
      </w:r>
      <w:proofErr w:type="spellStart"/>
      <w:r w:rsidRPr="00176F59">
        <w:rPr>
          <w:rFonts w:ascii="Times New Roman" w:hAnsi="Times New Roman" w:cs="Times New Roman"/>
        </w:rPr>
        <w:t>Baylay</w:t>
      </w:r>
      <w:proofErr w:type="spellEnd"/>
      <w:r w:rsidRPr="00176F59">
        <w:rPr>
          <w:rFonts w:ascii="Times New Roman" w:hAnsi="Times New Roman" w:cs="Times New Roman"/>
        </w:rPr>
        <w:t xml:space="preserve"> AJ, </w:t>
      </w:r>
      <w:proofErr w:type="spellStart"/>
      <w:r w:rsidRPr="00176F59">
        <w:rPr>
          <w:rFonts w:ascii="Times New Roman" w:hAnsi="Times New Roman" w:cs="Times New Roman"/>
        </w:rPr>
        <w:t>Ogbolu</w:t>
      </w:r>
      <w:proofErr w:type="spellEnd"/>
      <w:r w:rsidRPr="00176F59">
        <w:rPr>
          <w:rFonts w:ascii="Times New Roman" w:hAnsi="Times New Roman" w:cs="Times New Roman"/>
        </w:rPr>
        <w:t xml:space="preserve"> DO, Piddock LJ. </w:t>
      </w:r>
      <w:proofErr w:type="gramStart"/>
      <w:r w:rsidRPr="00176F59">
        <w:rPr>
          <w:rFonts w:ascii="Times New Roman" w:hAnsi="Times New Roman" w:cs="Times New Roman"/>
        </w:rPr>
        <w:t>Molecular mechanisms of antibiotic resistance.</w:t>
      </w:r>
      <w:proofErr w:type="gramEnd"/>
      <w:r w:rsidRPr="00176F59">
        <w:rPr>
          <w:rFonts w:ascii="Times New Roman" w:hAnsi="Times New Roman" w:cs="Times New Roman"/>
        </w:rPr>
        <w:t xml:space="preserve"> </w:t>
      </w:r>
      <w:proofErr w:type="gramStart"/>
      <w:r w:rsidRPr="00176F59">
        <w:rPr>
          <w:rFonts w:ascii="Times New Roman" w:hAnsi="Times New Roman" w:cs="Times New Roman"/>
        </w:rPr>
        <w:t xml:space="preserve">Nat Rev </w:t>
      </w:r>
      <w:proofErr w:type="spellStart"/>
      <w:r w:rsidRPr="00176F59">
        <w:rPr>
          <w:rFonts w:ascii="Times New Roman" w:hAnsi="Times New Roman" w:cs="Times New Roman"/>
        </w:rPr>
        <w:t>Microbiol</w:t>
      </w:r>
      <w:proofErr w:type="spellEnd"/>
      <w:r w:rsidRPr="00176F59">
        <w:rPr>
          <w:rFonts w:ascii="Times New Roman" w:hAnsi="Times New Roman" w:cs="Times New Roman"/>
        </w:rPr>
        <w:t>.</w:t>
      </w:r>
      <w:proofErr w:type="gramEnd"/>
      <w:r w:rsidRPr="00176F59">
        <w:rPr>
          <w:rFonts w:ascii="Times New Roman" w:hAnsi="Times New Roman" w:cs="Times New Roman"/>
        </w:rPr>
        <w:t xml:space="preserve"> 2015 Jan</w:t>
      </w:r>
      <w:proofErr w:type="gramStart"/>
      <w:r w:rsidRPr="00176F59">
        <w:rPr>
          <w:rFonts w:ascii="Times New Roman" w:hAnsi="Times New Roman" w:cs="Times New Roman"/>
        </w:rPr>
        <w:t>;13</w:t>
      </w:r>
      <w:proofErr w:type="gramEnd"/>
      <w:r w:rsidRPr="00176F59">
        <w:rPr>
          <w:rFonts w:ascii="Times New Roman" w:hAnsi="Times New Roman" w:cs="Times New Roman"/>
        </w:rPr>
        <w:t xml:space="preserve">(1):42-51. </w:t>
      </w:r>
      <w:proofErr w:type="spellStart"/>
      <w:proofErr w:type="gramStart"/>
      <w:r w:rsidRPr="00176F59">
        <w:rPr>
          <w:rFonts w:ascii="Times New Roman" w:hAnsi="Times New Roman" w:cs="Times New Roman"/>
        </w:rPr>
        <w:t>doi</w:t>
      </w:r>
      <w:proofErr w:type="spellEnd"/>
      <w:proofErr w:type="gramEnd"/>
      <w:r w:rsidRPr="00176F59">
        <w:rPr>
          <w:rFonts w:ascii="Times New Roman" w:hAnsi="Times New Roman" w:cs="Times New Roman"/>
        </w:rPr>
        <w:t xml:space="preserve">: 10.1038/nrmicro3380. </w:t>
      </w:r>
      <w:proofErr w:type="spellStart"/>
      <w:r w:rsidRPr="00176F59">
        <w:rPr>
          <w:rFonts w:ascii="Times New Roman" w:hAnsi="Times New Roman" w:cs="Times New Roman"/>
        </w:rPr>
        <w:t>Epub</w:t>
      </w:r>
      <w:proofErr w:type="spellEnd"/>
      <w:r w:rsidRPr="00176F59">
        <w:rPr>
          <w:rFonts w:ascii="Times New Roman" w:hAnsi="Times New Roman" w:cs="Times New Roman"/>
        </w:rPr>
        <w:t xml:space="preserve"> 2014 Dec 1. PMID: 25435309.</w:t>
      </w:r>
    </w:p>
    <w:p w14:paraId="7E6CCCA9" w14:textId="77777777" w:rsidR="00F045C2" w:rsidRPr="00176F59" w:rsidRDefault="00F045C2" w:rsidP="00176F59">
      <w:pPr>
        <w:spacing w:after="120" w:line="360" w:lineRule="auto"/>
        <w:ind w:left="284" w:hanging="284"/>
        <w:jc w:val="both"/>
        <w:rPr>
          <w:rFonts w:ascii="Times New Roman" w:hAnsi="Times New Roman" w:cs="Times New Roman"/>
          <w:lang w:val="en-IN"/>
        </w:rPr>
      </w:pPr>
      <w:proofErr w:type="spellStart"/>
      <w:r w:rsidRPr="00176F59">
        <w:rPr>
          <w:rFonts w:ascii="Times New Roman" w:hAnsi="Times New Roman" w:cs="Times New Roman"/>
        </w:rPr>
        <w:t>Costerton</w:t>
      </w:r>
      <w:proofErr w:type="spellEnd"/>
      <w:r w:rsidRPr="00176F59">
        <w:rPr>
          <w:rFonts w:ascii="Times New Roman" w:hAnsi="Times New Roman" w:cs="Times New Roman"/>
        </w:rPr>
        <w:t xml:space="preserve"> JW, Stewart PS, Greenberg EP. Bacterial biofilms: a common cause of persistent infections. </w:t>
      </w:r>
      <w:proofErr w:type="gramStart"/>
      <w:r w:rsidRPr="00176F59">
        <w:rPr>
          <w:rFonts w:ascii="Times New Roman" w:hAnsi="Times New Roman" w:cs="Times New Roman"/>
        </w:rPr>
        <w:t>Science.</w:t>
      </w:r>
      <w:proofErr w:type="gramEnd"/>
      <w:r w:rsidRPr="00176F59">
        <w:rPr>
          <w:rFonts w:ascii="Times New Roman" w:hAnsi="Times New Roman" w:cs="Times New Roman"/>
        </w:rPr>
        <w:t xml:space="preserve"> 1999 May 21</w:t>
      </w:r>
      <w:proofErr w:type="gramStart"/>
      <w:r w:rsidRPr="00176F59">
        <w:rPr>
          <w:rFonts w:ascii="Times New Roman" w:hAnsi="Times New Roman" w:cs="Times New Roman"/>
        </w:rPr>
        <w:t>;284</w:t>
      </w:r>
      <w:proofErr w:type="gramEnd"/>
      <w:r w:rsidRPr="00176F59">
        <w:rPr>
          <w:rFonts w:ascii="Times New Roman" w:hAnsi="Times New Roman" w:cs="Times New Roman"/>
        </w:rPr>
        <w:t xml:space="preserve">(5418):1318-22. </w:t>
      </w:r>
      <w:proofErr w:type="spellStart"/>
      <w:proofErr w:type="gramStart"/>
      <w:r w:rsidRPr="00176F59">
        <w:rPr>
          <w:rFonts w:ascii="Times New Roman" w:hAnsi="Times New Roman" w:cs="Times New Roman"/>
        </w:rPr>
        <w:t>doi</w:t>
      </w:r>
      <w:proofErr w:type="spellEnd"/>
      <w:proofErr w:type="gramEnd"/>
      <w:r w:rsidRPr="00176F59">
        <w:rPr>
          <w:rFonts w:ascii="Times New Roman" w:hAnsi="Times New Roman" w:cs="Times New Roman"/>
        </w:rPr>
        <w:t>: 10.1126/science.284.5418.1318. PMID: 10334980.</w:t>
      </w:r>
    </w:p>
    <w:p w14:paraId="2EF46542" w14:textId="77777777" w:rsidR="00F045C2" w:rsidRPr="00176F59" w:rsidRDefault="00F045C2" w:rsidP="00176F59">
      <w:pPr>
        <w:spacing w:after="120" w:line="360" w:lineRule="auto"/>
        <w:ind w:left="284" w:hanging="284"/>
        <w:jc w:val="both"/>
        <w:rPr>
          <w:rFonts w:ascii="Times New Roman" w:hAnsi="Times New Roman" w:cs="Times New Roman"/>
          <w:lang w:val="en-IN"/>
        </w:rPr>
      </w:pPr>
      <w:r w:rsidRPr="00176F59">
        <w:rPr>
          <w:rFonts w:ascii="Times New Roman" w:hAnsi="Times New Roman" w:cs="Times New Roman"/>
        </w:rPr>
        <w:t xml:space="preserve">Kaur K, Jain M, Reddy RP, Jain R. Quinolines and structurally related heterocycles as antimalarials. </w:t>
      </w:r>
      <w:proofErr w:type="spellStart"/>
      <w:r w:rsidRPr="00176F59">
        <w:rPr>
          <w:rFonts w:ascii="Times New Roman" w:hAnsi="Times New Roman" w:cs="Times New Roman"/>
        </w:rPr>
        <w:t>Eur</w:t>
      </w:r>
      <w:proofErr w:type="spellEnd"/>
      <w:r w:rsidRPr="00176F59">
        <w:rPr>
          <w:rFonts w:ascii="Times New Roman" w:hAnsi="Times New Roman" w:cs="Times New Roman"/>
        </w:rPr>
        <w:t xml:space="preserve"> J Med Chem. 2010 Aug</w:t>
      </w:r>
      <w:proofErr w:type="gramStart"/>
      <w:r w:rsidRPr="00176F59">
        <w:rPr>
          <w:rFonts w:ascii="Times New Roman" w:hAnsi="Times New Roman" w:cs="Times New Roman"/>
        </w:rPr>
        <w:t>;45</w:t>
      </w:r>
      <w:proofErr w:type="gramEnd"/>
      <w:r w:rsidRPr="00176F59">
        <w:rPr>
          <w:rFonts w:ascii="Times New Roman" w:hAnsi="Times New Roman" w:cs="Times New Roman"/>
        </w:rPr>
        <w:t xml:space="preserve">(8):3245-64. </w:t>
      </w:r>
      <w:proofErr w:type="spellStart"/>
      <w:proofErr w:type="gramStart"/>
      <w:r w:rsidRPr="00176F59">
        <w:rPr>
          <w:rFonts w:ascii="Times New Roman" w:hAnsi="Times New Roman" w:cs="Times New Roman"/>
        </w:rPr>
        <w:t>doi</w:t>
      </w:r>
      <w:proofErr w:type="spellEnd"/>
      <w:proofErr w:type="gramEnd"/>
      <w:r w:rsidRPr="00176F59">
        <w:rPr>
          <w:rFonts w:ascii="Times New Roman" w:hAnsi="Times New Roman" w:cs="Times New Roman"/>
        </w:rPr>
        <w:t xml:space="preserve">: 10.1016/j.ejmech.2010.04.011. </w:t>
      </w:r>
      <w:proofErr w:type="spellStart"/>
      <w:r w:rsidRPr="00176F59">
        <w:rPr>
          <w:rFonts w:ascii="Times New Roman" w:hAnsi="Times New Roman" w:cs="Times New Roman"/>
        </w:rPr>
        <w:t>Epub</w:t>
      </w:r>
      <w:proofErr w:type="spellEnd"/>
      <w:r w:rsidRPr="00176F59">
        <w:rPr>
          <w:rFonts w:ascii="Times New Roman" w:hAnsi="Times New Roman" w:cs="Times New Roman"/>
        </w:rPr>
        <w:t xml:space="preserve"> 2010 Apr 18. PMID: 20466465.</w:t>
      </w:r>
    </w:p>
    <w:p w14:paraId="70DD642C" w14:textId="77777777" w:rsidR="00F045C2" w:rsidRPr="00176F59" w:rsidRDefault="00F045C2" w:rsidP="00176F59">
      <w:pPr>
        <w:spacing w:after="120" w:line="360" w:lineRule="auto"/>
        <w:ind w:left="284" w:hanging="284"/>
        <w:jc w:val="both"/>
        <w:rPr>
          <w:rFonts w:ascii="Times New Roman" w:hAnsi="Times New Roman" w:cs="Times New Roman"/>
          <w:lang w:val="en-IN"/>
        </w:rPr>
      </w:pPr>
      <w:r w:rsidRPr="00176F59">
        <w:rPr>
          <w:rFonts w:ascii="Times New Roman" w:hAnsi="Times New Roman" w:cs="Times New Roman"/>
        </w:rPr>
        <w:t xml:space="preserve">Lipinski CA. Lead- and drug-like compounds: the rule-of-five revolution. Drug </w:t>
      </w:r>
      <w:proofErr w:type="spellStart"/>
      <w:r w:rsidRPr="00176F59">
        <w:rPr>
          <w:rFonts w:ascii="Times New Roman" w:hAnsi="Times New Roman" w:cs="Times New Roman"/>
        </w:rPr>
        <w:t>Discov</w:t>
      </w:r>
      <w:proofErr w:type="spellEnd"/>
      <w:r w:rsidRPr="00176F59">
        <w:rPr>
          <w:rFonts w:ascii="Times New Roman" w:hAnsi="Times New Roman" w:cs="Times New Roman"/>
        </w:rPr>
        <w:t xml:space="preserve"> Today Technol. 2004 Dec</w:t>
      </w:r>
      <w:proofErr w:type="gramStart"/>
      <w:r w:rsidRPr="00176F59">
        <w:rPr>
          <w:rFonts w:ascii="Times New Roman" w:hAnsi="Times New Roman" w:cs="Times New Roman"/>
        </w:rPr>
        <w:t>;1</w:t>
      </w:r>
      <w:proofErr w:type="gramEnd"/>
      <w:r w:rsidRPr="00176F59">
        <w:rPr>
          <w:rFonts w:ascii="Times New Roman" w:hAnsi="Times New Roman" w:cs="Times New Roman"/>
        </w:rPr>
        <w:t xml:space="preserve">(4):337-41. </w:t>
      </w:r>
      <w:proofErr w:type="spellStart"/>
      <w:proofErr w:type="gramStart"/>
      <w:r w:rsidRPr="00176F59">
        <w:rPr>
          <w:rFonts w:ascii="Times New Roman" w:hAnsi="Times New Roman" w:cs="Times New Roman"/>
        </w:rPr>
        <w:t>doi</w:t>
      </w:r>
      <w:proofErr w:type="spellEnd"/>
      <w:proofErr w:type="gramEnd"/>
      <w:r w:rsidRPr="00176F59">
        <w:rPr>
          <w:rFonts w:ascii="Times New Roman" w:hAnsi="Times New Roman" w:cs="Times New Roman"/>
        </w:rPr>
        <w:t>: 10.1016/j.ddtec.2004.11.007. PMID: 24981612.</w:t>
      </w:r>
    </w:p>
    <w:p w14:paraId="7858EBF5" w14:textId="77777777" w:rsidR="00F045C2" w:rsidRPr="00176F59" w:rsidRDefault="00F045C2" w:rsidP="00176F59">
      <w:pPr>
        <w:spacing w:after="120" w:line="360" w:lineRule="auto"/>
        <w:ind w:left="284" w:hanging="284"/>
        <w:jc w:val="both"/>
        <w:rPr>
          <w:rFonts w:ascii="Times New Roman" w:hAnsi="Times New Roman" w:cs="Times New Roman"/>
          <w:lang w:val="en-IN"/>
        </w:rPr>
      </w:pPr>
      <w:r w:rsidRPr="00176F59">
        <w:rPr>
          <w:rFonts w:ascii="Times New Roman" w:hAnsi="Times New Roman" w:cs="Times New Roman"/>
        </w:rPr>
        <w:t xml:space="preserve">Meng XY, Zhang HX, Mezei M, Cui M. Molecular docking: a powerful approach for structure-based drug discovery. </w:t>
      </w:r>
      <w:proofErr w:type="spellStart"/>
      <w:r w:rsidRPr="00176F59">
        <w:rPr>
          <w:rFonts w:ascii="Times New Roman" w:hAnsi="Times New Roman" w:cs="Times New Roman"/>
        </w:rPr>
        <w:t>Curr</w:t>
      </w:r>
      <w:proofErr w:type="spellEnd"/>
      <w:r w:rsidRPr="00176F59">
        <w:rPr>
          <w:rFonts w:ascii="Times New Roman" w:hAnsi="Times New Roman" w:cs="Times New Roman"/>
        </w:rPr>
        <w:t xml:space="preserve"> </w:t>
      </w:r>
      <w:proofErr w:type="spellStart"/>
      <w:r w:rsidRPr="00176F59">
        <w:rPr>
          <w:rFonts w:ascii="Times New Roman" w:hAnsi="Times New Roman" w:cs="Times New Roman"/>
        </w:rPr>
        <w:t>Comput</w:t>
      </w:r>
      <w:proofErr w:type="spellEnd"/>
      <w:r w:rsidRPr="00176F59">
        <w:rPr>
          <w:rFonts w:ascii="Times New Roman" w:hAnsi="Times New Roman" w:cs="Times New Roman"/>
        </w:rPr>
        <w:t xml:space="preserve"> Aided Drug Des. 2011 Jun</w:t>
      </w:r>
      <w:proofErr w:type="gramStart"/>
      <w:r w:rsidRPr="00176F59">
        <w:rPr>
          <w:rFonts w:ascii="Times New Roman" w:hAnsi="Times New Roman" w:cs="Times New Roman"/>
        </w:rPr>
        <w:t>;7</w:t>
      </w:r>
      <w:proofErr w:type="gramEnd"/>
      <w:r w:rsidRPr="00176F59">
        <w:rPr>
          <w:rFonts w:ascii="Times New Roman" w:hAnsi="Times New Roman" w:cs="Times New Roman"/>
        </w:rPr>
        <w:t xml:space="preserve">(2):146-57. </w:t>
      </w:r>
      <w:proofErr w:type="spellStart"/>
      <w:proofErr w:type="gramStart"/>
      <w:r w:rsidRPr="00176F59">
        <w:rPr>
          <w:rFonts w:ascii="Times New Roman" w:hAnsi="Times New Roman" w:cs="Times New Roman"/>
        </w:rPr>
        <w:t>doi</w:t>
      </w:r>
      <w:proofErr w:type="spellEnd"/>
      <w:proofErr w:type="gramEnd"/>
      <w:r w:rsidRPr="00176F59">
        <w:rPr>
          <w:rFonts w:ascii="Times New Roman" w:hAnsi="Times New Roman" w:cs="Times New Roman"/>
        </w:rPr>
        <w:t>: 10.2174/157340911795677602. PMID: 21534921; PMCID: PMC3151162.</w:t>
      </w:r>
    </w:p>
    <w:p w14:paraId="06611F80" w14:textId="77777777" w:rsidR="00F045C2" w:rsidRPr="00176F59" w:rsidRDefault="00F045C2" w:rsidP="00176F59">
      <w:pPr>
        <w:spacing w:after="120" w:line="360" w:lineRule="auto"/>
        <w:ind w:left="284" w:hanging="284"/>
        <w:jc w:val="both"/>
        <w:rPr>
          <w:rFonts w:ascii="Times New Roman" w:hAnsi="Times New Roman" w:cs="Times New Roman"/>
          <w:lang w:val="en-IN"/>
        </w:rPr>
      </w:pPr>
      <w:r w:rsidRPr="00176F59">
        <w:rPr>
          <w:rFonts w:ascii="Times New Roman" w:hAnsi="Times New Roman" w:cs="Times New Roman"/>
        </w:rPr>
        <w:t xml:space="preserve">Shaveta, Mishra S, Singh P. Hybrid molecules: The privileged scaffolds for various pharmaceuticals. </w:t>
      </w:r>
      <w:proofErr w:type="spellStart"/>
      <w:r w:rsidRPr="00176F59">
        <w:rPr>
          <w:rFonts w:ascii="Times New Roman" w:hAnsi="Times New Roman" w:cs="Times New Roman"/>
        </w:rPr>
        <w:t>Eur</w:t>
      </w:r>
      <w:proofErr w:type="spellEnd"/>
      <w:r w:rsidRPr="00176F59">
        <w:rPr>
          <w:rFonts w:ascii="Times New Roman" w:hAnsi="Times New Roman" w:cs="Times New Roman"/>
        </w:rPr>
        <w:t xml:space="preserve"> J Med Chem. 2016 Nov 29</w:t>
      </w:r>
      <w:proofErr w:type="gramStart"/>
      <w:r w:rsidRPr="00176F59">
        <w:rPr>
          <w:rFonts w:ascii="Times New Roman" w:hAnsi="Times New Roman" w:cs="Times New Roman"/>
        </w:rPr>
        <w:t>;124:500</w:t>
      </w:r>
      <w:proofErr w:type="gramEnd"/>
      <w:r w:rsidRPr="00176F59">
        <w:rPr>
          <w:rFonts w:ascii="Times New Roman" w:hAnsi="Times New Roman" w:cs="Times New Roman"/>
        </w:rPr>
        <w:t xml:space="preserve">-536. </w:t>
      </w:r>
      <w:proofErr w:type="spellStart"/>
      <w:proofErr w:type="gramStart"/>
      <w:r w:rsidRPr="00176F59">
        <w:rPr>
          <w:rFonts w:ascii="Times New Roman" w:hAnsi="Times New Roman" w:cs="Times New Roman"/>
        </w:rPr>
        <w:t>doi</w:t>
      </w:r>
      <w:proofErr w:type="spellEnd"/>
      <w:proofErr w:type="gramEnd"/>
      <w:r w:rsidRPr="00176F59">
        <w:rPr>
          <w:rFonts w:ascii="Times New Roman" w:hAnsi="Times New Roman" w:cs="Times New Roman"/>
        </w:rPr>
        <w:t xml:space="preserve">: 10.1016/j.ejmech.2016.08.039. </w:t>
      </w:r>
      <w:proofErr w:type="spellStart"/>
      <w:r w:rsidRPr="00176F59">
        <w:rPr>
          <w:rFonts w:ascii="Times New Roman" w:hAnsi="Times New Roman" w:cs="Times New Roman"/>
        </w:rPr>
        <w:t>Epub</w:t>
      </w:r>
      <w:proofErr w:type="spellEnd"/>
      <w:r w:rsidRPr="00176F59">
        <w:rPr>
          <w:rFonts w:ascii="Times New Roman" w:hAnsi="Times New Roman" w:cs="Times New Roman"/>
        </w:rPr>
        <w:t xml:space="preserve"> 2016 Aug 21. PMID: 27598238.</w:t>
      </w:r>
    </w:p>
    <w:p w14:paraId="570230F7" w14:textId="77777777" w:rsidR="00F045C2" w:rsidRPr="00176F59" w:rsidRDefault="00F045C2" w:rsidP="00176F59">
      <w:pPr>
        <w:spacing w:after="120" w:line="360" w:lineRule="auto"/>
        <w:ind w:left="284" w:hanging="284"/>
        <w:jc w:val="both"/>
        <w:rPr>
          <w:rFonts w:ascii="Times New Roman" w:hAnsi="Times New Roman" w:cs="Times New Roman"/>
          <w:lang w:val="en-IN"/>
        </w:rPr>
      </w:pPr>
      <w:r w:rsidRPr="00176F59">
        <w:rPr>
          <w:rFonts w:ascii="Times New Roman" w:hAnsi="Times New Roman" w:cs="Times New Roman"/>
        </w:rPr>
        <w:t xml:space="preserve">Rutherford ST, Bassler BL. Bacterial quorum sensing: its role in virulence and possibilities for its control. Cold Spring </w:t>
      </w:r>
      <w:proofErr w:type="spellStart"/>
      <w:r w:rsidRPr="00176F59">
        <w:rPr>
          <w:rFonts w:ascii="Times New Roman" w:hAnsi="Times New Roman" w:cs="Times New Roman"/>
        </w:rPr>
        <w:t>Harb</w:t>
      </w:r>
      <w:proofErr w:type="spellEnd"/>
      <w:r w:rsidRPr="00176F59">
        <w:rPr>
          <w:rFonts w:ascii="Times New Roman" w:hAnsi="Times New Roman" w:cs="Times New Roman"/>
        </w:rPr>
        <w:t xml:space="preserve"> </w:t>
      </w:r>
      <w:proofErr w:type="spellStart"/>
      <w:r w:rsidRPr="00176F59">
        <w:rPr>
          <w:rFonts w:ascii="Times New Roman" w:hAnsi="Times New Roman" w:cs="Times New Roman"/>
        </w:rPr>
        <w:t>Perspect</w:t>
      </w:r>
      <w:proofErr w:type="spellEnd"/>
      <w:r w:rsidRPr="00176F59">
        <w:rPr>
          <w:rFonts w:ascii="Times New Roman" w:hAnsi="Times New Roman" w:cs="Times New Roman"/>
        </w:rPr>
        <w:t xml:space="preserve"> Med. 2012 Nov 1</w:t>
      </w:r>
      <w:proofErr w:type="gramStart"/>
      <w:r w:rsidRPr="00176F59">
        <w:rPr>
          <w:rFonts w:ascii="Times New Roman" w:hAnsi="Times New Roman" w:cs="Times New Roman"/>
        </w:rPr>
        <w:t>;2</w:t>
      </w:r>
      <w:proofErr w:type="gramEnd"/>
      <w:r w:rsidRPr="00176F59">
        <w:rPr>
          <w:rFonts w:ascii="Times New Roman" w:hAnsi="Times New Roman" w:cs="Times New Roman"/>
        </w:rPr>
        <w:t xml:space="preserve">(11):a012427. </w:t>
      </w:r>
      <w:proofErr w:type="spellStart"/>
      <w:proofErr w:type="gramStart"/>
      <w:r w:rsidRPr="00176F59">
        <w:rPr>
          <w:rFonts w:ascii="Times New Roman" w:hAnsi="Times New Roman" w:cs="Times New Roman"/>
        </w:rPr>
        <w:t>doi</w:t>
      </w:r>
      <w:proofErr w:type="spellEnd"/>
      <w:proofErr w:type="gramEnd"/>
      <w:r w:rsidRPr="00176F59">
        <w:rPr>
          <w:rFonts w:ascii="Times New Roman" w:hAnsi="Times New Roman" w:cs="Times New Roman"/>
        </w:rPr>
        <w:t>: 10.1101/cshperspect.a012427. PMID: 23125205; PMCID: PMC3543102.</w:t>
      </w:r>
    </w:p>
    <w:p w14:paraId="0A1D47CE" w14:textId="77777777" w:rsidR="00F045C2" w:rsidRPr="00176F59" w:rsidRDefault="00F045C2" w:rsidP="00176F59">
      <w:pPr>
        <w:spacing w:after="120" w:line="360" w:lineRule="auto"/>
        <w:ind w:left="284" w:hanging="284"/>
        <w:jc w:val="both"/>
        <w:rPr>
          <w:rFonts w:ascii="Times New Roman" w:hAnsi="Times New Roman" w:cs="Times New Roman"/>
          <w:lang w:val="en-IN"/>
        </w:rPr>
      </w:pPr>
      <w:proofErr w:type="spellStart"/>
      <w:r w:rsidRPr="00176F59">
        <w:rPr>
          <w:rFonts w:ascii="Times New Roman" w:hAnsi="Times New Roman" w:cs="Times New Roman"/>
        </w:rPr>
        <w:t>Vitaku</w:t>
      </w:r>
      <w:proofErr w:type="spellEnd"/>
      <w:r w:rsidRPr="00176F59">
        <w:rPr>
          <w:rFonts w:ascii="Times New Roman" w:hAnsi="Times New Roman" w:cs="Times New Roman"/>
        </w:rPr>
        <w:t xml:space="preserve"> E, Smith DT, </w:t>
      </w:r>
      <w:proofErr w:type="spellStart"/>
      <w:r w:rsidRPr="00176F59">
        <w:rPr>
          <w:rFonts w:ascii="Times New Roman" w:hAnsi="Times New Roman" w:cs="Times New Roman"/>
        </w:rPr>
        <w:t>Njardarson</w:t>
      </w:r>
      <w:proofErr w:type="spellEnd"/>
      <w:r w:rsidRPr="00176F59">
        <w:rPr>
          <w:rFonts w:ascii="Times New Roman" w:hAnsi="Times New Roman" w:cs="Times New Roman"/>
        </w:rPr>
        <w:t xml:space="preserve"> JT. Analysis of the structural diversity, substitution patterns, and frequency of nitrogen heterocycles among U.S. FDA approved pharmaceuticals. J Med Chem. 2014 Dec 26</w:t>
      </w:r>
      <w:proofErr w:type="gramStart"/>
      <w:r w:rsidRPr="00176F59">
        <w:rPr>
          <w:rFonts w:ascii="Times New Roman" w:hAnsi="Times New Roman" w:cs="Times New Roman"/>
        </w:rPr>
        <w:t>;57</w:t>
      </w:r>
      <w:proofErr w:type="gramEnd"/>
      <w:r w:rsidRPr="00176F59">
        <w:rPr>
          <w:rFonts w:ascii="Times New Roman" w:hAnsi="Times New Roman" w:cs="Times New Roman"/>
        </w:rPr>
        <w:t xml:space="preserve">(24):10257-74. </w:t>
      </w:r>
      <w:proofErr w:type="spellStart"/>
      <w:proofErr w:type="gramStart"/>
      <w:r w:rsidRPr="00176F59">
        <w:rPr>
          <w:rFonts w:ascii="Times New Roman" w:hAnsi="Times New Roman" w:cs="Times New Roman"/>
        </w:rPr>
        <w:t>doi</w:t>
      </w:r>
      <w:proofErr w:type="spellEnd"/>
      <w:proofErr w:type="gramEnd"/>
      <w:r w:rsidRPr="00176F59">
        <w:rPr>
          <w:rFonts w:ascii="Times New Roman" w:hAnsi="Times New Roman" w:cs="Times New Roman"/>
        </w:rPr>
        <w:t xml:space="preserve">: 10.1021/jm501100b. </w:t>
      </w:r>
      <w:proofErr w:type="spellStart"/>
      <w:r w:rsidRPr="00176F59">
        <w:rPr>
          <w:rFonts w:ascii="Times New Roman" w:hAnsi="Times New Roman" w:cs="Times New Roman"/>
        </w:rPr>
        <w:t>Epub</w:t>
      </w:r>
      <w:proofErr w:type="spellEnd"/>
      <w:r w:rsidRPr="00176F59">
        <w:rPr>
          <w:rFonts w:ascii="Times New Roman" w:hAnsi="Times New Roman" w:cs="Times New Roman"/>
        </w:rPr>
        <w:t xml:space="preserve"> 2014 Oct 7. PMID: 25255204.</w:t>
      </w:r>
    </w:p>
    <w:p w14:paraId="205855AC" w14:textId="77777777" w:rsidR="00F045C2" w:rsidRPr="00176F59" w:rsidRDefault="00F045C2" w:rsidP="00176F59">
      <w:pPr>
        <w:spacing w:after="120" w:line="360" w:lineRule="auto"/>
        <w:ind w:left="284" w:hanging="284"/>
        <w:jc w:val="both"/>
        <w:rPr>
          <w:rFonts w:ascii="Times New Roman" w:hAnsi="Times New Roman" w:cs="Times New Roman"/>
          <w:lang w:val="en-IN"/>
        </w:rPr>
      </w:pPr>
      <w:r w:rsidRPr="00176F59">
        <w:rPr>
          <w:rFonts w:ascii="Times New Roman" w:hAnsi="Times New Roman" w:cs="Times New Roman"/>
        </w:rPr>
        <w:lastRenderedPageBreak/>
        <w:t>Zhang B. Comprehensive review on the anti-bacterial activity of 1</w:t>
      </w:r>
      <w:proofErr w:type="gramStart"/>
      <w:r w:rsidRPr="00176F59">
        <w:rPr>
          <w:rFonts w:ascii="Times New Roman" w:hAnsi="Times New Roman" w:cs="Times New Roman"/>
        </w:rPr>
        <w:t>,2,3</w:t>
      </w:r>
      <w:proofErr w:type="gramEnd"/>
      <w:r w:rsidRPr="00176F59">
        <w:rPr>
          <w:rFonts w:ascii="Times New Roman" w:hAnsi="Times New Roman" w:cs="Times New Roman"/>
        </w:rPr>
        <w:t xml:space="preserve">-triazole hybrids. </w:t>
      </w:r>
      <w:proofErr w:type="spellStart"/>
      <w:r w:rsidRPr="00176F59">
        <w:rPr>
          <w:rFonts w:ascii="Times New Roman" w:hAnsi="Times New Roman" w:cs="Times New Roman"/>
        </w:rPr>
        <w:t>Eur</w:t>
      </w:r>
      <w:proofErr w:type="spellEnd"/>
      <w:r w:rsidRPr="00176F59">
        <w:rPr>
          <w:rFonts w:ascii="Times New Roman" w:hAnsi="Times New Roman" w:cs="Times New Roman"/>
        </w:rPr>
        <w:t xml:space="preserve"> J Med Chem. 2019 Apr 15</w:t>
      </w:r>
      <w:proofErr w:type="gramStart"/>
      <w:r w:rsidRPr="00176F59">
        <w:rPr>
          <w:rFonts w:ascii="Times New Roman" w:hAnsi="Times New Roman" w:cs="Times New Roman"/>
        </w:rPr>
        <w:t>;168:357</w:t>
      </w:r>
      <w:proofErr w:type="gramEnd"/>
      <w:r w:rsidRPr="00176F59">
        <w:rPr>
          <w:rFonts w:ascii="Times New Roman" w:hAnsi="Times New Roman" w:cs="Times New Roman"/>
        </w:rPr>
        <w:t xml:space="preserve">-372. </w:t>
      </w:r>
      <w:proofErr w:type="spellStart"/>
      <w:proofErr w:type="gramStart"/>
      <w:r w:rsidRPr="00176F59">
        <w:rPr>
          <w:rFonts w:ascii="Times New Roman" w:hAnsi="Times New Roman" w:cs="Times New Roman"/>
        </w:rPr>
        <w:t>doi</w:t>
      </w:r>
      <w:proofErr w:type="spellEnd"/>
      <w:proofErr w:type="gramEnd"/>
      <w:r w:rsidRPr="00176F59">
        <w:rPr>
          <w:rFonts w:ascii="Times New Roman" w:hAnsi="Times New Roman" w:cs="Times New Roman"/>
        </w:rPr>
        <w:t xml:space="preserve">: 10.1016/j.ejmech.2019.02.055. </w:t>
      </w:r>
      <w:proofErr w:type="spellStart"/>
      <w:r w:rsidRPr="00176F59">
        <w:rPr>
          <w:rFonts w:ascii="Times New Roman" w:hAnsi="Times New Roman" w:cs="Times New Roman"/>
        </w:rPr>
        <w:t>Epub</w:t>
      </w:r>
      <w:proofErr w:type="spellEnd"/>
      <w:r w:rsidRPr="00176F59">
        <w:rPr>
          <w:rFonts w:ascii="Times New Roman" w:hAnsi="Times New Roman" w:cs="Times New Roman"/>
        </w:rPr>
        <w:t xml:space="preserve"> 2019 Feb 22. PMID: 30826511.</w:t>
      </w:r>
    </w:p>
    <w:p w14:paraId="77DB64EC" w14:textId="77777777" w:rsidR="00F045C2" w:rsidRPr="00176F59" w:rsidRDefault="00F045C2" w:rsidP="00176F59">
      <w:pPr>
        <w:spacing w:after="120" w:line="360" w:lineRule="auto"/>
        <w:jc w:val="both"/>
        <w:rPr>
          <w:rFonts w:ascii="Times New Roman" w:hAnsi="Times New Roman" w:cs="Times New Roman"/>
        </w:rPr>
      </w:pPr>
    </w:p>
    <w:p w14:paraId="49D4FC65" w14:textId="77777777" w:rsidR="00F045C2" w:rsidRPr="00176F59" w:rsidRDefault="00F045C2" w:rsidP="00176F59">
      <w:pPr>
        <w:spacing w:after="120" w:line="360" w:lineRule="auto"/>
        <w:jc w:val="both"/>
        <w:rPr>
          <w:rFonts w:ascii="Times New Roman" w:hAnsi="Times New Roman" w:cs="Times New Roman"/>
        </w:rPr>
      </w:pPr>
    </w:p>
    <w:sectPr w:rsidR="00F045C2" w:rsidRPr="00176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53C75"/>
    <w:multiLevelType w:val="multilevel"/>
    <w:tmpl w:val="3FC4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C4CF9"/>
    <w:multiLevelType w:val="multilevel"/>
    <w:tmpl w:val="4AC0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E95453"/>
    <w:multiLevelType w:val="multilevel"/>
    <w:tmpl w:val="5176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A5CF5"/>
    <w:multiLevelType w:val="multilevel"/>
    <w:tmpl w:val="C0CA7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351B4E"/>
    <w:multiLevelType w:val="multilevel"/>
    <w:tmpl w:val="5726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BC1B8F"/>
    <w:multiLevelType w:val="multilevel"/>
    <w:tmpl w:val="E30A9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9E7E40"/>
    <w:multiLevelType w:val="multilevel"/>
    <w:tmpl w:val="864A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B04170"/>
    <w:multiLevelType w:val="multilevel"/>
    <w:tmpl w:val="2956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333B8B"/>
    <w:multiLevelType w:val="multilevel"/>
    <w:tmpl w:val="24AC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662244"/>
    <w:multiLevelType w:val="multilevel"/>
    <w:tmpl w:val="6936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7C0B7B"/>
    <w:multiLevelType w:val="multilevel"/>
    <w:tmpl w:val="2D98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EF2F35"/>
    <w:multiLevelType w:val="multilevel"/>
    <w:tmpl w:val="7A965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2958BD"/>
    <w:multiLevelType w:val="multilevel"/>
    <w:tmpl w:val="1B96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A374C9"/>
    <w:multiLevelType w:val="multilevel"/>
    <w:tmpl w:val="3F88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9D7C0C"/>
    <w:multiLevelType w:val="multilevel"/>
    <w:tmpl w:val="46CC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5404AE"/>
    <w:multiLevelType w:val="multilevel"/>
    <w:tmpl w:val="5CCC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255662"/>
    <w:multiLevelType w:val="multilevel"/>
    <w:tmpl w:val="4A1E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F63F8F"/>
    <w:multiLevelType w:val="multilevel"/>
    <w:tmpl w:val="2140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E80D80"/>
    <w:multiLevelType w:val="multilevel"/>
    <w:tmpl w:val="29E0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E25676"/>
    <w:multiLevelType w:val="multilevel"/>
    <w:tmpl w:val="7F8A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D35E3D"/>
    <w:multiLevelType w:val="multilevel"/>
    <w:tmpl w:val="4F3E8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0965F87"/>
    <w:multiLevelType w:val="multilevel"/>
    <w:tmpl w:val="0524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381CC3"/>
    <w:multiLevelType w:val="multilevel"/>
    <w:tmpl w:val="3D10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EB25CC"/>
    <w:multiLevelType w:val="multilevel"/>
    <w:tmpl w:val="5BAC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1A73A7"/>
    <w:multiLevelType w:val="multilevel"/>
    <w:tmpl w:val="2634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C74235"/>
    <w:multiLevelType w:val="multilevel"/>
    <w:tmpl w:val="455E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6D2DF2"/>
    <w:multiLevelType w:val="multilevel"/>
    <w:tmpl w:val="9F90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F67F17"/>
    <w:multiLevelType w:val="multilevel"/>
    <w:tmpl w:val="B09E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8F1E8E"/>
    <w:multiLevelType w:val="multilevel"/>
    <w:tmpl w:val="EB3E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0A1F69"/>
    <w:multiLevelType w:val="multilevel"/>
    <w:tmpl w:val="7486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49603F"/>
    <w:multiLevelType w:val="multilevel"/>
    <w:tmpl w:val="36FA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9A608D"/>
    <w:multiLevelType w:val="multilevel"/>
    <w:tmpl w:val="8544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2F206E5"/>
    <w:multiLevelType w:val="multilevel"/>
    <w:tmpl w:val="4556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F2668D"/>
    <w:multiLevelType w:val="multilevel"/>
    <w:tmpl w:val="F2BE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FC4FD4"/>
    <w:multiLevelType w:val="multilevel"/>
    <w:tmpl w:val="8972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8E1CAF"/>
    <w:multiLevelType w:val="multilevel"/>
    <w:tmpl w:val="3BBE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5"/>
  </w:num>
  <w:num w:numId="3">
    <w:abstractNumId w:val="27"/>
  </w:num>
  <w:num w:numId="4">
    <w:abstractNumId w:val="9"/>
  </w:num>
  <w:num w:numId="5">
    <w:abstractNumId w:val="1"/>
  </w:num>
  <w:num w:numId="6">
    <w:abstractNumId w:val="33"/>
  </w:num>
  <w:num w:numId="7">
    <w:abstractNumId w:val="16"/>
  </w:num>
  <w:num w:numId="8">
    <w:abstractNumId w:val="26"/>
  </w:num>
  <w:num w:numId="9">
    <w:abstractNumId w:val="11"/>
  </w:num>
  <w:num w:numId="10">
    <w:abstractNumId w:val="10"/>
  </w:num>
  <w:num w:numId="11">
    <w:abstractNumId w:val="12"/>
  </w:num>
  <w:num w:numId="12">
    <w:abstractNumId w:val="23"/>
  </w:num>
  <w:num w:numId="13">
    <w:abstractNumId w:val="22"/>
  </w:num>
  <w:num w:numId="14">
    <w:abstractNumId w:val="29"/>
  </w:num>
  <w:num w:numId="15">
    <w:abstractNumId w:val="3"/>
  </w:num>
  <w:num w:numId="16">
    <w:abstractNumId w:val="13"/>
  </w:num>
  <w:num w:numId="17">
    <w:abstractNumId w:val="14"/>
  </w:num>
  <w:num w:numId="18">
    <w:abstractNumId w:val="7"/>
  </w:num>
  <w:num w:numId="19">
    <w:abstractNumId w:val="30"/>
  </w:num>
  <w:num w:numId="20">
    <w:abstractNumId w:val="21"/>
  </w:num>
  <w:num w:numId="21">
    <w:abstractNumId w:val="28"/>
  </w:num>
  <w:num w:numId="22">
    <w:abstractNumId w:val="34"/>
  </w:num>
  <w:num w:numId="23">
    <w:abstractNumId w:val="35"/>
  </w:num>
  <w:num w:numId="24">
    <w:abstractNumId w:val="2"/>
  </w:num>
  <w:num w:numId="25">
    <w:abstractNumId w:val="8"/>
  </w:num>
  <w:num w:numId="26">
    <w:abstractNumId w:val="4"/>
  </w:num>
  <w:num w:numId="27">
    <w:abstractNumId w:val="6"/>
  </w:num>
  <w:num w:numId="28">
    <w:abstractNumId w:val="17"/>
  </w:num>
  <w:num w:numId="29">
    <w:abstractNumId w:val="0"/>
  </w:num>
  <w:num w:numId="30">
    <w:abstractNumId w:val="24"/>
  </w:num>
  <w:num w:numId="31">
    <w:abstractNumId w:val="25"/>
  </w:num>
  <w:num w:numId="32">
    <w:abstractNumId w:val="15"/>
  </w:num>
  <w:num w:numId="33">
    <w:abstractNumId w:val="18"/>
  </w:num>
  <w:num w:numId="34">
    <w:abstractNumId w:val="19"/>
  </w:num>
  <w:num w:numId="35">
    <w:abstractNumId w:val="32"/>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BDC"/>
    <w:rsid w:val="000009D8"/>
    <w:rsid w:val="00045557"/>
    <w:rsid w:val="000640FF"/>
    <w:rsid w:val="001250F3"/>
    <w:rsid w:val="00137735"/>
    <w:rsid w:val="00155A93"/>
    <w:rsid w:val="001671CA"/>
    <w:rsid w:val="00176F59"/>
    <w:rsid w:val="00190D46"/>
    <w:rsid w:val="00194FF3"/>
    <w:rsid w:val="001956F1"/>
    <w:rsid w:val="001C1524"/>
    <w:rsid w:val="00232229"/>
    <w:rsid w:val="00232A2F"/>
    <w:rsid w:val="00297ACB"/>
    <w:rsid w:val="00453955"/>
    <w:rsid w:val="004D3BDC"/>
    <w:rsid w:val="00515090"/>
    <w:rsid w:val="00567BC6"/>
    <w:rsid w:val="005F5F7A"/>
    <w:rsid w:val="007166F3"/>
    <w:rsid w:val="00795564"/>
    <w:rsid w:val="007C7553"/>
    <w:rsid w:val="00847C71"/>
    <w:rsid w:val="0086346E"/>
    <w:rsid w:val="008D6499"/>
    <w:rsid w:val="00986591"/>
    <w:rsid w:val="009D22A1"/>
    <w:rsid w:val="00A277C0"/>
    <w:rsid w:val="00B72BDE"/>
    <w:rsid w:val="00BB432B"/>
    <w:rsid w:val="00BD0C95"/>
    <w:rsid w:val="00BF4D66"/>
    <w:rsid w:val="00D14E1E"/>
    <w:rsid w:val="00D2793F"/>
    <w:rsid w:val="00D937E0"/>
    <w:rsid w:val="00ED0C2F"/>
    <w:rsid w:val="00F045C2"/>
    <w:rsid w:val="00F32CE9"/>
    <w:rsid w:val="00F81060"/>
    <w:rsid w:val="00F97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A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3B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3B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3B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3B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3B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3B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B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B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B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B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3B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3B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3B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3B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3B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B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B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BDC"/>
    <w:rPr>
      <w:rFonts w:eastAsiaTheme="majorEastAsia" w:cstheme="majorBidi"/>
      <w:color w:val="272727" w:themeColor="text1" w:themeTint="D8"/>
    </w:rPr>
  </w:style>
  <w:style w:type="paragraph" w:styleId="Title">
    <w:name w:val="Title"/>
    <w:basedOn w:val="Normal"/>
    <w:next w:val="Normal"/>
    <w:link w:val="TitleChar"/>
    <w:uiPriority w:val="10"/>
    <w:qFormat/>
    <w:rsid w:val="004D3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B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B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BDC"/>
    <w:pPr>
      <w:spacing w:before="160"/>
      <w:jc w:val="center"/>
    </w:pPr>
    <w:rPr>
      <w:i/>
      <w:iCs/>
      <w:color w:val="404040" w:themeColor="text1" w:themeTint="BF"/>
    </w:rPr>
  </w:style>
  <w:style w:type="character" w:customStyle="1" w:styleId="QuoteChar">
    <w:name w:val="Quote Char"/>
    <w:basedOn w:val="DefaultParagraphFont"/>
    <w:link w:val="Quote"/>
    <w:uiPriority w:val="29"/>
    <w:rsid w:val="004D3BDC"/>
    <w:rPr>
      <w:i/>
      <w:iCs/>
      <w:color w:val="404040" w:themeColor="text1" w:themeTint="BF"/>
    </w:rPr>
  </w:style>
  <w:style w:type="paragraph" w:styleId="ListParagraph">
    <w:name w:val="List Paragraph"/>
    <w:basedOn w:val="Normal"/>
    <w:uiPriority w:val="34"/>
    <w:qFormat/>
    <w:rsid w:val="004D3BDC"/>
    <w:pPr>
      <w:ind w:left="720"/>
      <w:contextualSpacing/>
    </w:pPr>
  </w:style>
  <w:style w:type="character" w:styleId="IntenseEmphasis">
    <w:name w:val="Intense Emphasis"/>
    <w:basedOn w:val="DefaultParagraphFont"/>
    <w:uiPriority w:val="21"/>
    <w:qFormat/>
    <w:rsid w:val="004D3BDC"/>
    <w:rPr>
      <w:i/>
      <w:iCs/>
      <w:color w:val="2F5496" w:themeColor="accent1" w:themeShade="BF"/>
    </w:rPr>
  </w:style>
  <w:style w:type="paragraph" w:styleId="IntenseQuote">
    <w:name w:val="Intense Quote"/>
    <w:basedOn w:val="Normal"/>
    <w:next w:val="Normal"/>
    <w:link w:val="IntenseQuoteChar"/>
    <w:uiPriority w:val="30"/>
    <w:qFormat/>
    <w:rsid w:val="004D3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3BDC"/>
    <w:rPr>
      <w:i/>
      <w:iCs/>
      <w:color w:val="2F5496" w:themeColor="accent1" w:themeShade="BF"/>
    </w:rPr>
  </w:style>
  <w:style w:type="character" w:styleId="IntenseReference">
    <w:name w:val="Intense Reference"/>
    <w:basedOn w:val="DefaultParagraphFont"/>
    <w:uiPriority w:val="32"/>
    <w:qFormat/>
    <w:rsid w:val="004D3BDC"/>
    <w:rPr>
      <w:b/>
      <w:bCs/>
      <w:smallCaps/>
      <w:color w:val="2F5496" w:themeColor="accent1" w:themeShade="BF"/>
      <w:spacing w:val="5"/>
    </w:rPr>
  </w:style>
  <w:style w:type="paragraph" w:styleId="Revision">
    <w:name w:val="Revision"/>
    <w:hidden/>
    <w:uiPriority w:val="99"/>
    <w:semiHidden/>
    <w:rsid w:val="00F9735B"/>
    <w:pPr>
      <w:spacing w:after="0" w:line="240" w:lineRule="auto"/>
    </w:pPr>
  </w:style>
  <w:style w:type="paragraph" w:styleId="NormalWeb">
    <w:name w:val="Normal (Web)"/>
    <w:basedOn w:val="Normal"/>
    <w:uiPriority w:val="99"/>
    <w:semiHidden/>
    <w:unhideWhenUsed/>
    <w:rsid w:val="00137735"/>
    <w:rPr>
      <w:rFonts w:ascii="Times New Roman" w:hAnsi="Times New Roman" w:cs="Times New Roman"/>
    </w:rPr>
  </w:style>
  <w:style w:type="table" w:styleId="TableGrid">
    <w:name w:val="Table Grid"/>
    <w:basedOn w:val="TableNormal"/>
    <w:uiPriority w:val="39"/>
    <w:rsid w:val="009865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76F59"/>
    <w:rPr>
      <w:rFonts w:cs="Times New Roman"/>
      <w:color w:val="0000FF"/>
      <w:u w:val="single"/>
    </w:rPr>
  </w:style>
  <w:style w:type="paragraph" w:styleId="BalloonText">
    <w:name w:val="Balloon Text"/>
    <w:basedOn w:val="Normal"/>
    <w:link w:val="BalloonTextChar"/>
    <w:uiPriority w:val="99"/>
    <w:semiHidden/>
    <w:unhideWhenUsed/>
    <w:rsid w:val="00176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F59"/>
    <w:rPr>
      <w:rFonts w:ascii="Tahoma" w:hAnsi="Tahoma" w:cs="Tahoma"/>
      <w:sz w:val="16"/>
      <w:szCs w:val="16"/>
    </w:rPr>
  </w:style>
  <w:style w:type="character" w:styleId="Strong">
    <w:name w:val="Strong"/>
    <w:basedOn w:val="DefaultParagraphFont"/>
    <w:uiPriority w:val="22"/>
    <w:qFormat/>
    <w:rsid w:val="001250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3B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3B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3B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3B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3B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3B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B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B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B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B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3B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3B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3B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3B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3B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B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B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BDC"/>
    <w:rPr>
      <w:rFonts w:eastAsiaTheme="majorEastAsia" w:cstheme="majorBidi"/>
      <w:color w:val="272727" w:themeColor="text1" w:themeTint="D8"/>
    </w:rPr>
  </w:style>
  <w:style w:type="paragraph" w:styleId="Title">
    <w:name w:val="Title"/>
    <w:basedOn w:val="Normal"/>
    <w:next w:val="Normal"/>
    <w:link w:val="TitleChar"/>
    <w:uiPriority w:val="10"/>
    <w:qFormat/>
    <w:rsid w:val="004D3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B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B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BDC"/>
    <w:pPr>
      <w:spacing w:before="160"/>
      <w:jc w:val="center"/>
    </w:pPr>
    <w:rPr>
      <w:i/>
      <w:iCs/>
      <w:color w:val="404040" w:themeColor="text1" w:themeTint="BF"/>
    </w:rPr>
  </w:style>
  <w:style w:type="character" w:customStyle="1" w:styleId="QuoteChar">
    <w:name w:val="Quote Char"/>
    <w:basedOn w:val="DefaultParagraphFont"/>
    <w:link w:val="Quote"/>
    <w:uiPriority w:val="29"/>
    <w:rsid w:val="004D3BDC"/>
    <w:rPr>
      <w:i/>
      <w:iCs/>
      <w:color w:val="404040" w:themeColor="text1" w:themeTint="BF"/>
    </w:rPr>
  </w:style>
  <w:style w:type="paragraph" w:styleId="ListParagraph">
    <w:name w:val="List Paragraph"/>
    <w:basedOn w:val="Normal"/>
    <w:uiPriority w:val="34"/>
    <w:qFormat/>
    <w:rsid w:val="004D3BDC"/>
    <w:pPr>
      <w:ind w:left="720"/>
      <w:contextualSpacing/>
    </w:pPr>
  </w:style>
  <w:style w:type="character" w:styleId="IntenseEmphasis">
    <w:name w:val="Intense Emphasis"/>
    <w:basedOn w:val="DefaultParagraphFont"/>
    <w:uiPriority w:val="21"/>
    <w:qFormat/>
    <w:rsid w:val="004D3BDC"/>
    <w:rPr>
      <w:i/>
      <w:iCs/>
      <w:color w:val="2F5496" w:themeColor="accent1" w:themeShade="BF"/>
    </w:rPr>
  </w:style>
  <w:style w:type="paragraph" w:styleId="IntenseQuote">
    <w:name w:val="Intense Quote"/>
    <w:basedOn w:val="Normal"/>
    <w:next w:val="Normal"/>
    <w:link w:val="IntenseQuoteChar"/>
    <w:uiPriority w:val="30"/>
    <w:qFormat/>
    <w:rsid w:val="004D3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3BDC"/>
    <w:rPr>
      <w:i/>
      <w:iCs/>
      <w:color w:val="2F5496" w:themeColor="accent1" w:themeShade="BF"/>
    </w:rPr>
  </w:style>
  <w:style w:type="character" w:styleId="IntenseReference">
    <w:name w:val="Intense Reference"/>
    <w:basedOn w:val="DefaultParagraphFont"/>
    <w:uiPriority w:val="32"/>
    <w:qFormat/>
    <w:rsid w:val="004D3BDC"/>
    <w:rPr>
      <w:b/>
      <w:bCs/>
      <w:smallCaps/>
      <w:color w:val="2F5496" w:themeColor="accent1" w:themeShade="BF"/>
      <w:spacing w:val="5"/>
    </w:rPr>
  </w:style>
  <w:style w:type="paragraph" w:styleId="Revision">
    <w:name w:val="Revision"/>
    <w:hidden/>
    <w:uiPriority w:val="99"/>
    <w:semiHidden/>
    <w:rsid w:val="00F9735B"/>
    <w:pPr>
      <w:spacing w:after="0" w:line="240" w:lineRule="auto"/>
    </w:pPr>
  </w:style>
  <w:style w:type="paragraph" w:styleId="NormalWeb">
    <w:name w:val="Normal (Web)"/>
    <w:basedOn w:val="Normal"/>
    <w:uiPriority w:val="99"/>
    <w:semiHidden/>
    <w:unhideWhenUsed/>
    <w:rsid w:val="00137735"/>
    <w:rPr>
      <w:rFonts w:ascii="Times New Roman" w:hAnsi="Times New Roman" w:cs="Times New Roman"/>
    </w:rPr>
  </w:style>
  <w:style w:type="table" w:styleId="TableGrid">
    <w:name w:val="Table Grid"/>
    <w:basedOn w:val="TableNormal"/>
    <w:uiPriority w:val="39"/>
    <w:rsid w:val="009865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76F59"/>
    <w:rPr>
      <w:rFonts w:cs="Times New Roman"/>
      <w:color w:val="0000FF"/>
      <w:u w:val="single"/>
    </w:rPr>
  </w:style>
  <w:style w:type="paragraph" w:styleId="BalloonText">
    <w:name w:val="Balloon Text"/>
    <w:basedOn w:val="Normal"/>
    <w:link w:val="BalloonTextChar"/>
    <w:uiPriority w:val="99"/>
    <w:semiHidden/>
    <w:unhideWhenUsed/>
    <w:rsid w:val="00176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F59"/>
    <w:rPr>
      <w:rFonts w:ascii="Tahoma" w:hAnsi="Tahoma" w:cs="Tahoma"/>
      <w:sz w:val="16"/>
      <w:szCs w:val="16"/>
    </w:rPr>
  </w:style>
  <w:style w:type="character" w:styleId="Strong">
    <w:name w:val="Strong"/>
    <w:basedOn w:val="DefaultParagraphFont"/>
    <w:uiPriority w:val="22"/>
    <w:qFormat/>
    <w:rsid w:val="001250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5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mailto:kkiruthiga@hindustanuniv.ac.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nigomathi89@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t>Effect of Lipophilicity (LogP) on Antimicrobial Activity: A Generalized SAR Trend</a:t>
            </a:r>
            <a:endParaRPr lang="en-US"/>
          </a:p>
        </c:rich>
      </c:tx>
      <c:overlay val="0"/>
      <c:spPr>
        <a:noFill/>
        <a:ln>
          <a:noFill/>
        </a:ln>
        <a:effectLst/>
      </c:spPr>
    </c:title>
    <c:autoTitleDeleted val="0"/>
    <c:plotArea>
      <c:layout/>
      <c:scatterChart>
        <c:scatterStyle val="lineMarker"/>
        <c:varyColors val="0"/>
        <c:ser>
          <c:idx val="1"/>
          <c:order val="0"/>
          <c:tx>
            <c:v>Observed Activity</c:v>
          </c:tx>
          <c:spPr>
            <a:ln w="19050" cap="rnd">
              <a:noFill/>
              <a:round/>
            </a:ln>
            <a:effectLst/>
          </c:spPr>
          <c:marker>
            <c:symbol val="circle"/>
            <c:size val="5"/>
            <c:spPr>
              <a:solidFill>
                <a:schemeClr val="accent2"/>
              </a:solidFill>
              <a:ln w="9525">
                <a:solidFill>
                  <a:schemeClr val="accent2"/>
                </a:solidFill>
              </a:ln>
              <a:effectLst/>
            </c:spPr>
          </c:marker>
          <c:dLbls>
            <c:dLbl>
              <c:idx val="5"/>
              <c:tx>
                <c:rich>
                  <a:bodyPr/>
                  <a:lstStyle/>
                  <a:p>
                    <a:r>
                      <a:rPr lang="en-US" sz="900" b="0" i="0" u="none" strike="noStrike" baseline="0"/>
                      <a:t>Optimal Range</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2804-4F03-970A-BC86D3D873A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name>Trend Line</c:name>
            <c:spPr>
              <a:ln w="19050" cap="rnd">
                <a:solidFill>
                  <a:schemeClr val="accent2"/>
                </a:solidFill>
                <a:prstDash val="sysDot"/>
              </a:ln>
              <a:effectLst/>
            </c:spPr>
            <c:trendlineType val="poly"/>
            <c:order val="2"/>
            <c:dispRSqr val="0"/>
            <c:dispEq val="0"/>
          </c:trendline>
          <c:xVal>
            <c:strRef>
              <c:f>Sheet1!$A$2:$A$10</c:f>
              <c:strCache>
                <c:ptCount val="9"/>
                <c:pt idx="0">
                  <c:v>C1</c:v>
                </c:pt>
                <c:pt idx="1">
                  <c:v>C2</c:v>
                </c:pt>
                <c:pt idx="2">
                  <c:v>C3</c:v>
                </c:pt>
                <c:pt idx="3">
                  <c:v>C4</c:v>
                </c:pt>
                <c:pt idx="4">
                  <c:v>C5</c:v>
                </c:pt>
                <c:pt idx="5">
                  <c:v>C6</c:v>
                </c:pt>
                <c:pt idx="6">
                  <c:v>C7</c:v>
                </c:pt>
                <c:pt idx="7">
                  <c:v>C8</c:v>
                </c:pt>
                <c:pt idx="8">
                  <c:v>C9</c:v>
                </c:pt>
              </c:strCache>
            </c:strRef>
          </c:xVal>
          <c:yVal>
            <c:numRef>
              <c:f>Sheet1!$C$2:$C$10</c:f>
              <c:numCache>
                <c:formatCode>General</c:formatCode>
                <c:ptCount val="9"/>
                <c:pt idx="0">
                  <c:v>18</c:v>
                </c:pt>
                <c:pt idx="1">
                  <c:v>32</c:v>
                </c:pt>
                <c:pt idx="2">
                  <c:v>54</c:v>
                </c:pt>
                <c:pt idx="3">
                  <c:v>72</c:v>
                </c:pt>
                <c:pt idx="4">
                  <c:v>88</c:v>
                </c:pt>
                <c:pt idx="5">
                  <c:v>93</c:v>
                </c:pt>
                <c:pt idx="6">
                  <c:v>81</c:v>
                </c:pt>
                <c:pt idx="7">
                  <c:v>58</c:v>
                </c:pt>
                <c:pt idx="8">
                  <c:v>37</c:v>
                </c:pt>
              </c:numCache>
            </c:numRef>
          </c:yVal>
          <c:smooth val="0"/>
          <c:extLst xmlns:c16r2="http://schemas.microsoft.com/office/drawing/2015/06/chart">
            <c:ext xmlns:c16="http://schemas.microsoft.com/office/drawing/2014/chart" uri="{C3380CC4-5D6E-409C-BE32-E72D297353CC}">
              <c16:uniqueId val="{00000002-2804-4F03-970A-BC86D3D873A4}"/>
            </c:ext>
          </c:extLst>
        </c:ser>
        <c:dLbls>
          <c:showLegendKey val="0"/>
          <c:showVal val="0"/>
          <c:showCatName val="0"/>
          <c:showSerName val="0"/>
          <c:showPercent val="0"/>
          <c:showBubbleSize val="0"/>
        </c:dLbls>
        <c:axId val="170159104"/>
        <c:axId val="170222720"/>
      </c:scatterChart>
      <c:valAx>
        <c:axId val="170159104"/>
        <c:scaling>
          <c:orientation val="minMax"/>
          <c:min val="0.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Lipophilicity (LogP)</a:t>
                </a:r>
                <a:endParaRPr lang="en-US"/>
              </a:p>
            </c:rich>
          </c:tx>
          <c:overlay val="0"/>
          <c:spPr>
            <a:noFill/>
            <a:ln>
              <a:noFill/>
            </a:ln>
            <a:effectLst/>
          </c:spPr>
        </c:title>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222720"/>
        <c:crosses val="autoZero"/>
        <c:crossBetween val="midCat"/>
      </c:valAx>
      <c:valAx>
        <c:axId val="170222720"/>
        <c:scaling>
          <c:orientation val="minMax"/>
        </c:scaling>
        <c:delete val="0"/>
        <c:axPos val="l"/>
        <c:majorGridlines>
          <c:spPr>
            <a:ln w="6350" cap="flat" cmpd="sng" algn="ctr">
              <a:solidFill>
                <a:schemeClr val="bg1">
                  <a:lumMod val="9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t>Antimicrobial Activity (% Inhibition)</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5910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22</Pages>
  <Words>6262</Words>
  <Characters>35699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Mohit Singh</dc:creator>
  <cp:lastModifiedBy>dell</cp:lastModifiedBy>
  <cp:revision>3</cp:revision>
  <dcterms:created xsi:type="dcterms:W3CDTF">2026-05-18T14:58:00Z</dcterms:created>
  <dcterms:modified xsi:type="dcterms:W3CDTF">2026-05-20T15:55:00Z</dcterms:modified>
</cp:coreProperties>
</file>