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4E3B" w14:textId="77777777" w:rsidR="00377874" w:rsidRDefault="00000000" w:rsidP="009B1C06">
      <w:pPr>
        <w:pStyle w:val="BodyText"/>
        <w:rPr>
          <w:b/>
          <w:bCs/>
        </w:rPr>
      </w:pPr>
      <w:bookmarkStart w:id="0" w:name="X8857af56929cc85aa50b07be4e3e9a4844b2f7b"/>
      <w:bookmarkStart w:id="1" w:name="content"/>
      <w:bookmarkStart w:id="2" w:name="final-polished-full-rewrite"/>
      <w:r>
        <w:rPr>
          <w:b/>
          <w:bCs/>
        </w:rPr>
        <w:t>Competency Development and Skill Gaps for Engineering Education: Evidence from a Mixed-Methods Tracer Study of PSHS‑CVisC Alumni (2010–2023)</w:t>
      </w:r>
    </w:p>
    <w:p w14:paraId="0EA913E7" w14:textId="36FEB165" w:rsidR="00F641E1" w:rsidRDefault="009B1C06" w:rsidP="004968DD">
      <w:pPr>
        <w:pStyle w:val="BodyText"/>
        <w:spacing w:after="0"/>
        <w:rPr>
          <w:sz w:val="22"/>
          <w:szCs w:val="22"/>
          <w:vertAlign w:val="superscript"/>
        </w:rPr>
      </w:pPr>
      <w:r w:rsidRPr="009B1C06">
        <w:rPr>
          <w:sz w:val="22"/>
          <w:szCs w:val="22"/>
        </w:rPr>
        <w:t>Romil Albiso</w:t>
      </w:r>
      <w:r w:rsidRPr="009B1C06">
        <w:rPr>
          <w:sz w:val="22"/>
          <w:szCs w:val="22"/>
          <w:vertAlign w:val="superscript"/>
        </w:rPr>
        <w:t>a</w:t>
      </w:r>
      <w:r w:rsidRPr="009B1C06">
        <w:rPr>
          <w:sz w:val="22"/>
          <w:szCs w:val="22"/>
        </w:rPr>
        <w:t>, Bonifacio Algones</w:t>
      </w:r>
      <w:r w:rsidRPr="009B1C06">
        <w:rPr>
          <w:sz w:val="22"/>
          <w:szCs w:val="22"/>
          <w:vertAlign w:val="superscript"/>
        </w:rPr>
        <w:t>a</w:t>
      </w:r>
      <w:r w:rsidRPr="009B1C06">
        <w:rPr>
          <w:sz w:val="22"/>
          <w:szCs w:val="22"/>
        </w:rPr>
        <w:t>, Louie Lariosa</w:t>
      </w:r>
      <w:r w:rsidRPr="009B1C06">
        <w:rPr>
          <w:sz w:val="22"/>
          <w:szCs w:val="22"/>
          <w:vertAlign w:val="superscript"/>
        </w:rPr>
        <w:t>a,*</w:t>
      </w:r>
      <w:r w:rsidRPr="009B1C06">
        <w:rPr>
          <w:sz w:val="22"/>
          <w:szCs w:val="22"/>
        </w:rPr>
        <w:t>, Benjamin Benjie Sapanta</w:t>
      </w:r>
      <w:r w:rsidRPr="009B1C06">
        <w:rPr>
          <w:sz w:val="22"/>
          <w:szCs w:val="22"/>
          <w:vertAlign w:val="superscript"/>
        </w:rPr>
        <w:t>a</w:t>
      </w:r>
    </w:p>
    <w:p w14:paraId="720A8D95" w14:textId="17CF1713" w:rsidR="009B1C06" w:rsidRPr="004968DD" w:rsidRDefault="004968DD" w:rsidP="004968DD">
      <w:pPr>
        <w:pStyle w:val="BodyText"/>
        <w:spacing w:before="0" w:after="0"/>
        <w:rPr>
          <w:sz w:val="20"/>
          <w:szCs w:val="20"/>
        </w:rPr>
      </w:pPr>
      <w:r w:rsidRPr="004968DD">
        <w:rPr>
          <w:sz w:val="16"/>
          <w:szCs w:val="16"/>
          <w:vertAlign w:val="superscript"/>
        </w:rPr>
        <w:t>a</w:t>
      </w:r>
      <w:r w:rsidRPr="004968DD">
        <w:rPr>
          <w:sz w:val="16"/>
          <w:szCs w:val="16"/>
        </w:rPr>
        <w:t>Philippine Science High School – Central Visayas Campus in Cebu</w:t>
      </w:r>
    </w:p>
    <w:p w14:paraId="5D927433" w14:textId="77777777" w:rsidR="00F641E1" w:rsidRDefault="00F641E1" w:rsidP="009B221A">
      <w:pPr>
        <w:pStyle w:val="BodyText"/>
        <w:jc w:val="center"/>
      </w:pPr>
    </w:p>
    <w:p w14:paraId="3E741A88" w14:textId="202AEC57" w:rsidR="00377874" w:rsidRDefault="00000000">
      <w:pPr>
        <w:pStyle w:val="BodyText"/>
      </w:pPr>
      <w:r>
        <w:rPr>
          <w:b/>
          <w:bCs/>
        </w:rPr>
        <w:t>Abstract</w:t>
      </w:r>
      <w:r>
        <w:br/>
        <w:t>This mixed-methods tracer study examines how alumni of the Philippine Science High School–Central Visayas Campus (PSHS‑CVisC) describe (a) competencies that have been most valuable in work and society and (b) perceived gaps that, in hindsight, could strengthen preparation for engineering-related study and practice. We analyzed 61 alumni responses spanning graduation cohorts 2010–2023. Quantitative items were summarized descriptively, while open-ended responses were coded using a hybrid deductive–inductive thematic analysis anchored in engineering competency frameworks (ABET, 2025; International Engineering Alliance, 2021). Most respondents had completed an undergraduate degree (</w:t>
      </w:r>
      <m:oMath>
        <m:r>
          <w:rPr>
            <w:rFonts w:ascii="Cambria Math" w:hAnsi="Cambria Math"/>
          </w:rPr>
          <m:t>n = 50, 82.0%</m:t>
        </m:r>
      </m:oMath>
      <w:r>
        <w:t>) and were employed at the time of response (</w:t>
      </w:r>
      <m:oMath>
        <m:r>
          <w:rPr>
            <w:rFonts w:ascii="Cambria Math" w:hAnsi="Cambria Math"/>
          </w:rPr>
          <m:t>n = 40, 65.6%</m:t>
        </m:r>
      </m:oMath>
      <w:r>
        <w:t>). Degree pathways were diverse, with substantial representation in Natural Sciences (</w:t>
      </w:r>
      <m:oMath>
        <m:r>
          <w:rPr>
            <w:rFonts w:ascii="Cambria Math" w:hAnsi="Cambria Math"/>
          </w:rPr>
          <m:t>n = 22, 36.1%</m:t>
        </m:r>
      </m:oMath>
      <w:r>
        <w:t>) and Engineering (</w:t>
      </w:r>
      <m:oMath>
        <m:r>
          <w:rPr>
            <w:rFonts w:ascii="Cambria Math" w:hAnsi="Cambria Math"/>
          </w:rPr>
          <m:t>n = 18, 29.5%</m:t>
        </m:r>
      </m:oMath>
      <w:r>
        <w:t>). Alumni most frequently credited PSHS‑CVisC with developing critical thinking and problem solving, research orientation, foundational STEM knowledge, work ethic/resilience, and self-directed learning habits. Reported gaps clustered around communication (technical writing and speaking), teamwork/people skills, practical and field-based exposure, computing/programming, financial literacy, and structured career guidance. When mapped to ABET and International Engineering Alliance attributes, these gaps align particularly with outcomes for communication, teamwork, experimentation/real-world practice, and project management and finance. The findings suggest a targeted set of high-impact enhancements for secondary STEM programs that feed into engineering education, including communication across the curriculum, team-based design-and-research projects, computational thinking integration, and authentic community/industry exposure.</w:t>
      </w:r>
    </w:p>
    <w:p w14:paraId="072A98DE" w14:textId="7922B441" w:rsidR="00377874" w:rsidRDefault="00000000">
      <w:pPr>
        <w:pStyle w:val="BodyText"/>
      </w:pPr>
      <w:r>
        <w:rPr>
          <w:b/>
          <w:bCs/>
        </w:rPr>
        <w:t>Keywords:</w:t>
      </w:r>
      <w:r>
        <w:t xml:space="preserve"> </w:t>
      </w:r>
      <w:r w:rsidRPr="004968DD">
        <w:rPr>
          <w:i/>
          <w:iCs/>
        </w:rPr>
        <w:t>tracer study; engineering education; competency development; skill gaps; secondary STEM</w:t>
      </w:r>
    </w:p>
    <w:p w14:paraId="08373EBD" w14:textId="77777777" w:rsidR="00377874" w:rsidRDefault="00000000">
      <w:pPr>
        <w:pStyle w:val="BodyText"/>
      </w:pPr>
      <w:r>
        <w:rPr>
          <w:b/>
          <w:bCs/>
        </w:rPr>
        <w:t>1. Introduction</w:t>
      </w:r>
      <w:r>
        <w:br/>
        <w:t>Secondary STEM schools can be a critical part of the engineering education pipeline because they shape foundational knowledge, dispositions, and study habits long before students enter undergraduate engineering programs. In the Philippines, the Philippine Science High School System (PSHSS) aims to prepare scholars to become globally competitive Filipino scientists equipped with 21st‑century skills and imbued with the core values of Integrity, Excellence, and Service to the Nation (Philippine Science High School System, 2024). However, empirical evidence on which competencies alumni perceive as most transferable—and which areas they wish had been strengthened—remains limited for selective public STEM high schools.</w:t>
      </w:r>
    </w:p>
    <w:p w14:paraId="4A6E9414" w14:textId="77777777" w:rsidR="00377874" w:rsidRDefault="00000000">
      <w:pPr>
        <w:pStyle w:val="BodyText"/>
      </w:pPr>
      <w:r>
        <w:lastRenderedPageBreak/>
        <w:t>Tracer studies (also termed graduate or alumni surveys) are standardized follow-up surveys of graduates conducted after completion of education or training and are commonly used to assess education-to-work transitions and inform curriculum improvement (UNESCO‑UNEVOC, n.d.). For engineering-oriented improvement, tracer evidence is especially useful because engineering practice requires not only technical competence but also communication, teamwork, ethical judgment, experimentation, and continuous learning (ABET, 2025).</w:t>
      </w:r>
    </w:p>
    <w:p w14:paraId="0F339EAE" w14:textId="77777777" w:rsidR="00377874" w:rsidRDefault="00000000">
      <w:pPr>
        <w:pStyle w:val="BodyText"/>
      </w:pPr>
      <w:r>
        <w:t>This paper analyzes PSHS‑CVisC alumni responses from cohorts 2010–2023 and asks:</w:t>
      </w:r>
      <w:r>
        <w:br/>
      </w:r>
      <w:r w:rsidRPr="004968DD">
        <w:rPr>
          <w:i/>
          <w:iCs/>
        </w:rPr>
        <w:t>(RQ1) What are the educational and employment trajectories of respondents?</w:t>
      </w:r>
      <w:r w:rsidRPr="004968DD">
        <w:rPr>
          <w:i/>
          <w:iCs/>
        </w:rPr>
        <w:br/>
        <w:t>(RQ2) Which competencies from PSHS‑CVisC do alumni report as most valuable in work and society?</w:t>
      </w:r>
      <w:r w:rsidRPr="004968DD">
        <w:rPr>
          <w:i/>
          <w:iCs/>
        </w:rPr>
        <w:br/>
        <w:t>(RQ3) What gaps do alumni identify that could strengthen preparation for engineering-related learning and practice?</w:t>
      </w:r>
      <w:r w:rsidRPr="004968DD">
        <w:rPr>
          <w:i/>
          <w:iCs/>
        </w:rPr>
        <w:br/>
        <w:t>(RQ4) How do reported competencies and gaps align with widely recognized engineering graduate attributes?</w:t>
      </w:r>
    </w:p>
    <w:p w14:paraId="4A5B43C4" w14:textId="77777777" w:rsidR="00377874" w:rsidRDefault="00000000">
      <w:pPr>
        <w:pStyle w:val="BodyText"/>
      </w:pPr>
      <w:r>
        <w:rPr>
          <w:b/>
          <w:bCs/>
        </w:rPr>
        <w:t>2. Conceptual framing: engineering competency expectations</w:t>
      </w:r>
      <w:r>
        <w:br/>
        <w:t>To interpret alumni feedback through an engineering education lens, we drew on two outcomes-based references. First, ABET Engineering Accreditation Commission criteria articulate student outcomes for baccalaureate engineering programs, including complex problem solving, engineering design with constraints, communication with diverse audiences, ethical and professional responsibility, teamwork, experimentation and data analysis, and the ability to acquire and apply new knowledge using appropriate learning strategies (ABET, 2025). Second, the International Engineering Alliance (IEA) Graduate Attributes and Professional Competencies framework (Washington Accord) specifies an international benchmark that includes communication, ethics, sustainable development, teamwork, project management and finance, and lifelong learning (International Engineering Alliance, 2021).</w:t>
      </w:r>
    </w:p>
    <w:p w14:paraId="2A4385C7" w14:textId="77777777" w:rsidR="00377874" w:rsidRDefault="00000000">
      <w:pPr>
        <w:pStyle w:val="BodyText"/>
      </w:pPr>
      <w:r>
        <w:t>These frameworks are not intended as direct standards for secondary education. Rather, they provide a structured vocabulary for describing how pre-tertiary competency development may scaffold later engineering learning and professional formation, and for identifying gaps that align with widely recognized engineering outcomes.</w:t>
      </w:r>
    </w:p>
    <w:p w14:paraId="7B6FF962" w14:textId="77777777" w:rsidR="00377874" w:rsidRDefault="00000000">
      <w:pPr>
        <w:pStyle w:val="BodyText"/>
      </w:pPr>
      <w:r>
        <w:rPr>
          <w:b/>
          <w:bCs/>
        </w:rPr>
        <w:t>3. Methods</w:t>
      </w:r>
    </w:p>
    <w:p w14:paraId="11BF197E" w14:textId="77777777" w:rsidR="00377874" w:rsidRDefault="00000000">
      <w:pPr>
        <w:pStyle w:val="BodyText"/>
      </w:pPr>
      <w:r>
        <w:rPr>
          <w:b/>
          <w:bCs/>
        </w:rPr>
        <w:t>3.1 Design and data source</w:t>
      </w:r>
      <w:r>
        <w:br/>
        <w:t>We conducted a convergent mixed-methods analysis (Creswell &amp; Plano Clark, 2018) of an institutional alumni tracer survey of PSHS‑CVisC graduates (2010–2023). The survey included closed-ended items on demographics, education, and employment, plus open-ended prompts on (a) valuable competencies and (b) skills and curricular areas that alumni wish had been more emphasized.</w:t>
      </w:r>
    </w:p>
    <w:p w14:paraId="6B41B809" w14:textId="7E735B54" w:rsidR="00377874" w:rsidRDefault="00000000">
      <w:pPr>
        <w:pStyle w:val="BodyText"/>
      </w:pPr>
      <w:r>
        <w:rPr>
          <w:b/>
          <w:bCs/>
        </w:rPr>
        <w:lastRenderedPageBreak/>
        <w:t>3.2 Participants</w:t>
      </w:r>
      <w:r>
        <w:br/>
        <w:t>The analytic dataset contained 61 valid alumni responses spanning cohorts 2010–2014 (</w:t>
      </w:r>
      <m:oMath>
        <m:r>
          <w:rPr>
            <w:rFonts w:ascii="Cambria Math" w:hAnsi="Cambria Math"/>
          </w:rPr>
          <m:t>n = 26, 42.6%</m:t>
        </m:r>
      </m:oMath>
      <w:r>
        <w:t>), 2015–2018 (</w:t>
      </w:r>
      <m:oMath>
        <m:r>
          <w:rPr>
            <w:rFonts w:ascii="Cambria Math" w:hAnsi="Cambria Math"/>
          </w:rPr>
          <m:t>n = 25, 41.0%</m:t>
        </m:r>
      </m:oMath>
      <w:r>
        <w:t>), and 2020–2023 (</w:t>
      </w:r>
      <m:oMath>
        <m:r>
          <w:rPr>
            <w:rFonts w:ascii="Cambria Math" w:hAnsi="Cambria Math"/>
          </w:rPr>
          <m:t>n = 10, 16.4%</m:t>
        </m:r>
      </m:oMath>
      <w:r>
        <w:t>).</w:t>
      </w:r>
    </w:p>
    <w:p w14:paraId="533E1320" w14:textId="77777777" w:rsidR="00377874" w:rsidRDefault="00000000">
      <w:pPr>
        <w:pStyle w:val="BodyText"/>
      </w:pPr>
      <w:r>
        <w:rPr>
          <w:b/>
          <w:bCs/>
        </w:rPr>
        <w:t>3.3 Quantitative analysis</w:t>
      </w:r>
      <w:r>
        <w:br/>
        <w:t>Closed-ended responses were summarized using descriptive statistics (counts and percentages). For degree and sector variables with free-text responses, entries were grouped into interpretable categories (e.g., Engineering, Natural Sciences).</w:t>
      </w:r>
    </w:p>
    <w:p w14:paraId="0F709529" w14:textId="77777777" w:rsidR="00377874" w:rsidRDefault="00000000">
      <w:pPr>
        <w:pStyle w:val="BodyText"/>
      </w:pPr>
      <w:r>
        <w:rPr>
          <w:b/>
          <w:bCs/>
        </w:rPr>
        <w:t>3.4 Qualitative analysis</w:t>
      </w:r>
      <w:r>
        <w:br/>
        <w:t>Open-ended responses were analyzed using a hybrid deductive–inductive thematic analysis (Braun &amp; Clarke, 2006). A preliminary codebook was derived from ABET and IEA competency domains (deductive) and refined through iterative reading of responses (inductive). Responses could receive multiple codes. Theme prevalence is reported as the number and percentage of respondents providing substantive responses that mentioned each theme.</w:t>
      </w:r>
    </w:p>
    <w:p w14:paraId="6D16F3E6" w14:textId="77777777" w:rsidR="00377874" w:rsidRDefault="00000000">
      <w:pPr>
        <w:pStyle w:val="BodyText"/>
      </w:pPr>
      <w:r>
        <w:rPr>
          <w:b/>
          <w:bCs/>
        </w:rPr>
        <w:t>3.5 Ethics and reporting</w:t>
      </w:r>
      <w:r>
        <w:br/>
        <w:t>The analysis used de-identified tracer responses and reports results in aggregate. Short excerpts are presented as illustrative quotations with no personal identifiers.</w:t>
      </w:r>
    </w:p>
    <w:p w14:paraId="2497ACA0" w14:textId="77777777" w:rsidR="00377874" w:rsidRDefault="00000000">
      <w:pPr>
        <w:pStyle w:val="BodyText"/>
      </w:pPr>
      <w:r>
        <w:rPr>
          <w:b/>
          <w:bCs/>
        </w:rPr>
        <w:t>4. Results</w:t>
      </w:r>
    </w:p>
    <w:p w14:paraId="69C64985" w14:textId="2004F6FE" w:rsidR="00377874" w:rsidRDefault="00000000">
      <w:pPr>
        <w:pStyle w:val="BodyText"/>
      </w:pPr>
      <w:r>
        <w:rPr>
          <w:b/>
          <w:bCs/>
        </w:rPr>
        <w:t>4.1 Respondent profile and trajectories</w:t>
      </w:r>
      <w:r>
        <w:br/>
        <w:t>Table 1 summarizes respondent characteristics. Most respondents were employed (</w:t>
      </w:r>
      <m:oMath>
        <m:r>
          <w:rPr>
            <w:rFonts w:ascii="Cambria Math" w:hAnsi="Cambria Math"/>
          </w:rPr>
          <m:t>n = 40, 65.6%</m:t>
        </m:r>
      </m:oMath>
      <w:r>
        <w:t>) and had completed an undergraduate degree (</w:t>
      </w:r>
      <m:oMath>
        <m:r>
          <w:rPr>
            <w:rFonts w:ascii="Cambria Math" w:hAnsi="Cambria Math"/>
          </w:rPr>
          <m:t>n = 50, 82.0%</m:t>
        </m:r>
      </m:oMath>
      <w:r>
        <w:t>). Degree pathways were diverse, with the largest groups in Natural Sciences (</w:t>
      </w:r>
      <m:oMath>
        <m:r>
          <w:rPr>
            <w:rFonts w:ascii="Cambria Math" w:hAnsi="Cambria Math"/>
          </w:rPr>
          <m:t>n = 22, 36.1%</m:t>
        </m:r>
      </m:oMath>
      <w:r>
        <w:t>) and Engineering (</w:t>
      </w:r>
      <m:oMath>
        <m:r>
          <w:rPr>
            <w:rFonts w:ascii="Cambria Math" w:hAnsi="Cambria Math"/>
          </w:rPr>
          <m:t>n = 18, 29.5%</m:t>
        </m:r>
      </m:oMath>
      <w:r>
        <w:t>).</w:t>
      </w:r>
      <w:r>
        <w:br/>
      </w:r>
      <w:r>
        <w:rPr>
          <w:i/>
          <w:iCs/>
        </w:rPr>
        <w:t>Note.</w:t>
      </w:r>
      <w:r>
        <w:t xml:space="preserve"> Percentages are based on </w:t>
      </w:r>
      <m:oMath>
        <m:r>
          <w:rPr>
            <w:rFonts w:ascii="Cambria Math" w:hAnsi="Cambria Math"/>
          </w:rPr>
          <m:t>N = 61</m:t>
        </m:r>
      </m:oMath>
      <w:r>
        <w:t xml:space="preserve"> respondents and may not sum to </w:t>
      </w:r>
      <m:oMath>
        <m:r>
          <w:rPr>
            <w:rFonts w:ascii="Cambria Math" w:hAnsi="Cambria Math"/>
          </w:rPr>
          <m:t>100</m:t>
        </m:r>
      </m:oMath>
      <w:r>
        <w:t xml:space="preserve"> due to rounding.</w:t>
      </w:r>
    </w:p>
    <w:p w14:paraId="76FF5385" w14:textId="610366E6" w:rsidR="00377874" w:rsidRDefault="00000000">
      <w:pPr>
        <w:pStyle w:val="BodyText"/>
      </w:pPr>
      <w:r>
        <w:rPr>
          <w:b/>
          <w:bCs/>
        </w:rPr>
        <w:t>Table 1. Respondent characteristics (</w:t>
      </w:r>
      <m:oMath>
        <m:r>
          <m:rPr>
            <m:sty m:val="bi"/>
          </m:rPr>
          <w:rPr>
            <w:rFonts w:ascii="Cambria Math" w:hAnsi="Cambria Math"/>
          </w:rPr>
          <m:t>N = 61</m:t>
        </m:r>
      </m:oMath>
      <w:r>
        <w:rPr>
          <w:b/>
          <w:bCs/>
        </w:rPr>
        <w:t>)</w:t>
      </w:r>
    </w:p>
    <w:tbl>
      <w:tblPr>
        <w:tblStyle w:val="Table"/>
        <w:tblW w:w="0" w:type="auto"/>
        <w:tblLook w:val="0020" w:firstRow="1" w:lastRow="0" w:firstColumn="0" w:lastColumn="0" w:noHBand="0" w:noVBand="0"/>
      </w:tblPr>
      <w:tblGrid>
        <w:gridCol w:w="3245"/>
        <w:gridCol w:w="3471"/>
        <w:gridCol w:w="482"/>
        <w:gridCol w:w="664"/>
      </w:tblGrid>
      <w:tr w:rsidR="00377874" w14:paraId="2AD04A4A" w14:textId="77777777" w:rsidTr="00377874">
        <w:trPr>
          <w:cnfStyle w:val="100000000000" w:firstRow="1" w:lastRow="0" w:firstColumn="0" w:lastColumn="0" w:oddVBand="0" w:evenVBand="0" w:oddHBand="0" w:evenHBand="0" w:firstRowFirstColumn="0" w:firstRowLastColumn="0" w:lastRowFirstColumn="0" w:lastRowLastColumn="0"/>
          <w:tblHeader/>
        </w:trPr>
        <w:tc>
          <w:tcPr>
            <w:tcW w:w="0" w:type="auto"/>
          </w:tcPr>
          <w:p w14:paraId="3C341E36" w14:textId="77777777" w:rsidR="00377874" w:rsidRDefault="00000000">
            <w:pPr>
              <w:pStyle w:val="Compact"/>
            </w:pPr>
            <w:r>
              <w:t>Characteristic</w:t>
            </w:r>
          </w:p>
        </w:tc>
        <w:tc>
          <w:tcPr>
            <w:tcW w:w="0" w:type="auto"/>
          </w:tcPr>
          <w:p w14:paraId="3677D210" w14:textId="77777777" w:rsidR="00377874" w:rsidRDefault="00000000">
            <w:pPr>
              <w:pStyle w:val="Compact"/>
            </w:pPr>
            <w:r>
              <w:t>Category</w:t>
            </w:r>
          </w:p>
        </w:tc>
        <w:tc>
          <w:tcPr>
            <w:tcW w:w="0" w:type="auto"/>
          </w:tcPr>
          <w:p w14:paraId="2DC27E7D" w14:textId="4A53EB77" w:rsidR="00377874" w:rsidRPr="009B221A" w:rsidRDefault="009B221A">
            <w:pPr>
              <w:pStyle w:val="Compact"/>
              <w:jc w:val="right"/>
              <w:rPr>
                <w:rFonts w:ascii="Cambria Math" w:hAnsi="Cambria Math"/>
                <w:oMath/>
              </w:rPr>
            </w:pPr>
            <m:oMathPara>
              <m:oMath>
                <m:r>
                  <w:rPr>
                    <w:rFonts w:ascii="Cambria Math" w:hAnsi="Cambria Math"/>
                  </w:rPr>
                  <m:t>n</m:t>
                </m:r>
              </m:oMath>
            </m:oMathPara>
          </w:p>
        </w:tc>
        <w:tc>
          <w:tcPr>
            <w:tcW w:w="0" w:type="auto"/>
          </w:tcPr>
          <w:p w14:paraId="197B509D" w14:textId="292CD33B" w:rsidR="00377874" w:rsidRPr="009B221A" w:rsidRDefault="009B221A">
            <w:pPr>
              <w:pStyle w:val="Compact"/>
              <w:jc w:val="right"/>
              <w:rPr>
                <w:rFonts w:ascii="Cambria Math" w:hAnsi="Cambria Math"/>
                <w:oMath/>
              </w:rPr>
            </w:pPr>
            <m:oMathPara>
              <m:oMath>
                <m:r>
                  <w:rPr>
                    <w:rFonts w:ascii="Cambria Math" w:hAnsi="Cambria Math"/>
                  </w:rPr>
                  <m:t>%</m:t>
                </m:r>
              </m:oMath>
            </m:oMathPara>
          </w:p>
        </w:tc>
      </w:tr>
      <w:tr w:rsidR="00377874" w14:paraId="05C05B91" w14:textId="77777777">
        <w:tc>
          <w:tcPr>
            <w:tcW w:w="0" w:type="auto"/>
          </w:tcPr>
          <w:p w14:paraId="13BEB5A7" w14:textId="77777777" w:rsidR="00377874" w:rsidRDefault="00000000">
            <w:pPr>
              <w:pStyle w:val="Compact"/>
            </w:pPr>
            <w:r>
              <w:t>Sex</w:t>
            </w:r>
          </w:p>
        </w:tc>
        <w:tc>
          <w:tcPr>
            <w:tcW w:w="0" w:type="auto"/>
          </w:tcPr>
          <w:p w14:paraId="164B870F" w14:textId="77777777" w:rsidR="00377874" w:rsidRDefault="00000000">
            <w:pPr>
              <w:pStyle w:val="Compact"/>
            </w:pPr>
            <w:r>
              <w:t>Female</w:t>
            </w:r>
          </w:p>
        </w:tc>
        <w:tc>
          <w:tcPr>
            <w:tcW w:w="0" w:type="auto"/>
          </w:tcPr>
          <w:p w14:paraId="6A89178C" w14:textId="7E8B7CE6" w:rsidR="00377874" w:rsidRPr="009B221A" w:rsidRDefault="009B221A">
            <w:pPr>
              <w:pStyle w:val="Compact"/>
              <w:jc w:val="right"/>
              <w:rPr>
                <w:rFonts w:ascii="Cambria Math" w:hAnsi="Cambria Math"/>
                <w:oMath/>
              </w:rPr>
            </w:pPr>
            <m:oMathPara>
              <m:oMath>
                <m:r>
                  <w:rPr>
                    <w:rFonts w:ascii="Cambria Math" w:hAnsi="Cambria Math"/>
                  </w:rPr>
                  <m:t>34</m:t>
                </m:r>
              </m:oMath>
            </m:oMathPara>
          </w:p>
        </w:tc>
        <w:tc>
          <w:tcPr>
            <w:tcW w:w="0" w:type="auto"/>
          </w:tcPr>
          <w:p w14:paraId="2859528B" w14:textId="5F4550B1" w:rsidR="00377874" w:rsidRPr="009B221A" w:rsidRDefault="009B221A">
            <w:pPr>
              <w:pStyle w:val="Compact"/>
              <w:jc w:val="right"/>
              <w:rPr>
                <w:rFonts w:ascii="Cambria Math" w:hAnsi="Cambria Math"/>
                <w:oMath/>
              </w:rPr>
            </w:pPr>
            <m:oMathPara>
              <m:oMath>
                <m:r>
                  <w:rPr>
                    <w:rFonts w:ascii="Cambria Math" w:hAnsi="Cambria Math"/>
                  </w:rPr>
                  <m:t>55.7</m:t>
                </m:r>
              </m:oMath>
            </m:oMathPara>
          </w:p>
        </w:tc>
      </w:tr>
      <w:tr w:rsidR="00377874" w14:paraId="0FFA288D" w14:textId="77777777">
        <w:tc>
          <w:tcPr>
            <w:tcW w:w="0" w:type="auto"/>
          </w:tcPr>
          <w:p w14:paraId="3F857E93" w14:textId="77777777" w:rsidR="00377874" w:rsidRDefault="00377874">
            <w:pPr>
              <w:pStyle w:val="Compact"/>
            </w:pPr>
          </w:p>
        </w:tc>
        <w:tc>
          <w:tcPr>
            <w:tcW w:w="0" w:type="auto"/>
          </w:tcPr>
          <w:p w14:paraId="7F55B061" w14:textId="77777777" w:rsidR="00377874" w:rsidRDefault="00000000">
            <w:pPr>
              <w:pStyle w:val="Compact"/>
            </w:pPr>
            <w:r>
              <w:t>Male</w:t>
            </w:r>
          </w:p>
        </w:tc>
        <w:tc>
          <w:tcPr>
            <w:tcW w:w="0" w:type="auto"/>
          </w:tcPr>
          <w:p w14:paraId="155C776C" w14:textId="7A1EC69E" w:rsidR="00377874" w:rsidRPr="009B221A" w:rsidRDefault="009B221A">
            <w:pPr>
              <w:pStyle w:val="Compact"/>
              <w:jc w:val="right"/>
              <w:rPr>
                <w:rFonts w:ascii="Cambria Math" w:hAnsi="Cambria Math"/>
                <w:oMath/>
              </w:rPr>
            </w:pPr>
            <m:oMathPara>
              <m:oMath>
                <m:r>
                  <w:rPr>
                    <w:rFonts w:ascii="Cambria Math" w:hAnsi="Cambria Math"/>
                  </w:rPr>
                  <m:t>27</m:t>
                </m:r>
              </m:oMath>
            </m:oMathPara>
          </w:p>
        </w:tc>
        <w:tc>
          <w:tcPr>
            <w:tcW w:w="0" w:type="auto"/>
          </w:tcPr>
          <w:p w14:paraId="175E1938" w14:textId="3CCCE80C" w:rsidR="00377874" w:rsidRPr="009B221A" w:rsidRDefault="009B221A">
            <w:pPr>
              <w:pStyle w:val="Compact"/>
              <w:jc w:val="right"/>
              <w:rPr>
                <w:rFonts w:ascii="Cambria Math" w:hAnsi="Cambria Math"/>
                <w:oMath/>
              </w:rPr>
            </w:pPr>
            <m:oMathPara>
              <m:oMath>
                <m:r>
                  <w:rPr>
                    <w:rFonts w:ascii="Cambria Math" w:hAnsi="Cambria Math"/>
                  </w:rPr>
                  <m:t>44.3</m:t>
                </m:r>
              </m:oMath>
            </m:oMathPara>
          </w:p>
        </w:tc>
      </w:tr>
      <w:tr w:rsidR="00377874" w14:paraId="0AD8C5C1" w14:textId="77777777">
        <w:tc>
          <w:tcPr>
            <w:tcW w:w="0" w:type="auto"/>
          </w:tcPr>
          <w:p w14:paraId="0AF26D56" w14:textId="77777777" w:rsidR="00377874" w:rsidRDefault="00000000">
            <w:pPr>
              <w:pStyle w:val="Compact"/>
            </w:pPr>
            <w:r>
              <w:t>Graduation cohort</w:t>
            </w:r>
          </w:p>
        </w:tc>
        <w:tc>
          <w:tcPr>
            <w:tcW w:w="0" w:type="auto"/>
          </w:tcPr>
          <w:p w14:paraId="115933FE" w14:textId="77777777" w:rsidR="00377874" w:rsidRDefault="00000000">
            <w:pPr>
              <w:pStyle w:val="Compact"/>
            </w:pPr>
            <w:r>
              <w:t>2010–2014</w:t>
            </w:r>
          </w:p>
        </w:tc>
        <w:tc>
          <w:tcPr>
            <w:tcW w:w="0" w:type="auto"/>
          </w:tcPr>
          <w:p w14:paraId="262C5025" w14:textId="35692C67" w:rsidR="00377874" w:rsidRPr="009B221A" w:rsidRDefault="009B221A">
            <w:pPr>
              <w:pStyle w:val="Compact"/>
              <w:jc w:val="right"/>
              <w:rPr>
                <w:rFonts w:ascii="Cambria Math" w:hAnsi="Cambria Math"/>
                <w:oMath/>
              </w:rPr>
            </w:pPr>
            <m:oMathPara>
              <m:oMath>
                <m:r>
                  <w:rPr>
                    <w:rFonts w:ascii="Cambria Math" w:hAnsi="Cambria Math"/>
                  </w:rPr>
                  <m:t>26</m:t>
                </m:r>
              </m:oMath>
            </m:oMathPara>
          </w:p>
        </w:tc>
        <w:tc>
          <w:tcPr>
            <w:tcW w:w="0" w:type="auto"/>
          </w:tcPr>
          <w:p w14:paraId="0D0B701D" w14:textId="0EBEB81C" w:rsidR="00377874" w:rsidRPr="009B221A" w:rsidRDefault="009B221A">
            <w:pPr>
              <w:pStyle w:val="Compact"/>
              <w:jc w:val="right"/>
              <w:rPr>
                <w:rFonts w:ascii="Cambria Math" w:hAnsi="Cambria Math"/>
                <w:oMath/>
              </w:rPr>
            </w:pPr>
            <m:oMathPara>
              <m:oMath>
                <m:r>
                  <w:rPr>
                    <w:rFonts w:ascii="Cambria Math" w:hAnsi="Cambria Math"/>
                  </w:rPr>
                  <m:t>42.6</m:t>
                </m:r>
              </m:oMath>
            </m:oMathPara>
          </w:p>
        </w:tc>
      </w:tr>
      <w:tr w:rsidR="00377874" w14:paraId="630C319E" w14:textId="77777777">
        <w:tc>
          <w:tcPr>
            <w:tcW w:w="0" w:type="auto"/>
          </w:tcPr>
          <w:p w14:paraId="39273FF3" w14:textId="77777777" w:rsidR="00377874" w:rsidRDefault="00377874">
            <w:pPr>
              <w:pStyle w:val="Compact"/>
            </w:pPr>
          </w:p>
        </w:tc>
        <w:tc>
          <w:tcPr>
            <w:tcW w:w="0" w:type="auto"/>
          </w:tcPr>
          <w:p w14:paraId="31CD2804" w14:textId="77777777" w:rsidR="00377874" w:rsidRDefault="00000000">
            <w:pPr>
              <w:pStyle w:val="Compact"/>
            </w:pPr>
            <w:r>
              <w:t>2015–2018</w:t>
            </w:r>
          </w:p>
        </w:tc>
        <w:tc>
          <w:tcPr>
            <w:tcW w:w="0" w:type="auto"/>
          </w:tcPr>
          <w:p w14:paraId="2684FA05" w14:textId="1EAEDA85" w:rsidR="00377874" w:rsidRPr="009B221A" w:rsidRDefault="009B221A">
            <w:pPr>
              <w:pStyle w:val="Compact"/>
              <w:jc w:val="right"/>
              <w:rPr>
                <w:rFonts w:ascii="Cambria Math" w:hAnsi="Cambria Math"/>
                <w:oMath/>
              </w:rPr>
            </w:pPr>
            <m:oMathPara>
              <m:oMath>
                <m:r>
                  <w:rPr>
                    <w:rFonts w:ascii="Cambria Math" w:hAnsi="Cambria Math"/>
                  </w:rPr>
                  <m:t>25</m:t>
                </m:r>
              </m:oMath>
            </m:oMathPara>
          </w:p>
        </w:tc>
        <w:tc>
          <w:tcPr>
            <w:tcW w:w="0" w:type="auto"/>
          </w:tcPr>
          <w:p w14:paraId="5678601E" w14:textId="224C42BD" w:rsidR="00377874" w:rsidRPr="009B221A" w:rsidRDefault="009B221A">
            <w:pPr>
              <w:pStyle w:val="Compact"/>
              <w:jc w:val="right"/>
              <w:rPr>
                <w:rFonts w:ascii="Cambria Math" w:hAnsi="Cambria Math"/>
                <w:oMath/>
              </w:rPr>
            </w:pPr>
            <m:oMathPara>
              <m:oMath>
                <m:r>
                  <w:rPr>
                    <w:rFonts w:ascii="Cambria Math" w:hAnsi="Cambria Math"/>
                  </w:rPr>
                  <m:t>41.0</m:t>
                </m:r>
              </m:oMath>
            </m:oMathPara>
          </w:p>
        </w:tc>
      </w:tr>
      <w:tr w:rsidR="00377874" w14:paraId="38DA73DE" w14:textId="77777777">
        <w:tc>
          <w:tcPr>
            <w:tcW w:w="0" w:type="auto"/>
          </w:tcPr>
          <w:p w14:paraId="65D8689E" w14:textId="77777777" w:rsidR="00377874" w:rsidRDefault="00377874">
            <w:pPr>
              <w:pStyle w:val="Compact"/>
            </w:pPr>
          </w:p>
        </w:tc>
        <w:tc>
          <w:tcPr>
            <w:tcW w:w="0" w:type="auto"/>
          </w:tcPr>
          <w:p w14:paraId="3A3256A8" w14:textId="77777777" w:rsidR="00377874" w:rsidRDefault="00000000">
            <w:pPr>
              <w:pStyle w:val="Compact"/>
            </w:pPr>
            <w:r>
              <w:t>2020–2023</w:t>
            </w:r>
          </w:p>
        </w:tc>
        <w:tc>
          <w:tcPr>
            <w:tcW w:w="0" w:type="auto"/>
          </w:tcPr>
          <w:p w14:paraId="38333C08" w14:textId="0BDE0934" w:rsidR="00377874" w:rsidRPr="009B221A" w:rsidRDefault="009B221A">
            <w:pPr>
              <w:pStyle w:val="Compact"/>
              <w:jc w:val="right"/>
              <w:rPr>
                <w:rFonts w:ascii="Cambria Math" w:hAnsi="Cambria Math"/>
                <w:oMath/>
              </w:rPr>
            </w:pPr>
            <m:oMathPara>
              <m:oMath>
                <m:r>
                  <w:rPr>
                    <w:rFonts w:ascii="Cambria Math" w:hAnsi="Cambria Math"/>
                  </w:rPr>
                  <m:t>10</m:t>
                </m:r>
              </m:oMath>
            </m:oMathPara>
          </w:p>
        </w:tc>
        <w:tc>
          <w:tcPr>
            <w:tcW w:w="0" w:type="auto"/>
          </w:tcPr>
          <w:p w14:paraId="2092BFF2" w14:textId="73C181B8" w:rsidR="00377874" w:rsidRPr="009B221A" w:rsidRDefault="009B221A">
            <w:pPr>
              <w:pStyle w:val="Compact"/>
              <w:jc w:val="right"/>
              <w:rPr>
                <w:rFonts w:ascii="Cambria Math" w:hAnsi="Cambria Math"/>
                <w:oMath/>
              </w:rPr>
            </w:pPr>
            <m:oMathPara>
              <m:oMath>
                <m:r>
                  <w:rPr>
                    <w:rFonts w:ascii="Cambria Math" w:hAnsi="Cambria Math"/>
                  </w:rPr>
                  <m:t>16.4</m:t>
                </m:r>
              </m:oMath>
            </m:oMathPara>
          </w:p>
        </w:tc>
      </w:tr>
      <w:tr w:rsidR="00377874" w14:paraId="55ABEFC6" w14:textId="77777777">
        <w:tc>
          <w:tcPr>
            <w:tcW w:w="0" w:type="auto"/>
          </w:tcPr>
          <w:p w14:paraId="2F9BD408" w14:textId="77777777" w:rsidR="00377874" w:rsidRDefault="00000000">
            <w:pPr>
              <w:pStyle w:val="Compact"/>
            </w:pPr>
            <w:r>
              <w:t>Undergrad degree completed</w:t>
            </w:r>
          </w:p>
        </w:tc>
        <w:tc>
          <w:tcPr>
            <w:tcW w:w="0" w:type="auto"/>
          </w:tcPr>
          <w:p w14:paraId="0821FC38" w14:textId="77777777" w:rsidR="00377874" w:rsidRDefault="00000000">
            <w:pPr>
              <w:pStyle w:val="Compact"/>
            </w:pPr>
            <w:r>
              <w:t>Yes</w:t>
            </w:r>
          </w:p>
        </w:tc>
        <w:tc>
          <w:tcPr>
            <w:tcW w:w="0" w:type="auto"/>
          </w:tcPr>
          <w:p w14:paraId="1AD5A47F" w14:textId="7BBDFA34" w:rsidR="00377874" w:rsidRPr="009B221A" w:rsidRDefault="009B221A">
            <w:pPr>
              <w:pStyle w:val="Compact"/>
              <w:jc w:val="right"/>
              <w:rPr>
                <w:rFonts w:ascii="Cambria Math" w:hAnsi="Cambria Math"/>
                <w:oMath/>
              </w:rPr>
            </w:pPr>
            <m:oMathPara>
              <m:oMath>
                <m:r>
                  <w:rPr>
                    <w:rFonts w:ascii="Cambria Math" w:hAnsi="Cambria Math"/>
                  </w:rPr>
                  <m:t>50</m:t>
                </m:r>
              </m:oMath>
            </m:oMathPara>
          </w:p>
        </w:tc>
        <w:tc>
          <w:tcPr>
            <w:tcW w:w="0" w:type="auto"/>
          </w:tcPr>
          <w:p w14:paraId="11145FCD" w14:textId="79727CE8" w:rsidR="00377874" w:rsidRPr="009B221A" w:rsidRDefault="009B221A">
            <w:pPr>
              <w:pStyle w:val="Compact"/>
              <w:jc w:val="right"/>
              <w:rPr>
                <w:rFonts w:ascii="Cambria Math" w:hAnsi="Cambria Math"/>
                <w:oMath/>
              </w:rPr>
            </w:pPr>
            <m:oMathPara>
              <m:oMath>
                <m:r>
                  <w:rPr>
                    <w:rFonts w:ascii="Cambria Math" w:hAnsi="Cambria Math"/>
                  </w:rPr>
                  <m:t>82.0</m:t>
                </m:r>
              </m:oMath>
            </m:oMathPara>
          </w:p>
        </w:tc>
      </w:tr>
      <w:tr w:rsidR="00377874" w14:paraId="29917FF1" w14:textId="77777777">
        <w:tc>
          <w:tcPr>
            <w:tcW w:w="0" w:type="auto"/>
          </w:tcPr>
          <w:p w14:paraId="401A5087" w14:textId="77777777" w:rsidR="00377874" w:rsidRDefault="00377874">
            <w:pPr>
              <w:pStyle w:val="Compact"/>
            </w:pPr>
          </w:p>
        </w:tc>
        <w:tc>
          <w:tcPr>
            <w:tcW w:w="0" w:type="auto"/>
          </w:tcPr>
          <w:p w14:paraId="4C901D77" w14:textId="77777777" w:rsidR="00377874" w:rsidRDefault="00000000">
            <w:pPr>
              <w:pStyle w:val="Compact"/>
            </w:pPr>
            <w:r>
              <w:t>No</w:t>
            </w:r>
          </w:p>
        </w:tc>
        <w:tc>
          <w:tcPr>
            <w:tcW w:w="0" w:type="auto"/>
          </w:tcPr>
          <w:p w14:paraId="4FC73093" w14:textId="746EB47B" w:rsidR="00377874" w:rsidRPr="009B221A" w:rsidRDefault="009B221A">
            <w:pPr>
              <w:pStyle w:val="Compact"/>
              <w:jc w:val="right"/>
              <w:rPr>
                <w:rFonts w:ascii="Cambria Math" w:hAnsi="Cambria Math"/>
                <w:oMath/>
              </w:rPr>
            </w:pPr>
            <m:oMathPara>
              <m:oMath>
                <m:r>
                  <w:rPr>
                    <w:rFonts w:ascii="Cambria Math" w:hAnsi="Cambria Math"/>
                  </w:rPr>
                  <m:t>7</m:t>
                </m:r>
              </m:oMath>
            </m:oMathPara>
          </w:p>
        </w:tc>
        <w:tc>
          <w:tcPr>
            <w:tcW w:w="0" w:type="auto"/>
          </w:tcPr>
          <w:p w14:paraId="279F6925" w14:textId="11754386" w:rsidR="00377874" w:rsidRPr="009B221A" w:rsidRDefault="009B221A">
            <w:pPr>
              <w:pStyle w:val="Compact"/>
              <w:jc w:val="right"/>
              <w:rPr>
                <w:rFonts w:ascii="Cambria Math" w:hAnsi="Cambria Math"/>
                <w:oMath/>
              </w:rPr>
            </w:pPr>
            <m:oMathPara>
              <m:oMath>
                <m:r>
                  <w:rPr>
                    <w:rFonts w:ascii="Cambria Math" w:hAnsi="Cambria Math"/>
                  </w:rPr>
                  <m:t>11.5</m:t>
                </m:r>
              </m:oMath>
            </m:oMathPara>
          </w:p>
        </w:tc>
      </w:tr>
      <w:tr w:rsidR="00377874" w14:paraId="7875C8A5" w14:textId="77777777">
        <w:tc>
          <w:tcPr>
            <w:tcW w:w="0" w:type="auto"/>
          </w:tcPr>
          <w:p w14:paraId="4DE60FAD" w14:textId="77777777" w:rsidR="00377874" w:rsidRDefault="00377874">
            <w:pPr>
              <w:pStyle w:val="Compact"/>
            </w:pPr>
          </w:p>
        </w:tc>
        <w:tc>
          <w:tcPr>
            <w:tcW w:w="0" w:type="auto"/>
          </w:tcPr>
          <w:p w14:paraId="0DF4327F" w14:textId="77777777" w:rsidR="00377874" w:rsidRDefault="00000000">
            <w:pPr>
              <w:pStyle w:val="Compact"/>
            </w:pPr>
            <w:r>
              <w:t>Ongoing undergraduate studies</w:t>
            </w:r>
          </w:p>
        </w:tc>
        <w:tc>
          <w:tcPr>
            <w:tcW w:w="0" w:type="auto"/>
          </w:tcPr>
          <w:p w14:paraId="6C41F306" w14:textId="186AB0C0" w:rsidR="00377874" w:rsidRPr="009B221A" w:rsidRDefault="009B221A">
            <w:pPr>
              <w:pStyle w:val="Compact"/>
              <w:jc w:val="right"/>
              <w:rPr>
                <w:rFonts w:ascii="Cambria Math" w:hAnsi="Cambria Math"/>
                <w:oMath/>
              </w:rPr>
            </w:pPr>
            <m:oMathPara>
              <m:oMath>
                <m:r>
                  <w:rPr>
                    <w:rFonts w:ascii="Cambria Math" w:hAnsi="Cambria Math"/>
                  </w:rPr>
                  <m:t>4</m:t>
                </m:r>
              </m:oMath>
            </m:oMathPara>
          </w:p>
        </w:tc>
        <w:tc>
          <w:tcPr>
            <w:tcW w:w="0" w:type="auto"/>
          </w:tcPr>
          <w:p w14:paraId="3915128F" w14:textId="60830B3B" w:rsidR="00377874" w:rsidRPr="009B221A" w:rsidRDefault="009B221A">
            <w:pPr>
              <w:pStyle w:val="Compact"/>
              <w:jc w:val="right"/>
              <w:rPr>
                <w:rFonts w:ascii="Cambria Math" w:hAnsi="Cambria Math"/>
                <w:oMath/>
              </w:rPr>
            </w:pPr>
            <m:oMathPara>
              <m:oMath>
                <m:r>
                  <w:rPr>
                    <w:rFonts w:ascii="Cambria Math" w:hAnsi="Cambria Math"/>
                  </w:rPr>
                  <m:t>6.6</m:t>
                </m:r>
              </m:oMath>
            </m:oMathPara>
          </w:p>
        </w:tc>
      </w:tr>
      <w:tr w:rsidR="00377874" w14:paraId="490FA26D" w14:textId="77777777">
        <w:tc>
          <w:tcPr>
            <w:tcW w:w="0" w:type="auto"/>
          </w:tcPr>
          <w:p w14:paraId="599F53D5" w14:textId="77777777" w:rsidR="00377874" w:rsidRDefault="00000000">
            <w:pPr>
              <w:pStyle w:val="Compact"/>
            </w:pPr>
            <w:proofErr w:type="gramStart"/>
            <w:r>
              <w:t>Current status</w:t>
            </w:r>
            <w:proofErr w:type="gramEnd"/>
          </w:p>
        </w:tc>
        <w:tc>
          <w:tcPr>
            <w:tcW w:w="0" w:type="auto"/>
          </w:tcPr>
          <w:p w14:paraId="505FEFD0" w14:textId="77777777" w:rsidR="00377874" w:rsidRDefault="00000000">
            <w:pPr>
              <w:pStyle w:val="Compact"/>
            </w:pPr>
            <w:r>
              <w:t>Employed</w:t>
            </w:r>
          </w:p>
        </w:tc>
        <w:tc>
          <w:tcPr>
            <w:tcW w:w="0" w:type="auto"/>
          </w:tcPr>
          <w:p w14:paraId="0B7FEBD0" w14:textId="6A5D2442" w:rsidR="00377874" w:rsidRPr="009B221A" w:rsidRDefault="009B221A">
            <w:pPr>
              <w:pStyle w:val="Compact"/>
              <w:jc w:val="right"/>
              <w:rPr>
                <w:rFonts w:ascii="Cambria Math" w:hAnsi="Cambria Math"/>
                <w:oMath/>
              </w:rPr>
            </w:pPr>
            <m:oMathPara>
              <m:oMath>
                <m:r>
                  <w:rPr>
                    <w:rFonts w:ascii="Cambria Math" w:hAnsi="Cambria Math"/>
                  </w:rPr>
                  <m:t>40</m:t>
                </m:r>
              </m:oMath>
            </m:oMathPara>
          </w:p>
        </w:tc>
        <w:tc>
          <w:tcPr>
            <w:tcW w:w="0" w:type="auto"/>
          </w:tcPr>
          <w:p w14:paraId="45863798" w14:textId="75D5E939" w:rsidR="00377874" w:rsidRPr="009B221A" w:rsidRDefault="009B221A">
            <w:pPr>
              <w:pStyle w:val="Compact"/>
              <w:jc w:val="right"/>
              <w:rPr>
                <w:rFonts w:ascii="Cambria Math" w:hAnsi="Cambria Math"/>
                <w:oMath/>
              </w:rPr>
            </w:pPr>
            <m:oMathPara>
              <m:oMath>
                <m:r>
                  <w:rPr>
                    <w:rFonts w:ascii="Cambria Math" w:hAnsi="Cambria Math"/>
                  </w:rPr>
                  <m:t>65.6</m:t>
                </m:r>
              </m:oMath>
            </m:oMathPara>
          </w:p>
        </w:tc>
      </w:tr>
      <w:tr w:rsidR="00377874" w14:paraId="3F1D7DB8" w14:textId="77777777">
        <w:tc>
          <w:tcPr>
            <w:tcW w:w="0" w:type="auto"/>
          </w:tcPr>
          <w:p w14:paraId="77D71220" w14:textId="77777777" w:rsidR="00377874" w:rsidRDefault="00377874">
            <w:pPr>
              <w:pStyle w:val="Compact"/>
            </w:pPr>
          </w:p>
        </w:tc>
        <w:tc>
          <w:tcPr>
            <w:tcW w:w="0" w:type="auto"/>
          </w:tcPr>
          <w:p w14:paraId="10DF505C" w14:textId="77777777" w:rsidR="00377874" w:rsidRDefault="00000000">
            <w:pPr>
              <w:pStyle w:val="Compact"/>
            </w:pPr>
            <w:r>
              <w:t>Further studies (postgraduate)</w:t>
            </w:r>
          </w:p>
        </w:tc>
        <w:tc>
          <w:tcPr>
            <w:tcW w:w="0" w:type="auto"/>
          </w:tcPr>
          <w:p w14:paraId="621AA147" w14:textId="6CB17863" w:rsidR="00377874" w:rsidRPr="009B221A" w:rsidRDefault="009B221A">
            <w:pPr>
              <w:pStyle w:val="Compact"/>
              <w:jc w:val="right"/>
              <w:rPr>
                <w:rFonts w:ascii="Cambria Math" w:hAnsi="Cambria Math"/>
                <w:oMath/>
              </w:rPr>
            </w:pPr>
            <m:oMathPara>
              <m:oMath>
                <m:r>
                  <w:rPr>
                    <w:rFonts w:ascii="Cambria Math" w:hAnsi="Cambria Math"/>
                  </w:rPr>
                  <m:t>8</m:t>
                </m:r>
              </m:oMath>
            </m:oMathPara>
          </w:p>
        </w:tc>
        <w:tc>
          <w:tcPr>
            <w:tcW w:w="0" w:type="auto"/>
          </w:tcPr>
          <w:p w14:paraId="32AA020D" w14:textId="79876917" w:rsidR="00377874" w:rsidRPr="009B221A" w:rsidRDefault="009B221A">
            <w:pPr>
              <w:pStyle w:val="Compact"/>
              <w:jc w:val="right"/>
              <w:rPr>
                <w:rFonts w:ascii="Cambria Math" w:hAnsi="Cambria Math"/>
                <w:oMath/>
              </w:rPr>
            </w:pPr>
            <m:oMathPara>
              <m:oMath>
                <m:r>
                  <w:rPr>
                    <w:rFonts w:ascii="Cambria Math" w:hAnsi="Cambria Math"/>
                  </w:rPr>
                  <m:t>13.1</m:t>
                </m:r>
              </m:oMath>
            </m:oMathPara>
          </w:p>
        </w:tc>
      </w:tr>
      <w:tr w:rsidR="00377874" w14:paraId="2140715C" w14:textId="77777777">
        <w:tc>
          <w:tcPr>
            <w:tcW w:w="0" w:type="auto"/>
          </w:tcPr>
          <w:p w14:paraId="696CE33E" w14:textId="77777777" w:rsidR="00377874" w:rsidRDefault="00377874">
            <w:pPr>
              <w:pStyle w:val="Compact"/>
            </w:pPr>
          </w:p>
        </w:tc>
        <w:tc>
          <w:tcPr>
            <w:tcW w:w="0" w:type="auto"/>
          </w:tcPr>
          <w:p w14:paraId="1156B4D7" w14:textId="77777777" w:rsidR="00377874" w:rsidRDefault="00000000">
            <w:pPr>
              <w:pStyle w:val="Compact"/>
            </w:pPr>
            <w:r>
              <w:t>Still studying (undergraduate)</w:t>
            </w:r>
          </w:p>
        </w:tc>
        <w:tc>
          <w:tcPr>
            <w:tcW w:w="0" w:type="auto"/>
          </w:tcPr>
          <w:p w14:paraId="4664647C" w14:textId="1823C5A3" w:rsidR="00377874" w:rsidRPr="009B221A" w:rsidRDefault="009B221A">
            <w:pPr>
              <w:pStyle w:val="Compact"/>
              <w:jc w:val="right"/>
              <w:rPr>
                <w:rFonts w:ascii="Cambria Math" w:hAnsi="Cambria Math"/>
                <w:oMath/>
              </w:rPr>
            </w:pPr>
            <m:oMathPara>
              <m:oMath>
                <m:r>
                  <w:rPr>
                    <w:rFonts w:ascii="Cambria Math" w:hAnsi="Cambria Math"/>
                  </w:rPr>
                  <m:t>5</m:t>
                </m:r>
              </m:oMath>
            </m:oMathPara>
          </w:p>
        </w:tc>
        <w:tc>
          <w:tcPr>
            <w:tcW w:w="0" w:type="auto"/>
          </w:tcPr>
          <w:p w14:paraId="146FD4B9" w14:textId="50F64FF7" w:rsidR="00377874" w:rsidRPr="009B221A" w:rsidRDefault="009B221A">
            <w:pPr>
              <w:pStyle w:val="Compact"/>
              <w:jc w:val="right"/>
              <w:rPr>
                <w:rFonts w:ascii="Cambria Math" w:hAnsi="Cambria Math"/>
                <w:oMath/>
              </w:rPr>
            </w:pPr>
            <m:oMathPara>
              <m:oMath>
                <m:r>
                  <w:rPr>
                    <w:rFonts w:ascii="Cambria Math" w:hAnsi="Cambria Math"/>
                  </w:rPr>
                  <m:t>8.2</m:t>
                </m:r>
              </m:oMath>
            </m:oMathPara>
          </w:p>
        </w:tc>
      </w:tr>
      <w:tr w:rsidR="00377874" w14:paraId="0A4F252E" w14:textId="77777777">
        <w:tc>
          <w:tcPr>
            <w:tcW w:w="0" w:type="auto"/>
          </w:tcPr>
          <w:p w14:paraId="40499A15" w14:textId="77777777" w:rsidR="00377874" w:rsidRDefault="00377874">
            <w:pPr>
              <w:pStyle w:val="Compact"/>
            </w:pPr>
          </w:p>
        </w:tc>
        <w:tc>
          <w:tcPr>
            <w:tcW w:w="0" w:type="auto"/>
          </w:tcPr>
          <w:p w14:paraId="62A8F24A" w14:textId="77777777" w:rsidR="00377874" w:rsidRDefault="00000000">
            <w:pPr>
              <w:pStyle w:val="Compact"/>
            </w:pPr>
            <w:r>
              <w:t>Self-employed</w:t>
            </w:r>
          </w:p>
        </w:tc>
        <w:tc>
          <w:tcPr>
            <w:tcW w:w="0" w:type="auto"/>
          </w:tcPr>
          <w:p w14:paraId="0663F8D9" w14:textId="3E745AD3" w:rsidR="00377874" w:rsidRPr="009B221A" w:rsidRDefault="009B221A">
            <w:pPr>
              <w:pStyle w:val="Compact"/>
              <w:jc w:val="right"/>
              <w:rPr>
                <w:rFonts w:ascii="Cambria Math" w:hAnsi="Cambria Math"/>
                <w:oMath/>
              </w:rPr>
            </w:pPr>
            <m:oMathPara>
              <m:oMath>
                <m:r>
                  <w:rPr>
                    <w:rFonts w:ascii="Cambria Math" w:hAnsi="Cambria Math"/>
                  </w:rPr>
                  <m:t>4</m:t>
                </m:r>
              </m:oMath>
            </m:oMathPara>
          </w:p>
        </w:tc>
        <w:tc>
          <w:tcPr>
            <w:tcW w:w="0" w:type="auto"/>
          </w:tcPr>
          <w:p w14:paraId="444E48E4" w14:textId="26A53AD3" w:rsidR="00377874" w:rsidRPr="009B221A" w:rsidRDefault="009B221A">
            <w:pPr>
              <w:pStyle w:val="Compact"/>
              <w:jc w:val="right"/>
              <w:rPr>
                <w:rFonts w:ascii="Cambria Math" w:hAnsi="Cambria Math"/>
                <w:oMath/>
              </w:rPr>
            </w:pPr>
            <m:oMathPara>
              <m:oMath>
                <m:r>
                  <w:rPr>
                    <w:rFonts w:ascii="Cambria Math" w:hAnsi="Cambria Math"/>
                  </w:rPr>
                  <m:t>6.6</m:t>
                </m:r>
              </m:oMath>
            </m:oMathPara>
          </w:p>
        </w:tc>
      </w:tr>
      <w:tr w:rsidR="00377874" w14:paraId="0CBDC0BF" w14:textId="77777777">
        <w:tc>
          <w:tcPr>
            <w:tcW w:w="0" w:type="auto"/>
          </w:tcPr>
          <w:p w14:paraId="1951FABA" w14:textId="77777777" w:rsidR="00377874" w:rsidRDefault="00377874">
            <w:pPr>
              <w:pStyle w:val="Compact"/>
            </w:pPr>
          </w:p>
        </w:tc>
        <w:tc>
          <w:tcPr>
            <w:tcW w:w="0" w:type="auto"/>
          </w:tcPr>
          <w:p w14:paraId="790C8111" w14:textId="77777777" w:rsidR="00377874" w:rsidRDefault="00000000">
            <w:pPr>
              <w:pStyle w:val="Compact"/>
            </w:pPr>
            <w:r>
              <w:t>Unemployed</w:t>
            </w:r>
          </w:p>
        </w:tc>
        <w:tc>
          <w:tcPr>
            <w:tcW w:w="0" w:type="auto"/>
          </w:tcPr>
          <w:p w14:paraId="6FC05EA9" w14:textId="2814F577" w:rsidR="00377874" w:rsidRPr="009B221A" w:rsidRDefault="009B221A">
            <w:pPr>
              <w:pStyle w:val="Compact"/>
              <w:jc w:val="right"/>
              <w:rPr>
                <w:rFonts w:ascii="Cambria Math" w:hAnsi="Cambria Math"/>
                <w:oMath/>
              </w:rPr>
            </w:pPr>
            <m:oMathPara>
              <m:oMath>
                <m:r>
                  <w:rPr>
                    <w:rFonts w:ascii="Cambria Math" w:hAnsi="Cambria Math"/>
                  </w:rPr>
                  <m:t>3</m:t>
                </m:r>
              </m:oMath>
            </m:oMathPara>
          </w:p>
        </w:tc>
        <w:tc>
          <w:tcPr>
            <w:tcW w:w="0" w:type="auto"/>
          </w:tcPr>
          <w:p w14:paraId="41FC7267" w14:textId="3AB34BB1" w:rsidR="00377874" w:rsidRPr="009B221A" w:rsidRDefault="009B221A">
            <w:pPr>
              <w:pStyle w:val="Compact"/>
              <w:jc w:val="right"/>
              <w:rPr>
                <w:rFonts w:ascii="Cambria Math" w:hAnsi="Cambria Math"/>
                <w:oMath/>
              </w:rPr>
            </w:pPr>
            <m:oMathPara>
              <m:oMath>
                <m:r>
                  <w:rPr>
                    <w:rFonts w:ascii="Cambria Math" w:hAnsi="Cambria Math"/>
                  </w:rPr>
                  <m:t>4.9</m:t>
                </m:r>
              </m:oMath>
            </m:oMathPara>
          </w:p>
        </w:tc>
      </w:tr>
      <w:tr w:rsidR="00377874" w14:paraId="79626C56" w14:textId="77777777">
        <w:tc>
          <w:tcPr>
            <w:tcW w:w="0" w:type="auto"/>
          </w:tcPr>
          <w:p w14:paraId="6698255E" w14:textId="77777777" w:rsidR="00377874" w:rsidRDefault="00377874">
            <w:pPr>
              <w:pStyle w:val="Compact"/>
            </w:pPr>
          </w:p>
        </w:tc>
        <w:tc>
          <w:tcPr>
            <w:tcW w:w="0" w:type="auto"/>
          </w:tcPr>
          <w:p w14:paraId="75DE7A03" w14:textId="77777777" w:rsidR="00377874" w:rsidRDefault="00000000">
            <w:pPr>
              <w:pStyle w:val="Compact"/>
            </w:pPr>
            <w:r>
              <w:t>Studying and employed</w:t>
            </w:r>
          </w:p>
        </w:tc>
        <w:tc>
          <w:tcPr>
            <w:tcW w:w="0" w:type="auto"/>
          </w:tcPr>
          <w:p w14:paraId="72FBB062" w14:textId="3B2F54F7" w:rsidR="00377874" w:rsidRPr="009B221A" w:rsidRDefault="009B221A">
            <w:pPr>
              <w:pStyle w:val="Compact"/>
              <w:jc w:val="right"/>
              <w:rPr>
                <w:rFonts w:ascii="Cambria Math" w:hAnsi="Cambria Math"/>
                <w:oMath/>
              </w:rPr>
            </w:pPr>
            <m:oMathPara>
              <m:oMath>
                <m:r>
                  <w:rPr>
                    <w:rFonts w:ascii="Cambria Math" w:hAnsi="Cambria Math"/>
                  </w:rPr>
                  <m:t>1</m:t>
                </m:r>
              </m:oMath>
            </m:oMathPara>
          </w:p>
        </w:tc>
        <w:tc>
          <w:tcPr>
            <w:tcW w:w="0" w:type="auto"/>
          </w:tcPr>
          <w:p w14:paraId="3CAAA400" w14:textId="784F0ECD" w:rsidR="00377874" w:rsidRPr="009B221A" w:rsidRDefault="009B221A">
            <w:pPr>
              <w:pStyle w:val="Compact"/>
              <w:jc w:val="right"/>
              <w:rPr>
                <w:rFonts w:ascii="Cambria Math" w:hAnsi="Cambria Math"/>
                <w:oMath/>
              </w:rPr>
            </w:pPr>
            <m:oMathPara>
              <m:oMath>
                <m:r>
                  <w:rPr>
                    <w:rFonts w:ascii="Cambria Math" w:hAnsi="Cambria Math"/>
                  </w:rPr>
                  <m:t>1.6</m:t>
                </m:r>
              </m:oMath>
            </m:oMathPara>
          </w:p>
        </w:tc>
      </w:tr>
      <w:tr w:rsidR="00377874" w14:paraId="23E2EF67" w14:textId="77777777">
        <w:tc>
          <w:tcPr>
            <w:tcW w:w="0" w:type="auto"/>
          </w:tcPr>
          <w:p w14:paraId="4FE3255D" w14:textId="77777777" w:rsidR="00377874" w:rsidRDefault="00000000">
            <w:pPr>
              <w:pStyle w:val="Compact"/>
            </w:pPr>
            <w:r>
              <w:t>Undergraduate degree field</w:t>
            </w:r>
          </w:p>
        </w:tc>
        <w:tc>
          <w:tcPr>
            <w:tcW w:w="0" w:type="auto"/>
          </w:tcPr>
          <w:p w14:paraId="581D4005" w14:textId="77777777" w:rsidR="00377874" w:rsidRDefault="00000000">
            <w:pPr>
              <w:pStyle w:val="Compact"/>
            </w:pPr>
            <w:r>
              <w:t>Natural Sciences</w:t>
            </w:r>
          </w:p>
        </w:tc>
        <w:tc>
          <w:tcPr>
            <w:tcW w:w="0" w:type="auto"/>
          </w:tcPr>
          <w:p w14:paraId="752DD47C" w14:textId="3E1C64DF" w:rsidR="00377874" w:rsidRPr="009B221A" w:rsidRDefault="009B221A">
            <w:pPr>
              <w:pStyle w:val="Compact"/>
              <w:jc w:val="right"/>
              <w:rPr>
                <w:rFonts w:ascii="Cambria Math" w:hAnsi="Cambria Math"/>
                <w:oMath/>
              </w:rPr>
            </w:pPr>
            <m:oMathPara>
              <m:oMath>
                <m:r>
                  <w:rPr>
                    <w:rFonts w:ascii="Cambria Math" w:hAnsi="Cambria Math"/>
                  </w:rPr>
                  <m:t>22</m:t>
                </m:r>
              </m:oMath>
            </m:oMathPara>
          </w:p>
        </w:tc>
        <w:tc>
          <w:tcPr>
            <w:tcW w:w="0" w:type="auto"/>
          </w:tcPr>
          <w:p w14:paraId="7A3D7CA0" w14:textId="2F245584" w:rsidR="00377874" w:rsidRPr="009B221A" w:rsidRDefault="009B221A">
            <w:pPr>
              <w:pStyle w:val="Compact"/>
              <w:jc w:val="right"/>
              <w:rPr>
                <w:rFonts w:ascii="Cambria Math" w:hAnsi="Cambria Math"/>
                <w:oMath/>
              </w:rPr>
            </w:pPr>
            <m:oMathPara>
              <m:oMath>
                <m:r>
                  <w:rPr>
                    <w:rFonts w:ascii="Cambria Math" w:hAnsi="Cambria Math"/>
                  </w:rPr>
                  <m:t>36.1</m:t>
                </m:r>
              </m:oMath>
            </m:oMathPara>
          </w:p>
        </w:tc>
      </w:tr>
      <w:tr w:rsidR="00377874" w14:paraId="6CAB5EC4" w14:textId="77777777">
        <w:tc>
          <w:tcPr>
            <w:tcW w:w="0" w:type="auto"/>
          </w:tcPr>
          <w:p w14:paraId="5406FDD6" w14:textId="77777777" w:rsidR="00377874" w:rsidRDefault="00377874">
            <w:pPr>
              <w:pStyle w:val="Compact"/>
            </w:pPr>
          </w:p>
        </w:tc>
        <w:tc>
          <w:tcPr>
            <w:tcW w:w="0" w:type="auto"/>
          </w:tcPr>
          <w:p w14:paraId="2B44D628" w14:textId="77777777" w:rsidR="00377874" w:rsidRDefault="00000000">
            <w:pPr>
              <w:pStyle w:val="Compact"/>
            </w:pPr>
            <w:r>
              <w:t>Engineering</w:t>
            </w:r>
          </w:p>
        </w:tc>
        <w:tc>
          <w:tcPr>
            <w:tcW w:w="0" w:type="auto"/>
          </w:tcPr>
          <w:p w14:paraId="0AD88717" w14:textId="0C78F6D9" w:rsidR="00377874" w:rsidRPr="009B221A" w:rsidRDefault="009B221A">
            <w:pPr>
              <w:pStyle w:val="Compact"/>
              <w:jc w:val="right"/>
              <w:rPr>
                <w:rFonts w:ascii="Cambria Math" w:hAnsi="Cambria Math"/>
                <w:oMath/>
              </w:rPr>
            </w:pPr>
            <m:oMathPara>
              <m:oMath>
                <m:r>
                  <w:rPr>
                    <w:rFonts w:ascii="Cambria Math" w:hAnsi="Cambria Math"/>
                  </w:rPr>
                  <m:t>18</m:t>
                </m:r>
              </m:oMath>
            </m:oMathPara>
          </w:p>
        </w:tc>
        <w:tc>
          <w:tcPr>
            <w:tcW w:w="0" w:type="auto"/>
          </w:tcPr>
          <w:p w14:paraId="2FC32691" w14:textId="53F4404B" w:rsidR="00377874" w:rsidRPr="009B221A" w:rsidRDefault="009B221A">
            <w:pPr>
              <w:pStyle w:val="Compact"/>
              <w:jc w:val="right"/>
              <w:rPr>
                <w:rFonts w:ascii="Cambria Math" w:hAnsi="Cambria Math"/>
                <w:oMath/>
              </w:rPr>
            </w:pPr>
            <m:oMathPara>
              <m:oMath>
                <m:r>
                  <w:rPr>
                    <w:rFonts w:ascii="Cambria Math" w:hAnsi="Cambria Math"/>
                  </w:rPr>
                  <m:t>29.5</m:t>
                </m:r>
              </m:oMath>
            </m:oMathPara>
          </w:p>
        </w:tc>
      </w:tr>
      <w:tr w:rsidR="00377874" w14:paraId="2A1E07E3" w14:textId="77777777">
        <w:tc>
          <w:tcPr>
            <w:tcW w:w="0" w:type="auto"/>
          </w:tcPr>
          <w:p w14:paraId="055F7A18" w14:textId="77777777" w:rsidR="00377874" w:rsidRDefault="00377874">
            <w:pPr>
              <w:pStyle w:val="Compact"/>
            </w:pPr>
          </w:p>
        </w:tc>
        <w:tc>
          <w:tcPr>
            <w:tcW w:w="0" w:type="auto"/>
          </w:tcPr>
          <w:p w14:paraId="3ADBABFB" w14:textId="77777777" w:rsidR="00377874" w:rsidRDefault="00000000">
            <w:pPr>
              <w:pStyle w:val="Compact"/>
            </w:pPr>
            <w:r>
              <w:t>Not yet/NA</w:t>
            </w:r>
          </w:p>
        </w:tc>
        <w:tc>
          <w:tcPr>
            <w:tcW w:w="0" w:type="auto"/>
          </w:tcPr>
          <w:p w14:paraId="18619E0B" w14:textId="03E79CAD" w:rsidR="00377874" w:rsidRPr="009B221A" w:rsidRDefault="009B221A">
            <w:pPr>
              <w:pStyle w:val="Compact"/>
              <w:jc w:val="right"/>
              <w:rPr>
                <w:rFonts w:ascii="Cambria Math" w:hAnsi="Cambria Math"/>
                <w:oMath/>
              </w:rPr>
            </w:pPr>
            <m:oMathPara>
              <m:oMath>
                <m:r>
                  <w:rPr>
                    <w:rFonts w:ascii="Cambria Math" w:hAnsi="Cambria Math"/>
                  </w:rPr>
                  <m:t>7</m:t>
                </m:r>
              </m:oMath>
            </m:oMathPara>
          </w:p>
        </w:tc>
        <w:tc>
          <w:tcPr>
            <w:tcW w:w="0" w:type="auto"/>
          </w:tcPr>
          <w:p w14:paraId="73F8C803" w14:textId="28BB68BF" w:rsidR="00377874" w:rsidRPr="009B221A" w:rsidRDefault="009B221A">
            <w:pPr>
              <w:pStyle w:val="Compact"/>
              <w:jc w:val="right"/>
              <w:rPr>
                <w:rFonts w:ascii="Cambria Math" w:hAnsi="Cambria Math"/>
                <w:oMath/>
              </w:rPr>
            </w:pPr>
            <m:oMathPara>
              <m:oMath>
                <m:r>
                  <w:rPr>
                    <w:rFonts w:ascii="Cambria Math" w:hAnsi="Cambria Math"/>
                  </w:rPr>
                  <m:t>11.5</m:t>
                </m:r>
              </m:oMath>
            </m:oMathPara>
          </w:p>
        </w:tc>
      </w:tr>
      <w:tr w:rsidR="00377874" w14:paraId="4FCA9CAB" w14:textId="77777777">
        <w:tc>
          <w:tcPr>
            <w:tcW w:w="0" w:type="auto"/>
          </w:tcPr>
          <w:p w14:paraId="5D215F69" w14:textId="77777777" w:rsidR="00377874" w:rsidRDefault="00377874">
            <w:pPr>
              <w:pStyle w:val="Compact"/>
            </w:pPr>
          </w:p>
        </w:tc>
        <w:tc>
          <w:tcPr>
            <w:tcW w:w="0" w:type="auto"/>
          </w:tcPr>
          <w:p w14:paraId="64563814" w14:textId="77777777" w:rsidR="00377874" w:rsidRDefault="00000000">
            <w:pPr>
              <w:pStyle w:val="Compact"/>
            </w:pPr>
            <w:r>
              <w:t>Health/Medicine</w:t>
            </w:r>
          </w:p>
        </w:tc>
        <w:tc>
          <w:tcPr>
            <w:tcW w:w="0" w:type="auto"/>
          </w:tcPr>
          <w:p w14:paraId="5AB2378C" w14:textId="0D09A247" w:rsidR="00377874" w:rsidRPr="009B221A" w:rsidRDefault="009B221A">
            <w:pPr>
              <w:pStyle w:val="Compact"/>
              <w:jc w:val="right"/>
              <w:rPr>
                <w:rFonts w:ascii="Cambria Math" w:hAnsi="Cambria Math"/>
                <w:oMath/>
              </w:rPr>
            </w:pPr>
            <m:oMathPara>
              <m:oMath>
                <m:r>
                  <w:rPr>
                    <w:rFonts w:ascii="Cambria Math" w:hAnsi="Cambria Math"/>
                  </w:rPr>
                  <m:t>6</m:t>
                </m:r>
              </m:oMath>
            </m:oMathPara>
          </w:p>
        </w:tc>
        <w:tc>
          <w:tcPr>
            <w:tcW w:w="0" w:type="auto"/>
          </w:tcPr>
          <w:p w14:paraId="0209DF5D" w14:textId="1EC02B99" w:rsidR="00377874" w:rsidRPr="009B221A" w:rsidRDefault="009B221A">
            <w:pPr>
              <w:pStyle w:val="Compact"/>
              <w:jc w:val="right"/>
              <w:rPr>
                <w:rFonts w:ascii="Cambria Math" w:hAnsi="Cambria Math"/>
                <w:oMath/>
              </w:rPr>
            </w:pPr>
            <m:oMathPara>
              <m:oMath>
                <m:r>
                  <w:rPr>
                    <w:rFonts w:ascii="Cambria Math" w:hAnsi="Cambria Math"/>
                  </w:rPr>
                  <m:t>9.8</m:t>
                </m:r>
              </m:oMath>
            </m:oMathPara>
          </w:p>
        </w:tc>
      </w:tr>
      <w:tr w:rsidR="00377874" w14:paraId="53FDCF42" w14:textId="77777777">
        <w:tc>
          <w:tcPr>
            <w:tcW w:w="0" w:type="auto"/>
          </w:tcPr>
          <w:p w14:paraId="2AE93A92" w14:textId="77777777" w:rsidR="00377874" w:rsidRDefault="00377874">
            <w:pPr>
              <w:pStyle w:val="Compact"/>
            </w:pPr>
          </w:p>
        </w:tc>
        <w:tc>
          <w:tcPr>
            <w:tcW w:w="0" w:type="auto"/>
          </w:tcPr>
          <w:p w14:paraId="5078B37A" w14:textId="77777777" w:rsidR="00377874" w:rsidRDefault="00000000">
            <w:pPr>
              <w:pStyle w:val="Compact"/>
            </w:pPr>
            <w:r>
              <w:t>Computing</w:t>
            </w:r>
          </w:p>
        </w:tc>
        <w:tc>
          <w:tcPr>
            <w:tcW w:w="0" w:type="auto"/>
          </w:tcPr>
          <w:p w14:paraId="418A3140" w14:textId="5B5927AE" w:rsidR="00377874" w:rsidRPr="009B221A" w:rsidRDefault="009B221A">
            <w:pPr>
              <w:pStyle w:val="Compact"/>
              <w:jc w:val="right"/>
              <w:rPr>
                <w:rFonts w:ascii="Cambria Math" w:hAnsi="Cambria Math"/>
                <w:oMath/>
              </w:rPr>
            </w:pPr>
            <m:oMathPara>
              <m:oMath>
                <m:r>
                  <w:rPr>
                    <w:rFonts w:ascii="Cambria Math" w:hAnsi="Cambria Math"/>
                  </w:rPr>
                  <m:t>4</m:t>
                </m:r>
              </m:oMath>
            </m:oMathPara>
          </w:p>
        </w:tc>
        <w:tc>
          <w:tcPr>
            <w:tcW w:w="0" w:type="auto"/>
          </w:tcPr>
          <w:p w14:paraId="6D904D99" w14:textId="640312B1" w:rsidR="00377874" w:rsidRPr="009B221A" w:rsidRDefault="009B221A">
            <w:pPr>
              <w:pStyle w:val="Compact"/>
              <w:jc w:val="right"/>
              <w:rPr>
                <w:rFonts w:ascii="Cambria Math" w:hAnsi="Cambria Math"/>
                <w:oMath/>
              </w:rPr>
            </w:pPr>
            <m:oMathPara>
              <m:oMath>
                <m:r>
                  <w:rPr>
                    <w:rFonts w:ascii="Cambria Math" w:hAnsi="Cambria Math"/>
                  </w:rPr>
                  <m:t>6.6</m:t>
                </m:r>
              </m:oMath>
            </m:oMathPara>
          </w:p>
        </w:tc>
      </w:tr>
      <w:tr w:rsidR="00377874" w14:paraId="33B6FFD6" w14:textId="77777777">
        <w:tc>
          <w:tcPr>
            <w:tcW w:w="0" w:type="auto"/>
          </w:tcPr>
          <w:p w14:paraId="4B04E760" w14:textId="77777777" w:rsidR="00377874" w:rsidRDefault="00377874">
            <w:pPr>
              <w:pStyle w:val="Compact"/>
            </w:pPr>
          </w:p>
        </w:tc>
        <w:tc>
          <w:tcPr>
            <w:tcW w:w="0" w:type="auto"/>
          </w:tcPr>
          <w:p w14:paraId="162D23E5" w14:textId="77777777" w:rsidR="00377874" w:rsidRDefault="00000000">
            <w:pPr>
              <w:pStyle w:val="Compact"/>
            </w:pPr>
            <w:r>
              <w:t>Agri/Food</w:t>
            </w:r>
          </w:p>
        </w:tc>
        <w:tc>
          <w:tcPr>
            <w:tcW w:w="0" w:type="auto"/>
          </w:tcPr>
          <w:p w14:paraId="5CC6CFBF" w14:textId="0EAE5B11" w:rsidR="00377874" w:rsidRPr="009B221A" w:rsidRDefault="009B221A">
            <w:pPr>
              <w:pStyle w:val="Compact"/>
              <w:jc w:val="right"/>
              <w:rPr>
                <w:rFonts w:ascii="Cambria Math" w:hAnsi="Cambria Math"/>
                <w:oMath/>
              </w:rPr>
            </w:pPr>
            <m:oMathPara>
              <m:oMath>
                <m:r>
                  <w:rPr>
                    <w:rFonts w:ascii="Cambria Math" w:hAnsi="Cambria Math"/>
                  </w:rPr>
                  <m:t>3</m:t>
                </m:r>
              </m:oMath>
            </m:oMathPara>
          </w:p>
        </w:tc>
        <w:tc>
          <w:tcPr>
            <w:tcW w:w="0" w:type="auto"/>
          </w:tcPr>
          <w:p w14:paraId="521CBE22" w14:textId="56AB5F06" w:rsidR="00377874" w:rsidRPr="009B221A" w:rsidRDefault="009B221A">
            <w:pPr>
              <w:pStyle w:val="Compact"/>
              <w:jc w:val="right"/>
              <w:rPr>
                <w:rFonts w:ascii="Cambria Math" w:hAnsi="Cambria Math"/>
                <w:oMath/>
              </w:rPr>
            </w:pPr>
            <m:oMathPara>
              <m:oMath>
                <m:r>
                  <w:rPr>
                    <w:rFonts w:ascii="Cambria Math" w:hAnsi="Cambria Math"/>
                  </w:rPr>
                  <m:t>4.9</m:t>
                </m:r>
              </m:oMath>
            </m:oMathPara>
          </w:p>
        </w:tc>
      </w:tr>
      <w:tr w:rsidR="00377874" w14:paraId="17105EE7" w14:textId="77777777">
        <w:tc>
          <w:tcPr>
            <w:tcW w:w="0" w:type="auto"/>
          </w:tcPr>
          <w:p w14:paraId="0E817449" w14:textId="77777777" w:rsidR="00377874" w:rsidRDefault="00377874">
            <w:pPr>
              <w:pStyle w:val="Compact"/>
            </w:pPr>
          </w:p>
        </w:tc>
        <w:tc>
          <w:tcPr>
            <w:tcW w:w="0" w:type="auto"/>
          </w:tcPr>
          <w:p w14:paraId="1756C932" w14:textId="77777777" w:rsidR="00377874" w:rsidRDefault="00000000">
            <w:pPr>
              <w:pStyle w:val="Compact"/>
            </w:pPr>
            <w:r>
              <w:t>Architecture/Design</w:t>
            </w:r>
          </w:p>
        </w:tc>
        <w:tc>
          <w:tcPr>
            <w:tcW w:w="0" w:type="auto"/>
          </w:tcPr>
          <w:p w14:paraId="7771513C" w14:textId="6B59D2B4" w:rsidR="00377874" w:rsidRPr="009B221A" w:rsidRDefault="009B221A">
            <w:pPr>
              <w:pStyle w:val="Compact"/>
              <w:jc w:val="right"/>
              <w:rPr>
                <w:rFonts w:ascii="Cambria Math" w:hAnsi="Cambria Math"/>
                <w:oMath/>
              </w:rPr>
            </w:pPr>
            <m:oMathPara>
              <m:oMath>
                <m:r>
                  <w:rPr>
                    <w:rFonts w:ascii="Cambria Math" w:hAnsi="Cambria Math"/>
                  </w:rPr>
                  <m:t>1</m:t>
                </m:r>
              </m:oMath>
            </m:oMathPara>
          </w:p>
        </w:tc>
        <w:tc>
          <w:tcPr>
            <w:tcW w:w="0" w:type="auto"/>
          </w:tcPr>
          <w:p w14:paraId="51467557" w14:textId="2C29B2D5" w:rsidR="00377874" w:rsidRPr="009B221A" w:rsidRDefault="009B221A">
            <w:pPr>
              <w:pStyle w:val="Compact"/>
              <w:jc w:val="right"/>
              <w:rPr>
                <w:rFonts w:ascii="Cambria Math" w:hAnsi="Cambria Math"/>
                <w:oMath/>
              </w:rPr>
            </w:pPr>
            <m:oMathPara>
              <m:oMath>
                <m:r>
                  <w:rPr>
                    <w:rFonts w:ascii="Cambria Math" w:hAnsi="Cambria Math"/>
                  </w:rPr>
                  <m:t>1.6</m:t>
                </m:r>
              </m:oMath>
            </m:oMathPara>
          </w:p>
        </w:tc>
      </w:tr>
      <w:tr w:rsidR="00377874" w14:paraId="0B395378" w14:textId="77777777">
        <w:tc>
          <w:tcPr>
            <w:tcW w:w="0" w:type="auto"/>
          </w:tcPr>
          <w:p w14:paraId="6A1584A7" w14:textId="77777777" w:rsidR="00377874" w:rsidRDefault="00000000">
            <w:pPr>
              <w:pStyle w:val="Compact"/>
            </w:pPr>
            <w:r>
              <w:t>Current sector (grouped)</w:t>
            </w:r>
          </w:p>
        </w:tc>
        <w:tc>
          <w:tcPr>
            <w:tcW w:w="0" w:type="auto"/>
          </w:tcPr>
          <w:p w14:paraId="568EF879" w14:textId="77777777" w:rsidR="00377874" w:rsidRDefault="00000000">
            <w:pPr>
              <w:pStyle w:val="Compact"/>
            </w:pPr>
            <w:r>
              <w:t>Healthcare</w:t>
            </w:r>
          </w:p>
        </w:tc>
        <w:tc>
          <w:tcPr>
            <w:tcW w:w="0" w:type="auto"/>
          </w:tcPr>
          <w:p w14:paraId="45DF12D2" w14:textId="5E6DBAAD" w:rsidR="00377874" w:rsidRPr="009B221A" w:rsidRDefault="009B221A">
            <w:pPr>
              <w:pStyle w:val="Compact"/>
              <w:jc w:val="right"/>
              <w:rPr>
                <w:rFonts w:ascii="Cambria Math" w:hAnsi="Cambria Math"/>
                <w:oMath/>
              </w:rPr>
            </w:pPr>
            <m:oMathPara>
              <m:oMath>
                <m:r>
                  <w:rPr>
                    <w:rFonts w:ascii="Cambria Math" w:hAnsi="Cambria Math"/>
                  </w:rPr>
                  <m:t>12</m:t>
                </m:r>
              </m:oMath>
            </m:oMathPara>
          </w:p>
        </w:tc>
        <w:tc>
          <w:tcPr>
            <w:tcW w:w="0" w:type="auto"/>
          </w:tcPr>
          <w:p w14:paraId="19E1EC77" w14:textId="2778D9D5" w:rsidR="00377874" w:rsidRPr="009B221A" w:rsidRDefault="009B221A">
            <w:pPr>
              <w:pStyle w:val="Compact"/>
              <w:jc w:val="right"/>
              <w:rPr>
                <w:rFonts w:ascii="Cambria Math" w:hAnsi="Cambria Math"/>
                <w:oMath/>
              </w:rPr>
            </w:pPr>
            <m:oMathPara>
              <m:oMath>
                <m:r>
                  <w:rPr>
                    <w:rFonts w:ascii="Cambria Math" w:hAnsi="Cambria Math"/>
                  </w:rPr>
                  <m:t>19.7</m:t>
                </m:r>
              </m:oMath>
            </m:oMathPara>
          </w:p>
        </w:tc>
      </w:tr>
      <w:tr w:rsidR="00377874" w14:paraId="2E8CF924" w14:textId="77777777">
        <w:tc>
          <w:tcPr>
            <w:tcW w:w="0" w:type="auto"/>
          </w:tcPr>
          <w:p w14:paraId="3143EBF3" w14:textId="77777777" w:rsidR="00377874" w:rsidRDefault="00377874">
            <w:pPr>
              <w:pStyle w:val="Compact"/>
            </w:pPr>
          </w:p>
        </w:tc>
        <w:tc>
          <w:tcPr>
            <w:tcW w:w="0" w:type="auto"/>
          </w:tcPr>
          <w:p w14:paraId="15BF9C73" w14:textId="77777777" w:rsidR="00377874" w:rsidRDefault="00000000">
            <w:pPr>
              <w:pStyle w:val="Compact"/>
            </w:pPr>
            <w:r>
              <w:t>Engineering/Industry</w:t>
            </w:r>
          </w:p>
        </w:tc>
        <w:tc>
          <w:tcPr>
            <w:tcW w:w="0" w:type="auto"/>
          </w:tcPr>
          <w:p w14:paraId="72E1B314" w14:textId="3C01AFC7" w:rsidR="00377874" w:rsidRPr="009B221A" w:rsidRDefault="009B221A">
            <w:pPr>
              <w:pStyle w:val="Compact"/>
              <w:jc w:val="right"/>
              <w:rPr>
                <w:rFonts w:ascii="Cambria Math" w:hAnsi="Cambria Math"/>
                <w:oMath/>
              </w:rPr>
            </w:pPr>
            <m:oMathPara>
              <m:oMath>
                <m:r>
                  <w:rPr>
                    <w:rFonts w:ascii="Cambria Math" w:hAnsi="Cambria Math"/>
                  </w:rPr>
                  <m:t>12</m:t>
                </m:r>
              </m:oMath>
            </m:oMathPara>
          </w:p>
        </w:tc>
        <w:tc>
          <w:tcPr>
            <w:tcW w:w="0" w:type="auto"/>
          </w:tcPr>
          <w:p w14:paraId="579FF529" w14:textId="385E3287" w:rsidR="00377874" w:rsidRPr="009B221A" w:rsidRDefault="009B221A">
            <w:pPr>
              <w:pStyle w:val="Compact"/>
              <w:jc w:val="right"/>
              <w:rPr>
                <w:rFonts w:ascii="Cambria Math" w:hAnsi="Cambria Math"/>
                <w:oMath/>
              </w:rPr>
            </w:pPr>
            <m:oMathPara>
              <m:oMath>
                <m:r>
                  <w:rPr>
                    <w:rFonts w:ascii="Cambria Math" w:hAnsi="Cambria Math"/>
                  </w:rPr>
                  <m:t>19.7</m:t>
                </m:r>
              </m:oMath>
            </m:oMathPara>
          </w:p>
        </w:tc>
      </w:tr>
      <w:tr w:rsidR="00377874" w14:paraId="1A9A302E" w14:textId="77777777">
        <w:tc>
          <w:tcPr>
            <w:tcW w:w="0" w:type="auto"/>
          </w:tcPr>
          <w:p w14:paraId="713EAC59" w14:textId="77777777" w:rsidR="00377874" w:rsidRDefault="00377874">
            <w:pPr>
              <w:pStyle w:val="Compact"/>
            </w:pPr>
          </w:p>
        </w:tc>
        <w:tc>
          <w:tcPr>
            <w:tcW w:w="0" w:type="auto"/>
          </w:tcPr>
          <w:p w14:paraId="0C66BD1C" w14:textId="77777777" w:rsidR="00377874" w:rsidRDefault="00000000">
            <w:pPr>
              <w:pStyle w:val="Compact"/>
            </w:pPr>
            <w:proofErr w:type="gramStart"/>
            <w:r>
              <w:t>Academe</w:t>
            </w:r>
            <w:proofErr w:type="gramEnd"/>
            <w:r>
              <w:t>/Education</w:t>
            </w:r>
          </w:p>
        </w:tc>
        <w:tc>
          <w:tcPr>
            <w:tcW w:w="0" w:type="auto"/>
          </w:tcPr>
          <w:p w14:paraId="5C718881" w14:textId="7AD92C75" w:rsidR="00377874" w:rsidRPr="009B221A" w:rsidRDefault="009B221A">
            <w:pPr>
              <w:pStyle w:val="Compact"/>
              <w:jc w:val="right"/>
              <w:rPr>
                <w:rFonts w:ascii="Cambria Math" w:hAnsi="Cambria Math"/>
                <w:oMath/>
              </w:rPr>
            </w:pPr>
            <m:oMathPara>
              <m:oMath>
                <m:r>
                  <w:rPr>
                    <w:rFonts w:ascii="Cambria Math" w:hAnsi="Cambria Math"/>
                  </w:rPr>
                  <m:t>9</m:t>
                </m:r>
              </m:oMath>
            </m:oMathPara>
          </w:p>
        </w:tc>
        <w:tc>
          <w:tcPr>
            <w:tcW w:w="0" w:type="auto"/>
          </w:tcPr>
          <w:p w14:paraId="0A8E9296" w14:textId="1CE494B1" w:rsidR="00377874" w:rsidRPr="009B221A" w:rsidRDefault="009B221A">
            <w:pPr>
              <w:pStyle w:val="Compact"/>
              <w:jc w:val="right"/>
              <w:rPr>
                <w:rFonts w:ascii="Cambria Math" w:hAnsi="Cambria Math"/>
                <w:oMath/>
              </w:rPr>
            </w:pPr>
            <m:oMathPara>
              <m:oMath>
                <m:r>
                  <w:rPr>
                    <w:rFonts w:ascii="Cambria Math" w:hAnsi="Cambria Math"/>
                  </w:rPr>
                  <m:t>14.8</m:t>
                </m:r>
              </m:oMath>
            </m:oMathPara>
          </w:p>
        </w:tc>
      </w:tr>
      <w:tr w:rsidR="00377874" w14:paraId="5840B754" w14:textId="77777777">
        <w:tc>
          <w:tcPr>
            <w:tcW w:w="0" w:type="auto"/>
          </w:tcPr>
          <w:p w14:paraId="28370438" w14:textId="77777777" w:rsidR="00377874" w:rsidRDefault="00377874">
            <w:pPr>
              <w:pStyle w:val="Compact"/>
            </w:pPr>
          </w:p>
        </w:tc>
        <w:tc>
          <w:tcPr>
            <w:tcW w:w="0" w:type="auto"/>
          </w:tcPr>
          <w:p w14:paraId="61A991F6" w14:textId="77777777" w:rsidR="00377874" w:rsidRDefault="00000000">
            <w:pPr>
              <w:pStyle w:val="Compact"/>
            </w:pPr>
            <w:r>
              <w:t>STEM (other)</w:t>
            </w:r>
          </w:p>
        </w:tc>
        <w:tc>
          <w:tcPr>
            <w:tcW w:w="0" w:type="auto"/>
          </w:tcPr>
          <w:p w14:paraId="41517E5B" w14:textId="28CD3F42" w:rsidR="00377874" w:rsidRPr="009B221A" w:rsidRDefault="009B221A">
            <w:pPr>
              <w:pStyle w:val="Compact"/>
              <w:jc w:val="right"/>
              <w:rPr>
                <w:rFonts w:ascii="Cambria Math" w:hAnsi="Cambria Math"/>
                <w:oMath/>
              </w:rPr>
            </w:pPr>
            <m:oMathPara>
              <m:oMath>
                <m:r>
                  <w:rPr>
                    <w:rFonts w:ascii="Cambria Math" w:hAnsi="Cambria Math"/>
                  </w:rPr>
                  <m:t>9</m:t>
                </m:r>
              </m:oMath>
            </m:oMathPara>
          </w:p>
        </w:tc>
        <w:tc>
          <w:tcPr>
            <w:tcW w:w="0" w:type="auto"/>
          </w:tcPr>
          <w:p w14:paraId="6E6949CA" w14:textId="61DBDDFA" w:rsidR="00377874" w:rsidRPr="009B221A" w:rsidRDefault="009B221A">
            <w:pPr>
              <w:pStyle w:val="Compact"/>
              <w:jc w:val="right"/>
              <w:rPr>
                <w:rFonts w:ascii="Cambria Math" w:hAnsi="Cambria Math"/>
                <w:oMath/>
              </w:rPr>
            </w:pPr>
            <m:oMathPara>
              <m:oMath>
                <m:r>
                  <w:rPr>
                    <w:rFonts w:ascii="Cambria Math" w:hAnsi="Cambria Math"/>
                  </w:rPr>
                  <m:t>14.8</m:t>
                </m:r>
              </m:oMath>
            </m:oMathPara>
          </w:p>
        </w:tc>
      </w:tr>
      <w:tr w:rsidR="00377874" w14:paraId="4CAA2DA7" w14:textId="77777777">
        <w:tc>
          <w:tcPr>
            <w:tcW w:w="0" w:type="auto"/>
          </w:tcPr>
          <w:p w14:paraId="45C5EF8D" w14:textId="77777777" w:rsidR="00377874" w:rsidRDefault="00377874">
            <w:pPr>
              <w:pStyle w:val="Compact"/>
            </w:pPr>
          </w:p>
        </w:tc>
        <w:tc>
          <w:tcPr>
            <w:tcW w:w="0" w:type="auto"/>
          </w:tcPr>
          <w:p w14:paraId="5583CC7D" w14:textId="77777777" w:rsidR="00377874" w:rsidRDefault="00000000">
            <w:pPr>
              <w:pStyle w:val="Compact"/>
            </w:pPr>
            <w:r>
              <w:t>IT/Software</w:t>
            </w:r>
          </w:p>
        </w:tc>
        <w:tc>
          <w:tcPr>
            <w:tcW w:w="0" w:type="auto"/>
          </w:tcPr>
          <w:p w14:paraId="3C48B033" w14:textId="0446BE52" w:rsidR="00377874" w:rsidRPr="009B221A" w:rsidRDefault="009B221A">
            <w:pPr>
              <w:pStyle w:val="Compact"/>
              <w:jc w:val="right"/>
              <w:rPr>
                <w:rFonts w:ascii="Cambria Math" w:hAnsi="Cambria Math"/>
                <w:oMath/>
              </w:rPr>
            </w:pPr>
            <m:oMathPara>
              <m:oMath>
                <m:r>
                  <w:rPr>
                    <w:rFonts w:ascii="Cambria Math" w:hAnsi="Cambria Math"/>
                  </w:rPr>
                  <m:t>6</m:t>
                </m:r>
              </m:oMath>
            </m:oMathPara>
          </w:p>
        </w:tc>
        <w:tc>
          <w:tcPr>
            <w:tcW w:w="0" w:type="auto"/>
          </w:tcPr>
          <w:p w14:paraId="4B9C77BB" w14:textId="029B0195" w:rsidR="00377874" w:rsidRPr="009B221A" w:rsidRDefault="009B221A">
            <w:pPr>
              <w:pStyle w:val="Compact"/>
              <w:jc w:val="right"/>
              <w:rPr>
                <w:rFonts w:ascii="Cambria Math" w:hAnsi="Cambria Math"/>
                <w:oMath/>
              </w:rPr>
            </w:pPr>
            <m:oMathPara>
              <m:oMath>
                <m:r>
                  <w:rPr>
                    <w:rFonts w:ascii="Cambria Math" w:hAnsi="Cambria Math"/>
                  </w:rPr>
                  <m:t>9.8</m:t>
                </m:r>
              </m:oMath>
            </m:oMathPara>
          </w:p>
        </w:tc>
      </w:tr>
      <w:tr w:rsidR="00377874" w14:paraId="7FBE19BB" w14:textId="77777777">
        <w:tc>
          <w:tcPr>
            <w:tcW w:w="0" w:type="auto"/>
          </w:tcPr>
          <w:p w14:paraId="37A64F03" w14:textId="77777777" w:rsidR="00377874" w:rsidRDefault="00377874">
            <w:pPr>
              <w:pStyle w:val="Compact"/>
            </w:pPr>
          </w:p>
        </w:tc>
        <w:tc>
          <w:tcPr>
            <w:tcW w:w="0" w:type="auto"/>
          </w:tcPr>
          <w:p w14:paraId="0231FCC9" w14:textId="77777777" w:rsidR="00377874" w:rsidRDefault="00000000">
            <w:pPr>
              <w:pStyle w:val="Compact"/>
            </w:pPr>
            <w:r>
              <w:t>Public service</w:t>
            </w:r>
          </w:p>
        </w:tc>
        <w:tc>
          <w:tcPr>
            <w:tcW w:w="0" w:type="auto"/>
          </w:tcPr>
          <w:p w14:paraId="52BB6490" w14:textId="65A0113D" w:rsidR="00377874" w:rsidRPr="009B221A" w:rsidRDefault="009B221A">
            <w:pPr>
              <w:pStyle w:val="Compact"/>
              <w:jc w:val="right"/>
              <w:rPr>
                <w:rFonts w:ascii="Cambria Math" w:hAnsi="Cambria Math"/>
                <w:oMath/>
              </w:rPr>
            </w:pPr>
            <m:oMathPara>
              <m:oMath>
                <m:r>
                  <w:rPr>
                    <w:rFonts w:ascii="Cambria Math" w:hAnsi="Cambria Math"/>
                  </w:rPr>
                  <m:t>5</m:t>
                </m:r>
              </m:oMath>
            </m:oMathPara>
          </w:p>
        </w:tc>
        <w:tc>
          <w:tcPr>
            <w:tcW w:w="0" w:type="auto"/>
          </w:tcPr>
          <w:p w14:paraId="7A0DD555" w14:textId="5DEF7A0A" w:rsidR="00377874" w:rsidRPr="009B221A" w:rsidRDefault="009B221A">
            <w:pPr>
              <w:pStyle w:val="Compact"/>
              <w:jc w:val="right"/>
              <w:rPr>
                <w:rFonts w:ascii="Cambria Math" w:hAnsi="Cambria Math"/>
                <w:oMath/>
              </w:rPr>
            </w:pPr>
            <m:oMathPara>
              <m:oMath>
                <m:r>
                  <w:rPr>
                    <w:rFonts w:ascii="Cambria Math" w:hAnsi="Cambria Math"/>
                  </w:rPr>
                  <m:t>8.2</m:t>
                </m:r>
              </m:oMath>
            </m:oMathPara>
          </w:p>
        </w:tc>
      </w:tr>
      <w:tr w:rsidR="00377874" w14:paraId="287D3972" w14:textId="77777777">
        <w:tc>
          <w:tcPr>
            <w:tcW w:w="0" w:type="auto"/>
          </w:tcPr>
          <w:p w14:paraId="3AEE24E1" w14:textId="77777777" w:rsidR="00377874" w:rsidRDefault="00377874">
            <w:pPr>
              <w:pStyle w:val="Compact"/>
            </w:pPr>
          </w:p>
        </w:tc>
        <w:tc>
          <w:tcPr>
            <w:tcW w:w="0" w:type="auto"/>
          </w:tcPr>
          <w:p w14:paraId="5D098EA6" w14:textId="77777777" w:rsidR="00377874" w:rsidRDefault="00000000">
            <w:pPr>
              <w:pStyle w:val="Compact"/>
            </w:pPr>
            <w:r>
              <w:t>Business</w:t>
            </w:r>
          </w:p>
        </w:tc>
        <w:tc>
          <w:tcPr>
            <w:tcW w:w="0" w:type="auto"/>
          </w:tcPr>
          <w:p w14:paraId="52B25803" w14:textId="25BAE616" w:rsidR="00377874" w:rsidRPr="009B221A" w:rsidRDefault="009B221A">
            <w:pPr>
              <w:pStyle w:val="Compact"/>
              <w:jc w:val="right"/>
              <w:rPr>
                <w:rFonts w:ascii="Cambria Math" w:hAnsi="Cambria Math"/>
                <w:oMath/>
              </w:rPr>
            </w:pPr>
            <m:oMathPara>
              <m:oMath>
                <m:r>
                  <w:rPr>
                    <w:rFonts w:ascii="Cambria Math" w:hAnsi="Cambria Math"/>
                  </w:rPr>
                  <m:t>3</m:t>
                </m:r>
              </m:oMath>
            </m:oMathPara>
          </w:p>
        </w:tc>
        <w:tc>
          <w:tcPr>
            <w:tcW w:w="0" w:type="auto"/>
          </w:tcPr>
          <w:p w14:paraId="1EE73F89" w14:textId="089980A3" w:rsidR="00377874" w:rsidRPr="009B221A" w:rsidRDefault="009B221A">
            <w:pPr>
              <w:pStyle w:val="Compact"/>
              <w:jc w:val="right"/>
              <w:rPr>
                <w:rFonts w:ascii="Cambria Math" w:hAnsi="Cambria Math"/>
                <w:oMath/>
              </w:rPr>
            </w:pPr>
            <m:oMathPara>
              <m:oMath>
                <m:r>
                  <w:rPr>
                    <w:rFonts w:ascii="Cambria Math" w:hAnsi="Cambria Math"/>
                  </w:rPr>
                  <m:t>4.9</m:t>
                </m:r>
              </m:oMath>
            </m:oMathPara>
          </w:p>
        </w:tc>
      </w:tr>
      <w:tr w:rsidR="00377874" w14:paraId="723A1884" w14:textId="77777777">
        <w:tc>
          <w:tcPr>
            <w:tcW w:w="0" w:type="auto"/>
          </w:tcPr>
          <w:p w14:paraId="6711999C" w14:textId="77777777" w:rsidR="00377874" w:rsidRDefault="00377874">
            <w:pPr>
              <w:pStyle w:val="Compact"/>
            </w:pPr>
          </w:p>
        </w:tc>
        <w:tc>
          <w:tcPr>
            <w:tcW w:w="0" w:type="auto"/>
          </w:tcPr>
          <w:p w14:paraId="293EF5A7" w14:textId="77777777" w:rsidR="00377874" w:rsidRDefault="00000000">
            <w:pPr>
              <w:pStyle w:val="Compact"/>
            </w:pPr>
            <w:r>
              <w:t>Not specified</w:t>
            </w:r>
          </w:p>
        </w:tc>
        <w:tc>
          <w:tcPr>
            <w:tcW w:w="0" w:type="auto"/>
          </w:tcPr>
          <w:p w14:paraId="6F62C46F" w14:textId="0CD9E9F4" w:rsidR="00377874" w:rsidRPr="009B221A" w:rsidRDefault="009B221A">
            <w:pPr>
              <w:pStyle w:val="Compact"/>
              <w:jc w:val="right"/>
              <w:rPr>
                <w:rFonts w:ascii="Cambria Math" w:hAnsi="Cambria Math"/>
                <w:oMath/>
              </w:rPr>
            </w:pPr>
            <m:oMathPara>
              <m:oMath>
                <m:r>
                  <w:rPr>
                    <w:rFonts w:ascii="Cambria Math" w:hAnsi="Cambria Math"/>
                  </w:rPr>
                  <m:t>2</m:t>
                </m:r>
              </m:oMath>
            </m:oMathPara>
          </w:p>
        </w:tc>
        <w:tc>
          <w:tcPr>
            <w:tcW w:w="0" w:type="auto"/>
          </w:tcPr>
          <w:p w14:paraId="3B16BC14" w14:textId="1AB61AE0" w:rsidR="00377874" w:rsidRPr="009B221A" w:rsidRDefault="009B221A">
            <w:pPr>
              <w:pStyle w:val="Compact"/>
              <w:jc w:val="right"/>
              <w:rPr>
                <w:rFonts w:ascii="Cambria Math" w:hAnsi="Cambria Math"/>
                <w:oMath/>
              </w:rPr>
            </w:pPr>
            <m:oMathPara>
              <m:oMath>
                <m:r>
                  <w:rPr>
                    <w:rFonts w:ascii="Cambria Math" w:hAnsi="Cambria Math"/>
                  </w:rPr>
                  <m:t>3.3</m:t>
                </m:r>
              </m:oMath>
            </m:oMathPara>
          </w:p>
        </w:tc>
      </w:tr>
      <w:tr w:rsidR="00377874" w14:paraId="6746DB1F" w14:textId="77777777">
        <w:tc>
          <w:tcPr>
            <w:tcW w:w="0" w:type="auto"/>
          </w:tcPr>
          <w:p w14:paraId="39CB6435" w14:textId="77777777" w:rsidR="00377874" w:rsidRDefault="00377874">
            <w:pPr>
              <w:pStyle w:val="Compact"/>
            </w:pPr>
          </w:p>
        </w:tc>
        <w:tc>
          <w:tcPr>
            <w:tcW w:w="0" w:type="auto"/>
          </w:tcPr>
          <w:p w14:paraId="4AD02097" w14:textId="77777777" w:rsidR="00377874" w:rsidRDefault="00000000">
            <w:pPr>
              <w:pStyle w:val="Compact"/>
            </w:pPr>
            <w:r>
              <w:t>Agri/Food</w:t>
            </w:r>
          </w:p>
        </w:tc>
        <w:tc>
          <w:tcPr>
            <w:tcW w:w="0" w:type="auto"/>
          </w:tcPr>
          <w:p w14:paraId="2D7F2ACE" w14:textId="2B8260E0" w:rsidR="00377874" w:rsidRPr="009B221A" w:rsidRDefault="009B221A">
            <w:pPr>
              <w:pStyle w:val="Compact"/>
              <w:jc w:val="right"/>
              <w:rPr>
                <w:rFonts w:ascii="Cambria Math" w:hAnsi="Cambria Math"/>
                <w:oMath/>
              </w:rPr>
            </w:pPr>
            <m:oMathPara>
              <m:oMath>
                <m:r>
                  <w:rPr>
                    <w:rFonts w:ascii="Cambria Math" w:hAnsi="Cambria Math"/>
                  </w:rPr>
                  <m:t>2</m:t>
                </m:r>
              </m:oMath>
            </m:oMathPara>
          </w:p>
        </w:tc>
        <w:tc>
          <w:tcPr>
            <w:tcW w:w="0" w:type="auto"/>
          </w:tcPr>
          <w:p w14:paraId="0299F489" w14:textId="6599169D" w:rsidR="00377874" w:rsidRPr="009B221A" w:rsidRDefault="009B221A">
            <w:pPr>
              <w:pStyle w:val="Compact"/>
              <w:jc w:val="right"/>
              <w:rPr>
                <w:rFonts w:ascii="Cambria Math" w:hAnsi="Cambria Math"/>
                <w:oMath/>
              </w:rPr>
            </w:pPr>
            <m:oMathPara>
              <m:oMath>
                <m:r>
                  <w:rPr>
                    <w:rFonts w:ascii="Cambria Math" w:hAnsi="Cambria Math"/>
                  </w:rPr>
                  <m:t>3.3</m:t>
                </m:r>
              </m:oMath>
            </m:oMathPara>
          </w:p>
        </w:tc>
      </w:tr>
      <w:tr w:rsidR="00377874" w14:paraId="2848B4CD" w14:textId="77777777">
        <w:tc>
          <w:tcPr>
            <w:tcW w:w="0" w:type="auto"/>
          </w:tcPr>
          <w:p w14:paraId="24512CAD" w14:textId="77777777" w:rsidR="00377874" w:rsidRDefault="00377874">
            <w:pPr>
              <w:pStyle w:val="Compact"/>
            </w:pPr>
          </w:p>
        </w:tc>
        <w:tc>
          <w:tcPr>
            <w:tcW w:w="0" w:type="auto"/>
          </w:tcPr>
          <w:p w14:paraId="592BAF5B" w14:textId="77777777" w:rsidR="00377874" w:rsidRDefault="00000000">
            <w:pPr>
              <w:pStyle w:val="Compact"/>
            </w:pPr>
            <w:r>
              <w:t>Regulatory/Compliance</w:t>
            </w:r>
          </w:p>
        </w:tc>
        <w:tc>
          <w:tcPr>
            <w:tcW w:w="0" w:type="auto"/>
          </w:tcPr>
          <w:p w14:paraId="7BF30CF9" w14:textId="1320DD06" w:rsidR="00377874" w:rsidRPr="009B221A" w:rsidRDefault="009B221A">
            <w:pPr>
              <w:pStyle w:val="Compact"/>
              <w:jc w:val="right"/>
              <w:rPr>
                <w:rFonts w:ascii="Cambria Math" w:hAnsi="Cambria Math"/>
                <w:oMath/>
              </w:rPr>
            </w:pPr>
            <m:oMathPara>
              <m:oMath>
                <m:r>
                  <w:rPr>
                    <w:rFonts w:ascii="Cambria Math" w:hAnsi="Cambria Math"/>
                  </w:rPr>
                  <m:t>1</m:t>
                </m:r>
              </m:oMath>
            </m:oMathPara>
          </w:p>
        </w:tc>
        <w:tc>
          <w:tcPr>
            <w:tcW w:w="0" w:type="auto"/>
          </w:tcPr>
          <w:p w14:paraId="3645A145" w14:textId="1EC038D6" w:rsidR="00377874" w:rsidRPr="009B221A" w:rsidRDefault="009B221A">
            <w:pPr>
              <w:pStyle w:val="Compact"/>
              <w:jc w:val="right"/>
              <w:rPr>
                <w:rFonts w:ascii="Cambria Math" w:hAnsi="Cambria Math"/>
                <w:oMath/>
              </w:rPr>
            </w:pPr>
            <m:oMathPara>
              <m:oMath>
                <m:r>
                  <w:rPr>
                    <w:rFonts w:ascii="Cambria Math" w:hAnsi="Cambria Math"/>
                  </w:rPr>
                  <m:t>1.6</m:t>
                </m:r>
              </m:oMath>
            </m:oMathPara>
          </w:p>
        </w:tc>
      </w:tr>
    </w:tbl>
    <w:p w14:paraId="084CE30F" w14:textId="766A788C" w:rsidR="00377874" w:rsidRDefault="00000000">
      <w:pPr>
        <w:pStyle w:val="BodyText"/>
      </w:pPr>
      <w:r>
        <w:rPr>
          <w:b/>
          <w:bCs/>
        </w:rPr>
        <w:t>4.2 Perceived valuable competencies from PSHS‑CVisC</w:t>
      </w:r>
      <w:r>
        <w:br/>
        <w:t>Among alumni who provided substantive responses to the competency prompt (</w:t>
      </w:r>
      <m:oMath>
        <m:r>
          <w:rPr>
            <w:rFonts w:ascii="Cambria Math" w:hAnsi="Cambria Math"/>
          </w:rPr>
          <m:t>n = 47</m:t>
        </m:r>
      </m:oMath>
      <w:r>
        <w:t>), the most frequently cited competencies included critical thinking/problem solving, work ethic/resilience/time management, STEM fundamentals/content knowledge, and research/inquiry (Table 2).</w:t>
      </w:r>
    </w:p>
    <w:p w14:paraId="08AF6DFA" w14:textId="1BA637E9" w:rsidR="00377874" w:rsidRDefault="00000000">
      <w:pPr>
        <w:pStyle w:val="BodyText"/>
      </w:pPr>
      <w:r>
        <w:rPr>
          <w:b/>
          <w:bCs/>
        </w:rPr>
        <w:t xml:space="preserve">Table 2. Perceived valuable competencies (substantive responders </w:t>
      </w:r>
      <m:oMath>
        <m:r>
          <m:rPr>
            <m:sty m:val="bi"/>
          </m:rPr>
          <w:rPr>
            <w:rFonts w:ascii="Cambria Math" w:hAnsi="Cambria Math"/>
          </w:rPr>
          <m:t>n = 47</m:t>
        </m:r>
      </m:oMath>
      <w:r>
        <w:rPr>
          <w:b/>
          <w:bCs/>
        </w:rPr>
        <w:t>)</w:t>
      </w:r>
    </w:p>
    <w:tbl>
      <w:tblPr>
        <w:tblStyle w:val="Table"/>
        <w:tblW w:w="0" w:type="auto"/>
        <w:tblLook w:val="0020" w:firstRow="1" w:lastRow="0" w:firstColumn="0" w:lastColumn="0" w:noHBand="0" w:noVBand="0"/>
      </w:tblPr>
      <w:tblGrid>
        <w:gridCol w:w="4394"/>
        <w:gridCol w:w="482"/>
        <w:gridCol w:w="3367"/>
      </w:tblGrid>
      <w:tr w:rsidR="00377874" w14:paraId="1D35921D" w14:textId="77777777" w:rsidTr="00377874">
        <w:trPr>
          <w:cnfStyle w:val="100000000000" w:firstRow="1" w:lastRow="0" w:firstColumn="0" w:lastColumn="0" w:oddVBand="0" w:evenVBand="0" w:oddHBand="0" w:evenHBand="0" w:firstRowFirstColumn="0" w:firstRowLastColumn="0" w:lastRowFirstColumn="0" w:lastRowLastColumn="0"/>
          <w:tblHeader/>
        </w:trPr>
        <w:tc>
          <w:tcPr>
            <w:tcW w:w="0" w:type="auto"/>
          </w:tcPr>
          <w:p w14:paraId="4D1AB3C9" w14:textId="77777777" w:rsidR="00377874" w:rsidRDefault="00000000">
            <w:pPr>
              <w:pStyle w:val="Compact"/>
            </w:pPr>
            <w:r>
              <w:t>Theme</w:t>
            </w:r>
          </w:p>
        </w:tc>
        <w:tc>
          <w:tcPr>
            <w:tcW w:w="0" w:type="auto"/>
          </w:tcPr>
          <w:p w14:paraId="1470070E" w14:textId="033B7CF0" w:rsidR="00377874" w:rsidRPr="009B221A" w:rsidRDefault="009B221A">
            <w:pPr>
              <w:pStyle w:val="Compact"/>
              <w:jc w:val="right"/>
              <w:rPr>
                <w:rFonts w:ascii="Cambria Math" w:hAnsi="Cambria Math"/>
                <w:oMath/>
              </w:rPr>
            </w:pPr>
            <m:oMathPara>
              <m:oMath>
                <m:r>
                  <w:rPr>
                    <w:rFonts w:ascii="Cambria Math" w:hAnsi="Cambria Math"/>
                  </w:rPr>
                  <m:t>n</m:t>
                </m:r>
              </m:oMath>
            </m:oMathPara>
          </w:p>
        </w:tc>
        <w:tc>
          <w:tcPr>
            <w:tcW w:w="0" w:type="auto"/>
          </w:tcPr>
          <w:p w14:paraId="28CB602E" w14:textId="1888AC11" w:rsidR="00377874" w:rsidRPr="009B221A" w:rsidRDefault="009B221A">
            <w:pPr>
              <w:pStyle w:val="Compact"/>
              <w:jc w:val="right"/>
              <w:rPr>
                <w:rFonts w:ascii="Cambria Math" w:hAnsi="Cambria Math"/>
                <w:oMath/>
              </w:rPr>
            </w:pPr>
            <m:oMathPara>
              <m:oMath>
                <m:r>
                  <w:rPr>
                    <w:rFonts w:ascii="Cambria Math" w:hAnsi="Cambria Math"/>
                  </w:rPr>
                  <m:t>% of substantive responders</m:t>
                </m:r>
              </m:oMath>
            </m:oMathPara>
          </w:p>
        </w:tc>
      </w:tr>
      <w:tr w:rsidR="00377874" w14:paraId="0FB9D390" w14:textId="77777777">
        <w:tc>
          <w:tcPr>
            <w:tcW w:w="0" w:type="auto"/>
          </w:tcPr>
          <w:p w14:paraId="2B332E5D" w14:textId="77777777" w:rsidR="00377874" w:rsidRDefault="00000000">
            <w:pPr>
              <w:pStyle w:val="Compact"/>
            </w:pPr>
            <w:r>
              <w:t>Critical thinking/problem solving</w:t>
            </w:r>
          </w:p>
        </w:tc>
        <w:tc>
          <w:tcPr>
            <w:tcW w:w="0" w:type="auto"/>
          </w:tcPr>
          <w:p w14:paraId="658678BB" w14:textId="7D564425" w:rsidR="00377874" w:rsidRPr="009B221A" w:rsidRDefault="009B221A">
            <w:pPr>
              <w:pStyle w:val="Compact"/>
              <w:jc w:val="right"/>
              <w:rPr>
                <w:rFonts w:ascii="Cambria Math" w:hAnsi="Cambria Math"/>
                <w:oMath/>
              </w:rPr>
            </w:pPr>
            <m:oMathPara>
              <m:oMath>
                <m:r>
                  <w:rPr>
                    <w:rFonts w:ascii="Cambria Math" w:hAnsi="Cambria Math"/>
                  </w:rPr>
                  <m:t>16</m:t>
                </m:r>
              </m:oMath>
            </m:oMathPara>
          </w:p>
        </w:tc>
        <w:tc>
          <w:tcPr>
            <w:tcW w:w="0" w:type="auto"/>
          </w:tcPr>
          <w:p w14:paraId="72D27AB1" w14:textId="05B2D748" w:rsidR="00377874" w:rsidRPr="009B221A" w:rsidRDefault="009B221A">
            <w:pPr>
              <w:pStyle w:val="Compact"/>
              <w:jc w:val="right"/>
              <w:rPr>
                <w:rFonts w:ascii="Cambria Math" w:hAnsi="Cambria Math"/>
                <w:oMath/>
              </w:rPr>
            </w:pPr>
            <m:oMathPara>
              <m:oMath>
                <m:r>
                  <w:rPr>
                    <w:rFonts w:ascii="Cambria Math" w:hAnsi="Cambria Math"/>
                  </w:rPr>
                  <m:t>34.0</m:t>
                </m:r>
              </m:oMath>
            </m:oMathPara>
          </w:p>
        </w:tc>
      </w:tr>
      <w:tr w:rsidR="00377874" w14:paraId="739EC0DD" w14:textId="77777777">
        <w:tc>
          <w:tcPr>
            <w:tcW w:w="0" w:type="auto"/>
          </w:tcPr>
          <w:p w14:paraId="66F5E725" w14:textId="77777777" w:rsidR="00377874" w:rsidRDefault="00000000">
            <w:pPr>
              <w:pStyle w:val="Compact"/>
            </w:pPr>
            <w:r>
              <w:t xml:space="preserve">Work </w:t>
            </w:r>
            <w:proofErr w:type="gramStart"/>
            <w:r>
              <w:t>ethic</w:t>
            </w:r>
            <w:proofErr w:type="gramEnd"/>
            <w:r>
              <w:t>/resilience/time management</w:t>
            </w:r>
          </w:p>
        </w:tc>
        <w:tc>
          <w:tcPr>
            <w:tcW w:w="0" w:type="auto"/>
          </w:tcPr>
          <w:p w14:paraId="02B15A40" w14:textId="5B75441B" w:rsidR="00377874" w:rsidRPr="009B221A" w:rsidRDefault="009B221A">
            <w:pPr>
              <w:pStyle w:val="Compact"/>
              <w:jc w:val="right"/>
              <w:rPr>
                <w:rFonts w:ascii="Cambria Math" w:hAnsi="Cambria Math"/>
                <w:oMath/>
              </w:rPr>
            </w:pPr>
            <m:oMathPara>
              <m:oMath>
                <m:r>
                  <w:rPr>
                    <w:rFonts w:ascii="Cambria Math" w:hAnsi="Cambria Math"/>
                  </w:rPr>
                  <m:t>11</m:t>
                </m:r>
              </m:oMath>
            </m:oMathPara>
          </w:p>
        </w:tc>
        <w:tc>
          <w:tcPr>
            <w:tcW w:w="0" w:type="auto"/>
          </w:tcPr>
          <w:p w14:paraId="68DFFAA0" w14:textId="146FDA3C" w:rsidR="00377874" w:rsidRPr="009B221A" w:rsidRDefault="009B221A">
            <w:pPr>
              <w:pStyle w:val="Compact"/>
              <w:jc w:val="right"/>
              <w:rPr>
                <w:rFonts w:ascii="Cambria Math" w:hAnsi="Cambria Math"/>
                <w:oMath/>
              </w:rPr>
            </w:pPr>
            <m:oMathPara>
              <m:oMath>
                <m:r>
                  <w:rPr>
                    <w:rFonts w:ascii="Cambria Math" w:hAnsi="Cambria Math"/>
                  </w:rPr>
                  <m:t>23.4</m:t>
                </m:r>
              </m:oMath>
            </m:oMathPara>
          </w:p>
        </w:tc>
      </w:tr>
      <w:tr w:rsidR="00377874" w14:paraId="7C126211" w14:textId="77777777">
        <w:tc>
          <w:tcPr>
            <w:tcW w:w="0" w:type="auto"/>
          </w:tcPr>
          <w:p w14:paraId="2C59CEFB" w14:textId="77777777" w:rsidR="00377874" w:rsidRDefault="00000000">
            <w:pPr>
              <w:pStyle w:val="Compact"/>
            </w:pPr>
            <w:r>
              <w:t>STEM fundamentals/content knowledge</w:t>
            </w:r>
          </w:p>
        </w:tc>
        <w:tc>
          <w:tcPr>
            <w:tcW w:w="0" w:type="auto"/>
          </w:tcPr>
          <w:p w14:paraId="0C662DDB" w14:textId="6EFA51FF" w:rsidR="00377874" w:rsidRPr="009B221A" w:rsidRDefault="009B221A">
            <w:pPr>
              <w:pStyle w:val="Compact"/>
              <w:jc w:val="right"/>
              <w:rPr>
                <w:rFonts w:ascii="Cambria Math" w:hAnsi="Cambria Math"/>
                <w:oMath/>
              </w:rPr>
            </w:pPr>
            <m:oMathPara>
              <m:oMath>
                <m:r>
                  <w:rPr>
                    <w:rFonts w:ascii="Cambria Math" w:hAnsi="Cambria Math"/>
                  </w:rPr>
                  <m:t>11</m:t>
                </m:r>
              </m:oMath>
            </m:oMathPara>
          </w:p>
        </w:tc>
        <w:tc>
          <w:tcPr>
            <w:tcW w:w="0" w:type="auto"/>
          </w:tcPr>
          <w:p w14:paraId="46F9E6A7" w14:textId="75648963" w:rsidR="00377874" w:rsidRPr="009B221A" w:rsidRDefault="009B221A">
            <w:pPr>
              <w:pStyle w:val="Compact"/>
              <w:jc w:val="right"/>
              <w:rPr>
                <w:rFonts w:ascii="Cambria Math" w:hAnsi="Cambria Math"/>
                <w:oMath/>
              </w:rPr>
            </w:pPr>
            <m:oMathPara>
              <m:oMath>
                <m:r>
                  <w:rPr>
                    <w:rFonts w:ascii="Cambria Math" w:hAnsi="Cambria Math"/>
                  </w:rPr>
                  <m:t>23.4</m:t>
                </m:r>
              </m:oMath>
            </m:oMathPara>
          </w:p>
        </w:tc>
      </w:tr>
      <w:tr w:rsidR="00377874" w14:paraId="4ACB2D94" w14:textId="77777777">
        <w:tc>
          <w:tcPr>
            <w:tcW w:w="0" w:type="auto"/>
          </w:tcPr>
          <w:p w14:paraId="6849185D" w14:textId="77777777" w:rsidR="00377874" w:rsidRDefault="00000000">
            <w:pPr>
              <w:pStyle w:val="Compact"/>
            </w:pPr>
            <w:r>
              <w:t>Research/inquiry</w:t>
            </w:r>
          </w:p>
        </w:tc>
        <w:tc>
          <w:tcPr>
            <w:tcW w:w="0" w:type="auto"/>
          </w:tcPr>
          <w:p w14:paraId="5738A118" w14:textId="2DC7234F" w:rsidR="00377874" w:rsidRPr="009B221A" w:rsidRDefault="009B221A">
            <w:pPr>
              <w:pStyle w:val="Compact"/>
              <w:jc w:val="right"/>
              <w:rPr>
                <w:rFonts w:ascii="Cambria Math" w:hAnsi="Cambria Math"/>
                <w:oMath/>
              </w:rPr>
            </w:pPr>
            <m:oMathPara>
              <m:oMath>
                <m:r>
                  <w:rPr>
                    <w:rFonts w:ascii="Cambria Math" w:hAnsi="Cambria Math"/>
                  </w:rPr>
                  <m:t>10</m:t>
                </m:r>
              </m:oMath>
            </m:oMathPara>
          </w:p>
        </w:tc>
        <w:tc>
          <w:tcPr>
            <w:tcW w:w="0" w:type="auto"/>
          </w:tcPr>
          <w:p w14:paraId="3288F27B" w14:textId="2EB31E98" w:rsidR="00377874" w:rsidRPr="009B221A" w:rsidRDefault="009B221A">
            <w:pPr>
              <w:pStyle w:val="Compact"/>
              <w:jc w:val="right"/>
              <w:rPr>
                <w:rFonts w:ascii="Cambria Math" w:hAnsi="Cambria Math"/>
                <w:oMath/>
              </w:rPr>
            </w:pPr>
            <m:oMathPara>
              <m:oMath>
                <m:r>
                  <w:rPr>
                    <w:rFonts w:ascii="Cambria Math" w:hAnsi="Cambria Math"/>
                  </w:rPr>
                  <m:t>21.3</m:t>
                </m:r>
              </m:oMath>
            </m:oMathPara>
          </w:p>
        </w:tc>
      </w:tr>
      <w:tr w:rsidR="00377874" w14:paraId="5FD7D1B0" w14:textId="77777777">
        <w:tc>
          <w:tcPr>
            <w:tcW w:w="0" w:type="auto"/>
          </w:tcPr>
          <w:p w14:paraId="6FA058E2" w14:textId="77777777" w:rsidR="00377874" w:rsidRDefault="00000000">
            <w:pPr>
              <w:pStyle w:val="Compact"/>
            </w:pPr>
            <w:r>
              <w:t>Laboratory/technical skills</w:t>
            </w:r>
          </w:p>
        </w:tc>
        <w:tc>
          <w:tcPr>
            <w:tcW w:w="0" w:type="auto"/>
          </w:tcPr>
          <w:p w14:paraId="757ED94C" w14:textId="075F2247" w:rsidR="00377874" w:rsidRPr="009B221A" w:rsidRDefault="009B221A">
            <w:pPr>
              <w:pStyle w:val="Compact"/>
              <w:jc w:val="right"/>
              <w:rPr>
                <w:rFonts w:ascii="Cambria Math" w:hAnsi="Cambria Math"/>
                <w:oMath/>
              </w:rPr>
            </w:pPr>
            <m:oMathPara>
              <m:oMath>
                <m:r>
                  <w:rPr>
                    <w:rFonts w:ascii="Cambria Math" w:hAnsi="Cambria Math"/>
                  </w:rPr>
                  <m:t>7</m:t>
                </m:r>
              </m:oMath>
            </m:oMathPara>
          </w:p>
        </w:tc>
        <w:tc>
          <w:tcPr>
            <w:tcW w:w="0" w:type="auto"/>
          </w:tcPr>
          <w:p w14:paraId="1E633AE9" w14:textId="4B6D2B14" w:rsidR="00377874" w:rsidRPr="009B221A" w:rsidRDefault="009B221A">
            <w:pPr>
              <w:pStyle w:val="Compact"/>
              <w:jc w:val="right"/>
              <w:rPr>
                <w:rFonts w:ascii="Cambria Math" w:hAnsi="Cambria Math"/>
                <w:oMath/>
              </w:rPr>
            </w:pPr>
            <m:oMathPara>
              <m:oMath>
                <m:r>
                  <w:rPr>
                    <w:rFonts w:ascii="Cambria Math" w:hAnsi="Cambria Math"/>
                  </w:rPr>
                  <m:t>14.9</m:t>
                </m:r>
              </m:oMath>
            </m:oMathPara>
          </w:p>
        </w:tc>
      </w:tr>
      <w:tr w:rsidR="00377874" w14:paraId="3C235630" w14:textId="77777777">
        <w:tc>
          <w:tcPr>
            <w:tcW w:w="0" w:type="auto"/>
          </w:tcPr>
          <w:p w14:paraId="75942CFE" w14:textId="77777777" w:rsidR="00377874" w:rsidRDefault="00000000">
            <w:pPr>
              <w:pStyle w:val="Compact"/>
            </w:pPr>
            <w:r>
              <w:t>Computing/programming/digital tools</w:t>
            </w:r>
          </w:p>
        </w:tc>
        <w:tc>
          <w:tcPr>
            <w:tcW w:w="0" w:type="auto"/>
          </w:tcPr>
          <w:p w14:paraId="508F073B" w14:textId="2ED7E87E" w:rsidR="00377874" w:rsidRPr="009B221A" w:rsidRDefault="009B221A">
            <w:pPr>
              <w:pStyle w:val="Compact"/>
              <w:jc w:val="right"/>
              <w:rPr>
                <w:rFonts w:ascii="Cambria Math" w:hAnsi="Cambria Math"/>
                <w:oMath/>
              </w:rPr>
            </w:pPr>
            <m:oMathPara>
              <m:oMath>
                <m:r>
                  <w:rPr>
                    <w:rFonts w:ascii="Cambria Math" w:hAnsi="Cambria Math"/>
                  </w:rPr>
                  <m:t>7</m:t>
                </m:r>
              </m:oMath>
            </m:oMathPara>
          </w:p>
        </w:tc>
        <w:tc>
          <w:tcPr>
            <w:tcW w:w="0" w:type="auto"/>
          </w:tcPr>
          <w:p w14:paraId="1A153F1F" w14:textId="6FF59E51" w:rsidR="00377874" w:rsidRPr="009B221A" w:rsidRDefault="009B221A">
            <w:pPr>
              <w:pStyle w:val="Compact"/>
              <w:jc w:val="right"/>
              <w:rPr>
                <w:rFonts w:ascii="Cambria Math" w:hAnsi="Cambria Math"/>
                <w:oMath/>
              </w:rPr>
            </w:pPr>
            <m:oMathPara>
              <m:oMath>
                <m:r>
                  <w:rPr>
                    <w:rFonts w:ascii="Cambria Math" w:hAnsi="Cambria Math"/>
                  </w:rPr>
                  <m:t>14.9</m:t>
                </m:r>
              </m:oMath>
            </m:oMathPara>
          </w:p>
        </w:tc>
      </w:tr>
      <w:tr w:rsidR="00377874" w14:paraId="180A1842" w14:textId="77777777">
        <w:tc>
          <w:tcPr>
            <w:tcW w:w="0" w:type="auto"/>
          </w:tcPr>
          <w:p w14:paraId="32AE45AE" w14:textId="77777777" w:rsidR="00377874" w:rsidRDefault="00000000">
            <w:pPr>
              <w:pStyle w:val="Compact"/>
            </w:pPr>
            <w:r>
              <w:lastRenderedPageBreak/>
              <w:t>Communication</w:t>
            </w:r>
          </w:p>
        </w:tc>
        <w:tc>
          <w:tcPr>
            <w:tcW w:w="0" w:type="auto"/>
          </w:tcPr>
          <w:p w14:paraId="62B400AC" w14:textId="4EB28EC1" w:rsidR="00377874" w:rsidRPr="009B221A" w:rsidRDefault="009B221A">
            <w:pPr>
              <w:pStyle w:val="Compact"/>
              <w:jc w:val="right"/>
              <w:rPr>
                <w:rFonts w:ascii="Cambria Math" w:hAnsi="Cambria Math"/>
                <w:oMath/>
              </w:rPr>
            </w:pPr>
            <m:oMathPara>
              <m:oMath>
                <m:r>
                  <w:rPr>
                    <w:rFonts w:ascii="Cambria Math" w:hAnsi="Cambria Math"/>
                  </w:rPr>
                  <m:t>5</m:t>
                </m:r>
              </m:oMath>
            </m:oMathPara>
          </w:p>
        </w:tc>
        <w:tc>
          <w:tcPr>
            <w:tcW w:w="0" w:type="auto"/>
          </w:tcPr>
          <w:p w14:paraId="2E8AA5DF" w14:textId="3BAC10ED" w:rsidR="00377874" w:rsidRPr="009B221A" w:rsidRDefault="009B221A">
            <w:pPr>
              <w:pStyle w:val="Compact"/>
              <w:jc w:val="right"/>
              <w:rPr>
                <w:rFonts w:ascii="Cambria Math" w:hAnsi="Cambria Math"/>
                <w:oMath/>
              </w:rPr>
            </w:pPr>
            <m:oMathPara>
              <m:oMath>
                <m:r>
                  <w:rPr>
                    <w:rFonts w:ascii="Cambria Math" w:hAnsi="Cambria Math"/>
                  </w:rPr>
                  <m:t>10.6</m:t>
                </m:r>
              </m:oMath>
            </m:oMathPara>
          </w:p>
        </w:tc>
      </w:tr>
      <w:tr w:rsidR="00377874" w14:paraId="3A68ACEC" w14:textId="77777777">
        <w:tc>
          <w:tcPr>
            <w:tcW w:w="0" w:type="auto"/>
          </w:tcPr>
          <w:p w14:paraId="565150F3" w14:textId="77777777" w:rsidR="00377874" w:rsidRDefault="00000000">
            <w:pPr>
              <w:pStyle w:val="Compact"/>
            </w:pPr>
            <w:r>
              <w:t>Values/ethics/service</w:t>
            </w:r>
          </w:p>
        </w:tc>
        <w:tc>
          <w:tcPr>
            <w:tcW w:w="0" w:type="auto"/>
          </w:tcPr>
          <w:p w14:paraId="089B643B" w14:textId="798D97F9" w:rsidR="00377874" w:rsidRPr="009B221A" w:rsidRDefault="009B221A">
            <w:pPr>
              <w:pStyle w:val="Compact"/>
              <w:jc w:val="right"/>
              <w:rPr>
                <w:rFonts w:ascii="Cambria Math" w:hAnsi="Cambria Math"/>
                <w:oMath/>
              </w:rPr>
            </w:pPr>
            <m:oMathPara>
              <m:oMath>
                <m:r>
                  <w:rPr>
                    <w:rFonts w:ascii="Cambria Math" w:hAnsi="Cambria Math"/>
                  </w:rPr>
                  <m:t>5</m:t>
                </m:r>
              </m:oMath>
            </m:oMathPara>
          </w:p>
        </w:tc>
        <w:tc>
          <w:tcPr>
            <w:tcW w:w="0" w:type="auto"/>
          </w:tcPr>
          <w:p w14:paraId="4C60D8C4" w14:textId="12420EC4" w:rsidR="00377874" w:rsidRPr="009B221A" w:rsidRDefault="009B221A">
            <w:pPr>
              <w:pStyle w:val="Compact"/>
              <w:jc w:val="right"/>
              <w:rPr>
                <w:rFonts w:ascii="Cambria Math" w:hAnsi="Cambria Math"/>
                <w:oMath/>
              </w:rPr>
            </w:pPr>
            <m:oMathPara>
              <m:oMath>
                <m:r>
                  <w:rPr>
                    <w:rFonts w:ascii="Cambria Math" w:hAnsi="Cambria Math"/>
                  </w:rPr>
                  <m:t>10.6</m:t>
                </m:r>
              </m:oMath>
            </m:oMathPara>
          </w:p>
        </w:tc>
      </w:tr>
      <w:tr w:rsidR="00377874" w14:paraId="315A0062" w14:textId="77777777">
        <w:tc>
          <w:tcPr>
            <w:tcW w:w="0" w:type="auto"/>
          </w:tcPr>
          <w:p w14:paraId="5CBEABC8" w14:textId="77777777" w:rsidR="00377874" w:rsidRDefault="00000000">
            <w:pPr>
              <w:pStyle w:val="Compact"/>
            </w:pPr>
            <w:r>
              <w:t>Teamwork/leadership/people skills</w:t>
            </w:r>
          </w:p>
        </w:tc>
        <w:tc>
          <w:tcPr>
            <w:tcW w:w="0" w:type="auto"/>
          </w:tcPr>
          <w:p w14:paraId="19D0ED87" w14:textId="484ADEF9" w:rsidR="00377874" w:rsidRPr="009B221A" w:rsidRDefault="009B221A">
            <w:pPr>
              <w:pStyle w:val="Compact"/>
              <w:jc w:val="right"/>
              <w:rPr>
                <w:rFonts w:ascii="Cambria Math" w:hAnsi="Cambria Math"/>
                <w:oMath/>
              </w:rPr>
            </w:pPr>
            <m:oMathPara>
              <m:oMath>
                <m:r>
                  <w:rPr>
                    <w:rFonts w:ascii="Cambria Math" w:hAnsi="Cambria Math"/>
                  </w:rPr>
                  <m:t>4</m:t>
                </m:r>
              </m:oMath>
            </m:oMathPara>
          </w:p>
        </w:tc>
        <w:tc>
          <w:tcPr>
            <w:tcW w:w="0" w:type="auto"/>
          </w:tcPr>
          <w:p w14:paraId="7F350DA9" w14:textId="18642EFC" w:rsidR="00377874" w:rsidRPr="009B221A" w:rsidRDefault="009B221A">
            <w:pPr>
              <w:pStyle w:val="Compact"/>
              <w:jc w:val="right"/>
              <w:rPr>
                <w:rFonts w:ascii="Cambria Math" w:hAnsi="Cambria Math"/>
                <w:oMath/>
              </w:rPr>
            </w:pPr>
            <m:oMathPara>
              <m:oMath>
                <m:r>
                  <w:rPr>
                    <w:rFonts w:ascii="Cambria Math" w:hAnsi="Cambria Math"/>
                  </w:rPr>
                  <m:t>8.5</m:t>
                </m:r>
              </m:oMath>
            </m:oMathPara>
          </w:p>
        </w:tc>
      </w:tr>
      <w:tr w:rsidR="00377874" w14:paraId="25210577" w14:textId="77777777">
        <w:tc>
          <w:tcPr>
            <w:tcW w:w="0" w:type="auto"/>
          </w:tcPr>
          <w:p w14:paraId="64CD9055" w14:textId="77777777" w:rsidR="00377874" w:rsidRDefault="00000000">
            <w:pPr>
              <w:pStyle w:val="Compact"/>
            </w:pPr>
            <w:r>
              <w:t>Self-directed learning/study habits</w:t>
            </w:r>
          </w:p>
        </w:tc>
        <w:tc>
          <w:tcPr>
            <w:tcW w:w="0" w:type="auto"/>
          </w:tcPr>
          <w:p w14:paraId="3D26F9D3" w14:textId="68F00DBF" w:rsidR="00377874" w:rsidRPr="009B221A" w:rsidRDefault="009B221A">
            <w:pPr>
              <w:pStyle w:val="Compact"/>
              <w:jc w:val="right"/>
              <w:rPr>
                <w:rFonts w:ascii="Cambria Math" w:hAnsi="Cambria Math"/>
                <w:oMath/>
              </w:rPr>
            </w:pPr>
            <m:oMathPara>
              <m:oMath>
                <m:r>
                  <w:rPr>
                    <w:rFonts w:ascii="Cambria Math" w:hAnsi="Cambria Math"/>
                  </w:rPr>
                  <m:t>3</m:t>
                </m:r>
              </m:oMath>
            </m:oMathPara>
          </w:p>
        </w:tc>
        <w:tc>
          <w:tcPr>
            <w:tcW w:w="0" w:type="auto"/>
          </w:tcPr>
          <w:p w14:paraId="1B4AF18A" w14:textId="748B5195" w:rsidR="00377874" w:rsidRPr="009B221A" w:rsidRDefault="009B221A">
            <w:pPr>
              <w:pStyle w:val="Compact"/>
              <w:jc w:val="right"/>
              <w:rPr>
                <w:rFonts w:ascii="Cambria Math" w:hAnsi="Cambria Math"/>
                <w:oMath/>
              </w:rPr>
            </w:pPr>
            <m:oMathPara>
              <m:oMath>
                <m:r>
                  <w:rPr>
                    <w:rFonts w:ascii="Cambria Math" w:hAnsi="Cambria Math"/>
                  </w:rPr>
                  <m:t>6.4</m:t>
                </m:r>
              </m:oMath>
            </m:oMathPara>
          </w:p>
        </w:tc>
      </w:tr>
      <w:tr w:rsidR="00377874" w14:paraId="575E3757" w14:textId="77777777">
        <w:tc>
          <w:tcPr>
            <w:tcW w:w="0" w:type="auto"/>
          </w:tcPr>
          <w:p w14:paraId="7EDB60E5" w14:textId="77777777" w:rsidR="00377874" w:rsidRDefault="00000000">
            <w:pPr>
              <w:pStyle w:val="Compact"/>
            </w:pPr>
            <w:r>
              <w:t>Well-roundedness</w:t>
            </w:r>
          </w:p>
        </w:tc>
        <w:tc>
          <w:tcPr>
            <w:tcW w:w="0" w:type="auto"/>
          </w:tcPr>
          <w:p w14:paraId="41213A03" w14:textId="7D4F5163" w:rsidR="00377874" w:rsidRPr="009B221A" w:rsidRDefault="009B221A">
            <w:pPr>
              <w:pStyle w:val="Compact"/>
              <w:jc w:val="right"/>
              <w:rPr>
                <w:rFonts w:ascii="Cambria Math" w:hAnsi="Cambria Math"/>
                <w:oMath/>
              </w:rPr>
            </w:pPr>
            <m:oMathPara>
              <m:oMath>
                <m:r>
                  <w:rPr>
                    <w:rFonts w:ascii="Cambria Math" w:hAnsi="Cambria Math"/>
                  </w:rPr>
                  <m:t>1</m:t>
                </m:r>
              </m:oMath>
            </m:oMathPara>
          </w:p>
        </w:tc>
        <w:tc>
          <w:tcPr>
            <w:tcW w:w="0" w:type="auto"/>
          </w:tcPr>
          <w:p w14:paraId="32BB52A4" w14:textId="745E5917" w:rsidR="00377874" w:rsidRPr="009B221A" w:rsidRDefault="009B221A">
            <w:pPr>
              <w:pStyle w:val="Compact"/>
              <w:jc w:val="right"/>
              <w:rPr>
                <w:rFonts w:ascii="Cambria Math" w:hAnsi="Cambria Math"/>
                <w:oMath/>
              </w:rPr>
            </w:pPr>
            <m:oMathPara>
              <m:oMath>
                <m:r>
                  <w:rPr>
                    <w:rFonts w:ascii="Cambria Math" w:hAnsi="Cambria Math"/>
                  </w:rPr>
                  <m:t>2.1</m:t>
                </m:r>
              </m:oMath>
            </m:oMathPara>
          </w:p>
        </w:tc>
      </w:tr>
    </w:tbl>
    <w:p w14:paraId="547DF5AC" w14:textId="77777777" w:rsidR="00377874" w:rsidRDefault="00000000">
      <w:pPr>
        <w:pStyle w:val="BodyText"/>
      </w:pPr>
      <w:r>
        <w:t>Illustrative excerpts include statements emphasizing critical thinking and problem solving, research skills, discipline, self-study habits, public speaking and writing, programming exposure, and values formation.</w:t>
      </w:r>
    </w:p>
    <w:p w14:paraId="7F46A4FE" w14:textId="4CB9B751" w:rsidR="00377874" w:rsidRDefault="00000000">
      <w:pPr>
        <w:pStyle w:val="BodyText"/>
      </w:pPr>
      <w:r>
        <w:rPr>
          <w:b/>
          <w:bCs/>
        </w:rPr>
        <w:t>4.3 Perceived skill gaps and recommendations</w:t>
      </w:r>
      <w:r>
        <w:br/>
        <w:t xml:space="preserve">When asked what skills should have been emphasized more (combined gap prompt; substantive responders </w:t>
      </w:r>
      <m:oMath>
        <m:r>
          <w:rPr>
            <w:rFonts w:ascii="Cambria Math" w:hAnsi="Cambria Math"/>
          </w:rPr>
          <m:t>n = 45</m:t>
        </m:r>
      </m:oMath>
      <w:r>
        <w:t>), alumni most frequently highlighted teamwork/people skills, practical exposure, communication, computing/programming, and financial literacy (Table 3).</w:t>
      </w:r>
    </w:p>
    <w:p w14:paraId="5434987C" w14:textId="0A544982" w:rsidR="00377874" w:rsidRDefault="00000000">
      <w:pPr>
        <w:pStyle w:val="BodyText"/>
      </w:pPr>
      <w:r>
        <w:rPr>
          <w:b/>
          <w:bCs/>
        </w:rPr>
        <w:t xml:space="preserve">Table 3. Perceived gaps and recommended emphasis (substantive responders </w:t>
      </w:r>
      <m:oMath>
        <m:r>
          <m:rPr>
            <m:sty m:val="bi"/>
          </m:rPr>
          <w:rPr>
            <w:rFonts w:ascii="Cambria Math" w:hAnsi="Cambria Math"/>
          </w:rPr>
          <m:t>n = 45</m:t>
        </m:r>
      </m:oMath>
      <w:r>
        <w:rPr>
          <w:b/>
          <w:bCs/>
        </w:rPr>
        <w:t>)</w:t>
      </w:r>
    </w:p>
    <w:tbl>
      <w:tblPr>
        <w:tblStyle w:val="Table"/>
        <w:tblW w:w="0" w:type="auto"/>
        <w:tblLook w:val="0020" w:firstRow="1" w:lastRow="0" w:firstColumn="0" w:lastColumn="0" w:noHBand="0" w:noVBand="0"/>
      </w:tblPr>
      <w:tblGrid>
        <w:gridCol w:w="5180"/>
        <w:gridCol w:w="482"/>
        <w:gridCol w:w="3367"/>
      </w:tblGrid>
      <w:tr w:rsidR="00377874" w14:paraId="28816D14" w14:textId="77777777" w:rsidTr="00377874">
        <w:trPr>
          <w:cnfStyle w:val="100000000000" w:firstRow="1" w:lastRow="0" w:firstColumn="0" w:lastColumn="0" w:oddVBand="0" w:evenVBand="0" w:oddHBand="0" w:evenHBand="0" w:firstRowFirstColumn="0" w:firstRowLastColumn="0" w:lastRowFirstColumn="0" w:lastRowLastColumn="0"/>
          <w:tblHeader/>
        </w:trPr>
        <w:tc>
          <w:tcPr>
            <w:tcW w:w="0" w:type="auto"/>
          </w:tcPr>
          <w:p w14:paraId="00CAC2C3" w14:textId="77777777" w:rsidR="00377874" w:rsidRDefault="00000000">
            <w:pPr>
              <w:pStyle w:val="Compact"/>
            </w:pPr>
            <w:r>
              <w:t>Theme</w:t>
            </w:r>
          </w:p>
        </w:tc>
        <w:tc>
          <w:tcPr>
            <w:tcW w:w="0" w:type="auto"/>
          </w:tcPr>
          <w:p w14:paraId="7D9E7406" w14:textId="0CF20D35" w:rsidR="00377874" w:rsidRPr="009B221A" w:rsidRDefault="009B221A">
            <w:pPr>
              <w:pStyle w:val="Compact"/>
              <w:jc w:val="right"/>
              <w:rPr>
                <w:rFonts w:ascii="Cambria Math" w:hAnsi="Cambria Math"/>
                <w:oMath/>
              </w:rPr>
            </w:pPr>
            <m:oMathPara>
              <m:oMath>
                <m:r>
                  <w:rPr>
                    <w:rFonts w:ascii="Cambria Math" w:hAnsi="Cambria Math"/>
                  </w:rPr>
                  <m:t>n</m:t>
                </m:r>
              </m:oMath>
            </m:oMathPara>
          </w:p>
        </w:tc>
        <w:tc>
          <w:tcPr>
            <w:tcW w:w="0" w:type="auto"/>
          </w:tcPr>
          <w:p w14:paraId="42D60B6F" w14:textId="14CAA7E8" w:rsidR="00377874" w:rsidRPr="009B221A" w:rsidRDefault="009B221A">
            <w:pPr>
              <w:pStyle w:val="Compact"/>
              <w:jc w:val="right"/>
              <w:rPr>
                <w:rFonts w:ascii="Cambria Math" w:hAnsi="Cambria Math"/>
                <w:oMath/>
              </w:rPr>
            </w:pPr>
            <m:oMathPara>
              <m:oMath>
                <m:r>
                  <w:rPr>
                    <w:rFonts w:ascii="Cambria Math" w:hAnsi="Cambria Math"/>
                  </w:rPr>
                  <m:t>% of substantive responders</m:t>
                </m:r>
              </m:oMath>
            </m:oMathPara>
          </w:p>
        </w:tc>
      </w:tr>
      <w:tr w:rsidR="00377874" w14:paraId="56B9989D" w14:textId="77777777">
        <w:tc>
          <w:tcPr>
            <w:tcW w:w="0" w:type="auto"/>
          </w:tcPr>
          <w:p w14:paraId="0842643F" w14:textId="77777777" w:rsidR="00377874" w:rsidRDefault="00000000">
            <w:pPr>
              <w:pStyle w:val="Compact"/>
            </w:pPr>
            <w:r>
              <w:t>Teamwork/leadership/people skills</w:t>
            </w:r>
          </w:p>
        </w:tc>
        <w:tc>
          <w:tcPr>
            <w:tcW w:w="0" w:type="auto"/>
          </w:tcPr>
          <w:p w14:paraId="760C7F67" w14:textId="132EFEFC" w:rsidR="00377874" w:rsidRPr="009B221A" w:rsidRDefault="009B221A">
            <w:pPr>
              <w:pStyle w:val="Compact"/>
              <w:jc w:val="right"/>
              <w:rPr>
                <w:rFonts w:ascii="Cambria Math" w:hAnsi="Cambria Math"/>
                <w:oMath/>
              </w:rPr>
            </w:pPr>
            <m:oMathPara>
              <m:oMath>
                <m:r>
                  <w:rPr>
                    <w:rFonts w:ascii="Cambria Math" w:hAnsi="Cambria Math"/>
                  </w:rPr>
                  <m:t>11</m:t>
                </m:r>
              </m:oMath>
            </m:oMathPara>
          </w:p>
        </w:tc>
        <w:tc>
          <w:tcPr>
            <w:tcW w:w="0" w:type="auto"/>
          </w:tcPr>
          <w:p w14:paraId="58808D4D" w14:textId="3E0AFA42" w:rsidR="00377874" w:rsidRPr="009B221A" w:rsidRDefault="009B221A">
            <w:pPr>
              <w:pStyle w:val="Compact"/>
              <w:jc w:val="right"/>
              <w:rPr>
                <w:rFonts w:ascii="Cambria Math" w:hAnsi="Cambria Math"/>
                <w:oMath/>
              </w:rPr>
            </w:pPr>
            <m:oMathPara>
              <m:oMath>
                <m:r>
                  <w:rPr>
                    <w:rFonts w:ascii="Cambria Math" w:hAnsi="Cambria Math"/>
                  </w:rPr>
                  <m:t>24.4</m:t>
                </m:r>
              </m:oMath>
            </m:oMathPara>
          </w:p>
        </w:tc>
      </w:tr>
      <w:tr w:rsidR="00377874" w14:paraId="2AC5E7D9" w14:textId="77777777">
        <w:tc>
          <w:tcPr>
            <w:tcW w:w="0" w:type="auto"/>
          </w:tcPr>
          <w:p w14:paraId="2920B07A" w14:textId="77777777" w:rsidR="00377874" w:rsidRDefault="00000000">
            <w:pPr>
              <w:pStyle w:val="Compact"/>
            </w:pPr>
            <w:r>
              <w:t>Practical/real-world/industry exposure</w:t>
            </w:r>
          </w:p>
        </w:tc>
        <w:tc>
          <w:tcPr>
            <w:tcW w:w="0" w:type="auto"/>
          </w:tcPr>
          <w:p w14:paraId="661F124F" w14:textId="26DB970F" w:rsidR="00377874" w:rsidRPr="009B221A" w:rsidRDefault="009B221A">
            <w:pPr>
              <w:pStyle w:val="Compact"/>
              <w:jc w:val="right"/>
              <w:rPr>
                <w:rFonts w:ascii="Cambria Math" w:hAnsi="Cambria Math"/>
                <w:oMath/>
              </w:rPr>
            </w:pPr>
            <m:oMathPara>
              <m:oMath>
                <m:r>
                  <w:rPr>
                    <w:rFonts w:ascii="Cambria Math" w:hAnsi="Cambria Math"/>
                  </w:rPr>
                  <m:t>11</m:t>
                </m:r>
              </m:oMath>
            </m:oMathPara>
          </w:p>
        </w:tc>
        <w:tc>
          <w:tcPr>
            <w:tcW w:w="0" w:type="auto"/>
          </w:tcPr>
          <w:p w14:paraId="510E404F" w14:textId="76E6AFC9" w:rsidR="00377874" w:rsidRPr="009B221A" w:rsidRDefault="009B221A">
            <w:pPr>
              <w:pStyle w:val="Compact"/>
              <w:jc w:val="right"/>
              <w:rPr>
                <w:rFonts w:ascii="Cambria Math" w:hAnsi="Cambria Math"/>
                <w:oMath/>
              </w:rPr>
            </w:pPr>
            <m:oMathPara>
              <m:oMath>
                <m:r>
                  <w:rPr>
                    <w:rFonts w:ascii="Cambria Math" w:hAnsi="Cambria Math"/>
                  </w:rPr>
                  <m:t>24.4</m:t>
                </m:r>
              </m:oMath>
            </m:oMathPara>
          </w:p>
        </w:tc>
      </w:tr>
      <w:tr w:rsidR="00377874" w14:paraId="75139E8E" w14:textId="77777777">
        <w:tc>
          <w:tcPr>
            <w:tcW w:w="0" w:type="auto"/>
          </w:tcPr>
          <w:p w14:paraId="055C3ECF" w14:textId="77777777" w:rsidR="00377874" w:rsidRDefault="00000000">
            <w:pPr>
              <w:pStyle w:val="Compact"/>
            </w:pPr>
            <w:r>
              <w:t>Communication (technical writing &amp; speaking)</w:t>
            </w:r>
          </w:p>
        </w:tc>
        <w:tc>
          <w:tcPr>
            <w:tcW w:w="0" w:type="auto"/>
          </w:tcPr>
          <w:p w14:paraId="3EE24FE9" w14:textId="19CBFBFB" w:rsidR="00377874" w:rsidRPr="009B221A" w:rsidRDefault="009B221A">
            <w:pPr>
              <w:pStyle w:val="Compact"/>
              <w:jc w:val="right"/>
              <w:rPr>
                <w:rFonts w:ascii="Cambria Math" w:hAnsi="Cambria Math"/>
                <w:oMath/>
              </w:rPr>
            </w:pPr>
            <m:oMathPara>
              <m:oMath>
                <m:r>
                  <w:rPr>
                    <w:rFonts w:ascii="Cambria Math" w:hAnsi="Cambria Math"/>
                  </w:rPr>
                  <m:t>11</m:t>
                </m:r>
              </m:oMath>
            </m:oMathPara>
          </w:p>
        </w:tc>
        <w:tc>
          <w:tcPr>
            <w:tcW w:w="0" w:type="auto"/>
          </w:tcPr>
          <w:p w14:paraId="0B2066C7" w14:textId="1259ECDB" w:rsidR="00377874" w:rsidRPr="009B221A" w:rsidRDefault="009B221A">
            <w:pPr>
              <w:pStyle w:val="Compact"/>
              <w:jc w:val="right"/>
              <w:rPr>
                <w:rFonts w:ascii="Cambria Math" w:hAnsi="Cambria Math"/>
                <w:oMath/>
              </w:rPr>
            </w:pPr>
            <m:oMathPara>
              <m:oMath>
                <m:r>
                  <w:rPr>
                    <w:rFonts w:ascii="Cambria Math" w:hAnsi="Cambria Math"/>
                  </w:rPr>
                  <m:t>24.4</m:t>
                </m:r>
              </m:oMath>
            </m:oMathPara>
          </w:p>
        </w:tc>
      </w:tr>
      <w:tr w:rsidR="00377874" w14:paraId="7FEA2E71" w14:textId="77777777">
        <w:tc>
          <w:tcPr>
            <w:tcW w:w="0" w:type="auto"/>
          </w:tcPr>
          <w:p w14:paraId="0CB6AB9E" w14:textId="77777777" w:rsidR="00377874" w:rsidRDefault="00000000">
            <w:pPr>
              <w:pStyle w:val="Compact"/>
            </w:pPr>
            <w:r>
              <w:t>Computing/programming &amp; modern tools</w:t>
            </w:r>
          </w:p>
        </w:tc>
        <w:tc>
          <w:tcPr>
            <w:tcW w:w="0" w:type="auto"/>
          </w:tcPr>
          <w:p w14:paraId="56E293F4" w14:textId="1BF52A67" w:rsidR="00377874" w:rsidRPr="009B221A" w:rsidRDefault="009B221A">
            <w:pPr>
              <w:pStyle w:val="Compact"/>
              <w:jc w:val="right"/>
              <w:rPr>
                <w:rFonts w:ascii="Cambria Math" w:hAnsi="Cambria Math"/>
                <w:oMath/>
              </w:rPr>
            </w:pPr>
            <m:oMathPara>
              <m:oMath>
                <m:r>
                  <w:rPr>
                    <w:rFonts w:ascii="Cambria Math" w:hAnsi="Cambria Math"/>
                  </w:rPr>
                  <m:t>10</m:t>
                </m:r>
              </m:oMath>
            </m:oMathPara>
          </w:p>
        </w:tc>
        <w:tc>
          <w:tcPr>
            <w:tcW w:w="0" w:type="auto"/>
          </w:tcPr>
          <w:p w14:paraId="4D52E363" w14:textId="6B1E94EC" w:rsidR="00377874" w:rsidRPr="009B221A" w:rsidRDefault="009B221A">
            <w:pPr>
              <w:pStyle w:val="Compact"/>
              <w:jc w:val="right"/>
              <w:rPr>
                <w:rFonts w:ascii="Cambria Math" w:hAnsi="Cambria Math"/>
                <w:oMath/>
              </w:rPr>
            </w:pPr>
            <m:oMathPara>
              <m:oMath>
                <m:r>
                  <w:rPr>
                    <w:rFonts w:ascii="Cambria Math" w:hAnsi="Cambria Math"/>
                  </w:rPr>
                  <m:t>22.2</m:t>
                </m:r>
              </m:oMath>
            </m:oMathPara>
          </w:p>
        </w:tc>
      </w:tr>
      <w:tr w:rsidR="00377874" w14:paraId="78F0AE83" w14:textId="77777777">
        <w:tc>
          <w:tcPr>
            <w:tcW w:w="0" w:type="auto"/>
          </w:tcPr>
          <w:p w14:paraId="5604B151" w14:textId="77777777" w:rsidR="00377874" w:rsidRDefault="00000000">
            <w:pPr>
              <w:pStyle w:val="Compact"/>
            </w:pPr>
            <w:r>
              <w:t>Laboratory/technical skills &amp; facilities</w:t>
            </w:r>
          </w:p>
        </w:tc>
        <w:tc>
          <w:tcPr>
            <w:tcW w:w="0" w:type="auto"/>
          </w:tcPr>
          <w:p w14:paraId="0D134B78" w14:textId="4041CF1D" w:rsidR="00377874" w:rsidRPr="009B221A" w:rsidRDefault="009B221A">
            <w:pPr>
              <w:pStyle w:val="Compact"/>
              <w:jc w:val="right"/>
              <w:rPr>
                <w:rFonts w:ascii="Cambria Math" w:hAnsi="Cambria Math"/>
                <w:oMath/>
              </w:rPr>
            </w:pPr>
            <m:oMathPara>
              <m:oMath>
                <m:r>
                  <w:rPr>
                    <w:rFonts w:ascii="Cambria Math" w:hAnsi="Cambria Math"/>
                  </w:rPr>
                  <m:t>9</m:t>
                </m:r>
              </m:oMath>
            </m:oMathPara>
          </w:p>
        </w:tc>
        <w:tc>
          <w:tcPr>
            <w:tcW w:w="0" w:type="auto"/>
          </w:tcPr>
          <w:p w14:paraId="3842E24E" w14:textId="79BD749A" w:rsidR="00377874" w:rsidRPr="009B221A" w:rsidRDefault="009B221A">
            <w:pPr>
              <w:pStyle w:val="Compact"/>
              <w:jc w:val="right"/>
              <w:rPr>
                <w:rFonts w:ascii="Cambria Math" w:hAnsi="Cambria Math"/>
                <w:oMath/>
              </w:rPr>
            </w:pPr>
            <m:oMathPara>
              <m:oMath>
                <m:r>
                  <w:rPr>
                    <w:rFonts w:ascii="Cambria Math" w:hAnsi="Cambria Math"/>
                  </w:rPr>
                  <m:t>20.0</m:t>
                </m:r>
              </m:oMath>
            </m:oMathPara>
          </w:p>
        </w:tc>
      </w:tr>
      <w:tr w:rsidR="00377874" w14:paraId="15AC8B5C" w14:textId="77777777">
        <w:tc>
          <w:tcPr>
            <w:tcW w:w="0" w:type="auto"/>
          </w:tcPr>
          <w:p w14:paraId="4463D22C" w14:textId="77777777" w:rsidR="00377874" w:rsidRDefault="00000000">
            <w:pPr>
              <w:pStyle w:val="Compact"/>
            </w:pPr>
            <w:r>
              <w:t>Financial literacy &amp; life skills</w:t>
            </w:r>
          </w:p>
        </w:tc>
        <w:tc>
          <w:tcPr>
            <w:tcW w:w="0" w:type="auto"/>
          </w:tcPr>
          <w:p w14:paraId="4482C21E" w14:textId="520E4109" w:rsidR="00377874" w:rsidRPr="009B221A" w:rsidRDefault="009B221A">
            <w:pPr>
              <w:pStyle w:val="Compact"/>
              <w:jc w:val="right"/>
              <w:rPr>
                <w:rFonts w:ascii="Cambria Math" w:hAnsi="Cambria Math"/>
                <w:oMath/>
              </w:rPr>
            </w:pPr>
            <m:oMathPara>
              <m:oMath>
                <m:r>
                  <w:rPr>
                    <w:rFonts w:ascii="Cambria Math" w:hAnsi="Cambria Math"/>
                  </w:rPr>
                  <m:t>9</m:t>
                </m:r>
              </m:oMath>
            </m:oMathPara>
          </w:p>
        </w:tc>
        <w:tc>
          <w:tcPr>
            <w:tcW w:w="0" w:type="auto"/>
          </w:tcPr>
          <w:p w14:paraId="675DD475" w14:textId="007A6B80" w:rsidR="00377874" w:rsidRPr="009B221A" w:rsidRDefault="009B221A">
            <w:pPr>
              <w:pStyle w:val="Compact"/>
              <w:jc w:val="right"/>
              <w:rPr>
                <w:rFonts w:ascii="Cambria Math" w:hAnsi="Cambria Math"/>
                <w:oMath/>
              </w:rPr>
            </w:pPr>
            <m:oMathPara>
              <m:oMath>
                <m:r>
                  <w:rPr>
                    <w:rFonts w:ascii="Cambria Math" w:hAnsi="Cambria Math"/>
                  </w:rPr>
                  <m:t>20.0</m:t>
                </m:r>
              </m:oMath>
            </m:oMathPara>
          </w:p>
        </w:tc>
      </w:tr>
      <w:tr w:rsidR="00377874" w14:paraId="30A0DCD4" w14:textId="77777777">
        <w:tc>
          <w:tcPr>
            <w:tcW w:w="0" w:type="auto"/>
          </w:tcPr>
          <w:p w14:paraId="176B0FC2" w14:textId="77777777" w:rsidR="00377874" w:rsidRDefault="00000000">
            <w:pPr>
              <w:pStyle w:val="Compact"/>
            </w:pPr>
            <w:r>
              <w:t>Career guidance &amp; transition support</w:t>
            </w:r>
          </w:p>
        </w:tc>
        <w:tc>
          <w:tcPr>
            <w:tcW w:w="0" w:type="auto"/>
          </w:tcPr>
          <w:p w14:paraId="014835F6" w14:textId="4441EB69" w:rsidR="00377874" w:rsidRPr="009B221A" w:rsidRDefault="009B221A">
            <w:pPr>
              <w:pStyle w:val="Compact"/>
              <w:jc w:val="right"/>
              <w:rPr>
                <w:rFonts w:ascii="Cambria Math" w:hAnsi="Cambria Math"/>
                <w:oMath/>
              </w:rPr>
            </w:pPr>
            <m:oMathPara>
              <m:oMath>
                <m:r>
                  <w:rPr>
                    <w:rFonts w:ascii="Cambria Math" w:hAnsi="Cambria Math"/>
                  </w:rPr>
                  <m:t>8</m:t>
                </m:r>
              </m:oMath>
            </m:oMathPara>
          </w:p>
        </w:tc>
        <w:tc>
          <w:tcPr>
            <w:tcW w:w="0" w:type="auto"/>
          </w:tcPr>
          <w:p w14:paraId="4A4ABF7C" w14:textId="4BA265D2" w:rsidR="00377874" w:rsidRPr="009B221A" w:rsidRDefault="009B221A">
            <w:pPr>
              <w:pStyle w:val="Compact"/>
              <w:jc w:val="right"/>
              <w:rPr>
                <w:rFonts w:ascii="Cambria Math" w:hAnsi="Cambria Math"/>
                <w:oMath/>
              </w:rPr>
            </w:pPr>
            <m:oMathPara>
              <m:oMath>
                <m:r>
                  <w:rPr>
                    <w:rFonts w:ascii="Cambria Math" w:hAnsi="Cambria Math"/>
                  </w:rPr>
                  <m:t>17.8</m:t>
                </m:r>
              </m:oMath>
            </m:oMathPara>
          </w:p>
        </w:tc>
      </w:tr>
      <w:tr w:rsidR="00377874" w14:paraId="3E48C0EB" w14:textId="77777777">
        <w:tc>
          <w:tcPr>
            <w:tcW w:w="0" w:type="auto"/>
          </w:tcPr>
          <w:p w14:paraId="26447BB9" w14:textId="77777777" w:rsidR="00377874" w:rsidRDefault="00000000">
            <w:pPr>
              <w:pStyle w:val="Compact"/>
            </w:pPr>
            <w:r>
              <w:t>Co-curricular/leadership opportunities</w:t>
            </w:r>
          </w:p>
        </w:tc>
        <w:tc>
          <w:tcPr>
            <w:tcW w:w="0" w:type="auto"/>
          </w:tcPr>
          <w:p w14:paraId="2C4B1F5B" w14:textId="2FB1E2F0" w:rsidR="00377874" w:rsidRPr="009B221A" w:rsidRDefault="009B221A">
            <w:pPr>
              <w:pStyle w:val="Compact"/>
              <w:jc w:val="right"/>
              <w:rPr>
                <w:rFonts w:ascii="Cambria Math" w:hAnsi="Cambria Math"/>
                <w:oMath/>
              </w:rPr>
            </w:pPr>
            <m:oMathPara>
              <m:oMath>
                <m:r>
                  <w:rPr>
                    <w:rFonts w:ascii="Cambria Math" w:hAnsi="Cambria Math"/>
                  </w:rPr>
                  <m:t>5</m:t>
                </m:r>
              </m:oMath>
            </m:oMathPara>
          </w:p>
        </w:tc>
        <w:tc>
          <w:tcPr>
            <w:tcW w:w="0" w:type="auto"/>
          </w:tcPr>
          <w:p w14:paraId="58FEB3E8" w14:textId="1E8B0645" w:rsidR="00377874" w:rsidRPr="009B221A" w:rsidRDefault="009B221A">
            <w:pPr>
              <w:pStyle w:val="Compact"/>
              <w:jc w:val="right"/>
              <w:rPr>
                <w:rFonts w:ascii="Cambria Math" w:hAnsi="Cambria Math"/>
                <w:oMath/>
              </w:rPr>
            </w:pPr>
            <m:oMathPara>
              <m:oMath>
                <m:r>
                  <w:rPr>
                    <w:rFonts w:ascii="Cambria Math" w:hAnsi="Cambria Math"/>
                  </w:rPr>
                  <m:t>11.1</m:t>
                </m:r>
              </m:oMath>
            </m:oMathPara>
          </w:p>
        </w:tc>
      </w:tr>
      <w:tr w:rsidR="00377874" w14:paraId="6A8AB3FA" w14:textId="77777777">
        <w:tc>
          <w:tcPr>
            <w:tcW w:w="0" w:type="auto"/>
          </w:tcPr>
          <w:p w14:paraId="081DD7F5" w14:textId="77777777" w:rsidR="00377874" w:rsidRDefault="00000000">
            <w:pPr>
              <w:pStyle w:val="Compact"/>
            </w:pPr>
            <w:r>
              <w:t>Humanities/social sciences &amp; holistic formation</w:t>
            </w:r>
          </w:p>
        </w:tc>
        <w:tc>
          <w:tcPr>
            <w:tcW w:w="0" w:type="auto"/>
          </w:tcPr>
          <w:p w14:paraId="7BF28AA5" w14:textId="797D5C8A" w:rsidR="00377874" w:rsidRPr="009B221A" w:rsidRDefault="009B221A">
            <w:pPr>
              <w:pStyle w:val="Compact"/>
              <w:jc w:val="right"/>
              <w:rPr>
                <w:rFonts w:ascii="Cambria Math" w:hAnsi="Cambria Math"/>
                <w:oMath/>
              </w:rPr>
            </w:pPr>
            <m:oMathPara>
              <m:oMath>
                <m:r>
                  <w:rPr>
                    <w:rFonts w:ascii="Cambria Math" w:hAnsi="Cambria Math"/>
                  </w:rPr>
                  <m:t>5</m:t>
                </m:r>
              </m:oMath>
            </m:oMathPara>
          </w:p>
        </w:tc>
        <w:tc>
          <w:tcPr>
            <w:tcW w:w="0" w:type="auto"/>
          </w:tcPr>
          <w:p w14:paraId="22BDE86F" w14:textId="0AD9631D" w:rsidR="00377874" w:rsidRPr="009B221A" w:rsidRDefault="009B221A">
            <w:pPr>
              <w:pStyle w:val="Compact"/>
              <w:jc w:val="right"/>
              <w:rPr>
                <w:rFonts w:ascii="Cambria Math" w:hAnsi="Cambria Math"/>
                <w:oMath/>
              </w:rPr>
            </w:pPr>
            <m:oMathPara>
              <m:oMath>
                <m:r>
                  <w:rPr>
                    <w:rFonts w:ascii="Cambria Math" w:hAnsi="Cambria Math"/>
                  </w:rPr>
                  <m:t>11.1</m:t>
                </m:r>
              </m:oMath>
            </m:oMathPara>
          </w:p>
        </w:tc>
      </w:tr>
      <w:tr w:rsidR="00377874" w14:paraId="6315A348" w14:textId="77777777">
        <w:tc>
          <w:tcPr>
            <w:tcW w:w="0" w:type="auto"/>
          </w:tcPr>
          <w:p w14:paraId="66276CDD" w14:textId="77777777" w:rsidR="00377874" w:rsidRDefault="00000000">
            <w:pPr>
              <w:pStyle w:val="Compact"/>
            </w:pPr>
            <w:r>
              <w:t>Well-being/mental health &amp; resilience</w:t>
            </w:r>
          </w:p>
        </w:tc>
        <w:tc>
          <w:tcPr>
            <w:tcW w:w="0" w:type="auto"/>
          </w:tcPr>
          <w:p w14:paraId="11883B78" w14:textId="577EBF41" w:rsidR="00377874" w:rsidRPr="009B221A" w:rsidRDefault="009B221A">
            <w:pPr>
              <w:pStyle w:val="Compact"/>
              <w:jc w:val="right"/>
              <w:rPr>
                <w:rFonts w:ascii="Cambria Math" w:hAnsi="Cambria Math"/>
                <w:oMath/>
              </w:rPr>
            </w:pPr>
            <m:oMathPara>
              <m:oMath>
                <m:r>
                  <w:rPr>
                    <w:rFonts w:ascii="Cambria Math" w:hAnsi="Cambria Math"/>
                  </w:rPr>
                  <m:t>3</m:t>
                </m:r>
              </m:oMath>
            </m:oMathPara>
          </w:p>
        </w:tc>
        <w:tc>
          <w:tcPr>
            <w:tcW w:w="0" w:type="auto"/>
          </w:tcPr>
          <w:p w14:paraId="325E34A0" w14:textId="12A02D30" w:rsidR="00377874" w:rsidRPr="009B221A" w:rsidRDefault="009B221A">
            <w:pPr>
              <w:pStyle w:val="Compact"/>
              <w:jc w:val="right"/>
              <w:rPr>
                <w:rFonts w:ascii="Cambria Math" w:hAnsi="Cambria Math"/>
                <w:oMath/>
              </w:rPr>
            </w:pPr>
            <m:oMathPara>
              <m:oMath>
                <m:r>
                  <w:rPr>
                    <w:rFonts w:ascii="Cambria Math" w:hAnsi="Cambria Math"/>
                  </w:rPr>
                  <m:t>6.7</m:t>
                </m:r>
              </m:oMath>
            </m:oMathPara>
          </w:p>
        </w:tc>
      </w:tr>
      <w:tr w:rsidR="00377874" w14:paraId="3F0BAE82" w14:textId="77777777">
        <w:tc>
          <w:tcPr>
            <w:tcW w:w="0" w:type="auto"/>
          </w:tcPr>
          <w:p w14:paraId="5025F418" w14:textId="77777777" w:rsidR="00377874" w:rsidRDefault="00000000">
            <w:pPr>
              <w:pStyle w:val="Compact"/>
            </w:pPr>
            <w:r>
              <w:t>Values/ethics/service formation</w:t>
            </w:r>
          </w:p>
        </w:tc>
        <w:tc>
          <w:tcPr>
            <w:tcW w:w="0" w:type="auto"/>
          </w:tcPr>
          <w:p w14:paraId="5B122EFC" w14:textId="59E1E44F" w:rsidR="00377874" w:rsidRPr="009B221A" w:rsidRDefault="009B221A">
            <w:pPr>
              <w:pStyle w:val="Compact"/>
              <w:jc w:val="right"/>
              <w:rPr>
                <w:rFonts w:ascii="Cambria Math" w:hAnsi="Cambria Math"/>
                <w:oMath/>
              </w:rPr>
            </w:pPr>
            <m:oMathPara>
              <m:oMath>
                <m:r>
                  <w:rPr>
                    <w:rFonts w:ascii="Cambria Math" w:hAnsi="Cambria Math"/>
                  </w:rPr>
                  <m:t>2</m:t>
                </m:r>
              </m:oMath>
            </m:oMathPara>
          </w:p>
        </w:tc>
        <w:tc>
          <w:tcPr>
            <w:tcW w:w="0" w:type="auto"/>
          </w:tcPr>
          <w:p w14:paraId="63A15375" w14:textId="10231CBB" w:rsidR="00377874" w:rsidRPr="009B221A" w:rsidRDefault="009B221A">
            <w:pPr>
              <w:pStyle w:val="Compact"/>
              <w:jc w:val="right"/>
              <w:rPr>
                <w:rFonts w:ascii="Cambria Math" w:hAnsi="Cambria Math"/>
                <w:oMath/>
              </w:rPr>
            </w:pPr>
            <m:oMathPara>
              <m:oMath>
                <m:r>
                  <w:rPr>
                    <w:rFonts w:ascii="Cambria Math" w:hAnsi="Cambria Math"/>
                  </w:rPr>
                  <m:t>4.4</m:t>
                </m:r>
              </m:oMath>
            </m:oMathPara>
          </w:p>
        </w:tc>
      </w:tr>
      <w:tr w:rsidR="00377874" w14:paraId="2BA31E91" w14:textId="77777777">
        <w:tc>
          <w:tcPr>
            <w:tcW w:w="0" w:type="auto"/>
          </w:tcPr>
          <w:p w14:paraId="3E32867F" w14:textId="77777777" w:rsidR="00377874" w:rsidRDefault="00000000">
            <w:pPr>
              <w:pStyle w:val="Compact"/>
            </w:pPr>
            <w:r>
              <w:t>Innovation/entrepreneurship</w:t>
            </w:r>
          </w:p>
        </w:tc>
        <w:tc>
          <w:tcPr>
            <w:tcW w:w="0" w:type="auto"/>
          </w:tcPr>
          <w:p w14:paraId="335E84BD" w14:textId="01E8044F" w:rsidR="00377874" w:rsidRPr="009B221A" w:rsidRDefault="009B221A">
            <w:pPr>
              <w:pStyle w:val="Compact"/>
              <w:jc w:val="right"/>
              <w:rPr>
                <w:rFonts w:ascii="Cambria Math" w:hAnsi="Cambria Math"/>
                <w:oMath/>
              </w:rPr>
            </w:pPr>
            <m:oMathPara>
              <m:oMath>
                <m:r>
                  <w:rPr>
                    <w:rFonts w:ascii="Cambria Math" w:hAnsi="Cambria Math"/>
                  </w:rPr>
                  <m:t>2</m:t>
                </m:r>
              </m:oMath>
            </m:oMathPara>
          </w:p>
        </w:tc>
        <w:tc>
          <w:tcPr>
            <w:tcW w:w="0" w:type="auto"/>
          </w:tcPr>
          <w:p w14:paraId="4C170EE4" w14:textId="5D67F838" w:rsidR="00377874" w:rsidRPr="009B221A" w:rsidRDefault="009B221A">
            <w:pPr>
              <w:pStyle w:val="Compact"/>
              <w:jc w:val="right"/>
              <w:rPr>
                <w:rFonts w:ascii="Cambria Math" w:hAnsi="Cambria Math"/>
                <w:oMath/>
              </w:rPr>
            </w:pPr>
            <m:oMathPara>
              <m:oMath>
                <m:r>
                  <w:rPr>
                    <w:rFonts w:ascii="Cambria Math" w:hAnsi="Cambria Math"/>
                  </w:rPr>
                  <m:t>4.4</m:t>
                </m:r>
              </m:oMath>
            </m:oMathPara>
          </w:p>
        </w:tc>
      </w:tr>
    </w:tbl>
    <w:p w14:paraId="2BD85D12" w14:textId="77777777" w:rsidR="00377874" w:rsidRDefault="00000000">
      <w:pPr>
        <w:pStyle w:val="BodyText"/>
      </w:pPr>
      <w:r>
        <w:t>Illustrative excerpts emphasize communication, interpersonal skills, more laboratory/field exposure, more rigorous computing education (e.g., algorithms), financial literacy (including taxation), and structured opportunities to explore academic/career tracks.</w:t>
      </w:r>
    </w:p>
    <w:p w14:paraId="26773E74" w14:textId="77777777" w:rsidR="00377874" w:rsidRDefault="00000000">
      <w:pPr>
        <w:pStyle w:val="BodyText"/>
      </w:pPr>
      <w:r>
        <w:rPr>
          <w:b/>
          <w:bCs/>
        </w:rPr>
        <w:t>4.4 Alignment with engineering graduate attribute frameworks</w:t>
      </w:r>
      <w:r>
        <w:br/>
        <w:t xml:space="preserve">Across themes, alumni-reported strengths map most directly to engineering outcomes related to problem analysis, experimentation/research, and lifelong learning (ABET, 2025; </w:t>
      </w:r>
      <w:r>
        <w:lastRenderedPageBreak/>
        <w:t>International Engineering Alliance, 2021). In contrast, the most salient gaps correspond to outcomes on communication and teamwork, as well as to broader professional competencies emphasized internationally, such as project management and finance. This pattern suggests that PSHS‑CVisC is perceived as strong in developing cognitive and research dispositions, while alumni recommend additional structured opportunities to practice professional and socio-technical competencies in authentic contexts.</w:t>
      </w:r>
    </w:p>
    <w:p w14:paraId="47A3A37C" w14:textId="77777777" w:rsidR="00377874" w:rsidRDefault="00000000">
      <w:pPr>
        <w:pStyle w:val="BodyText"/>
      </w:pPr>
      <w:r>
        <w:rPr>
          <w:b/>
          <w:bCs/>
        </w:rPr>
        <w:t>5. Discussion</w:t>
      </w:r>
      <w:r>
        <w:br/>
        <w:t>Viewed through ABET and IEA attributes, the tracer results suggest that PSHS‑CVisC is perceived as strong in cognitive and research-oriented competencies (problem analysis, inquiry orientation, and self-directed learning) but comparatively weaker in structured opportunities to practice professional and socio-technical competencies. Three implications follow. First, alumni strongly attribute later success to problem-solving, critical thinking, research orientation, and study habits—foundations that plausibly support later complex problem analysis, experimentation, and lifelong learning. Second, the most frequently requested improvements—communication, teamwork/people skills, practical exposure, and computing/programming—align with outcomes frameworks that position communication and teamwork as core engineering outcomes and emphasize modern tools and inclusive collaboration (ABET, 2025; International Engineering Alliance, 2021). These findings support a shift from treating these competencies as peripheral to integrating them systematically into academic tasks. Third, financial literacy emerged as a notable gap, resonating with international expectations that engineers apply elements of project management and economic decision-making (International Engineering Alliance, 2021). Although secondary schools are not expected to deliver full professional formation, targeted modules (e.g., budgeting for projects, basic taxation, and cost-constrained design decisions) may provide early scaffolding.</w:t>
      </w:r>
    </w:p>
    <w:p w14:paraId="6BC3A07D" w14:textId="77777777" w:rsidR="00377874" w:rsidRDefault="00000000">
      <w:pPr>
        <w:pStyle w:val="BodyText"/>
      </w:pPr>
      <w:r>
        <w:t>Building on these insights, we propose a set of high-impact enhancements that can be implemented within existing constraints: (1) communication across the curriculum through discipline-specific writing and speaking tasks integrated into research and STEM subjects; (2) team-based design-and-research challenges with structured roles, peer evaluation, and leadership rotation; (3) computational thinking integration through programming and data analysis embedded in laboratory and research tasks; (4) authentic exposure through community-engaged STEM projects, industry or university laboratory visits, and mentorship from alumni practitioners; and (5) career guidance through earlier and more explicit orientation to STEM and engineering pathways, including portfolio and interview preparation. Taken together, these changes target the highest-frequency gaps while reinforcing PSHS core values by situating technical learning in service-oriented, ethical, and collaborative practice (Philippine Science High School System, 2024).</w:t>
      </w:r>
    </w:p>
    <w:p w14:paraId="4AF0D073" w14:textId="77777777" w:rsidR="00377874" w:rsidRDefault="00000000">
      <w:pPr>
        <w:pStyle w:val="BodyText"/>
      </w:pPr>
      <w:r>
        <w:rPr>
          <w:b/>
          <w:bCs/>
        </w:rPr>
        <w:t>6. Limitations</w:t>
      </w:r>
      <w:r>
        <w:br/>
        <w:t xml:space="preserve">This analysis is limited by the non-comprehensive and self-selected nature of tracer survey responses. The dataset represents 61 alumni and may not capture the full diversity of PSHS‑CVisC cohorts and pathways. Employment and competency perceptions are self-reported and may be subject to recall bias, especially for earlier cohorts. Qualitative </w:t>
      </w:r>
      <w:r>
        <w:lastRenderedPageBreak/>
        <w:t>coding summarizes theme prevalence but cannot substitute for direct measures of competency performance. Future work can strengthen validity by increasing response rates, incorporating employer perspectives, and triangulating with curriculum artifacts and performance data.</w:t>
      </w:r>
    </w:p>
    <w:p w14:paraId="13799B21" w14:textId="77777777" w:rsidR="00377874" w:rsidRDefault="00000000">
      <w:pPr>
        <w:pStyle w:val="BodyText"/>
      </w:pPr>
      <w:r>
        <w:rPr>
          <w:b/>
          <w:bCs/>
        </w:rPr>
        <w:t>7. Conclusion</w:t>
      </w:r>
      <w:r>
        <w:br/>
        <w:t>PSHS‑CVisC alumni perceive their secondary STEM education as a strong foundation for analytical problem solving, research orientation, and self-directed learning. However, they consistently recommend more structured opportunities to practice communication, teamwork, practical exposure, modern computing tools, and basic finance/life skills. Framed through ABET and IEA outcomes, these findings provide a clear agenda for engineering education-oriented enhancements at the secondary level. Regular tracer study cycles, coupled with explicit outcome mapping, can create a sustainable feedback loop for continuous improvement.</w:t>
      </w:r>
    </w:p>
    <w:p w14:paraId="79F334B9" w14:textId="78AA6610" w:rsidR="00377874" w:rsidRDefault="00000000" w:rsidP="009B221A">
      <w:pPr>
        <w:pStyle w:val="BodyText"/>
      </w:pPr>
      <w:r>
        <w:rPr>
          <w:b/>
          <w:bCs/>
        </w:rPr>
        <w:t>References</w:t>
      </w:r>
      <w:r>
        <w:br/>
        <w:t xml:space="preserve">ABET. (2025). </w:t>
      </w:r>
      <w:r>
        <w:rPr>
          <w:i/>
          <w:iCs/>
        </w:rPr>
        <w:t>Criteria for accrediting engineering programs, 2025–2026.</w:t>
      </w:r>
      <w:r>
        <w:t xml:space="preserve"> ABET Engineering Accreditation Commission.</w:t>
      </w:r>
      <w:r>
        <w:br/>
        <w:t xml:space="preserve">Braun, V., &amp; Clarke, V. (2006). Using thematic analysis in psychology. </w:t>
      </w:r>
      <w:r>
        <w:rPr>
          <w:i/>
          <w:iCs/>
        </w:rPr>
        <w:t>Qualitative Research in Psychology, 3</w:t>
      </w:r>
      <w:r>
        <w:t>(2), 77–101.</w:t>
      </w:r>
      <w:r>
        <w:br/>
        <w:t xml:space="preserve">Creswell, J. W., &amp; Plano Clark, V. L. (2018). </w:t>
      </w:r>
      <w:r>
        <w:rPr>
          <w:i/>
          <w:iCs/>
        </w:rPr>
        <w:t>Designing and conducting mixed methods research</w:t>
      </w:r>
      <w:r>
        <w:t xml:space="preserve"> (3rd ed.). SAGE.</w:t>
      </w:r>
      <w:r>
        <w:br/>
        <w:t xml:space="preserve">International Engineering Alliance. (2021). </w:t>
      </w:r>
      <w:r>
        <w:rPr>
          <w:i/>
          <w:iCs/>
        </w:rPr>
        <w:t>Graduate attributes and professional competencies</w:t>
      </w:r>
      <w:r>
        <w:t xml:space="preserve"> (Version 4, June 21, 2021).</w:t>
      </w:r>
      <w:r>
        <w:br/>
        <w:t>Philippine Science High School System. (2024). PSHS curriculum / PSHS system pages (vision, mission, and core values).</w:t>
      </w:r>
      <w:r>
        <w:br/>
        <w:t xml:space="preserve">Sariah, A., Nathanael, M., Bugomola, M., Sungwa, E., Ndomondo, M., Mika, E., et al. (2025). Bridging training and practice gap: A mixed methods tracer study of bachelor of science in nursing graduates (2016–2020). </w:t>
      </w:r>
      <w:r>
        <w:rPr>
          <w:i/>
          <w:iCs/>
        </w:rPr>
        <w:t>PLOS ONE, 20</w:t>
      </w:r>
      <w:r>
        <w:t>(10), e0333702. https://doi.org/10.1371/journal.pone.0333702</w:t>
      </w:r>
      <w:r>
        <w:br/>
        <w:t>UNESCO</w:t>
      </w:r>
      <w:r>
        <w:rPr>
          <w:rFonts w:ascii="Cambria Math" w:hAnsi="Cambria Math" w:cs="Cambria Math"/>
        </w:rPr>
        <w:t>‑</w:t>
      </w:r>
      <w:r>
        <w:t>UNEVOC. (n.d.). TVETipedia glossary: Tracer study/graduate survey.</w:t>
      </w:r>
      <w:bookmarkStart w:id="3" w:name="citations"/>
      <w:bookmarkEnd w:id="0"/>
      <w:bookmarkEnd w:id="1"/>
      <w:bookmarkEnd w:id="2"/>
      <w:bookmarkEnd w:id="3"/>
    </w:p>
    <w:sectPr w:rsidR="0037787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3C9E" w14:textId="77777777" w:rsidR="00BE6BB3" w:rsidRDefault="00BE6BB3" w:rsidP="009B1C06">
      <w:pPr>
        <w:spacing w:after="0"/>
      </w:pPr>
      <w:r>
        <w:separator/>
      </w:r>
    </w:p>
  </w:endnote>
  <w:endnote w:type="continuationSeparator" w:id="0">
    <w:p w14:paraId="1C4FC5A5" w14:textId="77777777" w:rsidR="00BE6BB3" w:rsidRDefault="00BE6BB3" w:rsidP="009B1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607A" w14:textId="77777777" w:rsidR="00BE6BB3" w:rsidRDefault="00BE6BB3" w:rsidP="009B1C06">
      <w:pPr>
        <w:spacing w:after="0"/>
      </w:pPr>
      <w:r>
        <w:separator/>
      </w:r>
    </w:p>
  </w:footnote>
  <w:footnote w:type="continuationSeparator" w:id="0">
    <w:p w14:paraId="229F8B19" w14:textId="77777777" w:rsidR="00BE6BB3" w:rsidRDefault="00BE6BB3" w:rsidP="009B1C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8DA66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7A0C00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511264682">
    <w:abstractNumId w:val="0"/>
  </w:num>
  <w:num w:numId="2" w16cid:durableId="915630956">
    <w:abstractNumId w:val="1"/>
  </w:num>
  <w:num w:numId="3" w16cid:durableId="1712345011">
    <w:abstractNumId w:val="1"/>
  </w:num>
  <w:num w:numId="4" w16cid:durableId="740563386">
    <w:abstractNumId w:val="1"/>
  </w:num>
  <w:num w:numId="5" w16cid:durableId="1634093629">
    <w:abstractNumId w:val="1"/>
  </w:num>
  <w:num w:numId="6" w16cid:durableId="1330871132">
    <w:abstractNumId w:val="1"/>
  </w:num>
  <w:num w:numId="7" w16cid:durableId="1335648576">
    <w:abstractNumId w:val="1"/>
  </w:num>
  <w:num w:numId="8" w16cid:durableId="1073355426">
    <w:abstractNumId w:val="1"/>
  </w:num>
  <w:num w:numId="9" w16cid:durableId="1928879495">
    <w:abstractNumId w:val="1"/>
  </w:num>
  <w:num w:numId="10" w16cid:durableId="75522586">
    <w:abstractNumId w:val="1"/>
  </w:num>
  <w:num w:numId="11" w16cid:durableId="279537224">
    <w:abstractNumId w:val="1"/>
  </w:num>
  <w:num w:numId="12" w16cid:durableId="1160274559">
    <w:abstractNumId w:val="1"/>
  </w:num>
  <w:num w:numId="13" w16cid:durableId="53492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2NTE3NTQ2MDAzNDNQ0lEKTi0uzszPAykwrAUAOfyrriwAAAA="/>
  </w:docVars>
  <w:rsids>
    <w:rsidRoot w:val="00377874"/>
    <w:rsid w:val="00127F4A"/>
    <w:rsid w:val="00193C25"/>
    <w:rsid w:val="001E4DF9"/>
    <w:rsid w:val="00377874"/>
    <w:rsid w:val="004968DD"/>
    <w:rsid w:val="008D43E7"/>
    <w:rsid w:val="009B1C06"/>
    <w:rsid w:val="009B221A"/>
    <w:rsid w:val="00BE6BB3"/>
    <w:rsid w:val="00F6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D362"/>
  <w15:docId w15:val="{4A178C37-A527-4C04-8C84-8E348627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PlaceholderText">
    <w:name w:val="Placeholder Text"/>
    <w:basedOn w:val="DefaultParagraphFont"/>
    <w:rsid w:val="009B1C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17EF-E7C8-4695-945F-2BC38808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Louie Lariosa</dc:creator>
  <cp:keywords/>
  <cp:lastModifiedBy>Bonifacio Algones</cp:lastModifiedBy>
  <cp:revision>5</cp:revision>
  <dcterms:created xsi:type="dcterms:W3CDTF">2026-02-12T07:32:00Z</dcterms:created>
  <dcterms:modified xsi:type="dcterms:W3CDTF">2026-02-18T06:39:00Z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a3c3dd58-6c5c-488a-8849-f7f101d417b9</vt:lpwstr>
  </property>
</Properties>
</file>