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8A3DA" w14:textId="77777777" w:rsidR="0047669C" w:rsidRPr="0047669C" w:rsidRDefault="0047669C" w:rsidP="0047669C">
      <w:pPr>
        <w:spacing w:after="0" w:line="240" w:lineRule="auto"/>
        <w:jc w:val="center"/>
        <w:rPr>
          <w:rFonts w:ascii="Times New Roman" w:hAnsi="Times New Roman" w:cs="Times New Roman"/>
          <w:b/>
          <w:bCs/>
          <w:sz w:val="36"/>
          <w:szCs w:val="36"/>
          <w:lang w:val="en-US"/>
        </w:rPr>
      </w:pPr>
      <w:r w:rsidRPr="0047669C">
        <w:rPr>
          <w:rFonts w:ascii="Times New Roman" w:hAnsi="Times New Roman" w:cs="Times New Roman"/>
          <w:b/>
          <w:bCs/>
          <w:sz w:val="36"/>
          <w:szCs w:val="36"/>
          <w:lang w:val="en-US"/>
        </w:rPr>
        <w:t>Revealing the Challenges: The Experiences and Hesitance of Senior High School Students Concerning the Filipino Subject</w:t>
      </w:r>
    </w:p>
    <w:p w14:paraId="1E2FAC42" w14:textId="1B046127" w:rsidR="00475C09" w:rsidRPr="00D95BE8" w:rsidRDefault="00475C09" w:rsidP="0047401E">
      <w:pPr>
        <w:spacing w:after="0" w:line="240" w:lineRule="auto"/>
        <w:jc w:val="center"/>
        <w:rPr>
          <w:rFonts w:ascii="Times New Roman" w:hAnsi="Times New Roman" w:cs="Times New Roman"/>
          <w:b/>
          <w:bCs/>
          <w:sz w:val="24"/>
          <w:szCs w:val="24"/>
        </w:rPr>
      </w:pPr>
      <w:r w:rsidRPr="00D95BE8">
        <w:rPr>
          <w:rFonts w:ascii="Times New Roman" w:hAnsi="Times New Roman" w:cs="Times New Roman"/>
          <w:b/>
          <w:bCs/>
          <w:sz w:val="24"/>
          <w:szCs w:val="24"/>
        </w:rPr>
        <w:t>Loren S. Rule and *Dr. James L. Paglinawan</w:t>
      </w:r>
    </w:p>
    <w:p w14:paraId="1A21F364" w14:textId="5FE72AFC" w:rsidR="00B26130" w:rsidRDefault="00475C09" w:rsidP="0047401E">
      <w:pPr>
        <w:spacing w:after="0" w:line="240" w:lineRule="auto"/>
        <w:jc w:val="center"/>
        <w:rPr>
          <w:rFonts w:ascii="Times New Roman" w:hAnsi="Times New Roman" w:cs="Times New Roman"/>
          <w:b/>
          <w:bCs/>
          <w:sz w:val="24"/>
          <w:szCs w:val="24"/>
        </w:rPr>
      </w:pPr>
      <w:r w:rsidRPr="00D95BE8">
        <w:rPr>
          <w:rFonts w:ascii="Times New Roman" w:hAnsi="Times New Roman" w:cs="Times New Roman"/>
          <w:b/>
          <w:bCs/>
          <w:sz w:val="24"/>
          <w:szCs w:val="24"/>
        </w:rPr>
        <w:t>¹</w:t>
      </w:r>
      <w:r w:rsidR="00B26130" w:rsidRPr="00B26130">
        <w:rPr>
          <w:rFonts w:ascii="Times New Roman" w:hAnsi="Times New Roman" w:cs="Times New Roman"/>
          <w:b/>
          <w:bCs/>
          <w:sz w:val="24"/>
          <w:szCs w:val="24"/>
        </w:rPr>
        <w:t>1Department of Education, Division of Malaybalay City, Bukidnon National High School, Bukidnon, Philippines</w:t>
      </w:r>
    </w:p>
    <w:p w14:paraId="09DE9002" w14:textId="13503F26" w:rsidR="00475C09" w:rsidRPr="00D95BE8" w:rsidRDefault="00475C09" w:rsidP="0047401E">
      <w:pPr>
        <w:spacing w:after="0" w:line="240" w:lineRule="auto"/>
        <w:jc w:val="center"/>
        <w:rPr>
          <w:rFonts w:ascii="Times New Roman" w:hAnsi="Times New Roman" w:cs="Times New Roman"/>
          <w:b/>
          <w:bCs/>
          <w:sz w:val="24"/>
          <w:szCs w:val="24"/>
        </w:rPr>
      </w:pPr>
      <w:r w:rsidRPr="00D95BE8">
        <w:rPr>
          <w:rFonts w:ascii="Times New Roman" w:hAnsi="Times New Roman" w:cs="Times New Roman"/>
          <w:b/>
          <w:bCs/>
          <w:sz w:val="24"/>
          <w:szCs w:val="24"/>
        </w:rPr>
        <w:t>²Associate Professor</w:t>
      </w:r>
      <w:r w:rsidR="002267B6">
        <w:rPr>
          <w:rFonts w:ascii="Times New Roman" w:hAnsi="Times New Roman" w:cs="Times New Roman"/>
          <w:b/>
          <w:bCs/>
          <w:sz w:val="24"/>
          <w:szCs w:val="24"/>
        </w:rPr>
        <w:t xml:space="preserve"> IV</w:t>
      </w:r>
      <w:r w:rsidRPr="00D95BE8">
        <w:rPr>
          <w:rFonts w:ascii="Times New Roman" w:hAnsi="Times New Roman" w:cs="Times New Roman"/>
          <w:b/>
          <w:bCs/>
          <w:sz w:val="24"/>
          <w:szCs w:val="24"/>
        </w:rPr>
        <w:t xml:space="preserve">, Central Mindanao University, </w:t>
      </w:r>
      <w:proofErr w:type="spellStart"/>
      <w:r w:rsidRPr="00D95BE8">
        <w:rPr>
          <w:rFonts w:ascii="Times New Roman" w:hAnsi="Times New Roman" w:cs="Times New Roman"/>
          <w:b/>
          <w:bCs/>
          <w:sz w:val="24"/>
          <w:szCs w:val="24"/>
        </w:rPr>
        <w:t>Musuan</w:t>
      </w:r>
      <w:proofErr w:type="spellEnd"/>
      <w:r w:rsidRPr="00D95BE8">
        <w:rPr>
          <w:rFonts w:ascii="Times New Roman" w:hAnsi="Times New Roman" w:cs="Times New Roman"/>
          <w:b/>
          <w:bCs/>
          <w:sz w:val="24"/>
          <w:szCs w:val="24"/>
        </w:rPr>
        <w:t>, Maramag, Bukidnon 8714, Philippines</w:t>
      </w:r>
    </w:p>
    <w:p w14:paraId="04B808DC" w14:textId="108E811D" w:rsidR="00CB6CE2" w:rsidRPr="00B26130" w:rsidRDefault="00475C09" w:rsidP="00B26130">
      <w:pPr>
        <w:spacing w:after="0" w:line="240" w:lineRule="auto"/>
        <w:jc w:val="center"/>
        <w:rPr>
          <w:rFonts w:ascii="Times New Roman" w:hAnsi="Times New Roman" w:cs="Times New Roman"/>
          <w:b/>
          <w:bCs/>
          <w:sz w:val="24"/>
          <w:szCs w:val="24"/>
        </w:rPr>
      </w:pPr>
      <w:r w:rsidRPr="00D95BE8">
        <w:rPr>
          <w:rFonts w:ascii="Times New Roman" w:hAnsi="Times New Roman" w:cs="Times New Roman"/>
          <w:b/>
          <w:bCs/>
          <w:sz w:val="24"/>
          <w:szCs w:val="24"/>
        </w:rPr>
        <w:t>*Corresponding Author</w:t>
      </w:r>
    </w:p>
    <w:p w14:paraId="4C62B0D3" w14:textId="77777777" w:rsidR="00B20433" w:rsidRPr="005715EF" w:rsidRDefault="00475C09" w:rsidP="00D95BE8">
      <w:pPr>
        <w:tabs>
          <w:tab w:val="left" w:pos="1530"/>
        </w:tabs>
        <w:spacing w:before="240" w:line="240" w:lineRule="auto"/>
        <w:jc w:val="both"/>
        <w:rPr>
          <w:rFonts w:ascii="Times New Roman" w:hAnsi="Times New Roman" w:cs="Times New Roman"/>
          <w:b/>
          <w:bCs/>
          <w:sz w:val="24"/>
          <w:szCs w:val="24"/>
        </w:rPr>
      </w:pPr>
      <w:r w:rsidRPr="005715EF">
        <w:rPr>
          <w:rFonts w:ascii="Times New Roman" w:hAnsi="Times New Roman" w:cs="Times New Roman"/>
          <w:b/>
          <w:bCs/>
          <w:sz w:val="24"/>
          <w:szCs w:val="24"/>
        </w:rPr>
        <w:t>ABSTRACT</w:t>
      </w:r>
    </w:p>
    <w:p w14:paraId="329E53A0" w14:textId="77777777" w:rsidR="005715EF" w:rsidRPr="005715EF" w:rsidRDefault="005715EF" w:rsidP="005715EF">
      <w:pPr>
        <w:tabs>
          <w:tab w:val="left" w:pos="1530"/>
        </w:tabs>
        <w:spacing w:before="240" w:line="240" w:lineRule="auto"/>
        <w:jc w:val="both"/>
        <w:rPr>
          <w:rFonts w:ascii="Times New Roman" w:hAnsi="Times New Roman" w:cs="Times New Roman"/>
          <w:sz w:val="24"/>
          <w:szCs w:val="24"/>
          <w:lang w:val="en-US"/>
        </w:rPr>
      </w:pPr>
      <w:r w:rsidRPr="005715EF">
        <w:rPr>
          <w:rFonts w:ascii="Times New Roman" w:hAnsi="Times New Roman" w:cs="Times New Roman"/>
          <w:sz w:val="24"/>
          <w:szCs w:val="24"/>
          <w:lang w:val="en-US"/>
        </w:rPr>
        <w:t>This qualitative study explored the lived experiences and reluctance of senior high school students toward the Filipino subject within a multilingual educational context in the Philippines. The primary objective was to uncover the underlying causes of student disengagement and hesitance, identify specific struggles faced in learning Filipino, and understand the coping strategies students employ. Conducted at Bukidnon National High School, the research involved 15 purposively selected students who completed open-ended questionnaires about their experiences, difficulties, and advice for peers. Thematic analysis was used to systematically code and group responses, revealing broad patterns in students’ attitudes and challenges. Trustworthiness was assured through triangulation and member checking, while ethical protocols ensured confidentiality and informed consent.</w:t>
      </w:r>
    </w:p>
    <w:p w14:paraId="7EFAFA96" w14:textId="77777777" w:rsidR="005715EF" w:rsidRPr="005715EF" w:rsidRDefault="005715EF" w:rsidP="005715EF">
      <w:pPr>
        <w:tabs>
          <w:tab w:val="left" w:pos="1530"/>
        </w:tabs>
        <w:spacing w:before="240" w:line="240" w:lineRule="auto"/>
        <w:jc w:val="both"/>
        <w:rPr>
          <w:rFonts w:ascii="Times New Roman" w:hAnsi="Times New Roman" w:cs="Times New Roman"/>
          <w:sz w:val="24"/>
          <w:szCs w:val="24"/>
          <w:lang w:val="en-US"/>
        </w:rPr>
      </w:pPr>
      <w:r w:rsidRPr="005715EF">
        <w:rPr>
          <w:rFonts w:ascii="Times New Roman" w:hAnsi="Times New Roman" w:cs="Times New Roman"/>
          <w:sz w:val="24"/>
          <w:szCs w:val="24"/>
          <w:lang w:val="en-US"/>
        </w:rPr>
        <w:t>The results highlighted four key themes: teacher-related issues, language difficulty, lack of interest and motivation, and student coping strategies. Teacher-related problems, such as absenteeism, unclear explanations, and unfair grading, were reported by 80% of respondents as major demotivators. Linguistic challenges, including complex vocabulary and the dominance of English, were cited by 93% of students as significant barriers. Additionally, 73% of students expressed a lack of intrinsic motivation or preference for English over Filipino. Despite these obstacles, all participants demonstrated resilience through self-regulated learning strategies, such as using Filipino media, consulting dictionaries, and collaborating with peers.</w:t>
      </w:r>
    </w:p>
    <w:p w14:paraId="7D6C480C" w14:textId="77777777" w:rsidR="005715EF" w:rsidRPr="005715EF" w:rsidRDefault="005715EF" w:rsidP="005715EF">
      <w:pPr>
        <w:tabs>
          <w:tab w:val="left" w:pos="1530"/>
        </w:tabs>
        <w:spacing w:before="240" w:line="240" w:lineRule="auto"/>
        <w:jc w:val="both"/>
        <w:rPr>
          <w:rFonts w:ascii="Times New Roman" w:hAnsi="Times New Roman" w:cs="Times New Roman"/>
          <w:sz w:val="24"/>
          <w:szCs w:val="24"/>
          <w:lang w:val="en-US"/>
        </w:rPr>
      </w:pPr>
      <w:r w:rsidRPr="005715EF">
        <w:rPr>
          <w:rFonts w:ascii="Times New Roman" w:hAnsi="Times New Roman" w:cs="Times New Roman"/>
          <w:sz w:val="24"/>
          <w:szCs w:val="24"/>
          <w:lang w:val="en-US"/>
        </w:rPr>
        <w:t>The study concludes that student reluctance toward the Filipino subject stems from a complex interplay of instructional, linguistic, and attitudinal factors. Addressing these challenges requires improvements in teaching quality, enhanced vocabulary support, and strategies to foster motivation and cultural relevance. The findings provide valuable insights for curriculum developers and educators aiming to bridge the gap between student interest and Filipino language acquisition, ultimately revitalizing engagement and proficiency in the national language.</w:t>
      </w:r>
    </w:p>
    <w:p w14:paraId="3DBCECE3" w14:textId="0E03EC89" w:rsidR="00B20433" w:rsidRPr="00D95BE8" w:rsidRDefault="00B20433" w:rsidP="00D95BE8">
      <w:pPr>
        <w:tabs>
          <w:tab w:val="left" w:pos="1530"/>
        </w:tabs>
        <w:spacing w:before="240" w:line="240" w:lineRule="auto"/>
        <w:jc w:val="both"/>
        <w:rPr>
          <w:rFonts w:ascii="Times New Roman" w:hAnsi="Times New Roman" w:cs="Times New Roman"/>
          <w:sz w:val="24"/>
          <w:szCs w:val="24"/>
        </w:rPr>
      </w:pPr>
      <w:r w:rsidRPr="00D95BE8">
        <w:rPr>
          <w:rFonts w:ascii="Times New Roman" w:hAnsi="Times New Roman" w:cs="Times New Roman"/>
          <w:b/>
          <w:bCs/>
          <w:sz w:val="24"/>
          <w:szCs w:val="24"/>
        </w:rPr>
        <w:t>Keywords:</w:t>
      </w:r>
      <w:r w:rsidRPr="00D95BE8">
        <w:rPr>
          <w:rFonts w:ascii="Times New Roman" w:hAnsi="Times New Roman" w:cs="Times New Roman"/>
          <w:sz w:val="24"/>
          <w:szCs w:val="24"/>
        </w:rPr>
        <w:t xml:space="preserve"> </w:t>
      </w:r>
      <w:r w:rsidR="00DE333B" w:rsidRPr="00D95BE8">
        <w:rPr>
          <w:rFonts w:ascii="Times New Roman" w:hAnsi="Times New Roman" w:cs="Times New Roman"/>
          <w:sz w:val="24"/>
          <w:szCs w:val="24"/>
        </w:rPr>
        <w:t xml:space="preserve">lived experiences, student </w:t>
      </w:r>
      <w:r w:rsidR="006929E2">
        <w:rPr>
          <w:rFonts w:ascii="Times New Roman" w:hAnsi="Times New Roman" w:cs="Times New Roman"/>
          <w:sz w:val="24"/>
          <w:szCs w:val="24"/>
        </w:rPr>
        <w:t>hesitance</w:t>
      </w:r>
      <w:r w:rsidR="00DE333B" w:rsidRPr="00D95BE8">
        <w:rPr>
          <w:rFonts w:ascii="Times New Roman" w:hAnsi="Times New Roman" w:cs="Times New Roman"/>
          <w:sz w:val="24"/>
          <w:szCs w:val="24"/>
        </w:rPr>
        <w:t>, Filipino subject,</w:t>
      </w:r>
      <w:r w:rsidR="005653A2" w:rsidRPr="00D95BE8">
        <w:rPr>
          <w:rFonts w:ascii="Times New Roman" w:hAnsi="Times New Roman" w:cs="Times New Roman"/>
          <w:sz w:val="24"/>
          <w:szCs w:val="24"/>
        </w:rPr>
        <w:t xml:space="preserve"> </w:t>
      </w:r>
      <w:r w:rsidR="00DE333B" w:rsidRPr="00D95BE8">
        <w:rPr>
          <w:rFonts w:ascii="Times New Roman" w:hAnsi="Times New Roman" w:cs="Times New Roman"/>
          <w:sz w:val="24"/>
          <w:szCs w:val="24"/>
        </w:rPr>
        <w:t>senior high school, thematic analysis</w:t>
      </w:r>
      <w:r w:rsidR="005653A2" w:rsidRPr="00D95BE8">
        <w:rPr>
          <w:rFonts w:ascii="Times New Roman" w:hAnsi="Times New Roman" w:cs="Times New Roman"/>
          <w:sz w:val="24"/>
          <w:szCs w:val="24"/>
        </w:rPr>
        <w:t>.</w:t>
      </w:r>
    </w:p>
    <w:p w14:paraId="263ABDA9" w14:textId="7CA420DC" w:rsidR="000F5BE8" w:rsidRPr="005715EF" w:rsidRDefault="00303DBE" w:rsidP="005715EF">
      <w:pPr>
        <w:tabs>
          <w:tab w:val="left" w:pos="1530"/>
        </w:tabs>
        <w:spacing w:before="240" w:line="240" w:lineRule="auto"/>
        <w:rPr>
          <w:rFonts w:ascii="Times New Roman" w:hAnsi="Times New Roman" w:cs="Times New Roman"/>
          <w:b/>
          <w:bCs/>
          <w:sz w:val="28"/>
          <w:szCs w:val="28"/>
        </w:rPr>
      </w:pPr>
      <w:r w:rsidRPr="005715EF">
        <w:rPr>
          <w:rFonts w:ascii="Times New Roman" w:hAnsi="Times New Roman" w:cs="Times New Roman"/>
          <w:b/>
          <w:bCs/>
          <w:sz w:val="28"/>
          <w:szCs w:val="28"/>
        </w:rPr>
        <w:t>INTRODUCTION</w:t>
      </w:r>
    </w:p>
    <w:p w14:paraId="2B22AC08" w14:textId="6A50C5E2" w:rsidR="000F5BE8" w:rsidRPr="00D95BE8" w:rsidRDefault="000F5BE8"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Language education remains a vital component of the Philippine educational system, with the Filipino subject intended to foster national identity and effective communication skills among students. However, recent evidence demonstrates persistent challenges in Filipino language learning, particularly among senior high school students who exhibit reluctance and disengagement toward the subject. The lived experiences of students reveal multiple contributing factors, including ineffective teaching methods, limited vocabulary, complex language terms, and a general lack of motivation or appreciation for the Filipino language. For instance, students report that teachers who are frequently absent, use fast and unclear explanations, and emphasize oral recitations create barriers to learning, leading to diminished interest and confidence in using Filipino. Furthermore, linguistic challenges such as difficulty understanding deep vocabulary, lack of practice in speaking Filipino, and the dominance of English in academic and social contexts exacerbate students’ struggles.</w:t>
      </w:r>
    </w:p>
    <w:p w14:paraId="6C2E8C0A" w14:textId="77777777" w:rsidR="000F5BE8" w:rsidRPr="00D95BE8" w:rsidRDefault="000F5BE8"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 xml:space="preserve">These challenges in Filipino language proficiency are corroborated by local research. Nacario and </w:t>
      </w:r>
      <w:proofErr w:type="spellStart"/>
      <w:r w:rsidRPr="00D95BE8">
        <w:rPr>
          <w:rFonts w:ascii="Times New Roman" w:hAnsi="Times New Roman" w:cs="Times New Roman"/>
          <w:sz w:val="24"/>
          <w:szCs w:val="24"/>
          <w:lang w:val="en-US"/>
        </w:rPr>
        <w:t>Orobia</w:t>
      </w:r>
      <w:proofErr w:type="spellEnd"/>
      <w:r w:rsidRPr="00D95BE8">
        <w:rPr>
          <w:rFonts w:ascii="Times New Roman" w:hAnsi="Times New Roman" w:cs="Times New Roman"/>
          <w:sz w:val="24"/>
          <w:szCs w:val="24"/>
          <w:lang w:val="en-US"/>
        </w:rPr>
        <w:t xml:space="preserve"> (2025) found that Filipino language proficiency directly influences academic performance among senior high school learners, emphasizing the need for improved language instruction. Similarly, Castulo et al. (2025) highlighted systemic challenges faced by education students in the Philippines, underscoring the importance of strategic interventions in language education. International studies echo these findings; </w:t>
      </w:r>
      <w:proofErr w:type="spellStart"/>
      <w:r w:rsidRPr="00D95BE8">
        <w:rPr>
          <w:rFonts w:ascii="Times New Roman" w:hAnsi="Times New Roman" w:cs="Times New Roman"/>
          <w:sz w:val="24"/>
          <w:szCs w:val="24"/>
          <w:lang w:val="en-US"/>
        </w:rPr>
        <w:t>Garganera</w:t>
      </w:r>
      <w:proofErr w:type="spellEnd"/>
      <w:r w:rsidRPr="00D95BE8">
        <w:rPr>
          <w:rFonts w:ascii="Times New Roman" w:hAnsi="Times New Roman" w:cs="Times New Roman"/>
          <w:sz w:val="24"/>
          <w:szCs w:val="24"/>
          <w:lang w:val="en-US"/>
        </w:rPr>
        <w:t xml:space="preserve"> (2025) </w:t>
      </w:r>
      <w:r w:rsidRPr="00D95BE8">
        <w:rPr>
          <w:rFonts w:ascii="Times New Roman" w:hAnsi="Times New Roman" w:cs="Times New Roman"/>
          <w:sz w:val="24"/>
          <w:szCs w:val="24"/>
          <w:lang w:val="en-US"/>
        </w:rPr>
        <w:lastRenderedPageBreak/>
        <w:t>identified the impact of cultural and pedagogical factors on teaching Filipino phonemic awareness, noting that language anxiety and insufficient vocabulary negatively affect motivation and learning outcomes.</w:t>
      </w:r>
    </w:p>
    <w:p w14:paraId="56EE212D" w14:textId="0DD38B8C" w:rsidR="000F5BE8" w:rsidRPr="00D95BE8" w:rsidRDefault="000F5BE8" w:rsidP="00D95BE8">
      <w:pPr>
        <w:tabs>
          <w:tab w:val="left" w:pos="1530"/>
        </w:tabs>
        <w:spacing w:before="240" w:line="240" w:lineRule="auto"/>
        <w:ind w:firstLine="36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Collectively, these studies and student voices underscore a significant gap in current Filipino language education: the need for more effective teaching strategies, vocabulary development, and motivational support to enhance students’ engagement and mastery of the language. Addressing these gaps is essential to revitalize the Filipino subject and ensure it fulfills its role in nurturing linguistic competence and cultural identity among Filipino youth.</w:t>
      </w:r>
    </w:p>
    <w:p w14:paraId="28BF8C3B" w14:textId="13DD9D7B" w:rsidR="000F5BE8" w:rsidRPr="005715EF" w:rsidRDefault="00303DBE" w:rsidP="005715EF">
      <w:pPr>
        <w:tabs>
          <w:tab w:val="left" w:pos="1530"/>
        </w:tabs>
        <w:spacing w:before="240" w:line="240" w:lineRule="auto"/>
        <w:rPr>
          <w:rFonts w:ascii="Times New Roman" w:hAnsi="Times New Roman" w:cs="Times New Roman"/>
          <w:b/>
          <w:bCs/>
          <w:sz w:val="28"/>
          <w:szCs w:val="28"/>
        </w:rPr>
      </w:pPr>
      <w:r w:rsidRPr="005715EF">
        <w:rPr>
          <w:rFonts w:ascii="Times New Roman" w:hAnsi="Times New Roman" w:cs="Times New Roman"/>
          <w:b/>
          <w:bCs/>
          <w:sz w:val="28"/>
          <w:szCs w:val="28"/>
        </w:rPr>
        <w:t>RESEARCH QUESTIONS</w:t>
      </w:r>
    </w:p>
    <w:p w14:paraId="649C4341" w14:textId="1B5ADEB6"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xml:space="preserve">What are the reasons why students lose interest in the Filipino subject? </w:t>
      </w:r>
    </w:p>
    <w:p w14:paraId="59CCFE90" w14:textId="1BF1D746"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xml:space="preserve">What struggles do students experience in the Filipino subject? </w:t>
      </w:r>
    </w:p>
    <w:p w14:paraId="284EAE02" w14:textId="36B4A854"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How do students overcome or deal with these struggles?</w:t>
      </w:r>
    </w:p>
    <w:p w14:paraId="49E4BC4A" w14:textId="77777777" w:rsidR="002D0CC3" w:rsidRPr="00D95BE8" w:rsidRDefault="002D0CC3" w:rsidP="00D95BE8">
      <w:pPr>
        <w:numPr>
          <w:ilvl w:val="0"/>
          <w:numId w:val="1"/>
        </w:numPr>
        <w:shd w:val="clear" w:color="auto" w:fill="FFFFFF"/>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What advice can students give to their fellow students to help improve their learning in the Filipino subject?</w:t>
      </w:r>
    </w:p>
    <w:p w14:paraId="109F252C" w14:textId="6A489742" w:rsidR="00905543" w:rsidRPr="005715EF" w:rsidRDefault="002D0CC3" w:rsidP="005715EF">
      <w:pPr>
        <w:shd w:val="clear" w:color="auto" w:fill="FFFFFF"/>
        <w:tabs>
          <w:tab w:val="left" w:pos="1530"/>
        </w:tabs>
        <w:spacing w:before="240" w:after="100" w:afterAutospacing="1" w:line="240" w:lineRule="auto"/>
        <w:rPr>
          <w:rFonts w:ascii="Times New Roman" w:eastAsia="Times New Roman" w:hAnsi="Times New Roman" w:cs="Times New Roman"/>
          <w:b/>
          <w:bCs/>
          <w:kern w:val="0"/>
          <w:sz w:val="28"/>
          <w:szCs w:val="28"/>
          <w:lang w:val="en-US"/>
          <w14:ligatures w14:val="none"/>
        </w:rPr>
      </w:pPr>
      <w:r w:rsidRPr="005715EF">
        <w:rPr>
          <w:rFonts w:ascii="Times New Roman" w:hAnsi="Times New Roman" w:cs="Times New Roman"/>
          <w:b/>
          <w:bCs/>
          <w:sz w:val="28"/>
          <w:szCs w:val="28"/>
        </w:rPr>
        <w:t>METHODOLOGY</w:t>
      </w:r>
    </w:p>
    <w:p w14:paraId="571927EC" w14:textId="72A0A3F0" w:rsidR="00905543"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xml:space="preserve">This study utilized a qualitative research design to explore the lived experiences and reluctance of senior high school students toward the Filipino subject. Qualitative research is well-suited for gaining </w:t>
      </w:r>
      <w:r w:rsidR="003F3E4B" w:rsidRPr="00D95BE8">
        <w:rPr>
          <w:rFonts w:ascii="Times New Roman" w:eastAsia="Times New Roman" w:hAnsi="Times New Roman" w:cs="Times New Roman"/>
          <w:kern w:val="0"/>
          <w:sz w:val="24"/>
          <w:szCs w:val="24"/>
          <w:lang w:val="en-US"/>
          <w14:ligatures w14:val="none"/>
        </w:rPr>
        <w:t xml:space="preserve">an </w:t>
      </w:r>
      <w:r w:rsidRPr="00D95BE8">
        <w:rPr>
          <w:rFonts w:ascii="Times New Roman" w:eastAsia="Times New Roman" w:hAnsi="Times New Roman" w:cs="Times New Roman"/>
          <w:kern w:val="0"/>
          <w:sz w:val="24"/>
          <w:szCs w:val="24"/>
          <w:lang w:val="en-US"/>
          <w14:ligatures w14:val="none"/>
        </w:rPr>
        <w:t>in-depth understanding of participants’ perspectives and meanings within their natural context (Creswell &amp; Poth, 2018). The research was conducted at Bukidnon National High School, involving 15 senior high school students as participants. These students were purposively selected to provide rich, detailed accounts of their experiences with the Filipino subject.</w:t>
      </w:r>
    </w:p>
    <w:p w14:paraId="7B1D75AD" w14:textId="77777777" w:rsidR="00905543"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Data were collected through open-ended questionnaires designed to elicit comprehensive responses about the reasons for their lack of interest in Filipino, the difficulties they encountered, their coping mechanisms, and advice for fellow students. The questionnaire allowed participants to freely express their thoughts and feelings, facilitating the capture of nuanced insights into their attitudes and challenges.</w:t>
      </w:r>
    </w:p>
    <w:p w14:paraId="7A162A57" w14:textId="77777777" w:rsidR="003F3E4B"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The textual data gathered were analyzed using thematic analysis, a systematic method for identifying and interpreting patterns or themes within qualitative data (Braun &amp; Clarke, 2022). Through this process, initial codes were generated from the responses, which were then grouped into broader themes that reflect the multifaceted nature of students’ reluctance and engagement with the Filipino subject.</w:t>
      </w:r>
    </w:p>
    <w:p w14:paraId="747DF37C" w14:textId="4C768697" w:rsidR="00905543"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To enhance the trustworthiness and credibility of the findings, triangulation was employed by comparing responses across all participants, ensuring consistency and depth. Additionally, member checking was conducted, wherein participants were invited to review the emerging themes to validate the interpretations made by the researchers (Lincoln &amp; Guba, 1985). Ethical protocols were strictly followed, including obtaining informed consent, ensuring participant anonymity, and maintaining confidentiality throughout the study.</w:t>
      </w:r>
    </w:p>
    <w:p w14:paraId="4BEC8329" w14:textId="4B48F0BD" w:rsidR="00905543" w:rsidRPr="00D95BE8" w:rsidRDefault="00905543" w:rsidP="00D95BE8">
      <w:pPr>
        <w:tabs>
          <w:tab w:val="left" w:pos="1530"/>
        </w:tabs>
        <w:spacing w:before="240" w:after="100" w:afterAutospacing="1" w:line="240" w:lineRule="auto"/>
        <w:ind w:firstLine="360"/>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This methodological approach provided a comprehensive and contextually grounded understanding of the challenges faced by senior high school students at Bukidnon National High School and offers valuable insights for improving Filipino language education.</w:t>
      </w:r>
    </w:p>
    <w:p w14:paraId="41FC62C7" w14:textId="1821C173" w:rsidR="00CE58AD" w:rsidRPr="001E6B25" w:rsidRDefault="00CE58AD" w:rsidP="001E6B25">
      <w:pPr>
        <w:shd w:val="clear" w:color="auto" w:fill="FFFFFF"/>
        <w:tabs>
          <w:tab w:val="left" w:pos="1530"/>
        </w:tabs>
        <w:spacing w:before="240" w:after="100" w:afterAutospacing="1" w:line="240" w:lineRule="auto"/>
        <w:rPr>
          <w:rFonts w:ascii="Times New Roman" w:eastAsia="Times New Roman" w:hAnsi="Times New Roman" w:cs="Times New Roman"/>
          <w:b/>
          <w:bCs/>
          <w:kern w:val="0"/>
          <w:sz w:val="28"/>
          <w:szCs w:val="28"/>
          <w:lang w:val="en-US"/>
          <w14:ligatures w14:val="none"/>
        </w:rPr>
      </w:pPr>
      <w:r w:rsidRPr="001E6B25">
        <w:rPr>
          <w:rFonts w:ascii="Times New Roman" w:eastAsia="Times New Roman" w:hAnsi="Times New Roman" w:cs="Times New Roman"/>
          <w:b/>
          <w:bCs/>
          <w:kern w:val="0"/>
          <w:sz w:val="28"/>
          <w:szCs w:val="28"/>
          <w:lang w:val="en-US"/>
          <w14:ligatures w14:val="none"/>
        </w:rPr>
        <w:t>RESULTS</w:t>
      </w:r>
    </w:p>
    <w:p w14:paraId="67E309F4" w14:textId="77777777" w:rsidR="00CE58AD" w:rsidRPr="00D95BE8" w:rsidRDefault="00CE58AD" w:rsidP="00D95BE8">
      <w:pPr>
        <w:tabs>
          <w:tab w:val="left" w:pos="1530"/>
        </w:tabs>
        <w:spacing w:before="240" w:after="100" w:afterAutospacing="1" w:line="240" w:lineRule="auto"/>
        <w:jc w:val="both"/>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Table 1. Major Themes and Frequencies (n = 15)</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29"/>
        <w:gridCol w:w="2788"/>
        <w:gridCol w:w="3583"/>
      </w:tblGrid>
      <w:tr w:rsidR="005653A2" w:rsidRPr="00D95BE8" w14:paraId="49F88795" w14:textId="77777777" w:rsidTr="00AB153D">
        <w:trPr>
          <w:trHeight w:val="354"/>
          <w:tblHeader/>
        </w:trPr>
        <w:tc>
          <w:tcPr>
            <w:tcW w:w="0" w:type="auto"/>
            <w:shd w:val="clear" w:color="auto" w:fill="FFFFFF"/>
            <w:tcMar>
              <w:top w:w="0" w:type="dxa"/>
              <w:left w:w="240" w:type="dxa"/>
              <w:bottom w:w="0" w:type="dxa"/>
              <w:right w:w="240" w:type="dxa"/>
            </w:tcMar>
            <w:vAlign w:val="center"/>
            <w:hideMark/>
          </w:tcPr>
          <w:p w14:paraId="0C01CF7A" w14:textId="77777777"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lastRenderedPageBreak/>
              <w:t>Theme</w:t>
            </w:r>
          </w:p>
        </w:tc>
        <w:tc>
          <w:tcPr>
            <w:tcW w:w="0" w:type="auto"/>
            <w:shd w:val="clear" w:color="auto" w:fill="FFFFFF"/>
            <w:tcMar>
              <w:top w:w="0" w:type="dxa"/>
              <w:left w:w="240" w:type="dxa"/>
              <w:bottom w:w="0" w:type="dxa"/>
              <w:right w:w="240" w:type="dxa"/>
            </w:tcMar>
            <w:vAlign w:val="center"/>
            <w:hideMark/>
          </w:tcPr>
          <w:p w14:paraId="3C813C22"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Frequency</w:t>
            </w:r>
          </w:p>
        </w:tc>
        <w:tc>
          <w:tcPr>
            <w:tcW w:w="0" w:type="auto"/>
            <w:shd w:val="clear" w:color="auto" w:fill="FFFFFF"/>
            <w:tcMar>
              <w:top w:w="0" w:type="dxa"/>
              <w:left w:w="240" w:type="dxa"/>
              <w:bottom w:w="0" w:type="dxa"/>
              <w:right w:w="240" w:type="dxa"/>
            </w:tcMar>
            <w:vAlign w:val="center"/>
            <w:hideMark/>
          </w:tcPr>
          <w:p w14:paraId="44ECC2C3"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 of Respondents</w:t>
            </w:r>
          </w:p>
        </w:tc>
      </w:tr>
      <w:tr w:rsidR="005653A2" w:rsidRPr="00D95BE8" w14:paraId="7EDFF5A8" w14:textId="77777777" w:rsidTr="00AB153D">
        <w:trPr>
          <w:trHeight w:val="102"/>
        </w:trPr>
        <w:tc>
          <w:tcPr>
            <w:tcW w:w="0" w:type="auto"/>
            <w:shd w:val="clear" w:color="auto" w:fill="FFFFFF"/>
            <w:tcMar>
              <w:top w:w="0" w:type="dxa"/>
              <w:left w:w="240" w:type="dxa"/>
              <w:bottom w:w="0" w:type="dxa"/>
              <w:right w:w="240" w:type="dxa"/>
            </w:tcMar>
            <w:vAlign w:val="center"/>
            <w:hideMark/>
          </w:tcPr>
          <w:p w14:paraId="5E7649AD" w14:textId="56FAD3E1"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Teacher-Related Issues</w:t>
            </w:r>
          </w:p>
        </w:tc>
        <w:tc>
          <w:tcPr>
            <w:tcW w:w="0" w:type="auto"/>
            <w:shd w:val="clear" w:color="auto" w:fill="FFFFFF"/>
            <w:tcMar>
              <w:top w:w="0" w:type="dxa"/>
              <w:left w:w="240" w:type="dxa"/>
              <w:bottom w:w="0" w:type="dxa"/>
              <w:right w:w="240" w:type="dxa"/>
            </w:tcMar>
            <w:vAlign w:val="center"/>
            <w:hideMark/>
          </w:tcPr>
          <w:p w14:paraId="7AF556EC"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12</w:t>
            </w:r>
          </w:p>
        </w:tc>
        <w:tc>
          <w:tcPr>
            <w:tcW w:w="0" w:type="auto"/>
            <w:shd w:val="clear" w:color="auto" w:fill="FFFFFF"/>
            <w:tcMar>
              <w:top w:w="0" w:type="dxa"/>
              <w:left w:w="240" w:type="dxa"/>
              <w:bottom w:w="0" w:type="dxa"/>
              <w:right w:w="240" w:type="dxa"/>
            </w:tcMar>
            <w:vAlign w:val="center"/>
            <w:hideMark/>
          </w:tcPr>
          <w:p w14:paraId="31149D36"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80.0%</w:t>
            </w:r>
          </w:p>
        </w:tc>
      </w:tr>
      <w:tr w:rsidR="005653A2" w:rsidRPr="00D95BE8" w14:paraId="086EB742" w14:textId="77777777" w:rsidTr="00AB153D">
        <w:trPr>
          <w:trHeight w:val="291"/>
        </w:trPr>
        <w:tc>
          <w:tcPr>
            <w:tcW w:w="0" w:type="auto"/>
            <w:shd w:val="clear" w:color="auto" w:fill="FFFFFF"/>
            <w:tcMar>
              <w:top w:w="0" w:type="dxa"/>
              <w:left w:w="240" w:type="dxa"/>
              <w:bottom w:w="0" w:type="dxa"/>
              <w:right w:w="240" w:type="dxa"/>
            </w:tcMar>
            <w:vAlign w:val="center"/>
            <w:hideMark/>
          </w:tcPr>
          <w:p w14:paraId="70E03473" w14:textId="6F9F4C5B"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Language Difficulty</w:t>
            </w:r>
          </w:p>
        </w:tc>
        <w:tc>
          <w:tcPr>
            <w:tcW w:w="0" w:type="auto"/>
            <w:shd w:val="clear" w:color="auto" w:fill="FFFFFF"/>
            <w:tcMar>
              <w:top w:w="0" w:type="dxa"/>
              <w:left w:w="240" w:type="dxa"/>
              <w:bottom w:w="0" w:type="dxa"/>
              <w:right w:w="240" w:type="dxa"/>
            </w:tcMar>
            <w:vAlign w:val="center"/>
            <w:hideMark/>
          </w:tcPr>
          <w:p w14:paraId="64491AE2"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14</w:t>
            </w:r>
          </w:p>
        </w:tc>
        <w:tc>
          <w:tcPr>
            <w:tcW w:w="0" w:type="auto"/>
            <w:shd w:val="clear" w:color="auto" w:fill="FFFFFF"/>
            <w:tcMar>
              <w:top w:w="0" w:type="dxa"/>
              <w:left w:w="240" w:type="dxa"/>
              <w:bottom w:w="0" w:type="dxa"/>
              <w:right w:w="240" w:type="dxa"/>
            </w:tcMar>
            <w:vAlign w:val="center"/>
            <w:hideMark/>
          </w:tcPr>
          <w:p w14:paraId="63993AB9"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93.3%</w:t>
            </w:r>
          </w:p>
        </w:tc>
      </w:tr>
      <w:tr w:rsidR="005653A2" w:rsidRPr="00D95BE8" w14:paraId="193D502A" w14:textId="77777777" w:rsidTr="00AB153D">
        <w:trPr>
          <w:trHeight w:val="318"/>
        </w:trPr>
        <w:tc>
          <w:tcPr>
            <w:tcW w:w="0" w:type="auto"/>
            <w:shd w:val="clear" w:color="auto" w:fill="FFFFFF"/>
            <w:tcMar>
              <w:top w:w="0" w:type="dxa"/>
              <w:left w:w="240" w:type="dxa"/>
              <w:bottom w:w="0" w:type="dxa"/>
              <w:right w:w="240" w:type="dxa"/>
            </w:tcMar>
            <w:vAlign w:val="center"/>
            <w:hideMark/>
          </w:tcPr>
          <w:p w14:paraId="1A790F9C" w14:textId="4D41354C"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Lack of Interest and Motivation</w:t>
            </w:r>
          </w:p>
        </w:tc>
        <w:tc>
          <w:tcPr>
            <w:tcW w:w="0" w:type="auto"/>
            <w:shd w:val="clear" w:color="auto" w:fill="FFFFFF"/>
            <w:tcMar>
              <w:top w:w="0" w:type="dxa"/>
              <w:left w:w="240" w:type="dxa"/>
              <w:bottom w:w="0" w:type="dxa"/>
              <w:right w:w="240" w:type="dxa"/>
            </w:tcMar>
            <w:vAlign w:val="center"/>
            <w:hideMark/>
          </w:tcPr>
          <w:p w14:paraId="315882BA"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11</w:t>
            </w:r>
          </w:p>
        </w:tc>
        <w:tc>
          <w:tcPr>
            <w:tcW w:w="0" w:type="auto"/>
            <w:shd w:val="clear" w:color="auto" w:fill="FFFFFF"/>
            <w:tcMar>
              <w:top w:w="0" w:type="dxa"/>
              <w:left w:w="240" w:type="dxa"/>
              <w:bottom w:w="0" w:type="dxa"/>
              <w:right w:w="240" w:type="dxa"/>
            </w:tcMar>
            <w:vAlign w:val="center"/>
            <w:hideMark/>
          </w:tcPr>
          <w:p w14:paraId="2B9BF61C"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73.3%</w:t>
            </w:r>
          </w:p>
        </w:tc>
      </w:tr>
      <w:tr w:rsidR="005653A2" w:rsidRPr="00D95BE8" w14:paraId="0C3CD1D9" w14:textId="77777777" w:rsidTr="00AB153D">
        <w:trPr>
          <w:trHeight w:val="462"/>
        </w:trPr>
        <w:tc>
          <w:tcPr>
            <w:tcW w:w="0" w:type="auto"/>
            <w:shd w:val="clear" w:color="auto" w:fill="FFFFFF"/>
            <w:tcMar>
              <w:top w:w="0" w:type="dxa"/>
              <w:left w:w="240" w:type="dxa"/>
              <w:bottom w:w="0" w:type="dxa"/>
              <w:right w:w="240" w:type="dxa"/>
            </w:tcMar>
            <w:vAlign w:val="center"/>
            <w:hideMark/>
          </w:tcPr>
          <w:p w14:paraId="60391361" w14:textId="59A6705C" w:rsidR="00CE58AD" w:rsidRPr="00D95BE8" w:rsidRDefault="00CE58AD" w:rsidP="00AB153D">
            <w:pPr>
              <w:shd w:val="clear" w:color="auto" w:fill="FFFFFF"/>
              <w:tabs>
                <w:tab w:val="left" w:pos="1530"/>
              </w:tabs>
              <w:spacing w:before="240" w:after="100" w:afterAutospacing="1" w:line="240" w:lineRule="auto"/>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Student Coping Strategies</w:t>
            </w:r>
          </w:p>
        </w:tc>
        <w:tc>
          <w:tcPr>
            <w:tcW w:w="0" w:type="auto"/>
            <w:shd w:val="clear" w:color="auto" w:fill="FFFFFF"/>
            <w:tcMar>
              <w:top w:w="0" w:type="dxa"/>
              <w:left w:w="240" w:type="dxa"/>
              <w:bottom w:w="0" w:type="dxa"/>
              <w:right w:w="240" w:type="dxa"/>
            </w:tcMar>
            <w:vAlign w:val="center"/>
            <w:hideMark/>
          </w:tcPr>
          <w:p w14:paraId="08A94BF4"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15</w:t>
            </w:r>
          </w:p>
        </w:tc>
        <w:tc>
          <w:tcPr>
            <w:tcW w:w="0" w:type="auto"/>
            <w:shd w:val="clear" w:color="auto" w:fill="FFFFFF"/>
            <w:tcMar>
              <w:top w:w="0" w:type="dxa"/>
              <w:left w:w="240" w:type="dxa"/>
              <w:bottom w:w="0" w:type="dxa"/>
              <w:right w:w="240" w:type="dxa"/>
            </w:tcMar>
            <w:vAlign w:val="center"/>
            <w:hideMark/>
          </w:tcPr>
          <w:p w14:paraId="61D38FB4" w14:textId="77777777" w:rsidR="00CE58AD" w:rsidRPr="00D95BE8" w:rsidRDefault="00CE58AD" w:rsidP="00AB153D">
            <w:pPr>
              <w:pStyle w:val="ListParagraph"/>
              <w:shd w:val="clear" w:color="auto" w:fill="FFFFFF"/>
              <w:tabs>
                <w:tab w:val="left" w:pos="1530"/>
              </w:tabs>
              <w:spacing w:before="240" w:after="100" w:afterAutospacing="1" w:line="240" w:lineRule="auto"/>
              <w:ind w:left="1080"/>
              <w:jc w:val="center"/>
              <w:rPr>
                <w:rFonts w:ascii="Times New Roman" w:eastAsia="Times New Roman" w:hAnsi="Times New Roman" w:cs="Times New Roman"/>
                <w:kern w:val="0"/>
                <w:sz w:val="24"/>
                <w:szCs w:val="24"/>
                <w:lang w:val="en-US"/>
                <w14:ligatures w14:val="none"/>
              </w:rPr>
            </w:pPr>
            <w:r w:rsidRPr="00D95BE8">
              <w:rPr>
                <w:rFonts w:ascii="Times New Roman" w:eastAsia="Times New Roman" w:hAnsi="Times New Roman" w:cs="Times New Roman"/>
                <w:kern w:val="0"/>
                <w:sz w:val="24"/>
                <w:szCs w:val="24"/>
                <w:lang w:val="en-US"/>
                <w14:ligatures w14:val="none"/>
              </w:rPr>
              <w:t>100.0%</w:t>
            </w:r>
          </w:p>
        </w:tc>
      </w:tr>
    </w:tbl>
    <w:p w14:paraId="286FA047" w14:textId="77777777" w:rsidR="00303DBE" w:rsidRPr="00AB153D" w:rsidRDefault="00303DBE" w:rsidP="00AB153D">
      <w:pPr>
        <w:tabs>
          <w:tab w:val="left" w:pos="1530"/>
        </w:tabs>
        <w:spacing w:before="240" w:line="240" w:lineRule="auto"/>
        <w:rPr>
          <w:rFonts w:ascii="Times New Roman" w:hAnsi="Times New Roman" w:cs="Times New Roman"/>
          <w:sz w:val="24"/>
          <w:szCs w:val="24"/>
          <w:lang w:val="en-US"/>
        </w:rPr>
      </w:pPr>
    </w:p>
    <w:p w14:paraId="4EDAD9F5" w14:textId="7794F45E" w:rsidR="00966B7E" w:rsidRPr="001E6B25" w:rsidRDefault="00966B7E" w:rsidP="001E6B25">
      <w:pPr>
        <w:tabs>
          <w:tab w:val="left" w:pos="1530"/>
        </w:tabs>
        <w:spacing w:before="240" w:line="240" w:lineRule="auto"/>
        <w:rPr>
          <w:rFonts w:ascii="Times New Roman" w:hAnsi="Times New Roman" w:cs="Times New Roman"/>
          <w:b/>
          <w:bCs/>
          <w:sz w:val="28"/>
          <w:szCs w:val="28"/>
          <w:lang w:val="en-US"/>
        </w:rPr>
      </w:pPr>
      <w:r w:rsidRPr="001E6B25">
        <w:rPr>
          <w:rFonts w:ascii="Times New Roman" w:hAnsi="Times New Roman" w:cs="Times New Roman"/>
          <w:b/>
          <w:bCs/>
          <w:sz w:val="28"/>
          <w:szCs w:val="28"/>
          <w:lang w:val="en-US"/>
        </w:rPr>
        <w:t>DISCUSSION</w:t>
      </w:r>
    </w:p>
    <w:p w14:paraId="3CE874AE" w14:textId="77777777"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The findings of this study reveal that students’ engagement and reluctance toward the Filipino subject are shaped by a complex interplay of instructional, linguistic, attitudinal, and personal factors.</w:t>
      </w:r>
    </w:p>
    <w:p w14:paraId="00884FCA" w14:textId="0869B3BB"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Instructional and Teacher-Related Factors</w:t>
      </w:r>
    </w:p>
    <w:p w14:paraId="3CD10789" w14:textId="38BB3260"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Teacher-related issues emerged as a dominant influence on student motivation, with 80% of participants reporting negative experiences such as teacher absenteeism, unclear explanations, and perceived unfair grading. This aligns with Bandura’s (1997) social cognitive theory, which emphasizes the role of environmental factors, including teacher behavior, in shaping learners’ motivation and academic engagement. Poor instructional quality can undermine students’ interest and decrease their willingness to participate actively in the classroom.</w:t>
      </w:r>
    </w:p>
    <w:p w14:paraId="33D4A0D7" w14:textId="7F2B2F3E"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Linguistic Challenges and Language Proficiency Barriers</w:t>
      </w:r>
    </w:p>
    <w:p w14:paraId="3A1AE1D2" w14:textId="1BF22726"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Difficulties with complex vocabulary, grammar, and unfamiliar linguistic terms were reported by 93% of students as significant barriers to learning Filipino. This finding supports Cummins’ (2000) assertion that language proficiency is foundational to academic success, as limited language skills can negatively impact comprehension and expression, leading to reduced confidence and motivation. The linguistic challenges identified suggest a need for targeted language support to enhance students’ Filipino proficiency.</w:t>
      </w:r>
    </w:p>
    <w:p w14:paraId="0E4589F9" w14:textId="1CCABDC5"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Attitudinal and Motivational Factors</w:t>
      </w:r>
    </w:p>
    <w:p w14:paraId="345600F8" w14:textId="36C0673E"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A lack of appreciation and motivation toward the Filipino subject was evident in 73% of respondents, many of whom expressed boredom or a preference for English. This corresponds with Deci and Ryan’s (2000) self-determination theory, which highlights the importance of intrinsic motivation and positive attitudes in sustaining engagement. The prevalent attitudinal barriers underscore the importance of fostering emotional connections and relevance to the Filipino language in educational contexts.</w:t>
      </w:r>
    </w:p>
    <w:p w14:paraId="0DBA21D2" w14:textId="38B0320F"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Student Resilience and Coping Strategies</w:t>
      </w:r>
    </w:p>
    <w:p w14:paraId="626FEF1A" w14:textId="28DEFDC4"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Despite these challenges, all respondents demonstrated resilience through self-initiated strategies such as reading dictionaries, watching Filipino media, and seeking help from teachers and peers. These adaptive behaviors are consistent with Zimmerman’s (2002) model of self-regulated learning, which emphasizes the role of active coping and metacognitive strategies in overcoming academic difficulties.</w:t>
      </w:r>
    </w:p>
    <w:p w14:paraId="0E948D36" w14:textId="73FA0092" w:rsidR="00303DBE" w:rsidRPr="00AB153D" w:rsidRDefault="00966B7E" w:rsidP="00D95BE8">
      <w:pPr>
        <w:tabs>
          <w:tab w:val="left" w:pos="1530"/>
        </w:tabs>
        <w:spacing w:before="240" w:line="240" w:lineRule="auto"/>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Peer Recommendations for Enhancing Learning</w:t>
      </w:r>
    </w:p>
    <w:p w14:paraId="3A15AD1C" w14:textId="138ADFF5" w:rsidR="00966B7E" w:rsidRPr="00D95BE8" w:rsidRDefault="00966B7E" w:rsidP="00D95BE8">
      <w:pPr>
        <w:tabs>
          <w:tab w:val="left" w:pos="1530"/>
        </w:tabs>
        <w:spacing w:before="240" w:line="240" w:lineRule="auto"/>
        <w:ind w:firstLine="720"/>
        <w:jc w:val="both"/>
        <w:rPr>
          <w:rFonts w:ascii="Times New Roman" w:hAnsi="Times New Roman" w:cs="Times New Roman"/>
          <w:sz w:val="24"/>
          <w:szCs w:val="24"/>
          <w:lang w:val="en-US"/>
        </w:rPr>
      </w:pPr>
      <w:r w:rsidRPr="00D95BE8">
        <w:rPr>
          <w:rFonts w:ascii="Times New Roman" w:hAnsi="Times New Roman" w:cs="Times New Roman"/>
          <w:sz w:val="24"/>
          <w:szCs w:val="24"/>
          <w:lang w:val="en-US"/>
        </w:rPr>
        <w:t>Students’ advice for peers</w:t>
      </w:r>
      <w:r w:rsidR="00957BC3" w:rsidRPr="00D95BE8">
        <w:rPr>
          <w:rFonts w:ascii="Times New Roman" w:hAnsi="Times New Roman" w:cs="Times New Roman"/>
          <w:sz w:val="24"/>
          <w:szCs w:val="24"/>
          <w:lang w:val="en-US"/>
        </w:rPr>
        <w:t xml:space="preserve"> </w:t>
      </w:r>
      <w:r w:rsidRPr="00D95BE8">
        <w:rPr>
          <w:rFonts w:ascii="Times New Roman" w:hAnsi="Times New Roman" w:cs="Times New Roman"/>
          <w:sz w:val="24"/>
          <w:szCs w:val="24"/>
          <w:lang w:val="en-US"/>
        </w:rPr>
        <w:t>centered on active participation, respect for teachers, and consistent practice</w:t>
      </w:r>
      <w:r w:rsidR="00957BC3" w:rsidRPr="00D95BE8">
        <w:rPr>
          <w:rFonts w:ascii="Times New Roman" w:hAnsi="Times New Roman" w:cs="Times New Roman"/>
          <w:sz w:val="24"/>
          <w:szCs w:val="24"/>
          <w:lang w:val="en-US"/>
        </w:rPr>
        <w:t xml:space="preserve"> </w:t>
      </w:r>
      <w:r w:rsidRPr="00D95BE8">
        <w:rPr>
          <w:rFonts w:ascii="Times New Roman" w:hAnsi="Times New Roman" w:cs="Times New Roman"/>
          <w:sz w:val="24"/>
          <w:szCs w:val="24"/>
          <w:lang w:val="en-US"/>
        </w:rPr>
        <w:t xml:space="preserve">reflects an awareness of effective learning strategies and the social dimensions of education. This collective wisdom aligns with Vygotsky’s (1978) sociocultural theory, which </w:t>
      </w:r>
      <w:r w:rsidR="00344406" w:rsidRPr="00D95BE8">
        <w:rPr>
          <w:rFonts w:ascii="Times New Roman" w:hAnsi="Times New Roman" w:cs="Times New Roman"/>
          <w:sz w:val="24"/>
          <w:szCs w:val="24"/>
          <w:lang w:val="en-US"/>
        </w:rPr>
        <w:t>emphasizes the importance of social interaction and scaffolding in learning</w:t>
      </w:r>
      <w:r w:rsidRPr="00D95BE8">
        <w:rPr>
          <w:rFonts w:ascii="Times New Roman" w:hAnsi="Times New Roman" w:cs="Times New Roman"/>
          <w:sz w:val="24"/>
          <w:szCs w:val="24"/>
          <w:lang w:val="en-US"/>
        </w:rPr>
        <w:t>.</w:t>
      </w:r>
    </w:p>
    <w:p w14:paraId="3FFFF8B9" w14:textId="77777777" w:rsidR="00AB153D" w:rsidRDefault="00AB153D" w:rsidP="001E6B25">
      <w:pPr>
        <w:tabs>
          <w:tab w:val="left" w:pos="1530"/>
        </w:tabs>
        <w:spacing w:line="240" w:lineRule="auto"/>
        <w:ind w:left="720" w:right="720" w:hanging="720"/>
        <w:rPr>
          <w:rFonts w:ascii="Times New Roman" w:hAnsi="Times New Roman" w:cs="Times New Roman"/>
          <w:b/>
          <w:bCs/>
          <w:sz w:val="28"/>
          <w:szCs w:val="28"/>
          <w:lang w:val="en-US"/>
        </w:rPr>
      </w:pPr>
    </w:p>
    <w:p w14:paraId="2FC6F823" w14:textId="61316BC3" w:rsidR="00DC2E79" w:rsidRPr="001E6B25" w:rsidRDefault="00303DBE" w:rsidP="001E6B25">
      <w:pPr>
        <w:tabs>
          <w:tab w:val="left" w:pos="1530"/>
        </w:tabs>
        <w:spacing w:line="240" w:lineRule="auto"/>
        <w:ind w:left="720" w:right="720" w:hanging="720"/>
        <w:rPr>
          <w:rFonts w:ascii="Times New Roman" w:hAnsi="Times New Roman" w:cs="Times New Roman"/>
          <w:b/>
          <w:bCs/>
          <w:sz w:val="28"/>
          <w:szCs w:val="28"/>
          <w:lang w:val="en-US"/>
        </w:rPr>
      </w:pPr>
      <w:r w:rsidRPr="001E6B25">
        <w:rPr>
          <w:rFonts w:ascii="Times New Roman" w:hAnsi="Times New Roman" w:cs="Times New Roman"/>
          <w:b/>
          <w:bCs/>
          <w:sz w:val="28"/>
          <w:szCs w:val="28"/>
          <w:lang w:val="en-US"/>
        </w:rPr>
        <w:lastRenderedPageBreak/>
        <w:t>REFERENCES</w:t>
      </w:r>
    </w:p>
    <w:p w14:paraId="1912D43C" w14:textId="2654B471"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Bandura, A. (1997). Self-efficacy: The exercise of control. W.H. Freeman.</w:t>
      </w:r>
    </w:p>
    <w:p w14:paraId="7AA14CF9" w14:textId="7E386001"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eastAsia="Times New Roman" w:hAnsi="Times New Roman" w:cs="Times New Roman"/>
          <w:kern w:val="0"/>
          <w:sz w:val="24"/>
          <w:szCs w:val="24"/>
          <w:lang w:val="en-US"/>
          <w14:ligatures w14:val="none"/>
        </w:rPr>
        <w:t>Braun, V., &amp; Clarke, V. (2022). Thematic analysis: A practical guide. SAGE Publications.</w:t>
      </w:r>
    </w:p>
    <w:p w14:paraId="7F2A113B" w14:textId="6A3FE2F0" w:rsidR="00DC2E79"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Castulo, N. J., Marasigan, A. C., Buenaventura, M. L. D., de Vera, J. L., </w:t>
      </w:r>
      <w:proofErr w:type="spellStart"/>
      <w:r w:rsidRPr="00AB153D">
        <w:rPr>
          <w:rFonts w:ascii="Times New Roman" w:hAnsi="Times New Roman" w:cs="Times New Roman"/>
          <w:sz w:val="24"/>
          <w:szCs w:val="24"/>
          <w:lang w:val="en-US"/>
        </w:rPr>
        <w:t>Bagaporo</w:t>
      </w:r>
      <w:proofErr w:type="spellEnd"/>
      <w:r w:rsidRPr="00AB153D">
        <w:rPr>
          <w:rFonts w:ascii="Times New Roman" w:hAnsi="Times New Roman" w:cs="Times New Roman"/>
          <w:sz w:val="24"/>
          <w:szCs w:val="24"/>
          <w:lang w:val="en-US"/>
        </w:rPr>
        <w:t xml:space="preserve">, E. C., San Juan, M. P. C., &amp; Dalida, N. S. (2025). Contextualizing the challenges of </w:t>
      </w:r>
      <w:r w:rsidR="00344406" w:rsidRPr="00AB153D">
        <w:rPr>
          <w:rFonts w:ascii="Times New Roman" w:hAnsi="Times New Roman" w:cs="Times New Roman"/>
          <w:sz w:val="24"/>
          <w:szCs w:val="24"/>
          <w:lang w:val="en-US"/>
        </w:rPr>
        <w:t>graduate education</w:t>
      </w:r>
      <w:r w:rsidRPr="00AB153D">
        <w:rPr>
          <w:rFonts w:ascii="Times New Roman" w:hAnsi="Times New Roman" w:cs="Times New Roman"/>
          <w:sz w:val="24"/>
          <w:szCs w:val="24"/>
          <w:lang w:val="en-US"/>
        </w:rPr>
        <w:t xml:space="preserve"> students in the Philippines: Translating needs analysis into strategic solutions. Discover Education, 4, 27. </w:t>
      </w:r>
      <w:hyperlink r:id="rId7" w:history="1">
        <w:r w:rsidR="00DB7216" w:rsidRPr="00AB153D">
          <w:rPr>
            <w:rStyle w:val="Hyperlink"/>
            <w:rFonts w:ascii="Times New Roman" w:hAnsi="Times New Roman" w:cs="Times New Roman"/>
            <w:color w:val="auto"/>
            <w:sz w:val="24"/>
            <w:szCs w:val="24"/>
            <w:lang w:val="en-US"/>
          </w:rPr>
          <w:t>https://doi.org/10.1007/s44217-025-00416-7</w:t>
        </w:r>
      </w:hyperlink>
    </w:p>
    <w:p w14:paraId="58B726E6" w14:textId="4EDDDEDD" w:rsidR="00DB7216" w:rsidRPr="00AB153D" w:rsidRDefault="00DB7216" w:rsidP="00AB153D">
      <w:pPr>
        <w:pStyle w:val="ListParagraph"/>
        <w:numPr>
          <w:ilvl w:val="0"/>
          <w:numId w:val="5"/>
        </w:numPr>
        <w:tabs>
          <w:tab w:val="left" w:pos="1530"/>
        </w:tabs>
        <w:spacing w:before="100" w:beforeAutospacing="1" w:after="100" w:afterAutospacing="1" w:line="240" w:lineRule="auto"/>
        <w:ind w:right="720"/>
        <w:jc w:val="both"/>
        <w:rPr>
          <w:rFonts w:ascii="Times New Roman" w:eastAsia="Times New Roman" w:hAnsi="Times New Roman" w:cs="Times New Roman"/>
          <w:kern w:val="0"/>
          <w:sz w:val="24"/>
          <w:szCs w:val="24"/>
          <w:lang w:val="en-US"/>
          <w14:ligatures w14:val="none"/>
        </w:rPr>
      </w:pPr>
      <w:r w:rsidRPr="00AB153D">
        <w:rPr>
          <w:rFonts w:ascii="Times New Roman" w:eastAsia="Times New Roman" w:hAnsi="Times New Roman" w:cs="Times New Roman"/>
          <w:kern w:val="0"/>
          <w:sz w:val="24"/>
          <w:szCs w:val="24"/>
          <w:lang w:val="en-US"/>
          <w14:ligatures w14:val="none"/>
        </w:rPr>
        <w:t>Creswell, J. W., &amp; Poth, C. N. (2018). Qualitative inquiry and research design: Choosing among five approaches (4th ed.). SAGE Publications.</w:t>
      </w:r>
    </w:p>
    <w:p w14:paraId="681E7B4D" w14:textId="0D395EEC"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Cummins, J. (2000). Language, power, and pedagogy: Bilingual children in the crossfire. Multilingual Matters.</w:t>
      </w:r>
    </w:p>
    <w:p w14:paraId="746D2A09" w14:textId="5A31DD64" w:rsidR="00DB7216" w:rsidRPr="00AB153D" w:rsidRDefault="00DB7216"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Deci, E. L., &amp; Ryan, R. M. (2000). The "what" and "why" of goal pursuits: Human needs and </w:t>
      </w:r>
      <w:r w:rsidR="003A554E" w:rsidRPr="00AB153D">
        <w:rPr>
          <w:rFonts w:ascii="Times New Roman" w:hAnsi="Times New Roman" w:cs="Times New Roman"/>
          <w:sz w:val="24"/>
          <w:szCs w:val="24"/>
          <w:lang w:val="en-US"/>
        </w:rPr>
        <w:t>self</w:t>
      </w:r>
      <w:r w:rsidRPr="00AB153D">
        <w:rPr>
          <w:rFonts w:ascii="Times New Roman" w:hAnsi="Times New Roman" w:cs="Times New Roman"/>
          <w:sz w:val="24"/>
          <w:szCs w:val="24"/>
          <w:lang w:val="en-US"/>
        </w:rPr>
        <w:t>-determination of behavior. Psychological Inquiry, 11(4), 227-268. https://doi.org/10.1207/S15327965PLI1104_01</w:t>
      </w:r>
    </w:p>
    <w:p w14:paraId="692D01BC" w14:textId="77777777" w:rsidR="00DB7216" w:rsidRPr="00D95BE8" w:rsidRDefault="00DB7216" w:rsidP="00D95BE8">
      <w:pPr>
        <w:tabs>
          <w:tab w:val="left" w:pos="1530"/>
        </w:tabs>
        <w:spacing w:line="240" w:lineRule="auto"/>
        <w:ind w:left="720" w:right="720" w:hanging="720"/>
        <w:jc w:val="both"/>
        <w:rPr>
          <w:rFonts w:ascii="Times New Roman" w:hAnsi="Times New Roman" w:cs="Times New Roman"/>
          <w:sz w:val="24"/>
          <w:szCs w:val="24"/>
          <w:lang w:val="en-US"/>
        </w:rPr>
      </w:pPr>
    </w:p>
    <w:p w14:paraId="0BE3FF52" w14:textId="178EEADC" w:rsidR="00DC2E79"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proofErr w:type="spellStart"/>
      <w:r w:rsidRPr="00AB153D">
        <w:rPr>
          <w:rFonts w:ascii="Times New Roman" w:hAnsi="Times New Roman" w:cs="Times New Roman"/>
          <w:sz w:val="24"/>
          <w:szCs w:val="24"/>
          <w:lang w:val="en-US"/>
        </w:rPr>
        <w:t>Garganera</w:t>
      </w:r>
      <w:proofErr w:type="spellEnd"/>
      <w:r w:rsidRPr="00AB153D">
        <w:rPr>
          <w:rFonts w:ascii="Times New Roman" w:hAnsi="Times New Roman" w:cs="Times New Roman"/>
          <w:sz w:val="24"/>
          <w:szCs w:val="24"/>
          <w:lang w:val="en-US"/>
        </w:rPr>
        <w:t xml:space="preserve">, J. M. S. (2025). Teaching phonemic awareness to Filipino students: Bridging culture and pedagogy: A case study. Journal of English Education Forum, 5(3), 152–158. </w:t>
      </w:r>
      <w:hyperlink r:id="rId8" w:history="1">
        <w:r w:rsidR="00384130" w:rsidRPr="00AB153D">
          <w:rPr>
            <w:rStyle w:val="Hyperlink"/>
            <w:rFonts w:ascii="Times New Roman" w:hAnsi="Times New Roman" w:cs="Times New Roman"/>
            <w:color w:val="auto"/>
            <w:sz w:val="24"/>
            <w:szCs w:val="24"/>
            <w:lang w:val="en-US"/>
          </w:rPr>
          <w:t>https://doi.org/10.29303/jeef.v5i3.903</w:t>
        </w:r>
      </w:hyperlink>
    </w:p>
    <w:p w14:paraId="68A17A6D" w14:textId="19DE4E82" w:rsidR="00384130" w:rsidRPr="00AB153D" w:rsidRDefault="00384130" w:rsidP="00AB153D">
      <w:pPr>
        <w:pStyle w:val="ListParagraph"/>
        <w:numPr>
          <w:ilvl w:val="0"/>
          <w:numId w:val="5"/>
        </w:numPr>
        <w:tabs>
          <w:tab w:val="left" w:pos="1530"/>
        </w:tabs>
        <w:spacing w:before="100" w:beforeAutospacing="1" w:after="100" w:afterAutospacing="1" w:line="240" w:lineRule="auto"/>
        <w:ind w:right="720"/>
        <w:jc w:val="both"/>
        <w:rPr>
          <w:rFonts w:ascii="Times New Roman" w:eastAsia="Times New Roman" w:hAnsi="Times New Roman" w:cs="Times New Roman"/>
          <w:kern w:val="0"/>
          <w:sz w:val="24"/>
          <w:szCs w:val="24"/>
          <w:lang w:val="en-US"/>
          <w14:ligatures w14:val="none"/>
        </w:rPr>
      </w:pPr>
      <w:r w:rsidRPr="00AB153D">
        <w:rPr>
          <w:rFonts w:ascii="Times New Roman" w:eastAsia="Times New Roman" w:hAnsi="Times New Roman" w:cs="Times New Roman"/>
          <w:kern w:val="0"/>
          <w:sz w:val="24"/>
          <w:szCs w:val="24"/>
          <w:lang w:val="en-US"/>
          <w14:ligatures w14:val="none"/>
        </w:rPr>
        <w:t>Lincoln, Y. S., &amp; Guba, E. G. (1985). Naturalistic inquiry. SAGE Publications.</w:t>
      </w:r>
    </w:p>
    <w:p w14:paraId="78EE1D7D" w14:textId="0A95EF39" w:rsidR="00953784" w:rsidRPr="00AB153D" w:rsidRDefault="00DC2E79"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 xml:space="preserve">Nacario, A. B., &amp; </w:t>
      </w:r>
      <w:proofErr w:type="spellStart"/>
      <w:r w:rsidRPr="00AB153D">
        <w:rPr>
          <w:rFonts w:ascii="Times New Roman" w:hAnsi="Times New Roman" w:cs="Times New Roman"/>
          <w:sz w:val="24"/>
          <w:szCs w:val="24"/>
          <w:lang w:val="en-US"/>
        </w:rPr>
        <w:t>Orobia</w:t>
      </w:r>
      <w:proofErr w:type="spellEnd"/>
      <w:r w:rsidRPr="00AB153D">
        <w:rPr>
          <w:rFonts w:ascii="Times New Roman" w:hAnsi="Times New Roman" w:cs="Times New Roman"/>
          <w:sz w:val="24"/>
          <w:szCs w:val="24"/>
          <w:lang w:val="en-US"/>
        </w:rPr>
        <w:t xml:space="preserve">, J. A. A. (2025). Filipino language proficiency and literacy skills on the academic performance of Grade 11 learners. International Journal of Research and Scientific Innovation, 9(11), 2638–2646. </w:t>
      </w:r>
      <w:hyperlink r:id="rId9" w:history="1">
        <w:r w:rsidR="00953784" w:rsidRPr="00AB153D">
          <w:rPr>
            <w:rStyle w:val="Hyperlink"/>
            <w:rFonts w:ascii="Times New Roman" w:hAnsi="Times New Roman" w:cs="Times New Roman"/>
            <w:color w:val="auto"/>
            <w:sz w:val="24"/>
            <w:szCs w:val="24"/>
            <w:lang w:val="en-US"/>
          </w:rPr>
          <w:t>https://doi.org/10.47772/IJRISS.2025.91100211</w:t>
        </w:r>
      </w:hyperlink>
    </w:p>
    <w:p w14:paraId="210FDC5E" w14:textId="21B84535" w:rsidR="00966B7E" w:rsidRPr="00AB153D" w:rsidRDefault="00966B7E"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Vygotsky, L. S. (1978). Mind in society: The development of higher psychological processes. Harvard University Press.</w:t>
      </w:r>
    </w:p>
    <w:p w14:paraId="7885CA27" w14:textId="7C22D444" w:rsidR="00966B7E" w:rsidRPr="00AB153D" w:rsidRDefault="00966B7E" w:rsidP="00AB153D">
      <w:pPr>
        <w:pStyle w:val="ListParagraph"/>
        <w:numPr>
          <w:ilvl w:val="0"/>
          <w:numId w:val="5"/>
        </w:numPr>
        <w:tabs>
          <w:tab w:val="left" w:pos="1530"/>
        </w:tabs>
        <w:spacing w:line="240" w:lineRule="auto"/>
        <w:ind w:right="720"/>
        <w:jc w:val="both"/>
        <w:rPr>
          <w:rFonts w:ascii="Times New Roman" w:hAnsi="Times New Roman" w:cs="Times New Roman"/>
          <w:sz w:val="24"/>
          <w:szCs w:val="24"/>
          <w:lang w:val="en-US"/>
        </w:rPr>
      </w:pPr>
      <w:r w:rsidRPr="00AB153D">
        <w:rPr>
          <w:rFonts w:ascii="Times New Roman" w:hAnsi="Times New Roman" w:cs="Times New Roman"/>
          <w:sz w:val="24"/>
          <w:szCs w:val="24"/>
          <w:lang w:val="en-US"/>
        </w:rPr>
        <w:t>Zimmerman, B. J. (2002). Becoming a self-regulated learner: An overview. Theory into Practice, 41(2), 64-70. https://doi.org/10.1207/s15430421tip4102_2</w:t>
      </w:r>
    </w:p>
    <w:p w14:paraId="431B1F31" w14:textId="77777777" w:rsidR="000F5BE8" w:rsidRPr="00D95BE8" w:rsidRDefault="000F5BE8" w:rsidP="00D95BE8">
      <w:pPr>
        <w:tabs>
          <w:tab w:val="left" w:pos="1530"/>
        </w:tabs>
        <w:spacing w:line="240" w:lineRule="auto"/>
        <w:jc w:val="both"/>
        <w:rPr>
          <w:rFonts w:ascii="Times New Roman" w:hAnsi="Times New Roman" w:cs="Times New Roman"/>
          <w:sz w:val="24"/>
          <w:szCs w:val="24"/>
        </w:rPr>
      </w:pPr>
    </w:p>
    <w:sectPr w:rsidR="000F5BE8" w:rsidRPr="00D95BE8" w:rsidSect="00FB67AD">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0FD8F" w14:textId="77777777" w:rsidR="00AA55BA" w:rsidRDefault="00AA55BA" w:rsidP="00D95BE8">
      <w:pPr>
        <w:spacing w:after="0" w:line="240" w:lineRule="auto"/>
      </w:pPr>
      <w:r>
        <w:separator/>
      </w:r>
    </w:p>
  </w:endnote>
  <w:endnote w:type="continuationSeparator" w:id="0">
    <w:p w14:paraId="5FDD9EE8" w14:textId="77777777" w:rsidR="00AA55BA" w:rsidRDefault="00AA55BA" w:rsidP="00D95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AF70" w14:textId="77777777" w:rsidR="00AA55BA" w:rsidRDefault="00AA55BA" w:rsidP="00D95BE8">
      <w:pPr>
        <w:spacing w:after="0" w:line="240" w:lineRule="auto"/>
      </w:pPr>
      <w:r>
        <w:separator/>
      </w:r>
    </w:p>
  </w:footnote>
  <w:footnote w:type="continuationSeparator" w:id="0">
    <w:p w14:paraId="0EDF0D67" w14:textId="77777777" w:rsidR="00AA55BA" w:rsidRDefault="00AA55BA" w:rsidP="00D95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D636F"/>
    <w:multiLevelType w:val="hybridMultilevel"/>
    <w:tmpl w:val="98E29B66"/>
    <w:lvl w:ilvl="0" w:tplc="1020FA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F0E17"/>
    <w:multiLevelType w:val="multilevel"/>
    <w:tmpl w:val="5892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44766"/>
    <w:multiLevelType w:val="multilevel"/>
    <w:tmpl w:val="FEC68AEC"/>
    <w:lvl w:ilvl="0">
      <w:start w:val="1"/>
      <w:numFmt w:val="decimal"/>
      <w:lvlText w:val="%1."/>
      <w:lvlJc w:val="left"/>
      <w:pPr>
        <w:tabs>
          <w:tab w:val="num" w:pos="720"/>
        </w:tabs>
        <w:ind w:left="720" w:hanging="360"/>
      </w:p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14025"/>
    <w:multiLevelType w:val="hybridMultilevel"/>
    <w:tmpl w:val="D7D4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338AE"/>
    <w:multiLevelType w:val="hybridMultilevel"/>
    <w:tmpl w:val="869A315C"/>
    <w:lvl w:ilvl="0" w:tplc="9F4E08F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965623244">
    <w:abstractNumId w:val="2"/>
  </w:num>
  <w:num w:numId="2" w16cid:durableId="649672445">
    <w:abstractNumId w:val="4"/>
  </w:num>
  <w:num w:numId="3" w16cid:durableId="263658812">
    <w:abstractNumId w:val="1"/>
  </w:num>
  <w:num w:numId="4" w16cid:durableId="1653673454">
    <w:abstractNumId w:val="0"/>
  </w:num>
  <w:num w:numId="5" w16cid:durableId="42580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09"/>
    <w:rsid w:val="000F5BE8"/>
    <w:rsid w:val="0011203C"/>
    <w:rsid w:val="001E6B25"/>
    <w:rsid w:val="002267B6"/>
    <w:rsid w:val="002D0CC3"/>
    <w:rsid w:val="00303DBE"/>
    <w:rsid w:val="00344406"/>
    <w:rsid w:val="00384130"/>
    <w:rsid w:val="003A554E"/>
    <w:rsid w:val="003A743A"/>
    <w:rsid w:val="003F3E4B"/>
    <w:rsid w:val="004333D4"/>
    <w:rsid w:val="0047401E"/>
    <w:rsid w:val="00475C09"/>
    <w:rsid w:val="0047669C"/>
    <w:rsid w:val="005653A2"/>
    <w:rsid w:val="005715EF"/>
    <w:rsid w:val="00625F04"/>
    <w:rsid w:val="00676F68"/>
    <w:rsid w:val="006929E2"/>
    <w:rsid w:val="006C42A5"/>
    <w:rsid w:val="006E3F83"/>
    <w:rsid w:val="008C0FBE"/>
    <w:rsid w:val="00905543"/>
    <w:rsid w:val="00953784"/>
    <w:rsid w:val="00957BC3"/>
    <w:rsid w:val="00966B7E"/>
    <w:rsid w:val="009738CE"/>
    <w:rsid w:val="0099741C"/>
    <w:rsid w:val="009A5D07"/>
    <w:rsid w:val="00AA55BA"/>
    <w:rsid w:val="00AB153D"/>
    <w:rsid w:val="00B20433"/>
    <w:rsid w:val="00B26130"/>
    <w:rsid w:val="00BF088E"/>
    <w:rsid w:val="00CB6CE2"/>
    <w:rsid w:val="00CC5289"/>
    <w:rsid w:val="00CE58AD"/>
    <w:rsid w:val="00D95BE8"/>
    <w:rsid w:val="00DB7216"/>
    <w:rsid w:val="00DC2E79"/>
    <w:rsid w:val="00DE333B"/>
    <w:rsid w:val="00F04B05"/>
    <w:rsid w:val="00FB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B7FF"/>
  <w15:chartTrackingRefBased/>
  <w15:docId w15:val="{E5687C06-D2F0-4BFD-9255-E944D116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C09"/>
    <w:pPr>
      <w:spacing w:after="160" w:line="259" w:lineRule="auto"/>
      <w:jc w:val="left"/>
    </w:pPr>
    <w:rPr>
      <w:lang w:val="en-PH"/>
    </w:rPr>
  </w:style>
  <w:style w:type="paragraph" w:styleId="Heading1">
    <w:name w:val="heading 1"/>
    <w:basedOn w:val="Normal"/>
    <w:next w:val="Normal"/>
    <w:link w:val="Heading1Char"/>
    <w:uiPriority w:val="9"/>
    <w:qFormat/>
    <w:rsid w:val="00475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5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5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5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5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5C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C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C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C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5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5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5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5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5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C09"/>
    <w:rPr>
      <w:rFonts w:eastAsiaTheme="majorEastAsia" w:cstheme="majorBidi"/>
      <w:color w:val="272727" w:themeColor="text1" w:themeTint="D8"/>
    </w:rPr>
  </w:style>
  <w:style w:type="paragraph" w:styleId="Title">
    <w:name w:val="Title"/>
    <w:basedOn w:val="Normal"/>
    <w:next w:val="Normal"/>
    <w:link w:val="TitleChar"/>
    <w:uiPriority w:val="10"/>
    <w:qFormat/>
    <w:rsid w:val="00475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C09"/>
    <w:pPr>
      <w:spacing w:before="160"/>
      <w:jc w:val="center"/>
    </w:pPr>
    <w:rPr>
      <w:i/>
      <w:iCs/>
      <w:color w:val="404040" w:themeColor="text1" w:themeTint="BF"/>
    </w:rPr>
  </w:style>
  <w:style w:type="character" w:customStyle="1" w:styleId="QuoteChar">
    <w:name w:val="Quote Char"/>
    <w:basedOn w:val="DefaultParagraphFont"/>
    <w:link w:val="Quote"/>
    <w:uiPriority w:val="29"/>
    <w:rsid w:val="00475C09"/>
    <w:rPr>
      <w:i/>
      <w:iCs/>
      <w:color w:val="404040" w:themeColor="text1" w:themeTint="BF"/>
    </w:rPr>
  </w:style>
  <w:style w:type="paragraph" w:styleId="ListParagraph">
    <w:name w:val="List Paragraph"/>
    <w:basedOn w:val="Normal"/>
    <w:uiPriority w:val="34"/>
    <w:qFormat/>
    <w:rsid w:val="00475C09"/>
    <w:pPr>
      <w:ind w:left="720"/>
      <w:contextualSpacing/>
    </w:pPr>
  </w:style>
  <w:style w:type="character" w:styleId="IntenseEmphasis">
    <w:name w:val="Intense Emphasis"/>
    <w:basedOn w:val="DefaultParagraphFont"/>
    <w:uiPriority w:val="21"/>
    <w:qFormat/>
    <w:rsid w:val="00475C09"/>
    <w:rPr>
      <w:i/>
      <w:iCs/>
      <w:color w:val="2F5496" w:themeColor="accent1" w:themeShade="BF"/>
    </w:rPr>
  </w:style>
  <w:style w:type="paragraph" w:styleId="IntenseQuote">
    <w:name w:val="Intense Quote"/>
    <w:basedOn w:val="Normal"/>
    <w:next w:val="Normal"/>
    <w:link w:val="IntenseQuoteChar"/>
    <w:uiPriority w:val="30"/>
    <w:qFormat/>
    <w:rsid w:val="00475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5C09"/>
    <w:rPr>
      <w:i/>
      <w:iCs/>
      <w:color w:val="2F5496" w:themeColor="accent1" w:themeShade="BF"/>
    </w:rPr>
  </w:style>
  <w:style w:type="character" w:styleId="IntenseReference">
    <w:name w:val="Intense Reference"/>
    <w:basedOn w:val="DefaultParagraphFont"/>
    <w:uiPriority w:val="32"/>
    <w:qFormat/>
    <w:rsid w:val="00475C09"/>
    <w:rPr>
      <w:b/>
      <w:bCs/>
      <w:smallCaps/>
      <w:color w:val="2F5496" w:themeColor="accent1" w:themeShade="BF"/>
      <w:spacing w:val="5"/>
    </w:rPr>
  </w:style>
  <w:style w:type="character" w:styleId="Hyperlink">
    <w:name w:val="Hyperlink"/>
    <w:basedOn w:val="DefaultParagraphFont"/>
    <w:uiPriority w:val="99"/>
    <w:unhideWhenUsed/>
    <w:rsid w:val="00953784"/>
    <w:rPr>
      <w:color w:val="0563C1" w:themeColor="hyperlink"/>
      <w:u w:val="single"/>
    </w:rPr>
  </w:style>
  <w:style w:type="character" w:styleId="UnresolvedMention">
    <w:name w:val="Unresolved Mention"/>
    <w:basedOn w:val="DefaultParagraphFont"/>
    <w:uiPriority w:val="99"/>
    <w:semiHidden/>
    <w:unhideWhenUsed/>
    <w:rsid w:val="00953784"/>
    <w:rPr>
      <w:color w:val="605E5C"/>
      <w:shd w:val="clear" w:color="auto" w:fill="E1DFDD"/>
    </w:rPr>
  </w:style>
  <w:style w:type="paragraph" w:styleId="Header">
    <w:name w:val="header"/>
    <w:basedOn w:val="Normal"/>
    <w:link w:val="HeaderChar"/>
    <w:uiPriority w:val="99"/>
    <w:unhideWhenUsed/>
    <w:rsid w:val="00D95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BE8"/>
    <w:rPr>
      <w:lang w:val="en-PH"/>
    </w:rPr>
  </w:style>
  <w:style w:type="paragraph" w:styleId="Footer">
    <w:name w:val="footer"/>
    <w:basedOn w:val="Normal"/>
    <w:link w:val="FooterChar"/>
    <w:uiPriority w:val="99"/>
    <w:unhideWhenUsed/>
    <w:rsid w:val="00D95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BE8"/>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9303/jeef.v5i3.903" TargetMode="External"/><Relationship Id="rId3" Type="http://schemas.openxmlformats.org/officeDocument/2006/relationships/settings" Target="settings.xml"/><Relationship Id="rId7" Type="http://schemas.openxmlformats.org/officeDocument/2006/relationships/hyperlink" Target="https://doi.org/10.1007/s44217-025-004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47772/IJRISS.2025.91100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4</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 RULE</dc:creator>
  <cp:keywords/>
  <dc:description/>
  <cp:lastModifiedBy>LOREN RULE</cp:lastModifiedBy>
  <cp:revision>26</cp:revision>
  <cp:lastPrinted>2026-04-20T14:40:00Z</cp:lastPrinted>
  <dcterms:created xsi:type="dcterms:W3CDTF">2026-04-20T01:43:00Z</dcterms:created>
  <dcterms:modified xsi:type="dcterms:W3CDTF">2026-04-20T15:06:00Z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c221e5d7-e4e1-4819-b8d9-e736ae03695c</vt:lpwstr>
  </property>
</Properties>
</file>