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8A5520" w14:textId="4B32CFE0" w:rsidR="00894B34" w:rsidRDefault="00813268" w:rsidP="00813268">
      <w:pPr>
        <w:spacing w:after="240"/>
        <w:jc w:val="center"/>
      </w:pPr>
      <w:r w:rsidRPr="00813268">
        <w:rPr>
          <w:rFonts w:ascii="Times New Roman" w:hAnsi="Times New Roman" w:cs="Times New Roman"/>
          <w:b/>
          <w:bCs/>
          <w:sz w:val="28"/>
          <w:szCs w:val="28"/>
        </w:rPr>
        <w:t xml:space="preserve">Constitutional Instability, Regulatory Fragmentation, and the Unresolved Status of </w:t>
      </w:r>
      <w:r w:rsidR="00000000">
        <w:rPr>
          <w:rFonts w:ascii="Times New Roman" w:hAnsi="Times New Roman"/>
          <w:b/>
          <w:sz w:val="28"/>
        </w:rPr>
        <w:t xml:space="preserve">the Disputed Status of Comorian Offshore </w:t>
      </w:r>
      <w:r>
        <w:rPr>
          <w:rFonts w:ascii="Times New Roman" w:hAnsi="Times New Roman"/>
          <w:b/>
          <w:sz w:val="28"/>
        </w:rPr>
        <w:t xml:space="preserve">Financial </w:t>
      </w:r>
      <w:r w:rsidR="00000000">
        <w:rPr>
          <w:rFonts w:ascii="Times New Roman" w:hAnsi="Times New Roman"/>
          <w:b/>
          <w:sz w:val="28"/>
        </w:rPr>
        <w:t>Licenses</w:t>
      </w:r>
    </w:p>
    <w:p w14:paraId="0E7111AA" w14:textId="2082B227" w:rsidR="00A56382" w:rsidRDefault="00A56382" w:rsidP="00A56382">
      <w:pPr>
        <w:spacing w:after="60"/>
        <w:jc w:val="center"/>
        <w:rPr>
          <w:rFonts w:ascii="Times New Roman" w:eastAsia="Times New Roman" w:hAnsi="Times New Roman" w:cs="Times New Roman"/>
          <w:sz w:val="21"/>
          <w:szCs w:val="21"/>
        </w:rPr>
      </w:pPr>
      <w:proofErr w:type="gramStart"/>
      <w:r>
        <w:rPr>
          <w:rFonts w:ascii="Times New Roman" w:eastAsia="Times New Roman" w:hAnsi="Times New Roman" w:cs="Times New Roman"/>
          <w:sz w:val="21"/>
          <w:szCs w:val="21"/>
        </w:rPr>
        <w:t/>
      </w:r>
      <w:proofErr w:type="gramEnd"/>
    </w:p>
    <w:p w14:paraId="643E6BE8" w14:textId="5964E34E" w:rsidR="00B66480" w:rsidRPr="00B66480" w:rsidRDefault="00B66480" w:rsidP="00A56382">
      <w:pPr>
        <w:spacing w:after="60"/>
        <w:jc w:val="center"/>
        <w:rPr>
          <w:rFonts w:ascii="Times New Roman" w:eastAsia="Times New Roman" w:hAnsi="Times New Roman" w:cs="Times New Roman"/>
          <w:sz w:val="21"/>
          <w:szCs w:val="21"/>
        </w:rPr>
      </w:pPr>
      <w:r w:rsidRPr="00B66480">
        <w:rPr>
          <w:rFonts w:ascii="Times New Roman" w:eastAsia="Times New Roman" w:hAnsi="Times New Roman" w:cs="Times New Roman"/>
          <w:sz w:val="21"/>
          <w:szCs w:val="21"/>
        </w:rPr>
        <w:t/>
      </w:r>
    </w:p>
    <w:p w14:paraId="49BE8477" w14:textId="77777777" w:rsidR="00B66480" w:rsidRPr="00B66480" w:rsidRDefault="00B66480" w:rsidP="00A56382">
      <w:pPr>
        <w:spacing w:after="60"/>
        <w:jc w:val="center"/>
        <w:rPr>
          <w:rFonts w:ascii="Times New Roman" w:hAnsi="Times New Roman" w:cs="Times New Roman"/>
          <w:sz w:val="21"/>
          <w:szCs w:val="21"/>
        </w:rPr>
      </w:pPr>
      <w:r w:rsidRPr="00B66480">
        <w:rPr>
          <w:rFonts w:ascii="Times New Roman" w:eastAsia="Times New Roman" w:hAnsi="Times New Roman" w:cs="Times New Roman"/>
          <w:sz w:val="21"/>
          <w:szCs w:val="21"/>
        </w:rPr>
        <w:t/>
      </w:r>
    </w:p>
    <w:p w14:paraId="2CEC9343" w14:textId="77777777" w:rsidR="00B66480" w:rsidRPr="00B66480" w:rsidRDefault="00B66480" w:rsidP="00A56382">
      <w:pPr>
        <w:spacing w:after="60"/>
        <w:jc w:val="center"/>
        <w:rPr>
          <w:rFonts w:ascii="Times New Roman" w:hAnsi="Times New Roman" w:cs="Times New Roman"/>
          <w:sz w:val="21"/>
          <w:szCs w:val="21"/>
        </w:rPr>
      </w:pPr>
      <w:r w:rsidRPr="00B66480">
        <w:rPr>
          <w:rFonts w:ascii="Times New Roman" w:eastAsia="Times New Roman" w:hAnsi="Times New Roman" w:cs="Times New Roman"/>
          <w:sz w:val="21"/>
          <w:szCs w:val="21"/>
        </w:rPr>
        <w:t/>
      </w:r>
    </w:p>
    <w:p w14:paraId="459FE89D" w14:textId="77777777" w:rsidR="00B66480" w:rsidRDefault="00B66480" w:rsidP="00B66480">
      <w:pPr>
        <w:jc w:val="both"/>
        <w:rPr>
          <w:rFonts w:ascii="Times New Roman" w:hAnsi="Times New Roman"/>
          <w:sz w:val="24"/>
        </w:rPr>
      </w:pPr>
    </w:p>
    <w:p w14:paraId="2243E1D6" w14:textId="77777777" w:rsidR="00894B34" w:rsidRDefault="00000000" w:rsidP="00B66480">
      <w:pPr>
        <w:jc w:val="both"/>
      </w:pPr>
      <w:r>
        <w:rPr>
          <w:rFonts w:ascii="Times New Roman" w:hAnsi="Times New Roman"/>
          <w:b/>
          <w:sz w:val="28"/>
        </w:rPr>
        <w:t>Abstract</w:t>
      </w:r>
    </w:p>
    <w:p w14:paraId="213B9E3E" w14:textId="77777777" w:rsidR="00894B34" w:rsidRDefault="00000000" w:rsidP="00B66480">
      <w:pPr>
        <w:jc w:val="both"/>
        <w:rPr>
          <w:rFonts w:ascii="Times New Roman" w:hAnsi="Times New Roman"/>
          <w:sz w:val="24"/>
        </w:rPr>
      </w:pPr>
      <w:r>
        <w:rPr>
          <w:rFonts w:ascii="Times New Roman" w:hAnsi="Times New Roman"/>
          <w:sz w:val="24"/>
        </w:rPr>
        <w:t>The Banque Centrale des Comores (BCC) treats every license attributed to the Anjouan Offshore Finance Authority (AOFA) or the Mwali International Services Authority (MISA) as void, and international compliance practice largely follows the BCC. This report asks whether that categorical position exhausts the legal question. It argues that the conflict is better understood as an unresolved constitutional and institutional dispute over regulatory competence, inherited from the 2001 Fomboni settlement, asserted through executive circulars and sectoral statutes rather than adjudicated, and never extinguished by an express repeal of island legislation or a definitive constitutional ruling. Based on documentary research and legal jurisprudence materials, this report frames the dispute as a question of constitutional competence, not document authenticity. It advances three claims: the 2001 Fomboni settlement left financial regulatory authority between the Union and the autonomous islands unresolved; recentralization after 2005 has occupied the field mainly prospectively without clearly repealing island acts; and instruments issued by genuine island authorities during the contested period are therefore better described as disputed, not fraudulent. This distinction matters for property rights, litigation, and reform, although it gives no one present operating authority. A disputed license is not a fake license. It is a license whose original legal character remains challenged by some of the authorities.</w:t>
      </w:r>
    </w:p>
    <w:p w14:paraId="60A06434" w14:textId="77777777" w:rsidR="00A56382" w:rsidRDefault="00A56382" w:rsidP="00B66480">
      <w:pPr>
        <w:jc w:val="both"/>
        <w:rPr>
          <w:rFonts w:ascii="Times New Roman" w:hAnsi="Times New Roman"/>
          <w:sz w:val="24"/>
        </w:rPr>
      </w:pPr>
    </w:p>
    <w:p w14:paraId="695DA617" w14:textId="77777777" w:rsidR="00A56382" w:rsidRDefault="00A56382" w:rsidP="00B66480">
      <w:pPr>
        <w:jc w:val="both"/>
        <w:rPr>
          <w:rFonts w:ascii="Times New Roman" w:hAnsi="Times New Roman"/>
          <w:sz w:val="24"/>
        </w:rPr>
      </w:pPr>
    </w:p>
    <w:p w14:paraId="1645C058" w14:textId="77777777" w:rsidR="00A56382" w:rsidRDefault="00A56382" w:rsidP="00B66480">
      <w:pPr>
        <w:jc w:val="both"/>
        <w:rPr>
          <w:rFonts w:ascii="Times New Roman" w:hAnsi="Times New Roman"/>
          <w:sz w:val="24"/>
        </w:rPr>
      </w:pPr>
    </w:p>
    <w:p w14:paraId="07AF7319" w14:textId="77777777" w:rsidR="00A56382" w:rsidRDefault="00A56382" w:rsidP="00B66480">
      <w:pPr>
        <w:jc w:val="both"/>
        <w:rPr>
          <w:rFonts w:ascii="Times New Roman" w:hAnsi="Times New Roman"/>
          <w:sz w:val="24"/>
        </w:rPr>
      </w:pPr>
    </w:p>
    <w:p w14:paraId="226E28FE" w14:textId="77777777" w:rsidR="00A56382" w:rsidRPr="00A56382" w:rsidRDefault="00A56382" w:rsidP="00A56382">
      <w:pPr>
        <w:jc w:val="both"/>
        <w:rPr>
          <w:rFonts w:ascii="Times New Roman" w:hAnsi="Times New Roman"/>
          <w:sz w:val="24"/>
        </w:rPr>
      </w:pPr>
      <w:r w:rsidRPr="00A56382">
        <w:rPr>
          <w:rFonts w:ascii="Times New Roman" w:hAnsi="Times New Roman"/>
          <w:b/>
          <w:bCs/>
          <w:sz w:val="24"/>
        </w:rPr>
        <w:t>Keywords:</w:t>
      </w:r>
      <w:r w:rsidRPr="00A56382">
        <w:rPr>
          <w:rFonts w:ascii="Times New Roman" w:hAnsi="Times New Roman"/>
          <w:sz w:val="24"/>
        </w:rPr>
        <w:br/>
        <w:t>Political economy; Regulatory fragmentation; Offshore financial licensing; Constitutional governance; Comoros</w:t>
      </w:r>
    </w:p>
    <w:p w14:paraId="169E7E6D" w14:textId="77777777" w:rsidR="00A56382" w:rsidRDefault="00A56382" w:rsidP="00B66480">
      <w:pPr>
        <w:jc w:val="both"/>
      </w:pPr>
    </w:p>
    <w:p w14:paraId="07327FA7" w14:textId="77777777" w:rsidR="00894B34" w:rsidRDefault="00000000" w:rsidP="00B66480">
      <w:pPr>
        <w:jc w:val="both"/>
      </w:pPr>
      <w:r>
        <w:rPr>
          <w:rFonts w:ascii="Times New Roman" w:hAnsi="Times New Roman"/>
          <w:b/>
          <w:sz w:val="28"/>
        </w:rPr>
        <w:lastRenderedPageBreak/>
        <w:t>1. Introduction: two characterizations of the same documents</w:t>
      </w:r>
    </w:p>
    <w:p w14:paraId="3757D5F4" w14:textId="77777777" w:rsidR="00894B34" w:rsidRDefault="00000000" w:rsidP="00B66480">
      <w:pPr>
        <w:jc w:val="both"/>
      </w:pPr>
      <w:r>
        <w:rPr>
          <w:rFonts w:ascii="Times New Roman" w:hAnsi="Times New Roman"/>
          <w:sz w:val="24"/>
        </w:rPr>
        <w:t>The Union of the Comoros presents a unique case study in the political economy of small island developing states (SIDS). Following decades of secessionist conflicts, particularly in Anjouan (Ndzwani), the 2001 Fomboni Accords established a highly decentralized federal system. Despite these de jure constitutional adjustments, the de facto economic and regulatory autonomy of the islands remains fluid, uncertain, and heavily influenced by shifting regulatory framework. The BCC must navigate a landscape where its centralized monetary mandate frequently clashes with the decentralized, and sometimes opaque, economic agendas of the island governments.</w:t>
      </w:r>
    </w:p>
    <w:p w14:paraId="3FB7B287" w14:textId="77777777" w:rsidR="00894B34" w:rsidRDefault="00000000" w:rsidP="00B66480">
      <w:pPr>
        <w:jc w:val="both"/>
      </w:pPr>
      <w:r>
        <w:rPr>
          <w:rFonts w:ascii="Times New Roman" w:hAnsi="Times New Roman"/>
          <w:sz w:val="24"/>
        </w:rPr>
        <w:t>Two readings of the same set of documents now circulate internationally. For the Banque Centrale des Comores, every banking, brokerage or insurance license attributed to AOFA or MISA is a nullity. An advisory of 2014 denied that offshore banking licenses exist in the Comoros; a communiqué of 15 June 2022 listed MISA among fictitious structures claiming to issue banking and financial licenses; and the Ministry of Finance republished the warning as recently as December 2025 (BCC, 2022; Finance Magnates, 2026). In correspondence made public in 2021, the central bank went further, describing the MISA register as a fictitious entity without any real existence on the territory of the Union (EarnForex, n.d.). The counter position, advanced by the registries and by some licensees, is that island legislation enacted during a period of constitutionally recognized autonomy, never expressly repealed and never declared null by any court, cannot be reclassified as forgery by administrative communiqué.</w:t>
      </w:r>
    </w:p>
    <w:p w14:paraId="0548CA6D" w14:textId="77777777" w:rsidR="00894B34" w:rsidRDefault="00000000" w:rsidP="00B66480">
      <w:pPr>
        <w:jc w:val="both"/>
      </w:pPr>
      <w:r>
        <w:rPr>
          <w:rFonts w:ascii="Times New Roman" w:hAnsi="Times New Roman"/>
          <w:sz w:val="24"/>
        </w:rPr>
        <w:t>This paper investigates how the shifting and often unclear regulatory autonomy of the composing islands impacts the accreditations of offshore banking institutions. The analysis is grounded in the literature on Central Bank Independence (CBI) and the political economy of monetary unions. Standard CBI theory (Cukierman, 1992) posits that insulating the central bank from political interference is prerequisite for price stability. However, in fragile and decentralized states, CBI is frequently undermined not by the national executive, but by sub-national fiscal dominance (Alesina &amp; Tabellini, 1990).</w:t>
      </w:r>
    </w:p>
    <w:p w14:paraId="548A61DB" w14:textId="77777777" w:rsidR="00894B34" w:rsidRDefault="00000000" w:rsidP="00B66480">
      <w:pPr>
        <w:jc w:val="both"/>
      </w:pPr>
      <w:r>
        <w:rPr>
          <w:rFonts w:ascii="Times New Roman" w:hAnsi="Times New Roman"/>
          <w:sz w:val="24"/>
        </w:rPr>
        <w:t xml:space="preserve">This report examines the dispute as a problem of constitutional allocation rather than of document authenticity, and its argument rests on three claims. First, </w:t>
      </w:r>
      <w:r>
        <w:rPr>
          <w:rFonts w:ascii="Times New Roman" w:hAnsi="Times New Roman"/>
          <w:b/>
          <w:sz w:val="24"/>
        </w:rPr>
        <w:t>the allocation of financial regulatory competence between the Union and the autonomous islands, left ambiguous by the 2001 Fomboni settlement, has never been definitively adjudicated or politically settled.</w:t>
      </w:r>
      <w:r>
        <w:rPr>
          <w:rFonts w:ascii="Times New Roman" w:hAnsi="Times New Roman"/>
          <w:sz w:val="24"/>
        </w:rPr>
        <w:t xml:space="preserve"> Second, recentralization since 2005 has proceeded through presidential circulars, sectoral statutes and BCC regulations that occupy the field prospectively but do not, on their face, adjudicate the allocation question or expressly repeal the island acts. Third, it follows that the analytically correct default description of instruments issued under genuine island authority is disputed rather than fraudulent, a </w:t>
      </w:r>
      <w:r>
        <w:rPr>
          <w:rFonts w:ascii="Times New Roman" w:hAnsi="Times New Roman"/>
          <w:sz w:val="24"/>
        </w:rPr>
        <w:lastRenderedPageBreak/>
        <w:t>distinction that matters for property rights analysis, for litigation and for institutional reform, even though it confers no present operating authority on anyone.</w:t>
      </w:r>
    </w:p>
    <w:p w14:paraId="5BD8F97B" w14:textId="77777777" w:rsidR="00894B34" w:rsidRDefault="00000000" w:rsidP="00B66480">
      <w:pPr>
        <w:jc w:val="both"/>
      </w:pPr>
      <w:r>
        <w:rPr>
          <w:rFonts w:ascii="Times New Roman" w:hAnsi="Times New Roman"/>
          <w:sz w:val="24"/>
        </w:rPr>
        <w:t>The scope of the conclusion must be stated with equal precision. Nothing in this report implies that any AOFA or MISA instrument authorizes banking, brokerage or deposit taking in or from the Comoros under currently enforced law. Nor does the constitutional argument transfer legitimacy to particular licensees, whose bona fides raise independent factual questions; section 9 shows why the two issues cannot be collapsed. A disputed license is not a valid license. It is a license whose original legal character remains unsettled.</w:t>
      </w:r>
    </w:p>
    <w:p w14:paraId="2DE7C53E" w14:textId="77777777" w:rsidR="00894B34" w:rsidRDefault="00000000" w:rsidP="00B66480">
      <w:pPr>
        <w:jc w:val="both"/>
      </w:pPr>
      <w:r>
        <w:rPr>
          <w:rFonts w:ascii="Times New Roman" w:hAnsi="Times New Roman"/>
          <w:b/>
          <w:sz w:val="28"/>
        </w:rPr>
        <w:t>2. Economic and financial developmental background: why islands sell jurisdiction</w:t>
      </w:r>
    </w:p>
    <w:p w14:paraId="2F86A208" w14:textId="77777777" w:rsidR="00894B34" w:rsidRDefault="00000000" w:rsidP="00B66480">
      <w:pPr>
        <w:jc w:val="both"/>
      </w:pPr>
      <w:r>
        <w:rPr>
          <w:rFonts w:ascii="Times New Roman" w:hAnsi="Times New Roman"/>
          <w:sz w:val="24"/>
        </w:rPr>
        <w:t>The Union of the Comoros is among the smallest and most fragmented economies in Africa: three volcanic islands (Ngazidja, Ndzuwani and Mwali) with fewer than a million inhabitants, a narrow export base concentrated in vanilla, cloves and ylang ylang, and a private sector dominated by trade and remittance financed consumption. Diaspora transfers, mostly from France, finance much of household demand and rank among the highest in the world relative to national income, nearly 25% (World Development Indicators, 2026). The country reached the completion point of the Heavily Indebted Poor Countries initiative only in 2012 (IMF, 2012), and its accession to the World Trade Organization has compressed the trade taxes on which the budget historically relied (IMF, 2023c).</w:t>
      </w:r>
    </w:p>
    <w:p w14:paraId="5B02E3D2" w14:textId="77777777" w:rsidR="00894B34" w:rsidRDefault="00000000" w:rsidP="00B66480">
      <w:pPr>
        <w:jc w:val="both"/>
      </w:pPr>
      <w:r>
        <w:rPr>
          <w:rFonts w:ascii="Times New Roman" w:hAnsi="Times New Roman"/>
          <w:sz w:val="24"/>
        </w:rPr>
        <w:t>Public finances mirror this fragility. The four year Extended Credit Facility approved on 1 June 2023, with access of about 43 million dollars, diagnoses inadequate fiscal revenue, an undercapitalized banking system and corruption vulnerabilities, and conditions disbursements on restructuring the state postal bank, enhancing the central bank’s supervision and resolution capacities, and strengthening the AML/CFT framework (IMF, 2023a, 2023b). Successive reviews, through the staff level agreement on the fifth review in January 2026, record progress alongside persistent financial sector vulnerabilities (IMF, 2026).</w:t>
      </w:r>
    </w:p>
    <w:p w14:paraId="18EAE41B" w14:textId="77777777" w:rsidR="00894B34" w:rsidRDefault="00000000" w:rsidP="00B66480">
      <w:pPr>
        <w:jc w:val="both"/>
      </w:pPr>
      <w:r>
        <w:rPr>
          <w:rFonts w:ascii="Times New Roman" w:hAnsi="Times New Roman"/>
          <w:sz w:val="24"/>
        </w:rPr>
        <w:t>The institutional geography matters as much as the aggregates. The 2001 settlement, briefly examined above, equipped each island with an executive and an assembly while leaving them structurally dependent on transfers; contemporary reporting put the cost of the four governments at roughly four fifths of public revenue (IRIN, 2009). Anjouan is the most densely populated and among the poorest of the islands; Mwali is the smallest, with a population in the tens of thousands and little economic base beyond agriculture and fishing. Island political elites thus inherited mandates without instruments: responsibility for development, and almost no own source revenue with which to pursue it.</w:t>
      </w:r>
    </w:p>
    <w:p w14:paraId="063D9A1B" w14:textId="77777777" w:rsidR="00894B34" w:rsidRDefault="00000000" w:rsidP="00B66480">
      <w:pPr>
        <w:jc w:val="both"/>
      </w:pPr>
      <w:r>
        <w:rPr>
          <w:rFonts w:ascii="Times New Roman" w:hAnsi="Times New Roman"/>
          <w:sz w:val="24"/>
        </w:rPr>
        <w:lastRenderedPageBreak/>
        <w:t>For micro jurisdictions in that position, selling regulatory status is one of the few exports with almost no marginal cost. Beyond mere revenue generation, island authorities frequently justify these offshore and licensing frameworks as essential catalysts for local financial system development. By pricing their autonomy—offering expedited business licenses, tax holidays, and specialized regulatory concessions—the islands aim to attract foreign direct investment, foster technological spillovers in financial services, and accelerate the establishment of local non-bank financial institutions, fintech operators, and mobile money platforms. From the perspective of island executives, leveraging their constitutional autonomy to issue such licenses is a strategic mechanism to overcome their structural marginalization, theoretically generating the capital inflows required to deepen their own rudimentary financial systems.</w:t>
      </w:r>
    </w:p>
    <w:p w14:paraId="044DBD6D" w14:textId="77777777" w:rsidR="00894B34" w:rsidRDefault="00000000" w:rsidP="00B66480">
      <w:pPr>
        <w:jc w:val="both"/>
      </w:pPr>
      <w:r>
        <w:rPr>
          <w:rFonts w:ascii="Times New Roman" w:hAnsi="Times New Roman"/>
          <w:sz w:val="24"/>
        </w:rPr>
        <w:t>The registries make more sense once they are placed in this family of practices by which small jurisdictions sell attributes of sovereignty: flags, citizenships, registrations, regulatory status. Palan (2002) called this the commercialization of state sovereignty; Sharman (2006) documented how the supply side concentrates among small, poor states for which such rents are among the few available exports. The Comorian case adds a twist that is rarely noticed: monetization began at the center, not on the islands. In 2008 the Union enacted an economic citizenship law, marketed to parliament as a vehicle for Gulf investment and executed as a bulk sale of passports to the United Arab Emirates and Kuwait for stateless Bidoon residents. A parliamentary commission later found the enabling law procedurally defective (an irregular session, missing signatures and stamps, absence from the official list of laws), counted roughly 48,000 passports issued against about 42,000 presidential approvals, and estimated about 43 billion Comorian francs, on the order of 100 million dollars, missing from state coffers (Africanews, 2018; Al Jazeera, 2018). In 2022 a former Union president was convicted of high treason in proceedings arising from the scheme (Comoros passport sales scandal, 2024). Two implications follow. The islands did not invent sovereignty monetization; they imitated, at the only scale available to them, a model pioneered by the Union under a statute of contested validity.</w:t>
      </w:r>
    </w:p>
    <w:p w14:paraId="3568BA3E" w14:textId="77777777" w:rsidR="00894B34" w:rsidRDefault="00000000" w:rsidP="00B66480">
      <w:pPr>
        <w:jc w:val="both"/>
      </w:pPr>
      <w:r>
        <w:rPr>
          <w:rFonts w:ascii="Times New Roman" w:hAnsi="Times New Roman"/>
          <w:sz w:val="24"/>
        </w:rPr>
        <w:t>The island rationale is then straightforward. Assemblies and executives hold mandates with minimal own resources; registry fees promise revenue at almost no marginal cost; and the product menu—offshore banks, forex brokerage, insurance shells, gaming and cryptocurrency operators—tracks exactly those niches where mainstream jurisdictions price entry high. Jurisdictional arbitrage of this kind is framed locally as a financial development strategy. In substance, however, the costs dominate, and they fall mostly on others: AML/CFT exposure for the Union; de-risking pressure on the Comoros’ legitimate banks through reputational contagion; consumer harm of the kind documented in section 7; and the scrutiny of assessors that a country under an IMF program can least afford.</w:t>
      </w:r>
    </w:p>
    <w:p w14:paraId="0DBDA67B" w14:textId="77777777" w:rsidR="00894B34" w:rsidRDefault="00000000" w:rsidP="00B66480">
      <w:pPr>
        <w:jc w:val="both"/>
      </w:pPr>
      <w:r>
        <w:rPr>
          <w:rFonts w:ascii="Times New Roman" w:hAnsi="Times New Roman"/>
          <w:sz w:val="24"/>
        </w:rPr>
        <w:t xml:space="preserve">Furthermore, this decentralized approach creates severe regulatory arbitrage. If an island government implicitly guarantees or accredits a financial entity (such as a microfinance </w:t>
      </w:r>
      <w:r>
        <w:rPr>
          <w:rFonts w:ascii="Times New Roman" w:hAnsi="Times New Roman"/>
          <w:sz w:val="24"/>
        </w:rPr>
        <w:lastRenderedPageBreak/>
        <w:t>institution or a mobile money operator) that the BCC deems undercapitalized or non-compliant, it creates a systemic vulnerability. The BCC must then expend significant political capital to revoke or suspend licenses, often facing backlash from local island politicians who frame the BCC’s prudential actions as "Union-level sabotage" of local financial modernization. Ultimately, the strategy privatizes the rents on the islands and socializes the risks across the Union.</w:t>
      </w:r>
    </w:p>
    <w:p w14:paraId="3FA87AE0" w14:textId="77777777" w:rsidR="00894B34" w:rsidRDefault="00000000" w:rsidP="00B66480">
      <w:pPr>
        <w:jc w:val="both"/>
      </w:pPr>
      <w:r>
        <w:rPr>
          <w:rFonts w:ascii="Times New Roman" w:hAnsi="Times New Roman"/>
          <w:b/>
          <w:sz w:val="28"/>
        </w:rPr>
        <w:t>3. The constitutional origins of the competence dispute</w:t>
      </w:r>
    </w:p>
    <w:p w14:paraId="3D7EB413" w14:textId="77777777" w:rsidR="00894B34" w:rsidRDefault="00000000" w:rsidP="00B66480">
      <w:pPr>
        <w:jc w:val="both"/>
      </w:pPr>
      <w:r>
        <w:rPr>
          <w:rFonts w:ascii="Times New Roman" w:hAnsi="Times New Roman"/>
          <w:sz w:val="24"/>
        </w:rPr>
        <w:t>The dispute is a direct inheritance of state breakdown. Anjouan and Mwali seceded in 1997; Anjouan’s request for reattachment to France was refused, and the following years brought coups, sanctions and failed mediations (Oxford Constitutional Law, n.d.). The General Agreement on National Reconciliation signed at Fomboni on 17 February 2001 traded reunification for autonomy, and the constitution adopted by referendum in December 2001, with roughly three quarters of the vote, rebuilt the state as the Union of the Comoros: autonomous islands, each with its own president and assembly until 2009, each guaranteed the free administration of its own affairs, under a Union presidency rotating among the islands (PA-X, n.d.; Britannica, n.d.).</w:t>
      </w:r>
    </w:p>
    <w:p w14:paraId="40CF086E" w14:textId="77777777" w:rsidR="00894B34" w:rsidRDefault="00000000" w:rsidP="00B66480">
      <w:pPr>
        <w:jc w:val="both"/>
      </w:pPr>
      <w:r>
        <w:rPr>
          <w:rFonts w:ascii="Times New Roman" w:hAnsi="Times New Roman"/>
          <w:sz w:val="24"/>
        </w:rPr>
        <w:t xml:space="preserve">The financial sector fell into the seam of that design. The constitution reserved a short list of matters to the Union, currency among them, and left a broad residual of economic administration to the islands. Union authorities invoke the organic legislation on the distribution of competences, notably Organic Law 05-003/AU, as confirming exclusive central competence over banking and financial legislation (Finance Magnates, 2026), while island actors read the free administration clause and their development responsibilities as covering the organization of service industries on their territory, offshore services included. Monetary competence was never seriously contestable: the BCC predates the Union, and the Comorian franc is anchored to the euro through franc zone cooperation with France. </w:t>
      </w:r>
      <w:r>
        <w:rPr>
          <w:rFonts w:ascii="Times New Roman" w:hAnsi="Times New Roman"/>
          <w:b/>
          <w:sz w:val="24"/>
        </w:rPr>
        <w:t>Whether monetary competence exhausts financial sector competence, or whether prudential licensing of service providers is a distinct matter, is exactly the kind of question federal systems settle through constitutional adjudication. In the Comoros it never was settled.</w:t>
      </w:r>
    </w:p>
    <w:p w14:paraId="61834165" w14:textId="77777777" w:rsidR="00894B34" w:rsidRDefault="00000000" w:rsidP="00B66480">
      <w:pPr>
        <w:jc w:val="both"/>
      </w:pPr>
      <w:r>
        <w:rPr>
          <w:rFonts w:ascii="Times New Roman" w:hAnsi="Times New Roman"/>
          <w:sz w:val="24"/>
        </w:rPr>
        <w:t>The subsequent constitutional trajectory narrowed island autonomy without ever settling the allocation. The 2009 revision downgraded island presidents to governors and trimmed island institutions; further amendments followed in 2014; and the referendum of 30 July 2018, boycotted by the opposition and preceded by the suspension of the Constitutional Court, ended the rotating presidency, authorized consecutive presidential terms and abolished the Court altogether (Freedom House, 2019, 2024; Africa Center for Strategic Studies, 2024).</w:t>
      </w:r>
    </w:p>
    <w:p w14:paraId="0370ACF1" w14:textId="77777777" w:rsidR="00894B34" w:rsidRDefault="00000000" w:rsidP="00B66480">
      <w:pPr>
        <w:jc w:val="both"/>
      </w:pPr>
      <w:r>
        <w:rPr>
          <w:rFonts w:ascii="Times New Roman" w:hAnsi="Times New Roman"/>
          <w:sz w:val="24"/>
        </w:rPr>
        <w:lastRenderedPageBreak/>
        <w:t>The 2018 reform is the hinge of the present argument. Whatever one’s view of its politics, it removed the organ that the 2001 settlement designated to adjudicate such disputes. The dispute over island financial legislation therefore sits in what may be called a regulatory interregnum: two claims to the same competence coexist, each asserted through instruments the other side does not recognize, with no authorized arbiter in existence and no negotiated settlement on record. Unresolved, in this report, means exactly that. It does not mean the Union’s claim is weak; it means that no constitutionally designated body has ever ruled on it, and that the recentralization of 2009 and 2018 were imposed majorities rather than renegotiations of the Fomboni bargain.</w:t>
      </w:r>
    </w:p>
    <w:p w14:paraId="14A74696" w14:textId="77777777" w:rsidR="00894B34" w:rsidRDefault="00000000" w:rsidP="00B66480">
      <w:pPr>
        <w:jc w:val="both"/>
      </w:pPr>
      <w:r>
        <w:rPr>
          <w:rFonts w:ascii="Times New Roman" w:hAnsi="Times New Roman"/>
          <w:b/>
          <w:sz w:val="28"/>
        </w:rPr>
        <w:t>4. The parallel offshore frameworks</w:t>
      </w:r>
    </w:p>
    <w:p w14:paraId="704BA256" w14:textId="77777777" w:rsidR="00894B34" w:rsidRDefault="00000000" w:rsidP="00B66480">
      <w:pPr>
        <w:jc w:val="both"/>
      </w:pPr>
      <w:r>
        <w:rPr>
          <w:rFonts w:ascii="Times New Roman" w:hAnsi="Times New Roman"/>
          <w:sz w:val="24"/>
        </w:rPr>
        <w:t>The constitutional ambiguity regarding financial regulatory authority—compounded by the islands' historical assertions of autonomy—has enabled the emergence of parallel regulatory bodies. The Anjouan Offshore Finance Authority (AOFA) and, more recently, the Mwali International Services Authority (MISA) have issued banking, forex, insurance, and gaming licenses, marketing Comoros as an offshore financial jurisdiction. These licenses, however, lack recognition from the BCC, the IMF, the World Bank, and FATF.</w:t>
      </w:r>
    </w:p>
    <w:p w14:paraId="209F9FC6" w14:textId="77777777" w:rsidR="00894B34" w:rsidRDefault="00000000" w:rsidP="00B66480">
      <w:pPr>
        <w:jc w:val="both"/>
      </w:pPr>
      <w:r>
        <w:rPr>
          <w:rFonts w:ascii="Times New Roman" w:hAnsi="Times New Roman"/>
          <w:b/>
          <w:sz w:val="28"/>
        </w:rPr>
        <w:t>4.1 The Anjouan Offshore Finance Authority</w:t>
      </w:r>
    </w:p>
    <w:p w14:paraId="26C14360" w14:textId="77777777" w:rsidR="00894B34" w:rsidRDefault="00000000" w:rsidP="00B66480">
      <w:pPr>
        <w:jc w:val="both"/>
      </w:pPr>
      <w:r>
        <w:rPr>
          <w:rFonts w:ascii="Times New Roman" w:hAnsi="Times New Roman"/>
          <w:sz w:val="24"/>
        </w:rPr>
        <w:t>Anjouan’s offshore venture belongs to its de facto era. Between 1997 and 2008 the island was, for practical purposes, separately governed, first by secessionist administrations and from 2002 under Colonel Mohamed Bacar as island president within the new Union framework, an arrangement that collapsed when Bacar refused to leave office in 2007 and redeclared independence (Oxford Constitutional Law, n.d.). Two island statutes at the core of the venture, an Offshore Finance Authority Act 003 of 2005 and an International Banks Act 005 of 2005, created AOFA and a licensing regime for international banks and corporate registrations marketed to foreign clienteles [primary texts to be verified against the island gazette]. Contemporary accounts indicate that hundreds of entities were registered under the Anjouan brand during the period.</w:t>
      </w:r>
    </w:p>
    <w:p w14:paraId="5F42888C" w14:textId="77777777" w:rsidR="00894B34" w:rsidRDefault="00000000" w:rsidP="00B66480">
      <w:pPr>
        <w:jc w:val="both"/>
      </w:pPr>
      <w:r>
        <w:rPr>
          <w:rFonts w:ascii="Times New Roman" w:hAnsi="Times New Roman"/>
          <w:sz w:val="24"/>
        </w:rPr>
        <w:t>The Union’s reaction was immediate rather than tolerant, which matters for the historical record. A presidential circular of 11 May 2005 declared an end to illegal offshore banking activities, notably in Anjouan, and a BCC circular of 16 November 2005 listed the institutions licensed in the Comoros and prohibited offshore banking as such. What the record shows instead is an asymmetry of instruments: the island legislated; the center answered with circulars. A circular can refuse effect to an island statute of doubtful vires; it cannot repeal one. That asymmetry, trivial in appearance, is where the legal dispute was born and where it still lives.</w:t>
      </w:r>
    </w:p>
    <w:p w14:paraId="167D586D" w14:textId="77777777" w:rsidR="00894B34" w:rsidRDefault="00000000" w:rsidP="00B66480">
      <w:pPr>
        <w:jc w:val="both"/>
      </w:pPr>
      <w:r>
        <w:rPr>
          <w:rFonts w:ascii="Times New Roman" w:hAnsi="Times New Roman"/>
          <w:sz w:val="24"/>
        </w:rPr>
        <w:lastRenderedPageBreak/>
        <w:t xml:space="preserve">After the African Union backed operation of March 2008 restored central control, the Anjouan registry function appears to have migrated to privately operated platforms abroad, and the island’s name has more recently been marketed for online gaming authorizations. </w:t>
      </w:r>
      <w:r>
        <w:rPr>
          <w:rFonts w:ascii="Times New Roman" w:hAnsi="Times New Roman"/>
          <w:b/>
          <w:sz w:val="24"/>
        </w:rPr>
        <w:t>No express repeal of the 2005 island acts has been traced in preparing this report [needs evidence], an omission consistent with the Union’s general practice of occupying the field rather than liquidating the past.</w:t>
      </w:r>
    </w:p>
    <w:p w14:paraId="2962914C" w14:textId="77777777" w:rsidR="007E629D" w:rsidRDefault="007E629D" w:rsidP="00B66480">
      <w:pPr>
        <w:jc w:val="both"/>
        <w:rPr>
          <w:rFonts w:ascii="Times New Roman" w:hAnsi="Times New Roman"/>
          <w:b/>
          <w:sz w:val="28"/>
        </w:rPr>
      </w:pPr>
    </w:p>
    <w:p w14:paraId="61B600D9" w14:textId="1F8AC2DE" w:rsidR="00894B34" w:rsidRDefault="00000000" w:rsidP="00B66480">
      <w:pPr>
        <w:jc w:val="both"/>
      </w:pPr>
      <w:r>
        <w:rPr>
          <w:rFonts w:ascii="Times New Roman" w:hAnsi="Times New Roman"/>
          <w:b/>
          <w:sz w:val="28"/>
        </w:rPr>
        <w:t xml:space="preserve">4.2 The </w:t>
      </w:r>
      <w:proofErr w:type="spellStart"/>
      <w:r>
        <w:rPr>
          <w:rFonts w:ascii="Times New Roman" w:hAnsi="Times New Roman"/>
          <w:b/>
          <w:sz w:val="28"/>
        </w:rPr>
        <w:t>Mwali</w:t>
      </w:r>
      <w:proofErr w:type="spellEnd"/>
      <w:r>
        <w:rPr>
          <w:rFonts w:ascii="Times New Roman" w:hAnsi="Times New Roman"/>
          <w:b/>
          <w:sz w:val="28"/>
        </w:rPr>
        <w:t xml:space="preserve"> International Services Authority</w:t>
      </w:r>
    </w:p>
    <w:p w14:paraId="1E4B67F7" w14:textId="77777777" w:rsidR="00894B34" w:rsidRDefault="00000000" w:rsidP="00B66480">
      <w:pPr>
        <w:jc w:val="both"/>
      </w:pPr>
      <w:r>
        <w:rPr>
          <w:rFonts w:ascii="Times New Roman" w:hAnsi="Times New Roman"/>
          <w:sz w:val="24"/>
        </w:rPr>
        <w:t xml:space="preserve">The registry’s materials of Mwali’s framework claim continuity since 1998, a basis in the Constitution of Mwali (articles 36 to 38 and a transitional article 63 are cited), and a corpus of island statutes including an Offshore Banking Act of 2001, a Banking Act and a Brokerage Act of 2013, International Business Companies Regulations of 2014, and AML and counterterrorism acts (MISA registry materials, n.d.; Moheli Corporate Service, n.d.). However, the BCC describes the MISA register as a fictitious entity without real existence on the territory of the Union (EarnForex, n.d.). </w:t>
      </w:r>
      <w:r>
        <w:rPr>
          <w:rFonts w:ascii="Times New Roman" w:hAnsi="Times New Roman"/>
          <w:b/>
          <w:sz w:val="24"/>
        </w:rPr>
        <w:t>MISA claims an island-level legal basis under Mwali/Mohéli law, but there is stronger Union-level evidence that MISA is not recognized by the Central Bank of the Comoros as a lawful authority to license banks or financial institutions. Therefore, the safest legal formulation is: MISA’s status is contested; MISA-issued licenses may be described as island-level instruments claimed under Mwali law, but not as BCC-recognized or Union-wide financial authorizations.</w:t>
      </w:r>
      <w:r>
        <w:rPr>
          <w:rFonts w:ascii="Times New Roman" w:hAnsi="Times New Roman"/>
          <w:sz w:val="24"/>
        </w:rPr>
        <w:t xml:space="preserve"> Hence, the legal issue is best framed as an unresolved constitutional and regulatory competence dispute between island-level authorities and Union-level financial regulators, rather than as a simple question of forged versus genuine documents.</w:t>
      </w:r>
    </w:p>
    <w:p w14:paraId="4DE02E1F" w14:textId="77777777" w:rsidR="00894B34" w:rsidRDefault="00000000" w:rsidP="00B66480">
      <w:pPr>
        <w:jc w:val="both"/>
      </w:pPr>
      <w:r>
        <w:rPr>
          <w:rFonts w:ascii="Times New Roman" w:hAnsi="Times New Roman"/>
          <w:b/>
          <w:sz w:val="28"/>
        </w:rPr>
        <w:t>5. Constitutional ambiguity</w:t>
      </w:r>
    </w:p>
    <w:p w14:paraId="2C56285D" w14:textId="77777777" w:rsidR="00894B34" w:rsidRDefault="00000000" w:rsidP="00B66480">
      <w:pPr>
        <w:jc w:val="both"/>
      </w:pPr>
      <w:r>
        <w:rPr>
          <w:rFonts w:ascii="Times New Roman" w:hAnsi="Times New Roman"/>
          <w:b/>
          <w:sz w:val="28"/>
        </w:rPr>
        <w:t>5.1. Recentralization project</w:t>
      </w:r>
    </w:p>
    <w:p w14:paraId="00574E1B" w14:textId="77777777" w:rsidR="00894B34" w:rsidRDefault="00000000" w:rsidP="00B66480">
      <w:pPr>
        <w:jc w:val="both"/>
      </w:pPr>
      <w:r>
        <w:rPr>
          <w:rFonts w:ascii="Times New Roman" w:hAnsi="Times New Roman"/>
          <w:sz w:val="24"/>
        </w:rPr>
        <w:t>Whatever the islands enacted, the Union has spent two decades building over it. The BCC’s statutes of December 2010 codified its missions: monetary policy, financial stability, the exclusive privilege of currency issue, oversight of payment systems, and the surveillance and control of banking and financial activity (BCC, n.d.-a). Law 13-003/AU of 12 June 2013 then installed a comprehensive banking law; under its article 26 the BCC controls financial institutions and wields regulatory power, administrative power over the granting and withdrawal of agrément, and disciplinary power up to license withdrawal (BCC, n.d.-c). Regulations 016, 017 and 018, adopted in application of the 2013 law, govern the licensing of financial institutions, the accreditation of their senior managers and the accreditation of statutory auditors, with Regulation 019 covering decentralized financial institutions.</w:t>
      </w:r>
    </w:p>
    <w:p w14:paraId="305C1EE0" w14:textId="77777777" w:rsidR="00894B34" w:rsidRDefault="00000000" w:rsidP="00B66480">
      <w:pPr>
        <w:jc w:val="both"/>
      </w:pPr>
      <w:r>
        <w:rPr>
          <w:rFonts w:ascii="Times New Roman" w:hAnsi="Times New Roman"/>
          <w:sz w:val="24"/>
        </w:rPr>
        <w:lastRenderedPageBreak/>
        <w:t>The most recent step internationalizes the architecture. New BCC statutes signed in Paris on 3 December 2024 and presented in January 2025 create two specialized organs, a Monetary Policy and Reserves Management Committee and a Banking Supervision Committee. The latter, composed of the Governor, one member designated by the Comorian government and two members designated by the French government, decides licensing, license withdrawal, provisional administration and resolution, and does so only by unanimity; insurance supervision was absorbed at the same time (Ministry of Finance of the Comoros, 2025; Al-Watwan, 2025).</w:t>
      </w:r>
    </w:p>
    <w:p w14:paraId="591952A3" w14:textId="77777777" w:rsidR="00894B34" w:rsidRDefault="00000000" w:rsidP="00B66480">
      <w:pPr>
        <w:jc w:val="both"/>
      </w:pPr>
      <w:r>
        <w:rPr>
          <w:rFonts w:ascii="Times New Roman" w:hAnsi="Times New Roman"/>
          <w:b/>
          <w:sz w:val="24"/>
        </w:rPr>
        <w:t>One crucial observation follows. The recentralization program has been instrument dense but settlement poor. Every text in the sequence occupies the field prospectively: it tells the future who may operate and on whose authorization. None purports to adjudicate the constitutional allocation, to obtain a declaration of nullity through the procedure the constitution provided, or to repeal the island acts expressly.</w:t>
      </w:r>
    </w:p>
    <w:p w14:paraId="3B842895" w14:textId="77777777" w:rsidR="00894B34" w:rsidRDefault="00000000" w:rsidP="00B66480">
      <w:pPr>
        <w:jc w:val="both"/>
      </w:pPr>
      <w:r>
        <w:rPr>
          <w:rFonts w:ascii="Times New Roman" w:hAnsi="Times New Roman"/>
          <w:b/>
          <w:sz w:val="28"/>
        </w:rPr>
        <w:t>5.2. Two constitutional narratives</w:t>
      </w:r>
    </w:p>
    <w:p w14:paraId="5815AF26" w14:textId="77777777" w:rsidR="00894B34" w:rsidRDefault="00000000" w:rsidP="00B66480">
      <w:pPr>
        <w:jc w:val="both"/>
      </w:pPr>
      <w:r>
        <w:rPr>
          <w:rFonts w:ascii="Times New Roman" w:hAnsi="Times New Roman"/>
          <w:sz w:val="24"/>
        </w:rPr>
        <w:t xml:space="preserve">The Union’s narrative is compact: currency and the monetary acquis are Union matters; the organic legislation on competences confirms exclusive central authority over banking and financial law. </w:t>
      </w:r>
      <w:r>
        <w:rPr>
          <w:rFonts w:ascii="Times New Roman" w:hAnsi="Times New Roman"/>
          <w:b/>
          <w:sz w:val="24"/>
        </w:rPr>
        <w:t>The islands’ narrative is equally compact: the free administration clause and the development competences cover service industries; island statutes were enacted by recognized island organs and have never been repealed; and no court has ever declared the financial acts null through the procedure the constitution prescribes. Neither narrative has been tested before the organ the 2001 settlement designated for the purpose, and since 2018 that organ no longer exists. What exists instead is a stack of mutually unrecognized instruments: island statutes the center treats as void, and central circulars, statutes and regulations the registries treat as inapplicable to them.</w:t>
      </w:r>
      <w:r>
        <w:rPr>
          <w:rFonts w:ascii="Times New Roman" w:hAnsi="Times New Roman"/>
          <w:sz w:val="24"/>
        </w:rPr>
        <w:t xml:space="preserve"> The remainder of this section asks what general legal doctrine applies to this conflict.</w:t>
      </w:r>
    </w:p>
    <w:p w14:paraId="52ED2889" w14:textId="77777777" w:rsidR="00894B34" w:rsidRDefault="00000000" w:rsidP="00B66480">
      <w:pPr>
        <w:jc w:val="both"/>
      </w:pPr>
      <w:r>
        <w:rPr>
          <w:rFonts w:ascii="Times New Roman" w:hAnsi="Times New Roman"/>
          <w:b/>
          <w:sz w:val="28"/>
        </w:rPr>
        <w:t>5.3. Non-retroactivity, vested rights and acts of contested authorities</w:t>
      </w:r>
    </w:p>
    <w:p w14:paraId="6F38E08A" w14:textId="77777777" w:rsidR="00894B34" w:rsidRDefault="00000000" w:rsidP="00B66480">
      <w:pPr>
        <w:jc w:val="both"/>
      </w:pPr>
      <w:r>
        <w:rPr>
          <w:rFonts w:ascii="Times New Roman" w:hAnsi="Times New Roman"/>
          <w:sz w:val="24"/>
        </w:rPr>
        <w:t>The BCC’s position is not merely that island instruments confer no authority today but that they were nullities from inception. That is a much stronger claim, and three bodies of doctrine bear on it.</w:t>
      </w:r>
    </w:p>
    <w:p w14:paraId="740B06FD" w14:textId="77777777" w:rsidR="00894B34" w:rsidRDefault="00000000" w:rsidP="00B66480">
      <w:pPr>
        <w:jc w:val="both"/>
      </w:pPr>
      <w:r>
        <w:rPr>
          <w:rFonts w:ascii="Times New Roman" w:hAnsi="Times New Roman"/>
          <w:sz w:val="24"/>
        </w:rPr>
        <w:t xml:space="preserve">Intertemporal law in the French tradition. The Comorian legal order belongs to the civil law family in which article 2 of the civil code states that legislation provides only for the future and has no retroactive effect. Administrative law hardens the principle: the Conseil d’État treats the non-retroactivity of administrative acts as a general principle of law (CE Ass., 25 June 1948, Société du journal L’Aurore), and confines the withdrawal of an unlawful individual decision that has created rights to a short window, four months in the </w:t>
      </w:r>
      <w:r>
        <w:rPr>
          <w:rFonts w:ascii="Times New Roman" w:hAnsi="Times New Roman"/>
          <w:sz w:val="24"/>
        </w:rPr>
        <w:lastRenderedPageBreak/>
        <w:t>modern case law (CE Ass., 26 October 2001, Ternon). The companion maxim tempus regit actum directs that the validity of an act be assessed under the law in force when it was done; a new statute applies immediately to future effects, but it does not, absent express provision and a strong public order justification, annul completed legal situations from the beginning. Applied here, Law 13-003/AU installs a licensing regime for the future. If they do not expressly provide otherwise, the operation the Union framework actually performs is prospective displacement: no one may operate without BCC agrément going forward. The further claim of nullity ab initio is, on the texts so far traced, an administrative characterization rather than an adjudicated conclusion. The 2005 circulars illustrate the same gap: they refused effect; they did not and could not repeal.</w:t>
      </w:r>
    </w:p>
    <w:p w14:paraId="661817A9" w14:textId="77777777" w:rsidR="00894B34" w:rsidRDefault="00000000" w:rsidP="00B66480">
      <w:pPr>
        <w:jc w:val="both"/>
      </w:pPr>
      <w:r>
        <w:rPr>
          <w:rFonts w:ascii="Times New Roman" w:hAnsi="Times New Roman"/>
          <w:sz w:val="24"/>
        </w:rPr>
        <w:t>Acts of de facto and contested authorities. Legal systems routinely separate the legitimacy of an issuing authority from the effects of its routine acts. The International Court of Justice, in the Namibia advisory opinion (1971, paragraph 125), held that the invalidity of an unlawful administration’s acts does not extend to registrations of births, deaths and marriages whose disregard would injure the inhabitants, a principle the European Court of Human Rights extended to acts of the unrecognized administration in northern Cyprus (Cyprus v Turkey, 2001; Demopoulos v Turkey, 2010), and the House of Lords reached comparable results by another route (Carl Zeiss Stiftung v Rayner and Keeler (No 2), 1967). Applied honestly, this body of law cuts in both directions. It defeats the proposition that everything done in Anjouan and in Mwali is automatically void merely because the administration was later removed by force: routine acts of a de facto authority within its territory can carry legal effect. It does not, however, stretch naturally to extraterritorial financial privileges.</w:t>
      </w:r>
    </w:p>
    <w:p w14:paraId="4550A30F" w14:textId="77777777" w:rsidR="00894B34" w:rsidRDefault="00000000" w:rsidP="00B66480">
      <w:pPr>
        <w:jc w:val="both"/>
      </w:pPr>
      <w:r>
        <w:rPr>
          <w:rFonts w:ascii="Times New Roman" w:hAnsi="Times New Roman"/>
          <w:sz w:val="24"/>
        </w:rPr>
        <w:t xml:space="preserve">Legitimate expectations and vested interests. The Strasbourg court has twice held that authorizations later found unlawful can still ground possessions and protected expectations: a planning permission annulled as ultra vires (Pine Valley Developments v Ireland, 1991) and an option granted beyond a local authority’s powers (Stretch v United Kingdom, 2003), where the public authority could not invoke its own lack of power against a party who had relied on it in good faith. The limiting principle is that the expectation must have a sufficient basis in national law (Kopecký v Slovakia, 2004). Investment arbitration addresses the adjacent problem of one organ of the state contradicting another: in Metalclad v Mexico (2000) reliance on federal assurances frustrated by a municipality engaged the state’s responsibility, and in MTD v Chile (2004) one organ approved what another forbade, with the tribunals also signaling that investor diligence conditions protection. Application is then two sided. </w:t>
      </w:r>
      <w:r>
        <w:rPr>
          <w:rFonts w:ascii="Times New Roman" w:hAnsi="Times New Roman"/>
          <w:b/>
          <w:sz w:val="24"/>
        </w:rPr>
        <w:t>For instance, a licensee that dealt with the MISA or AOFA, under published island acts, paying fees into an island treasury, holds at least a colorable claim of this family: not a claim to operate today, but a claim that the extinction of its position engages vested rights analysis and possibly compensation.</w:t>
      </w:r>
    </w:p>
    <w:p w14:paraId="418C492C" w14:textId="77777777" w:rsidR="00894B34" w:rsidRDefault="00000000" w:rsidP="00B66480">
      <w:pPr>
        <w:jc w:val="both"/>
      </w:pPr>
      <w:r>
        <w:rPr>
          <w:rFonts w:ascii="Times New Roman" w:hAnsi="Times New Roman"/>
          <w:b/>
          <w:sz w:val="28"/>
        </w:rPr>
        <w:lastRenderedPageBreak/>
        <w:t>6. Regulatory contestation versus fraud: a working taxonomy</w:t>
      </w:r>
    </w:p>
    <w:p w14:paraId="3DDFE4D7" w14:textId="77777777" w:rsidR="00894B34" w:rsidRDefault="00000000" w:rsidP="00B66480">
      <w:pPr>
        <w:jc w:val="both"/>
      </w:pPr>
      <w:r>
        <w:rPr>
          <w:rFonts w:ascii="Times New Roman" w:hAnsi="Times New Roman"/>
          <w:sz w:val="24"/>
        </w:rPr>
        <w:t>For analytical clarity, the licenses under review should be distinguished according to the three categories summarized in Table 1. Category A refers to a fraudulent license, namely an instrument issued by an entity with no plausible legal basis or genuine connection to public authority; in such cases, the document merely imitates or simulates public power. Category B refers to an invalidated license, namely a license originally issued under an authority that was later displaced, repealed, or superseded by a competent legal framework; in this case, the license may not have been fraudulent at the time of issuance, although its legal effects may have ended prospectively and questions of transition, vested rights, or acquired rights may arise. Category C refers to a disputed license, namely a license issued by a real island organ acting under enacted island law at a time when the allocation of legal competence between Union and island authorities was genuinely unresolved.</w:t>
      </w:r>
    </w:p>
    <w:p w14:paraId="515AED5D" w14:textId="77777777" w:rsidR="00894B34" w:rsidRDefault="00000000" w:rsidP="00B66480">
      <w:pPr>
        <w:jc w:val="both"/>
      </w:pPr>
      <w:r>
        <w:rPr>
          <w:rFonts w:ascii="Times New Roman" w:hAnsi="Times New Roman"/>
          <w:sz w:val="24"/>
        </w:rPr>
        <w:t>This typology clarifies the evidentiary burden in the present case. AOFA instruments issued between 2005 and 2008 present the strongest case for Category C, possibly shading into Category B depending on later legal displacement. By contrast, instruments marketed under the Anjouan name after 2008, and MISA instruments generally, appear to fail the institutional-nexus predicate on the present public record and therefore default toward Category A unless their proponents produce credible primary documentation showing issuance by actual island public institutions under locatable island legislation. As Table 1 emphasizes, the category is earned by evidence, not by institutional branding.</w:t>
      </w:r>
    </w:p>
    <w:p w14:paraId="2850D9C9" w14:textId="77777777" w:rsidR="00894B34" w:rsidRDefault="00000000" w:rsidP="00B66480">
      <w:pPr>
        <w:jc w:val="both"/>
      </w:pPr>
      <w:r>
        <w:rPr>
          <w:rFonts w:ascii="Times New Roman" w:hAnsi="Times New Roman"/>
          <w:b/>
          <w:sz w:val="24"/>
        </w:rPr>
        <w:t>Table 1. Typology of Licenses: Meaning and Legal Implication</w:t>
      </w:r>
    </w:p>
    <w:tbl>
      <w:tblPr>
        <w:tblStyle w:val="TableGrid"/>
        <w:tblW w:w="0" w:type="auto"/>
        <w:tblLook w:val="04A0" w:firstRow="1" w:lastRow="0" w:firstColumn="1" w:lastColumn="0" w:noHBand="0" w:noVBand="1"/>
      </w:tblPr>
      <w:tblGrid>
        <w:gridCol w:w="2876"/>
        <w:gridCol w:w="2877"/>
        <w:gridCol w:w="2877"/>
      </w:tblGrid>
      <w:tr w:rsidR="00894B34" w14:paraId="2B686DC8" w14:textId="77777777">
        <w:tc>
          <w:tcPr>
            <w:tcW w:w="2880" w:type="dxa"/>
          </w:tcPr>
          <w:p w14:paraId="40BFB50F" w14:textId="77777777" w:rsidR="00894B34" w:rsidRDefault="00000000" w:rsidP="00B66480">
            <w:pPr>
              <w:jc w:val="both"/>
            </w:pPr>
            <w:r>
              <w:rPr>
                <w:rFonts w:ascii="Times New Roman" w:hAnsi="Times New Roman"/>
                <w:sz w:val="24"/>
              </w:rPr>
              <w:t>Category</w:t>
            </w:r>
          </w:p>
        </w:tc>
        <w:tc>
          <w:tcPr>
            <w:tcW w:w="2880" w:type="dxa"/>
          </w:tcPr>
          <w:p w14:paraId="1591CD67" w14:textId="77777777" w:rsidR="00894B34" w:rsidRDefault="00000000" w:rsidP="00B66480">
            <w:pPr>
              <w:jc w:val="both"/>
            </w:pPr>
            <w:r>
              <w:rPr>
                <w:rFonts w:ascii="Times New Roman" w:hAnsi="Times New Roman"/>
                <w:sz w:val="24"/>
              </w:rPr>
              <w:t>Core criterion</w:t>
            </w:r>
          </w:p>
        </w:tc>
        <w:tc>
          <w:tcPr>
            <w:tcW w:w="2880" w:type="dxa"/>
          </w:tcPr>
          <w:p w14:paraId="1581B0CD" w14:textId="77777777" w:rsidR="00894B34" w:rsidRDefault="00000000" w:rsidP="00B66480">
            <w:pPr>
              <w:jc w:val="both"/>
            </w:pPr>
            <w:r>
              <w:rPr>
                <w:rFonts w:ascii="Times New Roman" w:hAnsi="Times New Roman"/>
                <w:sz w:val="24"/>
              </w:rPr>
              <w:t>Legal implication</w:t>
            </w:r>
          </w:p>
        </w:tc>
      </w:tr>
      <w:tr w:rsidR="00894B34" w14:paraId="76EE5EE7" w14:textId="77777777">
        <w:tc>
          <w:tcPr>
            <w:tcW w:w="2880" w:type="dxa"/>
          </w:tcPr>
          <w:p w14:paraId="60486C2B" w14:textId="77777777" w:rsidR="00894B34" w:rsidRDefault="00000000" w:rsidP="00B66480">
            <w:pPr>
              <w:jc w:val="both"/>
            </w:pPr>
            <w:r>
              <w:rPr>
                <w:rFonts w:ascii="Times New Roman" w:hAnsi="Times New Roman"/>
                <w:sz w:val="24"/>
              </w:rPr>
              <w:t>A. Fraudulent license</w:t>
            </w:r>
          </w:p>
        </w:tc>
        <w:tc>
          <w:tcPr>
            <w:tcW w:w="2880" w:type="dxa"/>
          </w:tcPr>
          <w:p w14:paraId="556A97A5" w14:textId="77777777" w:rsidR="00894B34" w:rsidRDefault="00000000" w:rsidP="00B66480">
            <w:pPr>
              <w:jc w:val="both"/>
            </w:pPr>
            <w:r>
              <w:rPr>
                <w:rFonts w:ascii="Times New Roman" w:hAnsi="Times New Roman"/>
                <w:sz w:val="24"/>
              </w:rPr>
              <w:t>No plausible legal basis or genuine connection to public authority.</w:t>
            </w:r>
          </w:p>
        </w:tc>
        <w:tc>
          <w:tcPr>
            <w:tcW w:w="2880" w:type="dxa"/>
          </w:tcPr>
          <w:p w14:paraId="75486F9A" w14:textId="77777777" w:rsidR="00894B34" w:rsidRDefault="00000000" w:rsidP="00B66480">
            <w:pPr>
              <w:jc w:val="both"/>
            </w:pPr>
            <w:r>
              <w:rPr>
                <w:rFonts w:ascii="Times New Roman" w:hAnsi="Times New Roman"/>
                <w:sz w:val="24"/>
              </w:rPr>
              <w:t>Presumptively fraudulent or legally void unless proponents produce credible primary evidence of lawful public issuance.</w:t>
            </w:r>
          </w:p>
        </w:tc>
      </w:tr>
      <w:tr w:rsidR="00894B34" w14:paraId="44ACFE3A" w14:textId="77777777">
        <w:tc>
          <w:tcPr>
            <w:tcW w:w="2880" w:type="dxa"/>
          </w:tcPr>
          <w:p w14:paraId="31BBBCC7" w14:textId="77777777" w:rsidR="00894B34" w:rsidRDefault="00000000" w:rsidP="00B66480">
            <w:pPr>
              <w:jc w:val="both"/>
            </w:pPr>
            <w:r>
              <w:rPr>
                <w:rFonts w:ascii="Times New Roman" w:hAnsi="Times New Roman"/>
                <w:sz w:val="24"/>
              </w:rPr>
              <w:t>B. Invalidated license</w:t>
            </w:r>
          </w:p>
        </w:tc>
        <w:tc>
          <w:tcPr>
            <w:tcW w:w="2880" w:type="dxa"/>
          </w:tcPr>
          <w:p w14:paraId="0A45F7B0" w14:textId="77777777" w:rsidR="00894B34" w:rsidRDefault="00000000" w:rsidP="00B66480">
            <w:pPr>
              <w:jc w:val="both"/>
            </w:pPr>
            <w:r>
              <w:rPr>
                <w:rFonts w:ascii="Times New Roman" w:hAnsi="Times New Roman"/>
                <w:sz w:val="24"/>
              </w:rPr>
              <w:t>Issued under an authority later displaced, repealed, or superseded by a competent framework.</w:t>
            </w:r>
          </w:p>
        </w:tc>
        <w:tc>
          <w:tcPr>
            <w:tcW w:w="2880" w:type="dxa"/>
          </w:tcPr>
          <w:p w14:paraId="393BC2CD" w14:textId="77777777" w:rsidR="00894B34" w:rsidRDefault="00000000" w:rsidP="00B66480">
            <w:pPr>
              <w:jc w:val="both"/>
            </w:pPr>
            <w:r>
              <w:rPr>
                <w:rFonts w:ascii="Times New Roman" w:hAnsi="Times New Roman"/>
                <w:sz w:val="24"/>
              </w:rPr>
              <w:t>Not necessarily fraudulent at issuance; legal effects may have ended prospectively, with possible transition or vested-rights issues.</w:t>
            </w:r>
          </w:p>
        </w:tc>
      </w:tr>
      <w:tr w:rsidR="00894B34" w14:paraId="257162A4" w14:textId="77777777">
        <w:tc>
          <w:tcPr>
            <w:tcW w:w="2880" w:type="dxa"/>
          </w:tcPr>
          <w:p w14:paraId="3BA1C30C" w14:textId="77777777" w:rsidR="00894B34" w:rsidRDefault="00000000" w:rsidP="00B66480">
            <w:pPr>
              <w:jc w:val="both"/>
            </w:pPr>
            <w:r>
              <w:rPr>
                <w:rFonts w:ascii="Times New Roman" w:hAnsi="Times New Roman"/>
                <w:sz w:val="24"/>
              </w:rPr>
              <w:t>C. Disputed license</w:t>
            </w:r>
          </w:p>
        </w:tc>
        <w:tc>
          <w:tcPr>
            <w:tcW w:w="2880" w:type="dxa"/>
          </w:tcPr>
          <w:p w14:paraId="47C4843E" w14:textId="77777777" w:rsidR="00894B34" w:rsidRDefault="00000000" w:rsidP="00B66480">
            <w:pPr>
              <w:jc w:val="both"/>
            </w:pPr>
            <w:r>
              <w:rPr>
                <w:rFonts w:ascii="Times New Roman" w:hAnsi="Times New Roman"/>
                <w:sz w:val="24"/>
              </w:rPr>
              <w:t>Issued by a real island organ under enacted island law during an unresolved allocation-of-competence dispute.</w:t>
            </w:r>
          </w:p>
        </w:tc>
        <w:tc>
          <w:tcPr>
            <w:tcW w:w="2880" w:type="dxa"/>
          </w:tcPr>
          <w:p w14:paraId="5912130B" w14:textId="77777777" w:rsidR="00894B34" w:rsidRDefault="00000000" w:rsidP="00B66480">
            <w:pPr>
              <w:jc w:val="both"/>
            </w:pPr>
            <w:r>
              <w:rPr>
                <w:rFonts w:ascii="Times New Roman" w:hAnsi="Times New Roman"/>
                <w:sz w:val="24"/>
              </w:rPr>
              <w:t>Should be treated as legally disputed rather than automatically fraudulent; classification depends on evidence and later legal displacement.</w:t>
            </w:r>
          </w:p>
        </w:tc>
      </w:tr>
    </w:tbl>
    <w:p w14:paraId="7AADDA83" w14:textId="77777777" w:rsidR="007E629D" w:rsidRDefault="007E629D" w:rsidP="00B66480">
      <w:pPr>
        <w:jc w:val="both"/>
        <w:rPr>
          <w:rFonts w:ascii="Times New Roman" w:hAnsi="Times New Roman"/>
          <w:b/>
          <w:sz w:val="28"/>
        </w:rPr>
      </w:pPr>
    </w:p>
    <w:p w14:paraId="1EFC5454" w14:textId="77777777" w:rsidR="007E629D" w:rsidRDefault="007E629D" w:rsidP="00B66480">
      <w:pPr>
        <w:jc w:val="both"/>
        <w:rPr>
          <w:rFonts w:ascii="Times New Roman" w:hAnsi="Times New Roman"/>
          <w:b/>
          <w:sz w:val="28"/>
        </w:rPr>
      </w:pPr>
    </w:p>
    <w:p w14:paraId="09E1F8A9" w14:textId="7AA4CA93" w:rsidR="00894B34" w:rsidRDefault="00000000" w:rsidP="00B66480">
      <w:pPr>
        <w:jc w:val="both"/>
      </w:pPr>
      <w:r>
        <w:rPr>
          <w:rFonts w:ascii="Times New Roman" w:hAnsi="Times New Roman"/>
          <w:b/>
          <w:sz w:val="28"/>
        </w:rPr>
        <w:t>7. Why the dispute remains formally unresolved and cases of continuing contestation</w:t>
      </w:r>
    </w:p>
    <w:p w14:paraId="3D0D1F05" w14:textId="77777777" w:rsidR="00894B34" w:rsidRDefault="00000000" w:rsidP="00B66480">
      <w:pPr>
        <w:jc w:val="both"/>
      </w:pPr>
      <w:r>
        <w:rPr>
          <w:rFonts w:ascii="Times New Roman" w:hAnsi="Times New Roman"/>
          <w:sz w:val="24"/>
        </w:rPr>
        <w:t>A final note on decision logic explains why the standoff persists. For the BCC, the costly error is legitimizing abuse, so it adopts a categorical rule: nothing issued outside its agrément exists. For a court applying intertemporal doctrine, the costly error is retroactive expropriation, so it resists nullity ab initio. Each institutional posture is individually rational; jointly they are irreconcilable without a settlement instrument, and a settlement instrument is precisely what the Comorian order lacks.</w:t>
      </w:r>
    </w:p>
    <w:p w14:paraId="3B6BE26D" w14:textId="77777777" w:rsidR="00894B34" w:rsidRDefault="00000000" w:rsidP="00B66480">
      <w:pPr>
        <w:jc w:val="both"/>
      </w:pPr>
      <w:r>
        <w:rPr>
          <w:rFonts w:ascii="Times New Roman" w:hAnsi="Times New Roman"/>
          <w:sz w:val="24"/>
        </w:rPr>
        <w:t>Five specific conditions keep the conflict formally open. No constitutional ruling has ever addressed financial competence; the 2007 decision concerned the Anjouan presidency. The forum designated to issue such a ruling was abolished in 2018. No express repeal of the island financial acts has been traced [needs evidence]. The registries continue to operate and to market instruments, with hundreds claimed to be outstanding. And the recentralization of 2009 and 2018 left island grievances politically alive, so the autonomy claim retains a constituency.</w:t>
      </w:r>
    </w:p>
    <w:p w14:paraId="34DA40BF" w14:textId="77777777" w:rsidR="00894B34" w:rsidRDefault="00000000" w:rsidP="00B66480">
      <w:pPr>
        <w:jc w:val="both"/>
      </w:pPr>
      <w:r>
        <w:rPr>
          <w:rFonts w:ascii="Times New Roman" w:hAnsi="Times New Roman"/>
          <w:b/>
          <w:sz w:val="24"/>
        </w:rPr>
        <w:t>Although the 2013 Union banking law (Loi bancaire n°13-003/AU) asserted BCC exclusive supervision, its non-retroactivity principle prevented application to pre-existing licenses. As of March 2026, the AOFA registry still listed licenses as valid, and the Union had not formally repealed the Anjouan legislation, despite the 2008 military intervention and subsequent constitutional centralization.</w:t>
      </w:r>
    </w:p>
    <w:p w14:paraId="33F2AE5D" w14:textId="77777777" w:rsidR="00894B34" w:rsidRDefault="00000000" w:rsidP="00B66480">
      <w:pPr>
        <w:jc w:val="both"/>
      </w:pPr>
      <w:r>
        <w:rPr>
          <w:rFonts w:ascii="Times New Roman" w:hAnsi="Times New Roman"/>
          <w:b/>
          <w:sz w:val="24"/>
        </w:rPr>
        <w:t>In part this has been interpreted as a grey zone that international and offshore financial activities can operate in. This is even backed by the fact that the Union government's failure to repeal pre-existing island legislation or prosecute unauthorized licensing activities suggests that the "uncertain and unclear" status of island autonomy persists despite constitutional formalism.</w:t>
      </w:r>
    </w:p>
    <w:p w14:paraId="0017EA80" w14:textId="77777777" w:rsidR="00894B34" w:rsidRDefault="00000000" w:rsidP="00B66480">
      <w:pPr>
        <w:jc w:val="both"/>
      </w:pPr>
      <w:r>
        <w:rPr>
          <w:rFonts w:ascii="Times New Roman" w:hAnsi="Times New Roman"/>
          <w:sz w:val="24"/>
        </w:rPr>
        <w:t xml:space="preserve">While the 2018 constitutional reforms attempted to clarify the distribution of power, the de facto autonomy of the composing islands continues to generate regulatory ambiguity. This ambiguity is not merely theoretical; it actively manifests in the ongoing operations and marketing of entities claiming island-level authorization. Institutional persistence is evident, as issuance under island branding has continued long after recentralization, proving that the Comoros is dealing with disputed and unsettled issues far beyond simple license validity. To date, contestation has continued. The BCC’s published warning names several entities as among entities wrongly asserting MISA licensing or AOFA licensing (FintechSetup, 2024). Entities such as, among others, Forbes Private Bank Monaco SA, </w:t>
      </w:r>
      <w:r>
        <w:rPr>
          <w:rFonts w:ascii="Times New Roman" w:hAnsi="Times New Roman"/>
          <w:sz w:val="24"/>
        </w:rPr>
        <w:lastRenderedPageBreak/>
        <w:t>Europe Chartered Bank Ltd holds a 2020 MISA instrument, Option 2 Trade, Cryptex Ltd, Zenith Chain Limited, Quantum Ledger Ltd, Nova Finance Ltd, and Apex Crypto Limited.</w:t>
      </w:r>
    </w:p>
    <w:p w14:paraId="308BD345" w14:textId="77777777" w:rsidR="00894B34" w:rsidRDefault="00000000" w:rsidP="00B66480">
      <w:pPr>
        <w:jc w:val="both"/>
      </w:pPr>
      <w:r>
        <w:rPr>
          <w:rFonts w:ascii="Times New Roman" w:hAnsi="Times New Roman"/>
          <w:sz w:val="24"/>
        </w:rPr>
        <w:t>What these cases evidence, and what they do not, should be stated without ambiguity. On the taxonomy of section 6, both cases sit, on the present record, outside Category A. They underscore that the contested sovereignty thesis concerns the fundamental allocation of public power between the Union and the islands. It is not, however, a laundering device for private conduct, but rather a reflection of a deeply entrenched constitutional stalemate.</w:t>
      </w:r>
    </w:p>
    <w:p w14:paraId="7F34BC54" w14:textId="77777777" w:rsidR="00894B34" w:rsidRDefault="00000000" w:rsidP="00B66480">
      <w:pPr>
        <w:jc w:val="both"/>
      </w:pPr>
      <w:r>
        <w:rPr>
          <w:rFonts w:ascii="Times New Roman" w:hAnsi="Times New Roman"/>
          <w:b/>
          <w:sz w:val="28"/>
        </w:rPr>
        <w:t>8. Conclusion</w:t>
      </w:r>
    </w:p>
    <w:p w14:paraId="2529EE2F" w14:textId="77777777" w:rsidR="00894B34" w:rsidRDefault="00000000" w:rsidP="00B66480">
      <w:pPr>
        <w:jc w:val="both"/>
      </w:pPr>
      <w:r>
        <w:rPr>
          <w:rFonts w:ascii="Times New Roman" w:hAnsi="Times New Roman"/>
          <w:sz w:val="24"/>
        </w:rPr>
        <w:t>This paper examined the evolution of the BCC within this contested sovereignty landscape, analyzing what shifting island autonomy and regulatory fragmentation mean for the status of the revoked licenses by the BCC. Methodologically, the report combines doctrinal analysis of the jurisprudence of legitimate expectations with the political economy of revenue strategies available to very small jurisdictions. Sources are official Comorian and BCC texts, IMF program documents, registry materials and press reporting. Where a claim rests on documents that could not be verified in preparing this report, the gap is flagged in the text rather than papered over.</w:t>
      </w:r>
    </w:p>
    <w:p w14:paraId="54A34ABA" w14:textId="77777777" w:rsidR="00894B34" w:rsidRDefault="00000000" w:rsidP="00B66480">
      <w:pPr>
        <w:jc w:val="both"/>
      </w:pPr>
      <w:r>
        <w:rPr>
          <w:rFonts w:ascii="Times New Roman" w:hAnsi="Times New Roman"/>
          <w:sz w:val="24"/>
        </w:rPr>
        <w:t>The evolution of the Banque Centrale des Comores since 2010 unquestionably reflects a movement toward centralized Union control of banking and financial regulation, now reinforced by statute, regulation, resolution powers, renewed franc zone statutes and an IMF program built on the same premise. Yet centralization has not resolved the constitutional conflict inherited from the federal settlement of 2001. AOFA emerged from a period in which island autonomy was not only recognized but institutionalized; its legislative acts were challenged, restricted and displaced by Union instruments, but never adjudicated null through the procedure the constitution prescribed and never, on the record traced here, expressly repealed.</w:t>
      </w:r>
    </w:p>
    <w:p w14:paraId="1776B09E" w14:textId="77777777" w:rsidR="00894B34" w:rsidRDefault="00000000" w:rsidP="00B66480">
      <w:pPr>
        <w:jc w:val="both"/>
      </w:pPr>
      <w:r>
        <w:rPr>
          <w:rFonts w:ascii="Times New Roman" w:hAnsi="Times New Roman"/>
          <w:sz w:val="24"/>
        </w:rPr>
        <w:t>MISA presents a weaker case at the threshold, because its very connection to Mwali’s public institutions remains unestablished. Because the allocation of competence was never settled, because the designated adjudicative forum was abolished in 2018, and because the Union has preferred occupation of the field to liquidation of the past, the status of instruments issued under genuine island authority during the contested period is disputed rather than conclusively fraudulent, while instruments lacking that pedigree earn no shelter from the dispute.</w:t>
      </w:r>
    </w:p>
    <w:p w14:paraId="3F625838" w14:textId="77777777" w:rsidR="00894B34" w:rsidRDefault="00000000" w:rsidP="00B66480">
      <w:pPr>
        <w:jc w:val="both"/>
      </w:pPr>
      <w:r>
        <w:rPr>
          <w:rFonts w:ascii="Times New Roman" w:hAnsi="Times New Roman"/>
          <w:b/>
          <w:sz w:val="24"/>
        </w:rPr>
        <w:t>Although the nullifying of any island-level accreditation or licensing of financial and quasi-financial entities is, according to the new regulations in Comoros, valid, such an official decision should be accompanied by a notice that Island licensee institutions are not automatically considered to be holding fraudulent authorizations.</w:t>
      </w:r>
    </w:p>
    <w:p w14:paraId="3ADF2660" w14:textId="77777777" w:rsidR="00894B34" w:rsidRDefault="00000000" w:rsidP="00B66480">
      <w:pPr>
        <w:jc w:val="both"/>
      </w:pPr>
      <w:r>
        <w:rPr>
          <w:rFonts w:ascii="Times New Roman" w:hAnsi="Times New Roman"/>
          <w:sz w:val="24"/>
        </w:rPr>
        <w:lastRenderedPageBreak/>
        <w:t>Disputed is a description of unfinished constitutional business, not a grant of validity. Nothing in this analysis confers operating authority on any AOFA or MISA instrument under currently enforced law, and nothing in it answers for the conduct of individual licensees. The core fault line is the one the title names: unresolved sovereignty against regulatory centralization. The durable remedy is accordingly constitutional rather than declaratory: an express repeal and savings law that inventories island financial legislation; a transitional mechanism for whatever vested interests survive scrutiny under the predicates set out in section 6; and a fiscal compact that gives the islands a lawful price for their autonomy. The common lesson of the passport scandal and the registries is that sovereignty left unpriced by law gets priced informally. Until the Comorian order supplies that price, the conflict will remain what it has been for two decades: asserted by everyone, adjudicated by no one.</w:t>
      </w:r>
    </w:p>
    <w:p w14:paraId="3C826EF0" w14:textId="77777777" w:rsidR="00EB6AFC" w:rsidRDefault="00EB6AFC" w:rsidP="00B66480">
      <w:pPr>
        <w:jc w:val="both"/>
        <w:rPr>
          <w:rFonts w:ascii="Times New Roman" w:hAnsi="Times New Roman"/>
          <w:b/>
          <w:sz w:val="28"/>
        </w:rPr>
      </w:pPr>
    </w:p>
    <w:p w14:paraId="18B65D01" w14:textId="77777777" w:rsidR="00EB6AFC" w:rsidRDefault="00EB6AFC" w:rsidP="00B66480">
      <w:pPr>
        <w:jc w:val="both"/>
        <w:rPr>
          <w:rFonts w:ascii="Times New Roman" w:hAnsi="Times New Roman"/>
          <w:b/>
          <w:sz w:val="28"/>
        </w:rPr>
      </w:pPr>
    </w:p>
    <w:p w14:paraId="46588796" w14:textId="77777777" w:rsidR="00EB6AFC" w:rsidRDefault="00EB6AFC" w:rsidP="00B66480">
      <w:pPr>
        <w:jc w:val="both"/>
        <w:rPr>
          <w:rFonts w:ascii="Times New Roman" w:hAnsi="Times New Roman"/>
          <w:b/>
          <w:sz w:val="28"/>
        </w:rPr>
      </w:pPr>
    </w:p>
    <w:p w14:paraId="031BAE02" w14:textId="77777777" w:rsidR="00EB6AFC" w:rsidRDefault="00EB6AFC" w:rsidP="00B66480">
      <w:pPr>
        <w:jc w:val="both"/>
        <w:rPr>
          <w:rFonts w:ascii="Times New Roman" w:hAnsi="Times New Roman"/>
          <w:b/>
          <w:sz w:val="28"/>
        </w:rPr>
      </w:pPr>
    </w:p>
    <w:p w14:paraId="0CD193A8" w14:textId="77777777" w:rsidR="00EB6AFC" w:rsidRDefault="00EB6AFC" w:rsidP="00B66480">
      <w:pPr>
        <w:jc w:val="both"/>
        <w:rPr>
          <w:rFonts w:ascii="Times New Roman" w:hAnsi="Times New Roman"/>
          <w:b/>
          <w:sz w:val="28"/>
        </w:rPr>
      </w:pPr>
    </w:p>
    <w:p w14:paraId="10AB9B94" w14:textId="77777777" w:rsidR="00EB6AFC" w:rsidRDefault="00EB6AFC" w:rsidP="00B66480">
      <w:pPr>
        <w:jc w:val="both"/>
        <w:rPr>
          <w:rFonts w:ascii="Times New Roman" w:hAnsi="Times New Roman"/>
          <w:b/>
          <w:sz w:val="28"/>
        </w:rPr>
      </w:pPr>
    </w:p>
    <w:p w14:paraId="13FCCD8C" w14:textId="77777777" w:rsidR="00EB6AFC" w:rsidRDefault="00EB6AFC" w:rsidP="00B66480">
      <w:pPr>
        <w:jc w:val="both"/>
        <w:rPr>
          <w:rFonts w:ascii="Times New Roman" w:hAnsi="Times New Roman"/>
          <w:b/>
          <w:sz w:val="28"/>
        </w:rPr>
      </w:pPr>
    </w:p>
    <w:p w14:paraId="410ADCDE" w14:textId="77777777" w:rsidR="00EB6AFC" w:rsidRDefault="00EB6AFC" w:rsidP="00B66480">
      <w:pPr>
        <w:jc w:val="both"/>
        <w:rPr>
          <w:rFonts w:ascii="Times New Roman" w:hAnsi="Times New Roman"/>
          <w:b/>
          <w:sz w:val="28"/>
        </w:rPr>
      </w:pPr>
    </w:p>
    <w:p w14:paraId="0C92173C" w14:textId="77777777" w:rsidR="00EB6AFC" w:rsidRDefault="00EB6AFC" w:rsidP="00B66480">
      <w:pPr>
        <w:jc w:val="both"/>
        <w:rPr>
          <w:rFonts w:ascii="Times New Roman" w:hAnsi="Times New Roman"/>
          <w:b/>
          <w:sz w:val="28"/>
        </w:rPr>
      </w:pPr>
    </w:p>
    <w:p w14:paraId="0B865B45" w14:textId="77777777" w:rsidR="00EB6AFC" w:rsidRDefault="00EB6AFC" w:rsidP="00B66480">
      <w:pPr>
        <w:jc w:val="both"/>
        <w:rPr>
          <w:rFonts w:ascii="Times New Roman" w:hAnsi="Times New Roman"/>
          <w:b/>
          <w:sz w:val="28"/>
        </w:rPr>
      </w:pPr>
    </w:p>
    <w:p w14:paraId="030CFFA0" w14:textId="77777777" w:rsidR="00EB6AFC" w:rsidRDefault="00EB6AFC" w:rsidP="00B66480">
      <w:pPr>
        <w:jc w:val="both"/>
        <w:rPr>
          <w:rFonts w:ascii="Times New Roman" w:hAnsi="Times New Roman"/>
          <w:b/>
          <w:sz w:val="28"/>
        </w:rPr>
      </w:pPr>
    </w:p>
    <w:p w14:paraId="283A0E82" w14:textId="77777777" w:rsidR="00EB6AFC" w:rsidRDefault="00EB6AFC" w:rsidP="00B66480">
      <w:pPr>
        <w:jc w:val="both"/>
        <w:rPr>
          <w:rFonts w:ascii="Times New Roman" w:hAnsi="Times New Roman"/>
          <w:b/>
          <w:sz w:val="28"/>
        </w:rPr>
      </w:pPr>
    </w:p>
    <w:p w14:paraId="247FD20F" w14:textId="77777777" w:rsidR="00EB6AFC" w:rsidRDefault="00EB6AFC" w:rsidP="00B66480">
      <w:pPr>
        <w:jc w:val="both"/>
        <w:rPr>
          <w:rFonts w:ascii="Times New Roman" w:hAnsi="Times New Roman"/>
          <w:b/>
          <w:sz w:val="28"/>
        </w:rPr>
      </w:pPr>
    </w:p>
    <w:p w14:paraId="5F6B39AD" w14:textId="77777777" w:rsidR="00EB6AFC" w:rsidRDefault="00EB6AFC" w:rsidP="00B66480">
      <w:pPr>
        <w:jc w:val="both"/>
        <w:rPr>
          <w:rFonts w:ascii="Times New Roman" w:hAnsi="Times New Roman"/>
          <w:b/>
          <w:sz w:val="28"/>
        </w:rPr>
      </w:pPr>
    </w:p>
    <w:p w14:paraId="58D9B316" w14:textId="77777777" w:rsidR="00EB6AFC" w:rsidRDefault="00EB6AFC" w:rsidP="00B66480">
      <w:pPr>
        <w:jc w:val="both"/>
        <w:rPr>
          <w:rFonts w:ascii="Times New Roman" w:hAnsi="Times New Roman"/>
          <w:b/>
          <w:sz w:val="28"/>
        </w:rPr>
      </w:pPr>
    </w:p>
    <w:p w14:paraId="5F9F6D69" w14:textId="77777777" w:rsidR="00EB6AFC" w:rsidRDefault="00EB6AFC" w:rsidP="00B66480">
      <w:pPr>
        <w:jc w:val="both"/>
        <w:rPr>
          <w:rFonts w:ascii="Times New Roman" w:hAnsi="Times New Roman"/>
          <w:b/>
          <w:sz w:val="28"/>
        </w:rPr>
      </w:pPr>
    </w:p>
    <w:p w14:paraId="1DCFF609" w14:textId="32B83393" w:rsidR="00894B34" w:rsidRDefault="00000000" w:rsidP="00B66480">
      <w:pPr>
        <w:jc w:val="both"/>
      </w:pPr>
      <w:r>
        <w:rPr>
          <w:rFonts w:ascii="Times New Roman" w:hAnsi="Times New Roman"/>
          <w:b/>
          <w:sz w:val="28"/>
        </w:rPr>
        <w:lastRenderedPageBreak/>
        <w:t>References</w:t>
      </w:r>
    </w:p>
    <w:p w14:paraId="4E1E83D9" w14:textId="77777777" w:rsidR="00894B34" w:rsidRDefault="00000000" w:rsidP="00B66480">
      <w:pPr>
        <w:jc w:val="both"/>
      </w:pPr>
      <w:r>
        <w:rPr>
          <w:rFonts w:ascii="Times New Roman" w:hAnsi="Times New Roman"/>
          <w:sz w:val="24"/>
        </w:rPr>
        <w:t>Africa Center for Strategic Studies. (2024, January). Comoros election exercise promises more of the same. africacenter.org.</w:t>
      </w:r>
    </w:p>
    <w:p w14:paraId="03B4E7BD" w14:textId="77777777" w:rsidR="00894B34" w:rsidRDefault="00000000" w:rsidP="00B66480">
      <w:pPr>
        <w:jc w:val="both"/>
      </w:pPr>
      <w:r>
        <w:rPr>
          <w:rFonts w:ascii="Times New Roman" w:hAnsi="Times New Roman"/>
          <w:sz w:val="24"/>
        </w:rPr>
        <w:t>Africanews with Reuters. (2018, March 25). Sale of Comoros citizenship was unlawful, abused by mafia networks: report. africanews.com.</w:t>
      </w:r>
    </w:p>
    <w:p w14:paraId="4E2AF136" w14:textId="77777777" w:rsidR="00894B34" w:rsidRDefault="00000000" w:rsidP="00B66480">
      <w:pPr>
        <w:jc w:val="both"/>
      </w:pPr>
      <w:r>
        <w:rPr>
          <w:rFonts w:ascii="Times New Roman" w:hAnsi="Times New Roman"/>
          <w:sz w:val="24"/>
        </w:rPr>
        <w:t>Al Jazeera. (2018, March 24). Comoros passports abused by mafia networks. aljazeera.com.</w:t>
      </w:r>
    </w:p>
    <w:p w14:paraId="60747D41" w14:textId="77777777" w:rsidR="00894B34" w:rsidRPr="00B66480" w:rsidRDefault="00000000" w:rsidP="00B66480">
      <w:pPr>
        <w:jc w:val="both"/>
        <w:rPr>
          <w:lang w:val="fr-FR"/>
        </w:rPr>
      </w:pPr>
      <w:r w:rsidRPr="00B66480">
        <w:rPr>
          <w:rFonts w:ascii="Times New Roman" w:hAnsi="Times New Roman"/>
          <w:sz w:val="24"/>
          <w:lang w:val="fr-FR"/>
        </w:rPr>
        <w:t>Al-</w:t>
      </w:r>
      <w:proofErr w:type="spellStart"/>
      <w:r w:rsidRPr="00B66480">
        <w:rPr>
          <w:rFonts w:ascii="Times New Roman" w:hAnsi="Times New Roman"/>
          <w:sz w:val="24"/>
          <w:lang w:val="fr-FR"/>
        </w:rPr>
        <w:t>Watwan</w:t>
      </w:r>
      <w:proofErr w:type="spellEnd"/>
      <w:r w:rsidRPr="00B66480">
        <w:rPr>
          <w:rFonts w:ascii="Times New Roman" w:hAnsi="Times New Roman"/>
          <w:sz w:val="24"/>
          <w:lang w:val="fr-FR"/>
        </w:rPr>
        <w:t xml:space="preserve">. (2025, January 28). Banque centrale des </w:t>
      </w:r>
      <w:proofErr w:type="gramStart"/>
      <w:r w:rsidRPr="00B66480">
        <w:rPr>
          <w:rFonts w:ascii="Times New Roman" w:hAnsi="Times New Roman"/>
          <w:sz w:val="24"/>
          <w:lang w:val="fr-FR"/>
        </w:rPr>
        <w:t>Comores:</w:t>
      </w:r>
      <w:proofErr w:type="gramEnd"/>
      <w:r w:rsidRPr="00B66480">
        <w:rPr>
          <w:rFonts w:ascii="Times New Roman" w:hAnsi="Times New Roman"/>
          <w:sz w:val="24"/>
          <w:lang w:val="fr-FR"/>
        </w:rPr>
        <w:t xml:space="preserve"> les nouveaux statuts posent trois réformes saluées par les deux parties. alwatwan.net.</w:t>
      </w:r>
    </w:p>
    <w:p w14:paraId="6FF6223E" w14:textId="77777777" w:rsidR="00894B34" w:rsidRPr="00B66480" w:rsidRDefault="00000000" w:rsidP="00B66480">
      <w:pPr>
        <w:jc w:val="both"/>
        <w:rPr>
          <w:lang w:val="fr-FR"/>
        </w:rPr>
      </w:pPr>
      <w:r w:rsidRPr="00B66480">
        <w:rPr>
          <w:rFonts w:ascii="Times New Roman" w:hAnsi="Times New Roman"/>
          <w:sz w:val="24"/>
          <w:lang w:val="fr-FR"/>
        </w:rPr>
        <w:t>Banque Centrale des Comores. (2022, June 15). Communiqué informant le public des structures fictives prétendant délivrer des agréments aux banques et institutions financières en Union des Comores. banque-comores.km.</w:t>
      </w:r>
    </w:p>
    <w:p w14:paraId="508C997C" w14:textId="77777777" w:rsidR="00894B34" w:rsidRPr="00B66480" w:rsidRDefault="00000000" w:rsidP="00B66480">
      <w:pPr>
        <w:jc w:val="both"/>
        <w:rPr>
          <w:lang w:val="fr-FR"/>
        </w:rPr>
      </w:pPr>
      <w:r w:rsidRPr="00B66480">
        <w:rPr>
          <w:rFonts w:ascii="Times New Roman" w:hAnsi="Times New Roman"/>
          <w:sz w:val="24"/>
          <w:lang w:val="fr-FR"/>
        </w:rPr>
        <w:t>Banque Centrale des Comores. (2025). Rapport annuel 2024. banque-comores.km.</w:t>
      </w:r>
    </w:p>
    <w:p w14:paraId="3CE918B7" w14:textId="77777777" w:rsidR="00894B34" w:rsidRPr="00B66480" w:rsidRDefault="00000000" w:rsidP="00B66480">
      <w:pPr>
        <w:jc w:val="both"/>
        <w:rPr>
          <w:lang w:val="fr-FR"/>
        </w:rPr>
      </w:pPr>
      <w:r w:rsidRPr="00B66480">
        <w:rPr>
          <w:rFonts w:ascii="Times New Roman" w:hAnsi="Times New Roman"/>
          <w:sz w:val="24"/>
          <w:lang w:val="fr-FR"/>
        </w:rPr>
        <w:t>Banque Centrale des Comores. (</w:t>
      </w:r>
      <w:proofErr w:type="spellStart"/>
      <w:proofErr w:type="gramStart"/>
      <w:r w:rsidRPr="00B66480">
        <w:rPr>
          <w:rFonts w:ascii="Times New Roman" w:hAnsi="Times New Roman"/>
          <w:sz w:val="24"/>
          <w:lang w:val="fr-FR"/>
        </w:rPr>
        <w:t>n.d</w:t>
      </w:r>
      <w:proofErr w:type="spellEnd"/>
      <w:r w:rsidRPr="00B66480">
        <w:rPr>
          <w:rFonts w:ascii="Times New Roman" w:hAnsi="Times New Roman"/>
          <w:sz w:val="24"/>
          <w:lang w:val="fr-FR"/>
        </w:rPr>
        <w:t>.</w:t>
      </w:r>
      <w:proofErr w:type="gramEnd"/>
      <w:r w:rsidRPr="00B66480">
        <w:rPr>
          <w:rFonts w:ascii="Times New Roman" w:hAnsi="Times New Roman"/>
          <w:sz w:val="24"/>
          <w:lang w:val="fr-FR"/>
        </w:rPr>
        <w:t xml:space="preserve">-a). </w:t>
      </w:r>
      <w:proofErr w:type="gramStart"/>
      <w:r w:rsidRPr="00B66480">
        <w:rPr>
          <w:rFonts w:ascii="Times New Roman" w:hAnsi="Times New Roman"/>
          <w:sz w:val="24"/>
          <w:lang w:val="fr-FR"/>
        </w:rPr>
        <w:t>Accueil:</w:t>
      </w:r>
      <w:proofErr w:type="gramEnd"/>
      <w:r w:rsidRPr="00B66480">
        <w:rPr>
          <w:rFonts w:ascii="Times New Roman" w:hAnsi="Times New Roman"/>
          <w:sz w:val="24"/>
          <w:lang w:val="fr-FR"/>
        </w:rPr>
        <w:t xml:space="preserve"> missions de la BCC (statuts de décembre 2010, articles 6 à 13). banque-comores.km.</w:t>
      </w:r>
    </w:p>
    <w:p w14:paraId="5566092F" w14:textId="77777777" w:rsidR="00894B34" w:rsidRPr="00B66480" w:rsidRDefault="00000000" w:rsidP="00B66480">
      <w:pPr>
        <w:jc w:val="both"/>
        <w:rPr>
          <w:lang w:val="fr-FR"/>
        </w:rPr>
      </w:pPr>
      <w:r w:rsidRPr="00B66480">
        <w:rPr>
          <w:rFonts w:ascii="Times New Roman" w:hAnsi="Times New Roman"/>
          <w:sz w:val="24"/>
          <w:lang w:val="fr-FR"/>
        </w:rPr>
        <w:t>Banque Centrale des Comores. (</w:t>
      </w:r>
      <w:proofErr w:type="spellStart"/>
      <w:proofErr w:type="gramStart"/>
      <w:r w:rsidRPr="00B66480">
        <w:rPr>
          <w:rFonts w:ascii="Times New Roman" w:hAnsi="Times New Roman"/>
          <w:sz w:val="24"/>
          <w:lang w:val="fr-FR"/>
        </w:rPr>
        <w:t>n.d</w:t>
      </w:r>
      <w:proofErr w:type="spellEnd"/>
      <w:r w:rsidRPr="00B66480">
        <w:rPr>
          <w:rFonts w:ascii="Times New Roman" w:hAnsi="Times New Roman"/>
          <w:sz w:val="24"/>
          <w:lang w:val="fr-FR"/>
        </w:rPr>
        <w:t>.</w:t>
      </w:r>
      <w:proofErr w:type="gramEnd"/>
      <w:r w:rsidRPr="00B66480">
        <w:rPr>
          <w:rFonts w:ascii="Times New Roman" w:hAnsi="Times New Roman"/>
          <w:sz w:val="24"/>
          <w:lang w:val="fr-FR"/>
        </w:rPr>
        <w:t xml:space="preserve">-b). Dispositif de lutte contre le </w:t>
      </w:r>
      <w:proofErr w:type="gramStart"/>
      <w:r w:rsidRPr="00B66480">
        <w:rPr>
          <w:rFonts w:ascii="Times New Roman" w:hAnsi="Times New Roman"/>
          <w:sz w:val="24"/>
          <w:lang w:val="fr-FR"/>
        </w:rPr>
        <w:t>blanchiment:</w:t>
      </w:r>
      <w:proofErr w:type="gramEnd"/>
      <w:r w:rsidRPr="00B66480">
        <w:rPr>
          <w:rFonts w:ascii="Times New Roman" w:hAnsi="Times New Roman"/>
          <w:sz w:val="24"/>
          <w:lang w:val="fr-FR"/>
        </w:rPr>
        <w:t xml:space="preserve"> lois et décrets (circulaire présidentielle du 11 mai </w:t>
      </w:r>
      <w:proofErr w:type="gramStart"/>
      <w:r w:rsidRPr="00B66480">
        <w:rPr>
          <w:rFonts w:ascii="Times New Roman" w:hAnsi="Times New Roman"/>
          <w:sz w:val="24"/>
          <w:lang w:val="fr-FR"/>
        </w:rPr>
        <w:t>2005;</w:t>
      </w:r>
      <w:proofErr w:type="gramEnd"/>
      <w:r w:rsidRPr="00B66480">
        <w:rPr>
          <w:rFonts w:ascii="Times New Roman" w:hAnsi="Times New Roman"/>
          <w:sz w:val="24"/>
          <w:lang w:val="fr-FR"/>
        </w:rPr>
        <w:t xml:space="preserve"> circulaire BCC du 16 novembre 2005). banque-comores.km.</w:t>
      </w:r>
    </w:p>
    <w:p w14:paraId="467B2EB5" w14:textId="77777777" w:rsidR="00894B34" w:rsidRPr="00B66480" w:rsidRDefault="00000000" w:rsidP="00B66480">
      <w:pPr>
        <w:jc w:val="both"/>
        <w:rPr>
          <w:lang w:val="fr-FR"/>
        </w:rPr>
      </w:pPr>
      <w:r w:rsidRPr="00B66480">
        <w:rPr>
          <w:rFonts w:ascii="Times New Roman" w:hAnsi="Times New Roman"/>
          <w:sz w:val="24"/>
          <w:lang w:val="fr-FR"/>
        </w:rPr>
        <w:t>Banque Centrale des Comores. (</w:t>
      </w:r>
      <w:proofErr w:type="spellStart"/>
      <w:proofErr w:type="gramStart"/>
      <w:r w:rsidRPr="00B66480">
        <w:rPr>
          <w:rFonts w:ascii="Times New Roman" w:hAnsi="Times New Roman"/>
          <w:sz w:val="24"/>
          <w:lang w:val="fr-FR"/>
        </w:rPr>
        <w:t>n.d</w:t>
      </w:r>
      <w:proofErr w:type="spellEnd"/>
      <w:r w:rsidRPr="00B66480">
        <w:rPr>
          <w:rFonts w:ascii="Times New Roman" w:hAnsi="Times New Roman"/>
          <w:sz w:val="24"/>
          <w:lang w:val="fr-FR"/>
        </w:rPr>
        <w:t>.</w:t>
      </w:r>
      <w:proofErr w:type="gramEnd"/>
      <w:r w:rsidRPr="00B66480">
        <w:rPr>
          <w:rFonts w:ascii="Times New Roman" w:hAnsi="Times New Roman"/>
          <w:sz w:val="24"/>
          <w:lang w:val="fr-FR"/>
        </w:rPr>
        <w:t>-c). Les missions de la supervision bancaire (article 26 de la Loi n° 13-003/AU). banque-comores.km.</w:t>
      </w:r>
    </w:p>
    <w:p w14:paraId="7EBBBF66" w14:textId="77777777" w:rsidR="00894B34" w:rsidRPr="00B66480" w:rsidRDefault="00000000" w:rsidP="00B66480">
      <w:pPr>
        <w:jc w:val="both"/>
        <w:rPr>
          <w:lang w:val="fr-FR"/>
        </w:rPr>
      </w:pPr>
      <w:r w:rsidRPr="00B66480">
        <w:rPr>
          <w:rFonts w:ascii="Times New Roman" w:hAnsi="Times New Roman"/>
          <w:sz w:val="24"/>
          <w:lang w:val="fr-FR"/>
        </w:rPr>
        <w:t>Banque Centrale des Comores. (</w:t>
      </w:r>
      <w:proofErr w:type="spellStart"/>
      <w:proofErr w:type="gramStart"/>
      <w:r w:rsidRPr="00B66480">
        <w:rPr>
          <w:rFonts w:ascii="Times New Roman" w:hAnsi="Times New Roman"/>
          <w:sz w:val="24"/>
          <w:lang w:val="fr-FR"/>
        </w:rPr>
        <w:t>n.d</w:t>
      </w:r>
      <w:proofErr w:type="spellEnd"/>
      <w:r w:rsidRPr="00B66480">
        <w:rPr>
          <w:rFonts w:ascii="Times New Roman" w:hAnsi="Times New Roman"/>
          <w:sz w:val="24"/>
          <w:lang w:val="fr-FR"/>
        </w:rPr>
        <w:t>.</w:t>
      </w:r>
      <w:proofErr w:type="gramEnd"/>
      <w:r w:rsidRPr="00B66480">
        <w:rPr>
          <w:rFonts w:ascii="Times New Roman" w:hAnsi="Times New Roman"/>
          <w:sz w:val="24"/>
          <w:lang w:val="fr-FR"/>
        </w:rPr>
        <w:t>-d). Textes réglementaires de la BCC (Règlements 016, 017, 018 et 019 en application de la Loi n° 13-003/AU). banque-comores.km.</w:t>
      </w:r>
    </w:p>
    <w:p w14:paraId="03AAB09B" w14:textId="77777777" w:rsidR="00894B34" w:rsidRDefault="00000000" w:rsidP="00B66480">
      <w:pPr>
        <w:jc w:val="both"/>
      </w:pPr>
      <w:r>
        <w:rPr>
          <w:rFonts w:ascii="Times New Roman" w:hAnsi="Times New Roman"/>
          <w:sz w:val="24"/>
        </w:rPr>
        <w:t>Britannica. (n.d.). Comoros: federalism, autonomy, unification. britannica.com.</w:t>
      </w:r>
    </w:p>
    <w:p w14:paraId="4645EA39" w14:textId="77777777" w:rsidR="00894B34" w:rsidRDefault="00000000" w:rsidP="00B66480">
      <w:pPr>
        <w:jc w:val="both"/>
      </w:pPr>
      <w:r>
        <w:rPr>
          <w:rFonts w:ascii="Times New Roman" w:hAnsi="Times New Roman"/>
          <w:sz w:val="24"/>
        </w:rPr>
        <w:t>Carl Zeiss Stiftung v Rayner and Keeler Ltd (No 2) [1967] 1 AC 853 (House of Lords).</w:t>
      </w:r>
    </w:p>
    <w:p w14:paraId="0337643A" w14:textId="77777777" w:rsidR="00894B34" w:rsidRDefault="00000000" w:rsidP="00B66480">
      <w:pPr>
        <w:jc w:val="both"/>
      </w:pPr>
      <w:r>
        <w:rPr>
          <w:rFonts w:ascii="Times New Roman" w:hAnsi="Times New Roman"/>
          <w:sz w:val="24"/>
        </w:rPr>
        <w:t>Comoros passport sales scandal. (2024). Summary entry covering the 2008 economic citizenship law, the 2017 to 2018 parliamentary inquiry and the November 2022 convictions. en.wikipedia.org. [secondary summary; verify against trial reporting]</w:t>
      </w:r>
    </w:p>
    <w:p w14:paraId="7F0CBE89" w14:textId="77777777" w:rsidR="00894B34" w:rsidRPr="00B66480" w:rsidRDefault="00000000" w:rsidP="00B66480">
      <w:pPr>
        <w:jc w:val="both"/>
        <w:rPr>
          <w:lang w:val="fr-FR"/>
        </w:rPr>
      </w:pPr>
      <w:r w:rsidRPr="00B66480">
        <w:rPr>
          <w:rFonts w:ascii="Times New Roman" w:hAnsi="Times New Roman"/>
          <w:sz w:val="24"/>
          <w:lang w:val="fr-FR"/>
        </w:rPr>
        <w:t>Conseil d’État (Assemblée). (1948, 25 juin). Société du journal L’Aurore.</w:t>
      </w:r>
    </w:p>
    <w:p w14:paraId="26F69A30" w14:textId="77777777" w:rsidR="00894B34" w:rsidRPr="00B66480" w:rsidRDefault="00000000" w:rsidP="00B66480">
      <w:pPr>
        <w:jc w:val="both"/>
        <w:rPr>
          <w:lang w:val="fr-FR"/>
        </w:rPr>
      </w:pPr>
      <w:r w:rsidRPr="00B66480">
        <w:rPr>
          <w:rFonts w:ascii="Times New Roman" w:hAnsi="Times New Roman"/>
          <w:sz w:val="24"/>
          <w:lang w:val="fr-FR"/>
        </w:rPr>
        <w:t>Conseil d’État (Assemblée). (2001, 26 octobre). Ternon.</w:t>
      </w:r>
    </w:p>
    <w:p w14:paraId="5D85FD20" w14:textId="77777777" w:rsidR="00894B34" w:rsidRDefault="00000000" w:rsidP="00B66480">
      <w:pPr>
        <w:jc w:val="both"/>
      </w:pPr>
      <w:proofErr w:type="gramStart"/>
      <w:r>
        <w:rPr>
          <w:rFonts w:ascii="Times New Roman" w:hAnsi="Times New Roman"/>
          <w:sz w:val="24"/>
        </w:rPr>
        <w:lastRenderedPageBreak/>
        <w:t>Constitution of the Union of the Comoros,</w:t>
      </w:r>
      <w:proofErr w:type="gramEnd"/>
      <w:r>
        <w:rPr>
          <w:rFonts w:ascii="Times New Roman" w:hAnsi="Times New Roman"/>
          <w:sz w:val="24"/>
        </w:rPr>
        <w:t xml:space="preserve"> adopted 23 December 2001, revised 2009. constituteproject.org.</w:t>
      </w:r>
    </w:p>
    <w:p w14:paraId="784C9EB8" w14:textId="77777777" w:rsidR="00894B34" w:rsidRDefault="00000000" w:rsidP="00B66480">
      <w:pPr>
        <w:jc w:val="both"/>
      </w:pPr>
      <w:r>
        <w:rPr>
          <w:rFonts w:ascii="Times New Roman" w:hAnsi="Times New Roman"/>
          <w:sz w:val="24"/>
        </w:rPr>
        <w:t>Cyprus v Turkey [GC], no. 25781/94, ECtHR, 10 May 2001.</w:t>
      </w:r>
    </w:p>
    <w:p w14:paraId="2E7200D7" w14:textId="77777777" w:rsidR="00894B34" w:rsidRDefault="00000000" w:rsidP="00B66480">
      <w:pPr>
        <w:jc w:val="both"/>
      </w:pPr>
      <w:r>
        <w:rPr>
          <w:rFonts w:ascii="Times New Roman" w:hAnsi="Times New Roman"/>
          <w:sz w:val="24"/>
        </w:rPr>
        <w:t>Demopoulos and Others v Turkey (dec.) [GC], ECtHR, 1 March 2010.</w:t>
      </w:r>
    </w:p>
    <w:p w14:paraId="669705A7" w14:textId="77777777" w:rsidR="00894B34" w:rsidRDefault="00000000" w:rsidP="00B66480">
      <w:pPr>
        <w:jc w:val="both"/>
      </w:pPr>
      <w:r>
        <w:rPr>
          <w:rFonts w:ascii="Times New Roman" w:hAnsi="Times New Roman"/>
          <w:sz w:val="24"/>
        </w:rPr>
        <w:t>EarnForex. (n.d.). MISA (Mwali International Services Authority), citing Banque Centrale des Comores correspondence published by BehindMLM in 2021. earnforex.com.</w:t>
      </w:r>
    </w:p>
    <w:p w14:paraId="4AC0D7CC" w14:textId="77777777" w:rsidR="00894B34" w:rsidRDefault="00000000" w:rsidP="00B66480">
      <w:pPr>
        <w:jc w:val="both"/>
      </w:pPr>
      <w:r>
        <w:rPr>
          <w:rFonts w:ascii="Times New Roman" w:hAnsi="Times New Roman"/>
          <w:sz w:val="24"/>
        </w:rPr>
        <w:t>Finance Magnates. (2026, March 19). Is the end of the Comoros license mirage coming? financemagnates.com.</w:t>
      </w:r>
    </w:p>
    <w:p w14:paraId="632377D0" w14:textId="77777777" w:rsidR="00894B34" w:rsidRDefault="00000000" w:rsidP="00B66480">
      <w:pPr>
        <w:jc w:val="both"/>
      </w:pPr>
      <w:r>
        <w:rPr>
          <w:rFonts w:ascii="Times New Roman" w:hAnsi="Times New Roman"/>
          <w:sz w:val="24"/>
        </w:rPr>
        <w:t>FintechSetup. (2024, May 16). Beware of fraudulent Comoros offshore authorities and banks (summarizing the BCC list of unauthorized entities). fintechsetup.com.</w:t>
      </w:r>
    </w:p>
    <w:p w14:paraId="62B84412" w14:textId="77777777" w:rsidR="00894B34" w:rsidRDefault="00000000" w:rsidP="00B66480">
      <w:pPr>
        <w:jc w:val="both"/>
      </w:pPr>
      <w:r>
        <w:rPr>
          <w:rFonts w:ascii="Times New Roman" w:hAnsi="Times New Roman"/>
          <w:sz w:val="24"/>
        </w:rPr>
        <w:t>FinTelegram. (2023, August 30). Attention: be aware of the fake offshore regulator MISA. fintelegram.com.</w:t>
      </w:r>
    </w:p>
    <w:p w14:paraId="52185AC1" w14:textId="77777777" w:rsidR="00894B34" w:rsidRDefault="00000000" w:rsidP="00B66480">
      <w:pPr>
        <w:jc w:val="both"/>
      </w:pPr>
      <w:r>
        <w:rPr>
          <w:rFonts w:ascii="Times New Roman" w:hAnsi="Times New Roman"/>
          <w:sz w:val="24"/>
        </w:rPr>
        <w:t>Freedom House. (2019; 2024). Freedom in the World: Comoros. freedomhouse.org.</w:t>
      </w:r>
    </w:p>
    <w:p w14:paraId="0B5E6D64" w14:textId="77777777" w:rsidR="00894B34" w:rsidRDefault="00000000" w:rsidP="00B66480">
      <w:pPr>
        <w:jc w:val="both"/>
      </w:pPr>
      <w:r>
        <w:rPr>
          <w:rFonts w:ascii="Times New Roman" w:hAnsi="Times New Roman"/>
          <w:sz w:val="24"/>
        </w:rPr>
        <w:t>Gofaizen and Sherle. (2026). The Moheli (Mwali) forex license. gofaizen-sherle.com. [licensing intermediary marketing material]</w:t>
      </w:r>
    </w:p>
    <w:p w14:paraId="40974F8C" w14:textId="77777777" w:rsidR="00894B34" w:rsidRDefault="00000000" w:rsidP="00B66480">
      <w:pPr>
        <w:jc w:val="both"/>
      </w:pPr>
      <w:r>
        <w:rPr>
          <w:rFonts w:ascii="Times New Roman" w:hAnsi="Times New Roman"/>
          <w:sz w:val="24"/>
        </w:rPr>
        <w:t>International Monetary Fund. (2012, October 9). Statement at the conclusion of an IMF staff mission to Comoros. Press release 12/386. imf.org.</w:t>
      </w:r>
    </w:p>
    <w:p w14:paraId="07D38CDF" w14:textId="77777777" w:rsidR="00894B34" w:rsidRDefault="00000000" w:rsidP="00B66480">
      <w:pPr>
        <w:jc w:val="both"/>
      </w:pPr>
      <w:r>
        <w:rPr>
          <w:rFonts w:ascii="Times New Roman" w:hAnsi="Times New Roman"/>
          <w:sz w:val="24"/>
        </w:rPr>
        <w:t>International Monetary Fund. (2023a, June 1). IMF Executive Board approves US$43 million Extended Credit Facility arrangement for the Union of the Comoros. Press release 23/194. imf.org.</w:t>
      </w:r>
    </w:p>
    <w:p w14:paraId="59D006C6" w14:textId="77777777" w:rsidR="00894B34" w:rsidRDefault="00000000" w:rsidP="00B66480">
      <w:pPr>
        <w:jc w:val="both"/>
      </w:pPr>
      <w:r>
        <w:rPr>
          <w:rFonts w:ascii="Times New Roman" w:hAnsi="Times New Roman"/>
          <w:sz w:val="24"/>
        </w:rPr>
        <w:t>International Monetary Fund. (2023b, December 15). IMF Executive Board completes the first review under the ECF arrangement and concludes the 2023 Article IV consultation with the Union of the Comoros. Press release 23/457. imf.org.</w:t>
      </w:r>
    </w:p>
    <w:p w14:paraId="1CA0C9E0" w14:textId="77777777" w:rsidR="00894B34" w:rsidRDefault="00000000" w:rsidP="00B66480">
      <w:pPr>
        <w:jc w:val="both"/>
      </w:pPr>
      <w:r>
        <w:rPr>
          <w:rFonts w:ascii="Times New Roman" w:hAnsi="Times New Roman"/>
          <w:sz w:val="24"/>
        </w:rPr>
        <w:t>International Monetary Fund. (2023c, November 1). IMF reaches staff level agreement on the first review of the Extended Credit Facility and conducts discussions on the 2023 Article IV consultation with the Union of the Comoros. Press release 23/373. imf.org.</w:t>
      </w:r>
    </w:p>
    <w:p w14:paraId="5F6D5816" w14:textId="77777777" w:rsidR="00894B34" w:rsidRDefault="00000000" w:rsidP="00B66480">
      <w:pPr>
        <w:jc w:val="both"/>
      </w:pPr>
      <w:r>
        <w:rPr>
          <w:rFonts w:ascii="Times New Roman" w:hAnsi="Times New Roman"/>
          <w:sz w:val="24"/>
        </w:rPr>
        <w:t>International Monetary Fund. (2026, January 23). IMF reaches staff level agreement on the fifth review of the ECF and conducts the 2025 Article IV consultation discussions with the Union of the Comoros. Press release 26/018. imf.org.</w:t>
      </w:r>
    </w:p>
    <w:p w14:paraId="00D9294D" w14:textId="77777777" w:rsidR="00894B34" w:rsidRDefault="00000000" w:rsidP="00B66480">
      <w:pPr>
        <w:jc w:val="both"/>
      </w:pPr>
      <w:r>
        <w:rPr>
          <w:rFonts w:ascii="Times New Roman" w:hAnsi="Times New Roman"/>
          <w:sz w:val="24"/>
        </w:rPr>
        <w:t>IRIN (The New Humanitarian). (2009, February). Comoros: reforming the coup-coup islands. thenewhumanitarian.org.</w:t>
      </w:r>
    </w:p>
    <w:p w14:paraId="26121244" w14:textId="77777777" w:rsidR="00894B34" w:rsidRDefault="00000000" w:rsidP="00B66480">
      <w:pPr>
        <w:jc w:val="both"/>
      </w:pPr>
      <w:r>
        <w:rPr>
          <w:rFonts w:ascii="Times New Roman" w:hAnsi="Times New Roman"/>
          <w:sz w:val="24"/>
        </w:rPr>
        <w:lastRenderedPageBreak/>
        <w:t>Kopecký v Slovakia [GC], no. 44912/98, ECtHR, 28 September 2004.</w:t>
      </w:r>
    </w:p>
    <w:p w14:paraId="1E538363" w14:textId="77777777" w:rsidR="00894B34" w:rsidRDefault="00000000" w:rsidP="00B66480">
      <w:pPr>
        <w:jc w:val="both"/>
      </w:pPr>
      <w:r>
        <w:rPr>
          <w:rFonts w:ascii="Times New Roman" w:hAnsi="Times New Roman"/>
          <w:sz w:val="24"/>
        </w:rPr>
        <w:t>Legal Consequences for States of the Continued Presence of South Africa in Namibia (South West Africa), Advisory Opinion, ICJ Reports 1971, paragraph 125.</w:t>
      </w:r>
    </w:p>
    <w:p w14:paraId="04E4334A" w14:textId="77777777" w:rsidR="00894B34" w:rsidRPr="00B66480" w:rsidRDefault="00000000" w:rsidP="00B66480">
      <w:pPr>
        <w:jc w:val="both"/>
        <w:rPr>
          <w:lang w:val="fr-FR"/>
        </w:rPr>
      </w:pPr>
      <w:r w:rsidRPr="00B66480">
        <w:rPr>
          <w:rFonts w:ascii="Times New Roman" w:hAnsi="Times New Roman"/>
          <w:sz w:val="24"/>
          <w:lang w:val="fr-FR"/>
        </w:rPr>
        <w:t>Loi n° 13-003/AU du 12 juin 2013 portant loi bancaire, Union des Comores. droit-afrique.com.</w:t>
      </w:r>
    </w:p>
    <w:p w14:paraId="41905033" w14:textId="77777777" w:rsidR="00894B34" w:rsidRDefault="00000000" w:rsidP="00B66480">
      <w:pPr>
        <w:jc w:val="both"/>
      </w:pPr>
      <w:proofErr w:type="spellStart"/>
      <w:r>
        <w:rPr>
          <w:rFonts w:ascii="Times New Roman" w:hAnsi="Times New Roman"/>
          <w:sz w:val="24"/>
        </w:rPr>
        <w:t>Manimama</w:t>
      </w:r>
      <w:proofErr w:type="spellEnd"/>
      <w:r>
        <w:rPr>
          <w:rFonts w:ascii="Times New Roman" w:hAnsi="Times New Roman"/>
          <w:sz w:val="24"/>
        </w:rPr>
        <w:t xml:space="preserve"> Legal and Growth Agency. (2025, November 18). Legal status and regulatory validity of the MISA brokerage licence. manimama.eu.</w:t>
      </w:r>
    </w:p>
    <w:p w14:paraId="58617A19" w14:textId="77777777" w:rsidR="00894B34" w:rsidRDefault="00000000" w:rsidP="00B66480">
      <w:pPr>
        <w:jc w:val="both"/>
      </w:pPr>
      <w:r>
        <w:rPr>
          <w:rFonts w:ascii="Times New Roman" w:hAnsi="Times New Roman"/>
          <w:sz w:val="24"/>
        </w:rPr>
        <w:t>Metalclad Corporation v United Mexican States, ICSID Case No. ARB(AF)/97/1, Award of 30 August 2000.</w:t>
      </w:r>
    </w:p>
    <w:p w14:paraId="2E95F0D7" w14:textId="77777777" w:rsidR="00894B34" w:rsidRDefault="00000000" w:rsidP="00B66480">
      <w:pPr>
        <w:jc w:val="both"/>
      </w:pPr>
      <w:r>
        <w:rPr>
          <w:rFonts w:ascii="Times New Roman" w:hAnsi="Times New Roman"/>
          <w:sz w:val="24"/>
        </w:rPr>
        <w:t>MEXC News. (2025, December 12). Follow up: uncovering the Forbes Private Bank Monaco scam tied to Melaka card cloning raid. mexc.co. [syndicated reporting; low evidentiary weight, cited with caution]</w:t>
      </w:r>
    </w:p>
    <w:p w14:paraId="49454730" w14:textId="77777777" w:rsidR="00894B34" w:rsidRPr="00B66480" w:rsidRDefault="00000000" w:rsidP="00B66480">
      <w:pPr>
        <w:jc w:val="both"/>
        <w:rPr>
          <w:lang w:val="fr-FR"/>
        </w:rPr>
      </w:pPr>
      <w:r>
        <w:rPr>
          <w:rFonts w:ascii="Times New Roman" w:hAnsi="Times New Roman"/>
          <w:sz w:val="24"/>
        </w:rPr>
        <w:t xml:space="preserve">Ministry of Finance of the Comoros. </w:t>
      </w:r>
      <w:r w:rsidRPr="00B66480">
        <w:rPr>
          <w:rFonts w:ascii="Times New Roman" w:hAnsi="Times New Roman"/>
          <w:sz w:val="24"/>
          <w:lang w:val="fr-FR"/>
        </w:rPr>
        <w:t xml:space="preserve">(2025, January 24). Modernisation de la Banque Centrale des </w:t>
      </w:r>
      <w:proofErr w:type="gramStart"/>
      <w:r w:rsidRPr="00B66480">
        <w:rPr>
          <w:rFonts w:ascii="Times New Roman" w:hAnsi="Times New Roman"/>
          <w:sz w:val="24"/>
          <w:lang w:val="fr-FR"/>
        </w:rPr>
        <w:t>Comores:</w:t>
      </w:r>
      <w:proofErr w:type="gramEnd"/>
      <w:r w:rsidRPr="00B66480">
        <w:rPr>
          <w:rFonts w:ascii="Times New Roman" w:hAnsi="Times New Roman"/>
          <w:sz w:val="24"/>
          <w:lang w:val="fr-FR"/>
        </w:rPr>
        <w:t xml:space="preserve"> des statuts renouvelés pour une coopération monétaire renforcée. finances.gouv.km.</w:t>
      </w:r>
    </w:p>
    <w:p w14:paraId="01C8E98A" w14:textId="77777777" w:rsidR="00894B34" w:rsidRDefault="00000000" w:rsidP="00B66480">
      <w:pPr>
        <w:jc w:val="both"/>
      </w:pPr>
      <w:r>
        <w:rPr>
          <w:rFonts w:ascii="Times New Roman" w:hAnsi="Times New Roman"/>
          <w:sz w:val="24"/>
        </w:rPr>
        <w:t>MISA registry materials. (n.d.). mwaliregistrar.com; mwaliregistrar.org; mwaliregistrar.net. [registry self description; contested]</w:t>
      </w:r>
    </w:p>
    <w:p w14:paraId="13B3F23B" w14:textId="77777777" w:rsidR="00894B34" w:rsidRDefault="00000000" w:rsidP="00B66480">
      <w:pPr>
        <w:jc w:val="both"/>
      </w:pPr>
      <w:r>
        <w:rPr>
          <w:rFonts w:ascii="Times New Roman" w:hAnsi="Times New Roman"/>
          <w:sz w:val="24"/>
        </w:rPr>
        <w:t>Moheli Corporate Service. (n.d.). Licences and fees pages. mohelicorpservice.com. [agent marketing material; contested]</w:t>
      </w:r>
    </w:p>
    <w:p w14:paraId="79608385" w14:textId="77777777" w:rsidR="00894B34" w:rsidRDefault="00000000" w:rsidP="00B66480">
      <w:pPr>
        <w:jc w:val="both"/>
      </w:pPr>
      <w:r>
        <w:rPr>
          <w:rFonts w:ascii="Times New Roman" w:hAnsi="Times New Roman"/>
          <w:sz w:val="24"/>
        </w:rPr>
        <w:t>MTD Equity Sdn. Bhd. and MTD Chile S.A. v Republic of Chile, ICSID Case No. ARB/01/7, Award of 25 May 2004.</w:t>
      </w:r>
    </w:p>
    <w:p w14:paraId="06A27E1B" w14:textId="77777777" w:rsidR="00894B34" w:rsidRDefault="00000000" w:rsidP="00B66480">
      <w:pPr>
        <w:jc w:val="both"/>
      </w:pPr>
      <w:r>
        <w:rPr>
          <w:rFonts w:ascii="Times New Roman" w:hAnsi="Times New Roman"/>
          <w:sz w:val="24"/>
        </w:rPr>
        <w:t>Oxford Constitutional Law. (n.d.). The Autonomous Island of Anjouan (Ndzuwani): introductory note. oxcon.ouplaw.com.</w:t>
      </w:r>
    </w:p>
    <w:p w14:paraId="22CC7DCB" w14:textId="77777777" w:rsidR="00894B34" w:rsidRDefault="00000000" w:rsidP="00B66480">
      <w:pPr>
        <w:jc w:val="both"/>
      </w:pPr>
      <w:r>
        <w:rPr>
          <w:rFonts w:ascii="Times New Roman" w:hAnsi="Times New Roman"/>
          <w:sz w:val="24"/>
        </w:rPr>
        <w:t>PA-X Peace Agreements Database. (n.d.). Comoros constitution of 2001 and the General Agreement on National Reconciliation signed at Fomboni on 17 February 2001. peaceagreements.org.</w:t>
      </w:r>
    </w:p>
    <w:p w14:paraId="1A02A020" w14:textId="77777777" w:rsidR="00894B34" w:rsidRDefault="00000000" w:rsidP="00B66480">
      <w:pPr>
        <w:jc w:val="both"/>
      </w:pPr>
      <w:r>
        <w:rPr>
          <w:rFonts w:ascii="Times New Roman" w:hAnsi="Times New Roman"/>
          <w:sz w:val="24"/>
        </w:rPr>
        <w:t>Palan, R. (2002). Tax havens and the commercialization of state sovereignty. International Organization, 56(1), 151-176.</w:t>
      </w:r>
    </w:p>
    <w:p w14:paraId="71C5BB1F" w14:textId="77777777" w:rsidR="00894B34" w:rsidRDefault="00000000" w:rsidP="00B66480">
      <w:pPr>
        <w:jc w:val="both"/>
      </w:pPr>
      <w:r>
        <w:rPr>
          <w:rFonts w:ascii="Times New Roman" w:hAnsi="Times New Roman"/>
          <w:sz w:val="24"/>
        </w:rPr>
        <w:t>Pine Valley Developments Ltd and Others v Ireland, Series A no. 222, ECtHR, 29 November 1991.</w:t>
      </w:r>
    </w:p>
    <w:p w14:paraId="49A889C0" w14:textId="77777777" w:rsidR="00894B34" w:rsidRDefault="00000000" w:rsidP="00B66480">
      <w:pPr>
        <w:jc w:val="both"/>
      </w:pPr>
      <w:r>
        <w:rPr>
          <w:rFonts w:ascii="Times New Roman" w:hAnsi="Times New Roman"/>
          <w:sz w:val="24"/>
        </w:rPr>
        <w:t>Sharman, J. C. (2006). Havens in a storm: The struggle for global tax regulation. Cornell University Press.</w:t>
      </w:r>
    </w:p>
    <w:p w14:paraId="61B95D65" w14:textId="77777777" w:rsidR="00894B34" w:rsidRDefault="00000000" w:rsidP="00B66480">
      <w:pPr>
        <w:jc w:val="both"/>
      </w:pPr>
      <w:r>
        <w:rPr>
          <w:rFonts w:ascii="Times New Roman" w:hAnsi="Times New Roman"/>
          <w:sz w:val="24"/>
        </w:rPr>
        <w:lastRenderedPageBreak/>
        <w:t>Stretch v United Kingdom, no. 44277/98, ECtHR, 24 June 2003.</w:t>
      </w:r>
    </w:p>
    <w:p w14:paraId="1F40D2F2" w14:textId="77777777" w:rsidR="00894B34" w:rsidRDefault="00000000" w:rsidP="00B66480">
      <w:pPr>
        <w:jc w:val="both"/>
      </w:pPr>
      <w:r>
        <w:rPr>
          <w:rFonts w:ascii="Times New Roman" w:hAnsi="Times New Roman"/>
          <w:sz w:val="24"/>
        </w:rPr>
        <w:t>Texas v White, 74 U.S. 700 (1869).</w:t>
      </w:r>
    </w:p>
    <w:p w14:paraId="14E94CEF" w14:textId="77777777" w:rsidR="00894B34" w:rsidRDefault="00000000" w:rsidP="00B66480">
      <w:pPr>
        <w:jc w:val="both"/>
      </w:pPr>
      <w:r>
        <w:rPr>
          <w:rFonts w:ascii="Times New Roman" w:hAnsi="Times New Roman"/>
          <w:sz w:val="24"/>
        </w:rPr>
        <w:t>Note on verification: items marked [needs evidence] or [verify] in the text identify claims that must be confirmed against primary documents before external circulation of this report.</w:t>
      </w:r>
    </w:p>
    <w:sectPr w:rsidR="00894B34"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07112550">
    <w:abstractNumId w:val="8"/>
  </w:num>
  <w:num w:numId="2" w16cid:durableId="1375303119">
    <w:abstractNumId w:val="6"/>
  </w:num>
  <w:num w:numId="3" w16cid:durableId="1377897436">
    <w:abstractNumId w:val="5"/>
  </w:num>
  <w:num w:numId="4" w16cid:durableId="1430470316">
    <w:abstractNumId w:val="4"/>
  </w:num>
  <w:num w:numId="5" w16cid:durableId="266232772">
    <w:abstractNumId w:val="7"/>
  </w:num>
  <w:num w:numId="6" w16cid:durableId="344988069">
    <w:abstractNumId w:val="3"/>
  </w:num>
  <w:num w:numId="7" w16cid:durableId="348919331">
    <w:abstractNumId w:val="2"/>
  </w:num>
  <w:num w:numId="8" w16cid:durableId="327447787">
    <w:abstractNumId w:val="1"/>
  </w:num>
  <w:num w:numId="9" w16cid:durableId="20251592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4B6FE1"/>
    <w:rsid w:val="00511C64"/>
    <w:rsid w:val="007B67E4"/>
    <w:rsid w:val="007E629D"/>
    <w:rsid w:val="00813268"/>
    <w:rsid w:val="00894B34"/>
    <w:rsid w:val="00A56382"/>
    <w:rsid w:val="00AA1D8D"/>
    <w:rsid w:val="00B47730"/>
    <w:rsid w:val="00B66480"/>
    <w:rsid w:val="00C55762"/>
    <w:rsid w:val="00CB0664"/>
    <w:rsid w:val="00E44B00"/>
    <w:rsid w:val="00EB6AFC"/>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7537C2A"/>
  <w14:defaultImageDpi w14:val="300"/>
  <w15:docId w15:val="{3B1E0766-61EC-4E81-A15C-1C41A2BF1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17</Pages>
  <Words>6179</Words>
  <Characters>35222</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41319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ＭＡＳＷＡＮＡ ＪＥＡＮ‐ＣＬＡＵＤＥ(maswana)</cp:lastModifiedBy>
  <cp:revision>5</cp:revision>
  <dcterms:created xsi:type="dcterms:W3CDTF">2026-07-07T12:23:00Z</dcterms:created>
  <dcterms:modified xsi:type="dcterms:W3CDTF">2026-07-07T13:20:00Z</dcterms:modified>
  <cp:category/>
</cp:coreProperties>
</file>