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3D6A3F87">
      <w:pPr>
        <w:pStyle w:val="style0"/>
        <w:jc w:val="center"/>
        <w:rPr>
          <w:rFonts w:ascii="Times New Roman" w:cs="Times New Roman" w:hAnsi="Times New Roman"/>
          <w:b/>
          <w:sz w:val="24"/>
          <w:szCs w:val="24"/>
        </w:rPr>
      </w:pPr>
      <w:r>
        <w:rPr>
          <w:rFonts w:ascii="Times New Roman" w:cs="Times New Roman" w:hAnsi="Times New Roman"/>
          <w:b/>
          <w:sz w:val="24"/>
          <w:szCs w:val="24"/>
        </w:rPr>
        <w:t>FACTORS THAT INFLUENCE CHOICES OF INFANT FEEDING AMONG HIV-POSITIVE MOTHERS AT IMO STATE TEACHING HOSPITAL, ORLU</w:t>
      </w:r>
    </w:p>
    <w:p w14:paraId="C283AC67">
      <w:pPr>
        <w:pStyle w:val="style0"/>
        <w:jc w:val="center"/>
        <w:rPr>
          <w:rFonts w:ascii="Times New Roman" w:cs="Times New Roman" w:hAnsi="Times New Roman"/>
          <w:b/>
          <w:sz w:val="24"/>
          <w:szCs w:val="24"/>
        </w:rPr>
      </w:pPr>
      <w:r>
        <w:rPr>
          <w:rFonts w:ascii="Times New Roman" w:cs="Times New Roman" w:hAnsi="Times New Roman"/>
          <w:b/>
          <w:bCs/>
          <w:sz w:val="24"/>
          <w:szCs w:val="24"/>
          <w:vertAlign w:val="superscript"/>
        </w:rPr>
        <w:t/>
      </w:r>
      <w:r>
        <w:rPr>
          <w:rFonts w:ascii="Times New Roman" w:cs="Times New Roman" w:hAnsi="Times New Roman"/>
          <w:b/>
          <w:bCs/>
          <w:sz w:val="24"/>
          <w:szCs w:val="24"/>
        </w:rPr>
        <w:t/>
      </w:r>
      <w:r>
        <w:rPr>
          <w:rFonts w:ascii="Times New Roman" w:cs="Times New Roman" w:hAnsi="Times New Roman"/>
          <w:b/>
          <w:sz w:val="24"/>
          <w:szCs w:val="24"/>
        </w:rPr>
        <w:t/>
      </w:r>
      <w:r>
        <w:rPr>
          <w:rFonts w:ascii="Times New Roman" w:cs="Times New Roman" w:hAnsi="Times New Roman"/>
          <w:b/>
          <w:sz w:val="24"/>
          <w:szCs w:val="24"/>
        </w:rPr>
        <w:t xml:space="preserve"/>
      </w:r>
      <w:r>
        <w:rPr>
          <w:rFonts w:ascii="Times New Roman" w:cs="Times New Roman" w:hAnsi="Times New Roman"/>
          <w:b/>
          <w:bCs/>
          <w:sz w:val="24"/>
          <w:szCs w:val="24"/>
          <w:vertAlign w:val="superscript"/>
        </w:rPr>
        <w:t/>
      </w:r>
      <w:r>
        <w:rPr>
          <w:rFonts w:ascii="Times New Roman" w:cs="Times New Roman" w:hAnsi="Times New Roman"/>
          <w:b/>
          <w:sz w:val="24"/>
          <w:szCs w:val="24"/>
        </w:rPr>
        <w:t/>
      </w:r>
      <w:r>
        <w:rPr>
          <w:rFonts w:ascii="Times New Roman" w:cs="Times New Roman" w:hAnsi="Times New Roman"/>
          <w:b/>
          <w:sz w:val="24"/>
          <w:szCs w:val="24"/>
        </w:rPr>
        <w:t xml:space="preserve"/>
      </w:r>
    </w:p>
    <w:p w14:paraId="EBADF0ED">
      <w:pPr>
        <w:pStyle w:val="style0"/>
        <w:jc w:val="center"/>
        <w:rPr>
          <w:rFonts w:ascii="Times New Roman" w:cs="Times New Roman" w:hAnsi="Times New Roman"/>
          <w:b/>
          <w:bCs/>
          <w:sz w:val="24"/>
          <w:szCs w:val="24"/>
        </w:rPr>
      </w:pPr>
      <w:r>
        <w:rPr>
          <w:rFonts w:ascii="Times New Roman" w:cs="Times New Roman" w:hAnsi="Times New Roman"/>
          <w:b/>
          <w:bCs/>
          <w:sz w:val="24"/>
          <w:szCs w:val="24"/>
          <w:vertAlign w:val="superscript"/>
        </w:rPr>
        <w:t/>
      </w:r>
      <w:r>
        <w:rPr>
          <w:rFonts w:ascii="Times New Roman" w:cs="Times New Roman" w:hAnsi="Times New Roman"/>
          <w:b/>
          <w:bCs/>
          <w:sz w:val="24"/>
          <w:szCs w:val="24"/>
        </w:rPr>
        <w:t/>
      </w:r>
    </w:p>
    <w:p w14:paraId="C8B7E133">
      <w:pPr>
        <w:pStyle w:val="style0"/>
        <w:jc w:val="center"/>
        <w:rPr>
          <w:rFonts w:ascii="Times New Roman" w:cs="Times New Roman" w:hAnsi="Times New Roman"/>
          <w:b/>
          <w:bCs/>
          <w:sz w:val="24"/>
          <w:szCs w:val="24"/>
        </w:rPr>
      </w:pPr>
      <w:r>
        <w:rPr>
          <w:rFonts w:ascii="Times New Roman" w:cs="Times New Roman" w:hAnsi="Times New Roman"/>
          <w:b/>
          <w:bCs/>
          <w:sz w:val="24"/>
          <w:szCs w:val="24"/>
          <w:vertAlign w:val="superscript"/>
        </w:rPr>
        <w:t/>
      </w:r>
      <w:r>
        <w:rPr>
          <w:rFonts w:ascii="Times New Roman" w:cs="Times New Roman" w:hAnsi="Times New Roman"/>
          <w:b/>
          <w:bCs/>
          <w:sz w:val="24"/>
          <w:szCs w:val="24"/>
        </w:rPr>
        <w:t xml:space="preserve"/>
      </w:r>
      <w:r>
        <w:rPr>
          <w:rFonts w:ascii="Times New Roman" w:cs="Times New Roman" w:hAnsi="Times New Roman"/>
          <w:b/>
          <w:bCs/>
          <w:sz w:val="24"/>
          <w:szCs w:val="24"/>
        </w:rPr>
        <w:t xml:space="preserve"/>
      </w:r>
      <w:r>
        <w:rPr>
          <w:rFonts w:ascii="Times New Roman" w:cs="Times New Roman" w:hAnsi="Times New Roman"/>
          <w:b/>
          <w:bCs/>
          <w:sz w:val="24"/>
          <w:szCs w:val="24"/>
        </w:rPr>
        <w:t xml:space="preserve"/>
      </w:r>
      <w:r>
        <w:rPr>
          <w:rFonts w:ascii="Times New Roman" w:cs="Times New Roman" w:hAnsi="Times New Roman"/>
          <w:b/>
          <w:bCs/>
          <w:sz w:val="24"/>
          <w:szCs w:val="24"/>
        </w:rPr>
        <w:t xml:space="preserve"/>
      </w:r>
      <w:r>
        <w:rPr>
          <w:rFonts w:ascii="Times New Roman" w:cs="Times New Roman" w:hAnsi="Times New Roman"/>
          <w:b/>
          <w:bCs/>
          <w:sz w:val="24"/>
          <w:szCs w:val="24"/>
        </w:rPr>
        <w:t xml:space="preserve"/>
      </w:r>
      <w:r>
        <w:rPr>
          <w:rFonts w:ascii="Times New Roman" w:cs="Times New Roman" w:hAnsi="Times New Roman"/>
          <w:b/>
          <w:bCs/>
          <w:sz w:val="24"/>
          <w:szCs w:val="24"/>
        </w:rPr>
        <w:t xml:space="preserve"/>
      </w:r>
      <w:r>
        <w:rPr>
          <w:rFonts w:ascii="Times New Roman" w:cs="Times New Roman" w:hAnsi="Times New Roman"/>
          <w:b/>
          <w:bCs/>
          <w:sz w:val="24"/>
          <w:szCs w:val="24"/>
        </w:rPr>
        <w:t xml:space="preserve"/>
      </w:r>
      <w:r>
        <w:rPr>
          <w:rFonts w:ascii="Times New Roman" w:cs="Times New Roman" w:hAnsi="Times New Roman"/>
          <w:b/>
          <w:bCs/>
          <w:sz w:val="24"/>
          <w:szCs w:val="24"/>
        </w:rPr>
        <w:t/>
      </w:r>
      <w:r>
        <w:rPr>
          <w:rFonts w:ascii="Times New Roman" w:cs="Times New Roman" w:hAnsi="Times New Roman"/>
          <w:b/>
          <w:bCs/>
          <w:sz w:val="24"/>
          <w:szCs w:val="24"/>
        </w:rPr>
        <w:t xml:space="preserve"/>
      </w:r>
    </w:p>
    <w:p w14:paraId="DE668944">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
      </w:r>
    </w:p>
    <w:p w14:paraId="22DF5869">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
      </w:r>
      <w:r>
        <w:rPr>
          <w:rFonts w:ascii="Times New Roman" w:cs="Times New Roman" w:hAnsi="Times New Roman"/>
          <w:b/>
          <w:sz w:val="24"/>
          <w:szCs w:val="24"/>
        </w:rPr>
        <w:t/>
      </w:r>
    </w:p>
    <w:p w14:paraId="AB33349F">
      <w:pPr>
        <w:pStyle w:val="style0"/>
        <w:jc w:val="center"/>
        <w:rPr>
          <w:rFonts w:ascii="Times New Roman" w:cs="Times New Roman" w:hAnsi="Times New Roman"/>
          <w:b/>
          <w:sz w:val="24"/>
          <w:szCs w:val="24"/>
        </w:rPr>
      </w:pPr>
      <w:r>
        <w:rPr>
          <w:rFonts w:ascii="Times New Roman" w:cs="Times New Roman" w:hAnsi="Times New Roman"/>
          <w:b/>
          <w:bCs/>
          <w:sz w:val="24"/>
          <w:szCs w:val="24"/>
        </w:rPr>
        <w:t xml:space="preserve"/>
      </w:r>
    </w:p>
    <w:p w14:paraId="F86B912D">
      <w:pPr>
        <w:pStyle w:val="style2"/>
        <w:rPr/>
      </w:pPr>
      <w:r>
        <w:rPr>
          <w:rStyle w:val="style87"/>
          <w:b/>
          <w:bCs/>
          <w:sz w:val="24"/>
        </w:rPr>
        <w:t>Abstract</w:t>
      </w:r>
    </w:p>
    <w:p w14:paraId="2CB59530">
      <w:pPr>
        <w:pStyle w:val="style94"/>
        <w:jc w:val="both"/>
        <w:rPr/>
      </w:pPr>
      <w:r>
        <w:t>Infant feeding practices among HIV-positive mothers are vital for preventing mother-to-child transmission of HIV, especially in areas with limited resources. This study looked at what influences infant feeding choices among HIV-positive mothers at Imo State Teaching Hospital in Orlu, Nigeria. The researcher used a descriptive cross-sectional survey design and collected data from 150 HIV-positive mothers receiving PMTCT services through a structured questionnaire. Data were analyzed using descriptive statistics and chi-square tests. The findings showed that 63.3% of participants practiced exclusive breastfeeding, 26.7% used exclusive formula feeding, and 10.0% opted for mixed feeding. Economic factors such as the cost of formula feeding (71.3%) and income level (74.7%) significantly impacted their feeding choices. Counseling and maternal knowledge were also important; 73.3% reported that counseling affected their decisions. Additionally, psychosocial and health system factors played a role, with stigma (58.0%), partner or family influence (54.0%), inconsistent advice from health workers (60.0%), and cultural beliefs (63.3%) significantly influencing feeding decisions. The study concludes that infant feeding choices among HIV-positive mothers result from a complex mix of economic, psychosocial, cultural, and health system factors. Strengthening PMTCT counseling, reducing stigma, and improving the consistency of health worker communication are recommended to promote better infant feeding practices.</w:t>
      </w:r>
    </w:p>
    <w:p w14:paraId="45E81E19">
      <w:pPr>
        <w:pStyle w:val="style94"/>
        <w:rPr/>
      </w:pPr>
      <w:r>
        <w:rPr>
          <w:rStyle w:val="style87"/>
        </w:rPr>
        <w:t>Keywords:</w:t>
      </w:r>
      <w:r>
        <w:t xml:space="preserve"> HIV, infant feeding, PMTCT, breastfeeding, Nigeria, Orlu</w:t>
      </w:r>
    </w:p>
    <w:p w14:paraId="20816ACF">
      <w:pPr>
        <w:pStyle w:val="style2"/>
        <w:rPr>
          <w:sz w:val="24"/>
          <w:szCs w:val="24"/>
        </w:rPr>
      </w:pPr>
      <w:r>
        <w:rPr>
          <w:rStyle w:val="style87"/>
          <w:b/>
          <w:bCs/>
          <w:sz w:val="24"/>
          <w:szCs w:val="24"/>
        </w:rPr>
        <w:t>Introduction</w:t>
      </w:r>
    </w:p>
    <w:p w14:paraId="3D1ADA61">
      <w:pPr>
        <w:pStyle w:val="style0"/>
        <w:spacing w:lineRule="auto" w:line="240"/>
        <w:jc w:val="both"/>
        <w:rPr>
          <w:rFonts w:ascii="Times New Roman" w:cs="Times New Roman" w:eastAsia="Times New Roman" w:hAnsi="Times New Roman"/>
          <w:sz w:val="24"/>
          <w:szCs w:val="24"/>
        </w:rPr>
      </w:pPr>
      <w:r>
        <w:rPr>
          <w:rFonts w:ascii="Times New Roman" w:cs="Times New Roman" w:hAnsi="Times New Roman"/>
          <w:sz w:val="24"/>
          <w:szCs w:val="24"/>
        </w:rPr>
        <w:t xml:space="preserve">Mother-to-child transmission (MTCT) of HIV is a major public health issue worldwide, especially in sub-Saharan Africa. Here, many pediatric HIV infections happen through vertical transmission during pregnancy, delivery, or breastfeeding. Despite significant progress in antiretroviral therapy (ART) and prevention programs (PMTCT), breastfeeding still contributes to a large percentage of postnatal HIV transmission when proper feeding practices are not consistently followed (World Health Organization [WHO], 2016). Consequently, infant feeding practices have become a vital part of PMTCT strategies aimed at preventing new pediatric HIV infections. The WHO (2016) recommends that HIV-positive mothers either breastfeed </w:t>
      </w:r>
      <w:r>
        <w:rPr>
          <w:rFonts w:ascii="Times New Roman" w:cs="Times New Roman" w:hAnsi="Times New Roman"/>
          <w:sz w:val="24"/>
          <w:szCs w:val="24"/>
        </w:rPr>
        <w:t>exclusively while on effective ART or use exclusive formula feeding when it is affordable, feasible, acceptable, safe, and sustainable. These recommendations aim to balance the risk of HIV transmission with the well-documented benefits of breastfeeding. This is especially important in low-resource settings where access to clean water, sanitation, and affordable formula may be limited. However, many low-income countries struggle with implementing these guidelines due to various structural and contextual challenges.</w:t>
      </w:r>
    </w:p>
    <w:p w14:paraId="C453ABB3">
      <w:pPr>
        <w:pStyle w:val="style0"/>
        <w:spacing w:lineRule="auto" w:line="240"/>
        <w:jc w:val="both"/>
        <w:rPr>
          <w:rFonts w:ascii="Times New Roman" w:cs="Times New Roman" w:eastAsia="Times New Roman" w:hAnsi="Times New Roman"/>
          <w:sz w:val="24"/>
          <w:szCs w:val="24"/>
        </w:rPr>
      </w:pPr>
      <w:r>
        <w:rPr>
          <w:rFonts w:ascii="Times New Roman" w:cs="Times New Roman" w:hAnsi="Times New Roman"/>
          <w:sz w:val="24"/>
          <w:szCs w:val="24"/>
        </w:rPr>
        <w:t>Research shows that infant feeding decisions among HIV-positive mothers are influenced by several interrelated socio-economic, cultural, and health system factors. Studies consistently highlight that poverty, stigma around HIV, cultural beliefs about breastfeeding, partner and family influences, and poor health service delivery significantly impact maternal choices (Adejuyigbe et al., 2008; Doherty et al., 2011). In Nigeria, mixed feeding practices remain common, despite ongoing PMTCT efforts, and are strongly linked to a higher risk of HIV transmission in early infancy (Sadoh et al., 2008). Additionally, Tuthill et al. (2014) found that HIV-positive mothers often receive mixed messages from family and healthcare providers, leading to confusion and inconsistent adherence to recommended feeding options. This uncertainty is worsened by fears of disclosure and stigma, prompting some mothers to avoid formula feeding in communities where breastfeeding is the norm. Likewise, Rollins et al. (2007) argue that infant feeding decisions in the context of HIV are not just biomedical choices; they are deeply rooted in social, economic, and cultural realities.</w:t>
      </w:r>
    </w:p>
    <w:p w14:paraId="B60D05A9">
      <w:pPr>
        <w:pStyle w:val="style0"/>
        <w:spacing w:lineRule="auto" w:line="240"/>
        <w:jc w:val="both"/>
        <w:rPr>
          <w:rFonts w:ascii="Times New Roman" w:cs="Times New Roman" w:eastAsia="Times New Roman" w:hAnsi="Times New Roman"/>
          <w:sz w:val="24"/>
          <w:szCs w:val="24"/>
        </w:rPr>
      </w:pPr>
      <w:r>
        <w:rPr>
          <w:rFonts w:ascii="Times New Roman" w:cs="Times New Roman" w:hAnsi="Times New Roman"/>
          <w:sz w:val="24"/>
          <w:szCs w:val="24"/>
        </w:rPr>
        <w:t>At Imo State Teaching Hospital in Orlu, limited research exists on the specific factors that shape infant feeding choices among HIV-positive mothers. This gap calls for a focused study to better grasp the determinants of feeding practices in this area and to help design more effective PMTCT interventions.</w:t>
      </w:r>
    </w:p>
    <w:p w14:paraId="4A19B5AA">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Materials and Method</w:t>
      </w:r>
    </w:p>
    <w:p w14:paraId="5AF9C8FE">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study used a descriptive cross-sectional survey design to examine the factors that influence infant feeding choices among HIV-positive mothers. This design was chosen because it allows data collection from a specific group at one point in time. This approach helps the researcher describe current conditions and explore relationships between variables without altering the study environment. It is particularly useful for this study since it helps assess the behaviors, perceptions, and factors that influence the population in question. The research took place at Imo State Teaching Hospital in Orlu, Nigeria. The hospital is a major tertiary health facility in Imo State and provides essential maternal and child health services, including prevention of mother-to-child transmission (PMTCT) of HIV. The PMTCT clinic at this facility serves HIV-positive pregnant and nursing mothers from Orlu and nearby communities, making it a suitable location for studying infant feeding practices among this group.</w:t>
      </w:r>
    </w:p>
    <w:p w14:paraId="6B13A439">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study population included HIV-positive mothers who attended PMTCT services at the hospital during the data collection period. These mothers are a key focus of PMTCT interventions because their infant feeding choices can directly affect the risk of HIV transmission to their infants and overall child health outcomes. The hospital's ethical committee approved the study. The researchers obtained informed consent from all participants before collecting data, and participation was entirely voluntary. Respondents were guaranteed confidentiality, anonymity, and the right to withdraw from the study at any time without any impact on their medical care.</w:t>
      </w:r>
    </w:p>
    <w:p w14:paraId="7451250B">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 total of 150 respondents were chosen for the study. This sample size was seen as adequate to provide reliable and general findings within the setting, considering the clinic attendance rate and the need for sufficient statistical power for analysis. Simple random sampling was used to select participants from the population. This method ensured that every eligible HIV-positive mother attending the PMTCT clinic had an equal chance of being selected, which reduced selection bias and improved the sample's representativeness.</w:t>
      </w:r>
    </w:p>
    <w:p w14:paraId="549499BA">
      <w:pPr>
        <w:pStyle w:val="style94"/>
        <w:jc w:val="both"/>
        <w:rPr/>
      </w:pPr>
      <w:r>
        <w:t>Data were collected using a structured questionnaire adapted from validated tools by Doherty et al. (2011) and Tuthill et al. (2014). The questionnaire aimed to gather important information about socio-demographic characteristics, knowledge of infant feeding options in the context of HIV, actual feeding practices, and factors influencing feeding decisions. It included both closed-ended and Likert-scale questions to simplify administration and maintain consistency in responses. The data collected were analyzed using descriptive statistics, such as frequencies and percentages, to summarize socio-demographic variables and feeding practices. In addition, chi-square tests were performed to examine the relationships between categorical variables, particularly to analyze how socio-demographic factors and counseling exposure relate to infant feeding choices. Statistical significance was set at p &lt; 0.05.</w:t>
      </w:r>
    </w:p>
    <w:p w14:paraId="43C3C53E">
      <w:pPr>
        <w:pStyle w:val="style94"/>
        <w:jc w:val="both"/>
        <w:rPr/>
      </w:pPr>
      <w:r>
        <w:rPr>
          <w:b/>
        </w:rPr>
        <w:t>Results</w:t>
      </w:r>
    </w:p>
    <w:p w14:paraId="0EC4F416">
      <w:pPr>
        <w:pStyle w:val="style94"/>
        <w:shd w:val="clear" w:color="auto" w:fill="ffffff"/>
        <w:spacing w:before="0" w:beforeAutospacing="false" w:after="0" w:afterAutospacing="false"/>
        <w:jc w:val="both"/>
        <w:rPr>
          <w:color w:val="2b2d38"/>
        </w:rPr>
      </w:pPr>
      <w:r>
        <w:rPr>
          <w:color w:val="2b2d38"/>
        </w:rPr>
        <w:t>Table 1 reveals the responses of the respondents. It was observed that most of the respondents were between 25 and 34 years, which is 78(52.0%), followed by respondents between 35 and 44 years, which is 36(24.0%), 28(18.7%) respondents were between 15 and 24 years and 8(5.3%) respondents were 45 years old or more. The result also shows that most of the respondents were married which is 128(85.3%), while 22(14.7%) were single.</w:t>
      </w:r>
      <w:r>
        <w:rPr>
          <w:color w:val="2b2d38"/>
        </w:rPr>
        <w:t xml:space="preserve"> </w:t>
      </w:r>
      <w:r>
        <w:t>In relation to education, 70(46.7%) had secondary education, 34(22.7%) had primary education, 28(18.6%) had tertiary education, and 18(12.0%) had no formal education</w:t>
      </w:r>
      <w:r>
        <w:rPr>
          <w:color w:val="2b2d38"/>
        </w:rPr>
        <w:t xml:space="preserve">. This shows that the respondents had a level of education. When it comes to employment status, 60(40.0%) were </w:t>
      </w:r>
      <w:r>
        <w:t>employed while 90(60.0%) were unemployed</w:t>
      </w:r>
      <w:r>
        <w:rPr>
          <w:color w:val="2b2d38"/>
        </w:rPr>
        <w:t>.</w:t>
      </w:r>
    </w:p>
    <w:p w14:paraId="7606B532">
      <w:pPr>
        <w:pStyle w:val="style94"/>
        <w:shd w:val="clear" w:color="auto" w:fill="ffffff"/>
        <w:spacing w:before="0" w:beforeAutospacing="false" w:after="0" w:afterAutospacing="false"/>
        <w:jc w:val="both"/>
        <w:rPr>
          <w:color w:val="2b2d38"/>
        </w:rPr>
      </w:pPr>
      <w:r>
        <w:rPr>
          <w:color w:val="2b2d38"/>
        </w:rPr>
        <w:t xml:space="preserve">Table 2 gives us information about how the mothers fed their babies. We see that most of the HIV-mothers, 95(63.3%) </w:t>
      </w:r>
      <w:r>
        <w:t>practiced exclusive breastfeeding</w:t>
      </w:r>
      <w:r>
        <w:rPr>
          <w:color w:val="2b2d38"/>
        </w:rPr>
        <w:t xml:space="preserve">, </w:t>
      </w:r>
      <w:r>
        <w:t>while 40(26.7%) practiced exclusive formula feeding and 15(10.0%) engaged in mixed feeding, giving a total of 150(100.0%) respondents</w:t>
      </w:r>
    </w:p>
    <w:p w14:paraId="FABDB918">
      <w:pPr>
        <w:pStyle w:val="style94"/>
        <w:shd w:val="clear" w:color="auto" w:fill="ffffff"/>
        <w:spacing w:before="0" w:beforeAutospacing="false" w:after="0" w:afterAutospacing="false"/>
        <w:jc w:val="both"/>
        <w:rPr>
          <w:color w:val="2b2d38"/>
        </w:rPr>
      </w:pPr>
      <w:r>
        <w:rPr>
          <w:color w:val="2b2d38"/>
        </w:rPr>
        <w:t xml:space="preserve">Table 3 shows the socio-economic factors that affected how the mothers fed their babies.  Results revealed that </w:t>
      </w:r>
      <w:r>
        <w:t>107(71.3%) agreed that formula feeding is too expensive, while 43(28.7%) disagreed. Similarly, 120(80.0%) agreed that breastfeeding is more affordable, whereas 30(20.0%) disagreed. In addition, 112(74.7%) agreed that income level affects feeding choice, while 38(25.3%) disagreed. Likewise, 98(65.3%) agreed that employment status influences feeding practice, whereas 52(34.7%) disagreed.</w:t>
      </w:r>
    </w:p>
    <w:p w14:paraId="3902A396">
      <w:pPr>
        <w:pStyle w:val="style94"/>
        <w:shd w:val="clear" w:color="auto" w:fill="ffffff"/>
        <w:spacing w:before="0" w:beforeAutospacing="false" w:after="0" w:afterAutospacing="false"/>
        <w:jc w:val="both"/>
        <w:rPr>
          <w:color w:val="2b2d38"/>
        </w:rPr>
      </w:pPr>
      <w:r>
        <w:rPr>
          <w:color w:val="2b2d38"/>
        </w:rPr>
        <w:t xml:space="preserve">Table 4 shows us that counseling and what the mothers knew about HIV affected how they fed their babies. It was found out that </w:t>
      </w:r>
      <w:r>
        <w:t>96(64.0%) agreed that they received adequate PMTCT counseling, while 54(36.0%) disagreed. Furthermore, 110(73.3%) agreed that counseling influenced their feeding choices, whereas 40(26.7%) disagreed. More so, 105(70.0%) agreed that good knowledge of HIV transmission reduces risky feeding behavior, while 45(30.0%) disagreed. Furthermore, 88(58.7%) agreed that inconsistent counseling affects feeding decisions, while 62(41.3%) disagreed.</w:t>
      </w:r>
    </w:p>
    <w:p w14:paraId="914E5701">
      <w:pPr>
        <w:pStyle w:val="style94"/>
        <w:spacing w:before="0" w:beforeAutospacing="false" w:after="0" w:afterAutospacing="false"/>
        <w:jc w:val="both"/>
        <w:rPr/>
      </w:pPr>
      <w:r>
        <w:rPr>
          <w:color w:val="2b2d38"/>
        </w:rPr>
        <w:t xml:space="preserve">Table 5 revealed the psychosocial and health system factors that affected how the mothers fed their babies. The study found out that 87(58.0%) </w:t>
      </w:r>
      <w:r>
        <w:t>agreed that fear of HIV-related stigma influences feeding choice, while 63(42.0%) disagreed. Similarly, 81(54.0%) agreed that partner or family influence affects decision-making, whereas 69 (46.0%) disagreed. In addition, 90(60.0%) agreed that health workers provide inconsistent advice, while 60(40.0%) disagreed. Furthermore, 95(63.3%) agreed that cultural beliefs influence breastfeeding preference, whereas 55(36.7%) disagreed.</w:t>
      </w:r>
    </w:p>
    <w:p w14:paraId="629968CC">
      <w:pPr>
        <w:pStyle w:val="style94"/>
        <w:spacing w:before="0" w:beforeAutospacing="false" w:after="0" w:afterAutospacing="false"/>
        <w:jc w:val="both"/>
        <w:rPr/>
      </w:pPr>
    </w:p>
    <w:p w14:paraId="995BB168">
      <w:pPr>
        <w:pStyle w:val="style94"/>
        <w:spacing w:before="0" w:beforeAutospacing="false" w:after="0" w:afterAutospacing="false"/>
        <w:jc w:val="both"/>
        <w:rPr>
          <w:b/>
        </w:rPr>
      </w:pPr>
      <w:r>
        <w:rPr>
          <w:b/>
        </w:rPr>
        <w:t>Table 1: Socio-Demographic Characteristics of Respondents</w:t>
      </w:r>
    </w:p>
    <w:tbl>
      <w:tblPr>
        <w:tblStyle w:val="style154"/>
        <w:tblW w:w="0" w:type="auto"/>
        <w:tblLook w:val="04A0" w:firstRow="1" w:lastRow="0" w:firstColumn="1" w:lastColumn="0" w:noHBand="0" w:noVBand="1"/>
      </w:tblPr>
      <w:tblGrid>
        <w:gridCol w:w="3192"/>
        <w:gridCol w:w="3192"/>
        <w:gridCol w:w="3192"/>
      </w:tblGrid>
      <w:tr w14:paraId="9DBAC2CF">
        <w:trPr/>
        <w:tc>
          <w:tcPr>
            <w:tcW w:w="3192" w:type="dxa"/>
            <w:tcBorders/>
          </w:tcPr>
          <w:p w14:paraId="372B51A8">
            <w:pPr>
              <w:pStyle w:val="style94"/>
              <w:spacing w:before="0" w:beforeAutospacing="false" w:after="0" w:afterAutospacing="false"/>
              <w:jc w:val="both"/>
              <w:rPr>
                <w:b/>
              </w:rPr>
            </w:pPr>
            <w:r>
              <w:rPr>
                <w:b/>
              </w:rPr>
              <w:t>Variable</w:t>
            </w:r>
          </w:p>
        </w:tc>
        <w:tc>
          <w:tcPr>
            <w:tcW w:w="3192" w:type="dxa"/>
            <w:tcBorders/>
          </w:tcPr>
          <w:p w14:paraId="81D05476">
            <w:pPr>
              <w:pStyle w:val="style94"/>
              <w:spacing w:before="0" w:beforeAutospacing="false" w:after="0" w:afterAutospacing="false"/>
              <w:jc w:val="center"/>
              <w:rPr>
                <w:b/>
              </w:rPr>
            </w:pPr>
            <w:r>
              <w:rPr>
                <w:b/>
              </w:rPr>
              <w:t>Frequency (N = 150)</w:t>
            </w:r>
          </w:p>
        </w:tc>
        <w:tc>
          <w:tcPr>
            <w:tcW w:w="3192" w:type="dxa"/>
            <w:tcBorders/>
          </w:tcPr>
          <w:p w14:paraId="78FE6C1A">
            <w:pPr>
              <w:pStyle w:val="style94"/>
              <w:spacing w:before="0" w:beforeAutospacing="false" w:after="0" w:afterAutospacing="false"/>
              <w:jc w:val="center"/>
              <w:rPr>
                <w:b/>
              </w:rPr>
            </w:pPr>
            <w:r>
              <w:rPr>
                <w:b/>
              </w:rPr>
              <w:t>Percentage (%)</w:t>
            </w:r>
          </w:p>
        </w:tc>
      </w:tr>
      <w:tr w14:paraId="825A4796">
        <w:tblPrEx/>
        <w:trPr/>
        <w:tc>
          <w:tcPr>
            <w:tcW w:w="3192" w:type="dxa"/>
            <w:tcBorders/>
          </w:tcPr>
          <w:p w14:paraId="F908840B">
            <w:pPr>
              <w:pStyle w:val="style94"/>
              <w:spacing w:before="0" w:beforeAutospacing="false" w:after="0" w:afterAutospacing="false"/>
              <w:jc w:val="both"/>
              <w:rPr>
                <w:b/>
              </w:rPr>
            </w:pPr>
            <w:r>
              <w:rPr>
                <w:b/>
              </w:rPr>
              <w:t>Age (in years)</w:t>
            </w:r>
          </w:p>
        </w:tc>
        <w:tc>
          <w:tcPr>
            <w:tcW w:w="3192" w:type="dxa"/>
            <w:tcBorders/>
          </w:tcPr>
          <w:p w14:paraId="9E37FD70">
            <w:pPr>
              <w:pStyle w:val="style94"/>
              <w:spacing w:before="0" w:beforeAutospacing="false" w:after="0" w:afterAutospacing="false"/>
              <w:jc w:val="center"/>
              <w:rPr/>
            </w:pPr>
          </w:p>
        </w:tc>
        <w:tc>
          <w:tcPr>
            <w:tcW w:w="3192" w:type="dxa"/>
            <w:tcBorders/>
          </w:tcPr>
          <w:p w14:paraId="4FF6D64B">
            <w:pPr>
              <w:pStyle w:val="style94"/>
              <w:spacing w:before="0" w:beforeAutospacing="false" w:after="0" w:afterAutospacing="false"/>
              <w:jc w:val="center"/>
              <w:rPr/>
            </w:pPr>
          </w:p>
        </w:tc>
      </w:tr>
      <w:tr w14:paraId="1305E85C">
        <w:tblPrEx/>
        <w:trPr/>
        <w:tc>
          <w:tcPr>
            <w:tcW w:w="3192" w:type="dxa"/>
            <w:tcBorders/>
          </w:tcPr>
          <w:p w14:paraId="B96A6298">
            <w:pPr>
              <w:pStyle w:val="style94"/>
              <w:spacing w:before="0" w:beforeAutospacing="false" w:after="0" w:afterAutospacing="false"/>
              <w:jc w:val="both"/>
              <w:rPr>
                <w:b/>
              </w:rPr>
            </w:pPr>
            <w:r>
              <w:t>15–24</w:t>
            </w:r>
          </w:p>
        </w:tc>
        <w:tc>
          <w:tcPr>
            <w:tcW w:w="3192" w:type="dxa"/>
            <w:tcBorders/>
          </w:tcPr>
          <w:p w14:paraId="F00A48E4">
            <w:pPr>
              <w:pStyle w:val="style94"/>
              <w:spacing w:before="0" w:beforeAutospacing="false" w:after="0" w:afterAutospacing="false"/>
              <w:jc w:val="center"/>
              <w:rPr/>
            </w:pPr>
            <w:r>
              <w:t>28</w:t>
            </w:r>
          </w:p>
        </w:tc>
        <w:tc>
          <w:tcPr>
            <w:tcW w:w="3192" w:type="dxa"/>
            <w:tcBorders/>
          </w:tcPr>
          <w:p w14:paraId="2BF62BCF">
            <w:pPr>
              <w:pStyle w:val="style94"/>
              <w:spacing w:before="0" w:beforeAutospacing="false" w:after="0" w:afterAutospacing="false"/>
              <w:jc w:val="center"/>
              <w:rPr/>
            </w:pPr>
            <w:r>
              <w:t>18.7</w:t>
            </w:r>
          </w:p>
        </w:tc>
      </w:tr>
      <w:tr w14:paraId="B882A602">
        <w:tblPrEx/>
        <w:trPr/>
        <w:tc>
          <w:tcPr>
            <w:tcW w:w="3192" w:type="dxa"/>
            <w:tcBorders/>
          </w:tcPr>
          <w:p w14:paraId="4368907A">
            <w:pPr>
              <w:pStyle w:val="style94"/>
              <w:spacing w:before="0" w:beforeAutospacing="false" w:after="0" w:afterAutospacing="false"/>
              <w:jc w:val="both"/>
              <w:rPr>
                <w:b/>
              </w:rPr>
            </w:pPr>
            <w:r>
              <w:t>25–34</w:t>
            </w:r>
          </w:p>
        </w:tc>
        <w:tc>
          <w:tcPr>
            <w:tcW w:w="3192" w:type="dxa"/>
            <w:tcBorders/>
          </w:tcPr>
          <w:p w14:paraId="004720FA">
            <w:pPr>
              <w:pStyle w:val="style94"/>
              <w:spacing w:before="0" w:beforeAutospacing="false" w:after="0" w:afterAutospacing="false"/>
              <w:jc w:val="center"/>
              <w:rPr/>
            </w:pPr>
            <w:r>
              <w:t>78</w:t>
            </w:r>
          </w:p>
        </w:tc>
        <w:tc>
          <w:tcPr>
            <w:tcW w:w="3192" w:type="dxa"/>
            <w:tcBorders/>
          </w:tcPr>
          <w:p w14:paraId="3C3C620C">
            <w:pPr>
              <w:pStyle w:val="style94"/>
              <w:spacing w:before="0" w:beforeAutospacing="false" w:after="0" w:afterAutospacing="false"/>
              <w:jc w:val="center"/>
              <w:rPr/>
            </w:pPr>
            <w:r>
              <w:t>52.0</w:t>
            </w:r>
          </w:p>
        </w:tc>
      </w:tr>
      <w:tr w14:paraId="2B83E300">
        <w:tblPrEx/>
        <w:trPr/>
        <w:tc>
          <w:tcPr>
            <w:tcW w:w="3192" w:type="dxa"/>
            <w:tcBorders/>
          </w:tcPr>
          <w:p w14:paraId="361C114A">
            <w:pPr>
              <w:pStyle w:val="style94"/>
              <w:spacing w:before="0" w:beforeAutospacing="false" w:after="0" w:afterAutospacing="false"/>
              <w:jc w:val="both"/>
              <w:rPr>
                <w:b/>
              </w:rPr>
            </w:pPr>
            <w:r>
              <w:t>35–44</w:t>
            </w:r>
          </w:p>
        </w:tc>
        <w:tc>
          <w:tcPr>
            <w:tcW w:w="3192" w:type="dxa"/>
            <w:tcBorders/>
          </w:tcPr>
          <w:p w14:paraId="54475FA4">
            <w:pPr>
              <w:pStyle w:val="style94"/>
              <w:spacing w:before="0" w:beforeAutospacing="false" w:after="0" w:afterAutospacing="false"/>
              <w:jc w:val="center"/>
              <w:rPr/>
            </w:pPr>
            <w:r>
              <w:t>36</w:t>
            </w:r>
          </w:p>
        </w:tc>
        <w:tc>
          <w:tcPr>
            <w:tcW w:w="3192" w:type="dxa"/>
            <w:tcBorders/>
          </w:tcPr>
          <w:p w14:paraId="2273A95C">
            <w:pPr>
              <w:pStyle w:val="style94"/>
              <w:spacing w:before="0" w:beforeAutospacing="false" w:after="0" w:afterAutospacing="false"/>
              <w:jc w:val="center"/>
              <w:rPr/>
            </w:pPr>
            <w:r>
              <w:t>24.0</w:t>
            </w:r>
          </w:p>
        </w:tc>
      </w:tr>
      <w:tr w14:paraId="BCBC9FA5">
        <w:tblPrEx/>
        <w:trPr/>
        <w:tc>
          <w:tcPr>
            <w:tcW w:w="3192" w:type="dxa"/>
            <w:tcBorders/>
          </w:tcPr>
          <w:p w14:paraId="439AB586">
            <w:pPr>
              <w:pStyle w:val="style94"/>
              <w:spacing w:before="0" w:beforeAutospacing="false" w:after="0" w:afterAutospacing="false"/>
              <w:jc w:val="both"/>
              <w:rPr>
                <w:b/>
              </w:rPr>
            </w:pPr>
            <w:r>
              <w:t>≥45</w:t>
            </w:r>
          </w:p>
        </w:tc>
        <w:tc>
          <w:tcPr>
            <w:tcW w:w="3192" w:type="dxa"/>
            <w:tcBorders/>
          </w:tcPr>
          <w:p w14:paraId="EE49E7E9">
            <w:pPr>
              <w:pStyle w:val="style94"/>
              <w:spacing w:before="0" w:beforeAutospacing="false" w:after="0" w:afterAutospacing="false"/>
              <w:jc w:val="center"/>
              <w:rPr/>
            </w:pPr>
            <w:r>
              <w:t>8</w:t>
            </w:r>
          </w:p>
        </w:tc>
        <w:tc>
          <w:tcPr>
            <w:tcW w:w="3192" w:type="dxa"/>
            <w:tcBorders/>
          </w:tcPr>
          <w:p w14:paraId="890F3352">
            <w:pPr>
              <w:pStyle w:val="style94"/>
              <w:spacing w:before="0" w:beforeAutospacing="false" w:after="0" w:afterAutospacing="false"/>
              <w:jc w:val="center"/>
              <w:rPr/>
            </w:pPr>
            <w:r>
              <w:t>5.3</w:t>
            </w:r>
          </w:p>
        </w:tc>
      </w:tr>
      <w:tr w14:paraId="E1F1468F">
        <w:tblPrEx/>
        <w:trPr/>
        <w:tc>
          <w:tcPr>
            <w:tcW w:w="3192" w:type="dxa"/>
            <w:tcBorders/>
          </w:tcPr>
          <w:p w14:paraId="B92119F9">
            <w:pPr>
              <w:pStyle w:val="style94"/>
              <w:spacing w:before="0" w:beforeAutospacing="false" w:after="0" w:afterAutospacing="false"/>
              <w:jc w:val="both"/>
              <w:rPr>
                <w:b/>
              </w:rPr>
            </w:pPr>
            <w:r>
              <w:rPr>
                <w:b/>
              </w:rPr>
              <w:t>Marital Status</w:t>
            </w:r>
          </w:p>
        </w:tc>
        <w:tc>
          <w:tcPr>
            <w:tcW w:w="3192" w:type="dxa"/>
            <w:tcBorders/>
          </w:tcPr>
          <w:p w14:paraId="9572A555">
            <w:pPr>
              <w:pStyle w:val="style94"/>
              <w:spacing w:before="0" w:beforeAutospacing="false" w:after="0" w:afterAutospacing="false"/>
              <w:jc w:val="center"/>
              <w:rPr/>
            </w:pPr>
          </w:p>
        </w:tc>
        <w:tc>
          <w:tcPr>
            <w:tcW w:w="3192" w:type="dxa"/>
            <w:tcBorders/>
          </w:tcPr>
          <w:p w14:paraId="065E4180">
            <w:pPr>
              <w:pStyle w:val="style94"/>
              <w:spacing w:before="0" w:beforeAutospacing="false" w:after="0" w:afterAutospacing="false"/>
              <w:jc w:val="center"/>
              <w:rPr/>
            </w:pPr>
          </w:p>
        </w:tc>
      </w:tr>
      <w:tr w14:paraId="ECCC61D2">
        <w:tblPrEx/>
        <w:trPr/>
        <w:tc>
          <w:tcPr>
            <w:tcW w:w="3192" w:type="dxa"/>
            <w:tcBorders/>
          </w:tcPr>
          <w:p w14:paraId="3C740741">
            <w:pPr>
              <w:pStyle w:val="style94"/>
              <w:spacing w:before="0" w:beforeAutospacing="false" w:after="0" w:afterAutospacing="false"/>
              <w:jc w:val="both"/>
              <w:rPr>
                <w:b/>
              </w:rPr>
            </w:pPr>
            <w:r>
              <w:t>Single</w:t>
            </w:r>
          </w:p>
        </w:tc>
        <w:tc>
          <w:tcPr>
            <w:tcW w:w="3192" w:type="dxa"/>
            <w:tcBorders/>
          </w:tcPr>
          <w:p w14:paraId="8D3A7091">
            <w:pPr>
              <w:pStyle w:val="style94"/>
              <w:spacing w:before="0" w:beforeAutospacing="false" w:after="0" w:afterAutospacing="false"/>
              <w:jc w:val="center"/>
              <w:rPr/>
            </w:pPr>
            <w:r>
              <w:t>22</w:t>
            </w:r>
          </w:p>
        </w:tc>
        <w:tc>
          <w:tcPr>
            <w:tcW w:w="3192" w:type="dxa"/>
            <w:tcBorders/>
          </w:tcPr>
          <w:p w14:paraId="2DA5F7A3">
            <w:pPr>
              <w:pStyle w:val="style94"/>
              <w:spacing w:before="0" w:beforeAutospacing="false" w:after="0" w:afterAutospacing="false"/>
              <w:jc w:val="center"/>
              <w:rPr/>
            </w:pPr>
            <w:r>
              <w:t>14.7</w:t>
            </w:r>
          </w:p>
        </w:tc>
      </w:tr>
      <w:tr w14:paraId="B2BBCABF">
        <w:tblPrEx/>
        <w:trPr/>
        <w:tc>
          <w:tcPr>
            <w:tcW w:w="3192" w:type="dxa"/>
            <w:tcBorders/>
          </w:tcPr>
          <w:p w14:paraId="2E1FE67C">
            <w:pPr>
              <w:pStyle w:val="style94"/>
              <w:spacing w:before="0" w:beforeAutospacing="false" w:after="0" w:afterAutospacing="false"/>
              <w:jc w:val="both"/>
              <w:rPr/>
            </w:pPr>
            <w:r>
              <w:t>Married</w:t>
            </w:r>
          </w:p>
        </w:tc>
        <w:tc>
          <w:tcPr>
            <w:tcW w:w="3192" w:type="dxa"/>
            <w:tcBorders/>
          </w:tcPr>
          <w:p w14:paraId="5C5BEBBB">
            <w:pPr>
              <w:pStyle w:val="style94"/>
              <w:spacing w:before="0" w:beforeAutospacing="false" w:after="0" w:afterAutospacing="false"/>
              <w:jc w:val="center"/>
              <w:rPr/>
            </w:pPr>
            <w:r>
              <w:t>128</w:t>
            </w:r>
          </w:p>
        </w:tc>
        <w:tc>
          <w:tcPr>
            <w:tcW w:w="3192" w:type="dxa"/>
            <w:tcBorders/>
          </w:tcPr>
          <w:p w14:paraId="1453B8C7">
            <w:pPr>
              <w:pStyle w:val="style94"/>
              <w:spacing w:before="0" w:beforeAutospacing="false" w:after="0" w:afterAutospacing="false"/>
              <w:jc w:val="center"/>
              <w:rPr/>
            </w:pPr>
            <w:r>
              <w:t>85.3</w:t>
            </w:r>
          </w:p>
        </w:tc>
      </w:tr>
      <w:tr w14:paraId="03DAF3DD">
        <w:tblPrEx/>
        <w:trPr/>
        <w:tc>
          <w:tcPr>
            <w:tcW w:w="3192" w:type="dxa"/>
            <w:tcBorders/>
          </w:tcPr>
          <w:p w14:paraId="A6D8EE5E">
            <w:pPr>
              <w:pStyle w:val="style94"/>
              <w:spacing w:before="0" w:beforeAutospacing="false" w:after="0" w:afterAutospacing="false"/>
              <w:jc w:val="both"/>
              <w:rPr>
                <w:b/>
              </w:rPr>
            </w:pPr>
            <w:r>
              <w:rPr>
                <w:b/>
              </w:rPr>
              <w:t>Educational Level</w:t>
            </w:r>
          </w:p>
        </w:tc>
        <w:tc>
          <w:tcPr>
            <w:tcW w:w="3192" w:type="dxa"/>
            <w:tcBorders/>
          </w:tcPr>
          <w:p w14:paraId="8DC800AE">
            <w:pPr>
              <w:pStyle w:val="style94"/>
              <w:spacing w:before="0" w:beforeAutospacing="false" w:after="0" w:afterAutospacing="false"/>
              <w:jc w:val="center"/>
              <w:rPr>
                <w:b/>
              </w:rPr>
            </w:pPr>
          </w:p>
        </w:tc>
        <w:tc>
          <w:tcPr>
            <w:tcW w:w="3192" w:type="dxa"/>
            <w:tcBorders/>
          </w:tcPr>
          <w:p w14:paraId="B2472DDD">
            <w:pPr>
              <w:pStyle w:val="style94"/>
              <w:spacing w:before="0" w:beforeAutospacing="false" w:after="0" w:afterAutospacing="false"/>
              <w:jc w:val="center"/>
              <w:rPr>
                <w:b/>
              </w:rPr>
            </w:pPr>
          </w:p>
        </w:tc>
      </w:tr>
      <w:tr w14:paraId="1F28ED99">
        <w:tblPrEx/>
        <w:trPr/>
        <w:tc>
          <w:tcPr>
            <w:tcW w:w="3192" w:type="dxa"/>
            <w:tcBorders/>
          </w:tcPr>
          <w:p w14:paraId="AEC925D6">
            <w:pPr>
              <w:pStyle w:val="style94"/>
              <w:spacing w:before="0" w:beforeAutospacing="false" w:after="0" w:afterAutospacing="false"/>
              <w:jc w:val="both"/>
              <w:rPr/>
            </w:pPr>
            <w:r>
              <w:t>No formal education</w:t>
            </w:r>
          </w:p>
        </w:tc>
        <w:tc>
          <w:tcPr>
            <w:tcW w:w="3192" w:type="dxa"/>
            <w:tcBorders/>
          </w:tcPr>
          <w:p w14:paraId="793C6C4B">
            <w:pPr>
              <w:pStyle w:val="style94"/>
              <w:spacing w:before="0" w:beforeAutospacing="false" w:after="0" w:afterAutospacing="false"/>
              <w:jc w:val="center"/>
              <w:rPr/>
            </w:pPr>
            <w:r>
              <w:t>18</w:t>
            </w:r>
          </w:p>
        </w:tc>
        <w:tc>
          <w:tcPr>
            <w:tcW w:w="3192" w:type="dxa"/>
            <w:tcBorders/>
          </w:tcPr>
          <w:p w14:paraId="E7DF0F26">
            <w:pPr>
              <w:pStyle w:val="style94"/>
              <w:spacing w:before="0" w:beforeAutospacing="false" w:after="0" w:afterAutospacing="false"/>
              <w:jc w:val="center"/>
              <w:rPr/>
            </w:pPr>
            <w:r>
              <w:t>12.0</w:t>
            </w:r>
          </w:p>
        </w:tc>
      </w:tr>
      <w:tr w14:paraId="750F6878">
        <w:tblPrEx/>
        <w:trPr/>
        <w:tc>
          <w:tcPr>
            <w:tcW w:w="3192" w:type="dxa"/>
            <w:tcBorders/>
          </w:tcPr>
          <w:p w14:paraId="00A1E0C3">
            <w:pPr>
              <w:pStyle w:val="style94"/>
              <w:spacing w:before="0" w:beforeAutospacing="false" w:after="0" w:afterAutospacing="false"/>
              <w:jc w:val="both"/>
              <w:rPr/>
            </w:pPr>
            <w:r>
              <w:t>Primary</w:t>
            </w:r>
          </w:p>
        </w:tc>
        <w:tc>
          <w:tcPr>
            <w:tcW w:w="3192" w:type="dxa"/>
            <w:tcBorders/>
          </w:tcPr>
          <w:p w14:paraId="16CE89FF">
            <w:pPr>
              <w:pStyle w:val="style94"/>
              <w:spacing w:before="0" w:beforeAutospacing="false" w:after="0" w:afterAutospacing="false"/>
              <w:jc w:val="center"/>
              <w:rPr/>
            </w:pPr>
            <w:r>
              <w:t>34</w:t>
            </w:r>
          </w:p>
        </w:tc>
        <w:tc>
          <w:tcPr>
            <w:tcW w:w="3192" w:type="dxa"/>
            <w:tcBorders/>
          </w:tcPr>
          <w:p w14:paraId="31936EE3">
            <w:pPr>
              <w:pStyle w:val="style94"/>
              <w:spacing w:before="0" w:beforeAutospacing="false" w:after="0" w:afterAutospacing="false"/>
              <w:jc w:val="center"/>
              <w:rPr/>
            </w:pPr>
            <w:r>
              <w:t>22.7</w:t>
            </w:r>
          </w:p>
        </w:tc>
      </w:tr>
      <w:tr w14:paraId="277ED9BF">
        <w:tblPrEx/>
        <w:trPr/>
        <w:tc>
          <w:tcPr>
            <w:tcW w:w="3192" w:type="dxa"/>
            <w:tcBorders/>
          </w:tcPr>
          <w:p w14:paraId="943211A8">
            <w:pPr>
              <w:pStyle w:val="style94"/>
              <w:spacing w:before="0" w:beforeAutospacing="false" w:after="0" w:afterAutospacing="false"/>
              <w:jc w:val="both"/>
              <w:rPr/>
            </w:pPr>
            <w:r>
              <w:t>Secondary</w:t>
            </w:r>
          </w:p>
        </w:tc>
        <w:tc>
          <w:tcPr>
            <w:tcW w:w="3192" w:type="dxa"/>
            <w:tcBorders/>
          </w:tcPr>
          <w:p w14:paraId="1EC1F2D8">
            <w:pPr>
              <w:pStyle w:val="style94"/>
              <w:spacing w:before="0" w:beforeAutospacing="false" w:after="0" w:afterAutospacing="false"/>
              <w:jc w:val="center"/>
              <w:rPr/>
            </w:pPr>
            <w:r>
              <w:t>70</w:t>
            </w:r>
          </w:p>
        </w:tc>
        <w:tc>
          <w:tcPr>
            <w:tcW w:w="3192" w:type="dxa"/>
            <w:tcBorders/>
          </w:tcPr>
          <w:p w14:paraId="53095F60">
            <w:pPr>
              <w:pStyle w:val="style94"/>
              <w:spacing w:before="0" w:beforeAutospacing="false" w:after="0" w:afterAutospacing="false"/>
              <w:jc w:val="center"/>
              <w:rPr/>
            </w:pPr>
            <w:r>
              <w:t>46.7</w:t>
            </w:r>
          </w:p>
        </w:tc>
      </w:tr>
      <w:tr w14:paraId="57FD367D">
        <w:tblPrEx/>
        <w:trPr/>
        <w:tc>
          <w:tcPr>
            <w:tcW w:w="3192" w:type="dxa"/>
            <w:tcBorders/>
          </w:tcPr>
          <w:p w14:paraId="7C467773">
            <w:pPr>
              <w:pStyle w:val="style94"/>
              <w:spacing w:before="0" w:beforeAutospacing="false" w:after="0" w:afterAutospacing="false"/>
              <w:jc w:val="both"/>
              <w:rPr/>
            </w:pPr>
            <w:r>
              <w:t>Tertiary</w:t>
            </w:r>
          </w:p>
        </w:tc>
        <w:tc>
          <w:tcPr>
            <w:tcW w:w="3192" w:type="dxa"/>
            <w:tcBorders/>
          </w:tcPr>
          <w:p w14:paraId="DE7EC961">
            <w:pPr>
              <w:pStyle w:val="style94"/>
              <w:spacing w:before="0" w:beforeAutospacing="false" w:after="0" w:afterAutospacing="false"/>
              <w:jc w:val="center"/>
              <w:rPr/>
            </w:pPr>
            <w:r>
              <w:t>28</w:t>
            </w:r>
          </w:p>
        </w:tc>
        <w:tc>
          <w:tcPr>
            <w:tcW w:w="3192" w:type="dxa"/>
            <w:tcBorders/>
          </w:tcPr>
          <w:p w14:paraId="EB549117">
            <w:pPr>
              <w:pStyle w:val="style94"/>
              <w:spacing w:before="0" w:beforeAutospacing="false" w:after="0" w:afterAutospacing="false"/>
              <w:jc w:val="center"/>
              <w:rPr/>
            </w:pPr>
            <w:r>
              <w:t>18.6</w:t>
            </w:r>
          </w:p>
        </w:tc>
      </w:tr>
      <w:tr w14:paraId="AAB49F6C">
        <w:tblPrEx/>
        <w:trPr/>
        <w:tc>
          <w:tcPr>
            <w:tcW w:w="3192" w:type="dxa"/>
            <w:tcBorders/>
          </w:tcPr>
          <w:p w14:paraId="20B91A0F">
            <w:pPr>
              <w:pStyle w:val="style94"/>
              <w:spacing w:before="0" w:beforeAutospacing="false" w:after="0" w:afterAutospacing="false"/>
              <w:jc w:val="both"/>
              <w:rPr>
                <w:b/>
              </w:rPr>
            </w:pPr>
            <w:r>
              <w:rPr>
                <w:b/>
              </w:rPr>
              <w:t>Employment Status</w:t>
            </w:r>
          </w:p>
        </w:tc>
        <w:tc>
          <w:tcPr>
            <w:tcW w:w="3192" w:type="dxa"/>
            <w:tcBorders/>
          </w:tcPr>
          <w:p w14:paraId="9D17B332">
            <w:pPr>
              <w:pStyle w:val="style94"/>
              <w:spacing w:before="0" w:beforeAutospacing="false" w:after="0" w:afterAutospacing="false"/>
              <w:jc w:val="center"/>
              <w:rPr/>
            </w:pPr>
          </w:p>
        </w:tc>
        <w:tc>
          <w:tcPr>
            <w:tcW w:w="3192" w:type="dxa"/>
            <w:tcBorders/>
          </w:tcPr>
          <w:p w14:paraId="19DB29E0">
            <w:pPr>
              <w:pStyle w:val="style94"/>
              <w:spacing w:before="0" w:beforeAutospacing="false" w:after="0" w:afterAutospacing="false"/>
              <w:jc w:val="center"/>
              <w:rPr>
                <w:b/>
              </w:rPr>
            </w:pPr>
          </w:p>
        </w:tc>
      </w:tr>
      <w:tr w14:paraId="6E900284">
        <w:tblPrEx/>
        <w:trPr/>
        <w:tc>
          <w:tcPr>
            <w:tcW w:w="3192" w:type="dxa"/>
            <w:tcBorders/>
          </w:tcPr>
          <w:p w14:paraId="9BA7D009">
            <w:pPr>
              <w:pStyle w:val="style94"/>
              <w:spacing w:before="0" w:beforeAutospacing="false" w:after="0" w:afterAutospacing="false"/>
              <w:jc w:val="both"/>
              <w:rPr/>
            </w:pPr>
            <w:r>
              <w:t>Employed</w:t>
            </w:r>
          </w:p>
        </w:tc>
        <w:tc>
          <w:tcPr>
            <w:tcW w:w="3192" w:type="dxa"/>
            <w:tcBorders/>
          </w:tcPr>
          <w:p w14:paraId="AE65635B">
            <w:pPr>
              <w:pStyle w:val="style94"/>
              <w:spacing w:before="0" w:beforeAutospacing="false" w:after="0" w:afterAutospacing="false"/>
              <w:jc w:val="center"/>
              <w:rPr/>
            </w:pPr>
            <w:r>
              <w:t>60</w:t>
            </w:r>
          </w:p>
        </w:tc>
        <w:tc>
          <w:tcPr>
            <w:tcW w:w="3192" w:type="dxa"/>
            <w:tcBorders/>
          </w:tcPr>
          <w:p w14:paraId="EB87C7AB">
            <w:pPr>
              <w:pStyle w:val="style94"/>
              <w:spacing w:before="0" w:beforeAutospacing="false" w:after="0" w:afterAutospacing="false"/>
              <w:jc w:val="center"/>
              <w:rPr/>
            </w:pPr>
            <w:r>
              <w:t>40.0</w:t>
            </w:r>
          </w:p>
        </w:tc>
      </w:tr>
      <w:tr w14:paraId="10BAAE31">
        <w:tblPrEx/>
        <w:trPr/>
        <w:tc>
          <w:tcPr>
            <w:tcW w:w="3192" w:type="dxa"/>
            <w:tcBorders/>
          </w:tcPr>
          <w:p w14:paraId="1BAE0C8A">
            <w:pPr>
              <w:pStyle w:val="style94"/>
              <w:spacing w:before="0" w:beforeAutospacing="false" w:after="0" w:afterAutospacing="false"/>
              <w:jc w:val="both"/>
              <w:rPr/>
            </w:pPr>
            <w:r>
              <w:t>Unemployed</w:t>
            </w:r>
          </w:p>
        </w:tc>
        <w:tc>
          <w:tcPr>
            <w:tcW w:w="3192" w:type="dxa"/>
            <w:tcBorders/>
          </w:tcPr>
          <w:p w14:paraId="709B3329">
            <w:pPr>
              <w:pStyle w:val="style94"/>
              <w:spacing w:before="0" w:beforeAutospacing="false" w:after="0" w:afterAutospacing="false"/>
              <w:jc w:val="center"/>
              <w:rPr/>
            </w:pPr>
            <w:r>
              <w:t>90</w:t>
            </w:r>
          </w:p>
        </w:tc>
        <w:tc>
          <w:tcPr>
            <w:tcW w:w="3192" w:type="dxa"/>
            <w:tcBorders/>
          </w:tcPr>
          <w:p w14:paraId="84013935">
            <w:pPr>
              <w:pStyle w:val="style94"/>
              <w:spacing w:before="0" w:beforeAutospacing="false" w:after="0" w:afterAutospacing="false"/>
              <w:jc w:val="center"/>
              <w:rPr/>
            </w:pPr>
            <w:r>
              <w:t>60.0</w:t>
            </w:r>
          </w:p>
        </w:tc>
      </w:tr>
    </w:tbl>
    <w:p w14:paraId="9BDD4D00">
      <w:pPr>
        <w:pStyle w:val="style0"/>
        <w:spacing w:after="0"/>
        <w:jc w:val="both"/>
        <w:rPr>
          <w:rFonts w:ascii="Times New Roman" w:cs="Times New Roman" w:eastAsia="Times New Roman" w:hAnsi="Times New Roman"/>
          <w:sz w:val="24"/>
          <w:szCs w:val="24"/>
        </w:rPr>
      </w:pPr>
    </w:p>
    <w:p w14:paraId="5828FFCC">
      <w:pPr>
        <w:pStyle w:val="style0"/>
        <w:spacing w:after="0"/>
        <w:jc w:val="both"/>
        <w:rPr>
          <w:rFonts w:ascii="Times New Roman" w:cs="Times New Roman" w:hAnsi="Times New Roman"/>
          <w:b/>
          <w:sz w:val="24"/>
          <w:szCs w:val="24"/>
        </w:rPr>
      </w:pPr>
      <w:r>
        <w:rPr>
          <w:rFonts w:ascii="Times New Roman" w:cs="Times New Roman" w:hAnsi="Times New Roman"/>
          <w:b/>
          <w:sz w:val="24"/>
          <w:szCs w:val="24"/>
        </w:rPr>
        <w:t>Table 2: Infant Feeding Practices among Respondents</w:t>
      </w:r>
    </w:p>
    <w:tbl>
      <w:tblPr>
        <w:tblStyle w:val="style154"/>
        <w:tblW w:w="0" w:type="auto"/>
        <w:tblLook w:val="04A0" w:firstRow="1" w:lastRow="0" w:firstColumn="1" w:lastColumn="0" w:noHBand="0" w:noVBand="1"/>
      </w:tblPr>
      <w:tblGrid>
        <w:gridCol w:w="3192"/>
        <w:gridCol w:w="3192"/>
        <w:gridCol w:w="3192"/>
      </w:tblGrid>
      <w:tr w14:paraId="494922F8">
        <w:trPr/>
        <w:tc>
          <w:tcPr>
            <w:tcW w:w="3192" w:type="dxa"/>
            <w:tcBorders/>
          </w:tcPr>
          <w:p w14:paraId="C36EB253">
            <w:pPr>
              <w:pStyle w:val="style94"/>
              <w:spacing w:before="0" w:beforeAutospacing="false" w:after="0" w:afterAutospacing="false"/>
              <w:jc w:val="both"/>
              <w:rPr>
                <w:b/>
              </w:rPr>
            </w:pPr>
            <w:r>
              <w:rPr>
                <w:b/>
              </w:rPr>
              <w:t>Feeding Practice</w:t>
            </w:r>
          </w:p>
        </w:tc>
        <w:tc>
          <w:tcPr>
            <w:tcW w:w="3192" w:type="dxa"/>
            <w:tcBorders/>
          </w:tcPr>
          <w:p w14:paraId="FE6F4FE2">
            <w:pPr>
              <w:pStyle w:val="style94"/>
              <w:spacing w:before="0" w:beforeAutospacing="false" w:after="0" w:afterAutospacing="false"/>
              <w:jc w:val="center"/>
              <w:rPr>
                <w:b/>
              </w:rPr>
            </w:pPr>
            <w:r>
              <w:rPr>
                <w:b/>
              </w:rPr>
              <w:t>Frequency (N = 150)</w:t>
            </w:r>
          </w:p>
        </w:tc>
        <w:tc>
          <w:tcPr>
            <w:tcW w:w="3192" w:type="dxa"/>
            <w:tcBorders/>
          </w:tcPr>
          <w:p w14:paraId="C627B5D9">
            <w:pPr>
              <w:pStyle w:val="style94"/>
              <w:spacing w:before="0" w:beforeAutospacing="false" w:after="0" w:afterAutospacing="false"/>
              <w:jc w:val="center"/>
              <w:rPr>
                <w:b/>
              </w:rPr>
            </w:pPr>
            <w:r>
              <w:rPr>
                <w:b/>
              </w:rPr>
              <w:t>Percentage (%)</w:t>
            </w:r>
          </w:p>
        </w:tc>
      </w:tr>
      <w:tr w14:paraId="0EA39416">
        <w:tblPrEx/>
        <w:trPr/>
        <w:tc>
          <w:tcPr>
            <w:tcW w:w="3192" w:type="dxa"/>
            <w:tcBorders/>
          </w:tcPr>
          <w:p w14:paraId="B7B28A22">
            <w:pPr>
              <w:pStyle w:val="style94"/>
              <w:spacing w:before="0" w:beforeAutospacing="false" w:after="0" w:afterAutospacing="false"/>
              <w:jc w:val="both"/>
              <w:rPr>
                <w:b/>
              </w:rPr>
            </w:pPr>
            <w:r>
              <w:t>Exclusive breastfeeding</w:t>
            </w:r>
          </w:p>
        </w:tc>
        <w:tc>
          <w:tcPr>
            <w:tcW w:w="3192" w:type="dxa"/>
            <w:tcBorders/>
          </w:tcPr>
          <w:p w14:paraId="592F229A">
            <w:pPr>
              <w:pStyle w:val="style94"/>
              <w:spacing w:before="0" w:beforeAutospacing="false" w:after="0" w:afterAutospacing="false"/>
              <w:jc w:val="center"/>
              <w:rPr/>
            </w:pPr>
            <w:r>
              <w:t>95</w:t>
            </w:r>
          </w:p>
        </w:tc>
        <w:tc>
          <w:tcPr>
            <w:tcW w:w="3192" w:type="dxa"/>
            <w:tcBorders/>
          </w:tcPr>
          <w:p w14:paraId="2F5967D3">
            <w:pPr>
              <w:pStyle w:val="style94"/>
              <w:spacing w:before="0" w:beforeAutospacing="false" w:after="0" w:afterAutospacing="false"/>
              <w:jc w:val="center"/>
              <w:rPr/>
            </w:pPr>
            <w:r>
              <w:t>63.3</w:t>
            </w:r>
          </w:p>
        </w:tc>
      </w:tr>
      <w:tr w14:paraId="D9460B39">
        <w:tblPrEx/>
        <w:trPr/>
        <w:tc>
          <w:tcPr>
            <w:tcW w:w="3192" w:type="dxa"/>
            <w:tcBorders/>
          </w:tcPr>
          <w:p w14:paraId="F6FB2197">
            <w:pPr>
              <w:pStyle w:val="style94"/>
              <w:spacing w:before="0" w:beforeAutospacing="false" w:after="0" w:afterAutospacing="false"/>
              <w:jc w:val="both"/>
              <w:rPr>
                <w:b/>
              </w:rPr>
            </w:pPr>
            <w:r>
              <w:t>Exclusive formula feeding</w:t>
            </w:r>
          </w:p>
        </w:tc>
        <w:tc>
          <w:tcPr>
            <w:tcW w:w="3192" w:type="dxa"/>
            <w:tcBorders/>
          </w:tcPr>
          <w:p w14:paraId="992ACC2F">
            <w:pPr>
              <w:pStyle w:val="style94"/>
              <w:spacing w:before="0" w:beforeAutospacing="false" w:after="0" w:afterAutospacing="false"/>
              <w:jc w:val="center"/>
              <w:rPr/>
            </w:pPr>
            <w:r>
              <w:t>40</w:t>
            </w:r>
          </w:p>
        </w:tc>
        <w:tc>
          <w:tcPr>
            <w:tcW w:w="3192" w:type="dxa"/>
            <w:tcBorders/>
          </w:tcPr>
          <w:p w14:paraId="2C086198">
            <w:pPr>
              <w:pStyle w:val="style94"/>
              <w:spacing w:before="0" w:beforeAutospacing="false" w:after="0" w:afterAutospacing="false"/>
              <w:jc w:val="center"/>
              <w:rPr/>
            </w:pPr>
            <w:r>
              <w:t>26.7</w:t>
            </w:r>
          </w:p>
        </w:tc>
      </w:tr>
      <w:tr w14:paraId="78844FDE">
        <w:tblPrEx/>
        <w:trPr/>
        <w:tc>
          <w:tcPr>
            <w:tcW w:w="3192" w:type="dxa"/>
            <w:tcBorders/>
          </w:tcPr>
          <w:p w14:paraId="A0902EB7">
            <w:pPr>
              <w:pStyle w:val="style94"/>
              <w:spacing w:before="0" w:beforeAutospacing="false" w:after="0" w:afterAutospacing="false"/>
              <w:jc w:val="both"/>
              <w:rPr>
                <w:b/>
              </w:rPr>
            </w:pPr>
            <w:r>
              <w:t>Mixed feeding</w:t>
            </w:r>
          </w:p>
        </w:tc>
        <w:tc>
          <w:tcPr>
            <w:tcW w:w="3192" w:type="dxa"/>
            <w:tcBorders/>
          </w:tcPr>
          <w:p w14:paraId="52DD8215">
            <w:pPr>
              <w:pStyle w:val="style94"/>
              <w:spacing w:before="0" w:beforeAutospacing="false" w:after="0" w:afterAutospacing="false"/>
              <w:jc w:val="center"/>
              <w:rPr/>
            </w:pPr>
            <w:r>
              <w:t>15</w:t>
            </w:r>
          </w:p>
        </w:tc>
        <w:tc>
          <w:tcPr>
            <w:tcW w:w="3192" w:type="dxa"/>
            <w:tcBorders/>
          </w:tcPr>
          <w:p w14:paraId="0D1E0B92">
            <w:pPr>
              <w:pStyle w:val="style94"/>
              <w:spacing w:before="0" w:beforeAutospacing="false" w:after="0" w:afterAutospacing="false"/>
              <w:jc w:val="center"/>
              <w:rPr/>
            </w:pPr>
            <w:r>
              <w:t>10.0</w:t>
            </w:r>
          </w:p>
        </w:tc>
      </w:tr>
      <w:tr w14:paraId="59770DFE">
        <w:tblPrEx/>
        <w:trPr/>
        <w:tc>
          <w:tcPr>
            <w:tcW w:w="3192" w:type="dxa"/>
            <w:tcBorders/>
          </w:tcPr>
          <w:p w14:paraId="F30E0590">
            <w:pPr>
              <w:pStyle w:val="style94"/>
              <w:spacing w:before="0" w:beforeAutospacing="false" w:after="0" w:afterAutospacing="false"/>
              <w:jc w:val="both"/>
              <w:rPr>
                <w:b/>
              </w:rPr>
            </w:pPr>
            <w:r>
              <w:rPr>
                <w:b/>
              </w:rPr>
              <w:t>Total</w:t>
            </w:r>
          </w:p>
        </w:tc>
        <w:tc>
          <w:tcPr>
            <w:tcW w:w="3192" w:type="dxa"/>
            <w:tcBorders/>
          </w:tcPr>
          <w:p w14:paraId="F5DB14C8">
            <w:pPr>
              <w:pStyle w:val="style94"/>
              <w:spacing w:before="0" w:beforeAutospacing="false" w:after="0" w:afterAutospacing="false"/>
              <w:jc w:val="center"/>
              <w:rPr>
                <w:b/>
              </w:rPr>
            </w:pPr>
            <w:r>
              <w:rPr>
                <w:b/>
              </w:rPr>
              <w:t>150</w:t>
            </w:r>
          </w:p>
        </w:tc>
        <w:tc>
          <w:tcPr>
            <w:tcW w:w="3192" w:type="dxa"/>
            <w:tcBorders/>
          </w:tcPr>
          <w:p w14:paraId="E68AF6D6">
            <w:pPr>
              <w:pStyle w:val="style94"/>
              <w:spacing w:before="0" w:beforeAutospacing="false" w:after="0" w:afterAutospacing="false"/>
              <w:jc w:val="center"/>
              <w:rPr>
                <w:b/>
              </w:rPr>
            </w:pPr>
            <w:r>
              <w:rPr>
                <w:b/>
              </w:rPr>
              <w:t>100.0</w:t>
            </w:r>
          </w:p>
        </w:tc>
      </w:tr>
    </w:tbl>
    <w:p w14:paraId="7E693259">
      <w:pPr>
        <w:pStyle w:val="style0"/>
        <w:spacing w:after="0"/>
        <w:jc w:val="both"/>
        <w:rPr>
          <w:rFonts w:ascii="Times New Roman" w:cs="Times New Roman" w:eastAsia="Times New Roman" w:hAnsi="Times New Roman"/>
          <w:sz w:val="24"/>
          <w:szCs w:val="24"/>
        </w:rPr>
      </w:pPr>
    </w:p>
    <w:p w14:paraId="64F6BB83">
      <w:pPr>
        <w:pStyle w:val="style0"/>
        <w:spacing w:after="0"/>
        <w:jc w:val="both"/>
        <w:rPr>
          <w:rFonts w:ascii="Times New Roman" w:cs="Times New Roman" w:hAnsi="Times New Roman"/>
          <w:b/>
          <w:sz w:val="24"/>
        </w:rPr>
      </w:pPr>
      <w:r>
        <w:rPr>
          <w:rFonts w:ascii="Times New Roman" w:cs="Times New Roman" w:hAnsi="Times New Roman"/>
          <w:b/>
          <w:sz w:val="24"/>
        </w:rPr>
        <w:t>Table 3: Socio-Economic Factors Influencing Infant Feeding Choices</w:t>
      </w:r>
    </w:p>
    <w:tbl>
      <w:tblPr>
        <w:tblStyle w:val="style154"/>
        <w:tblW w:w="0" w:type="auto"/>
        <w:tblLook w:val="04A0" w:firstRow="1" w:lastRow="0" w:firstColumn="1" w:lastColumn="0" w:noHBand="0" w:noVBand="1"/>
      </w:tblPr>
      <w:tblGrid>
        <w:gridCol w:w="4788"/>
        <w:gridCol w:w="2430"/>
        <w:gridCol w:w="2358"/>
      </w:tblGrid>
      <w:tr w14:paraId="A2CBA415">
        <w:trPr/>
        <w:tc>
          <w:tcPr>
            <w:tcW w:w="4788" w:type="dxa"/>
            <w:tcBorders/>
          </w:tcPr>
          <w:p w14:paraId="246F4ED0">
            <w:pPr>
              <w:pStyle w:val="style94"/>
              <w:spacing w:before="0" w:beforeAutospacing="false" w:after="0" w:afterAutospacing="false"/>
              <w:jc w:val="both"/>
              <w:rPr>
                <w:b/>
              </w:rPr>
            </w:pPr>
            <w:r>
              <w:rPr>
                <w:b/>
              </w:rPr>
              <w:t>Item Statement</w:t>
            </w:r>
          </w:p>
        </w:tc>
        <w:tc>
          <w:tcPr>
            <w:tcW w:w="2430" w:type="dxa"/>
            <w:tcBorders/>
          </w:tcPr>
          <w:p w14:paraId="4A85C250">
            <w:pPr>
              <w:pStyle w:val="style94"/>
              <w:spacing w:before="0" w:beforeAutospacing="false" w:after="0" w:afterAutospacing="false"/>
              <w:jc w:val="center"/>
              <w:rPr>
                <w:b/>
              </w:rPr>
            </w:pPr>
            <w:r>
              <w:rPr>
                <w:b/>
              </w:rPr>
              <w:t>Agreed (%)</w:t>
            </w:r>
          </w:p>
        </w:tc>
        <w:tc>
          <w:tcPr>
            <w:tcW w:w="2358" w:type="dxa"/>
            <w:tcBorders/>
          </w:tcPr>
          <w:p w14:paraId="62B985FB">
            <w:pPr>
              <w:pStyle w:val="style94"/>
              <w:spacing w:before="0" w:beforeAutospacing="false" w:after="0" w:afterAutospacing="false"/>
              <w:jc w:val="center"/>
              <w:rPr>
                <w:b/>
              </w:rPr>
            </w:pPr>
            <w:r>
              <w:rPr>
                <w:b/>
              </w:rPr>
              <w:t>Disagreed (%)</w:t>
            </w:r>
          </w:p>
        </w:tc>
      </w:tr>
      <w:tr w14:paraId="DA9A1E4F">
        <w:tblPrEx/>
        <w:trPr/>
        <w:tc>
          <w:tcPr>
            <w:tcW w:w="4788" w:type="dxa"/>
            <w:tcBorders/>
          </w:tcPr>
          <w:p w14:paraId="0397A081">
            <w:pPr>
              <w:pStyle w:val="style94"/>
              <w:spacing w:before="0" w:beforeAutospacing="false" w:after="0" w:afterAutospacing="false"/>
              <w:jc w:val="both"/>
              <w:rPr>
                <w:b/>
              </w:rPr>
            </w:pPr>
            <w:r>
              <w:t>Formula feeding is too expensive</w:t>
            </w:r>
          </w:p>
        </w:tc>
        <w:tc>
          <w:tcPr>
            <w:tcW w:w="2430" w:type="dxa"/>
            <w:tcBorders/>
          </w:tcPr>
          <w:p w14:paraId="306DE505">
            <w:pPr>
              <w:pStyle w:val="style94"/>
              <w:spacing w:before="0" w:beforeAutospacing="false" w:after="0" w:afterAutospacing="false"/>
              <w:jc w:val="center"/>
              <w:rPr/>
            </w:pPr>
            <w:r>
              <w:t>107(71.3)</w:t>
            </w:r>
          </w:p>
        </w:tc>
        <w:tc>
          <w:tcPr>
            <w:tcW w:w="2358" w:type="dxa"/>
            <w:tcBorders/>
          </w:tcPr>
          <w:p w14:paraId="8910AE91">
            <w:pPr>
              <w:pStyle w:val="style94"/>
              <w:spacing w:before="0" w:beforeAutospacing="false" w:after="0" w:afterAutospacing="false"/>
              <w:jc w:val="center"/>
              <w:rPr/>
            </w:pPr>
            <w:r>
              <w:t>43(28.7)</w:t>
            </w:r>
          </w:p>
        </w:tc>
      </w:tr>
      <w:tr w14:paraId="B17945C4">
        <w:tblPrEx/>
        <w:trPr/>
        <w:tc>
          <w:tcPr>
            <w:tcW w:w="4788" w:type="dxa"/>
            <w:tcBorders/>
          </w:tcPr>
          <w:p w14:paraId="A237073F">
            <w:pPr>
              <w:pStyle w:val="style94"/>
              <w:spacing w:before="0" w:beforeAutospacing="false" w:after="0" w:afterAutospacing="false"/>
              <w:jc w:val="both"/>
              <w:rPr>
                <w:b/>
              </w:rPr>
            </w:pPr>
            <w:r>
              <w:t>Breastfeeding is more affordable</w:t>
            </w:r>
          </w:p>
        </w:tc>
        <w:tc>
          <w:tcPr>
            <w:tcW w:w="2430" w:type="dxa"/>
            <w:tcBorders/>
          </w:tcPr>
          <w:p w14:paraId="E3A67347">
            <w:pPr>
              <w:pStyle w:val="style94"/>
              <w:spacing w:before="0" w:beforeAutospacing="false" w:after="0" w:afterAutospacing="false"/>
              <w:jc w:val="center"/>
              <w:rPr/>
            </w:pPr>
            <w:r>
              <w:t>120(80.0)</w:t>
            </w:r>
          </w:p>
        </w:tc>
        <w:tc>
          <w:tcPr>
            <w:tcW w:w="2358" w:type="dxa"/>
            <w:tcBorders/>
          </w:tcPr>
          <w:p w14:paraId="2EBCD020">
            <w:pPr>
              <w:pStyle w:val="style94"/>
              <w:spacing w:before="0" w:beforeAutospacing="false" w:after="0" w:afterAutospacing="false"/>
              <w:jc w:val="center"/>
              <w:rPr/>
            </w:pPr>
            <w:r>
              <w:t>30(20.0)</w:t>
            </w:r>
          </w:p>
        </w:tc>
      </w:tr>
      <w:tr w14:paraId="61EC1262">
        <w:tblPrEx/>
        <w:trPr/>
        <w:tc>
          <w:tcPr>
            <w:tcW w:w="4788" w:type="dxa"/>
            <w:tcBorders/>
          </w:tcPr>
          <w:p w14:paraId="9085B22C">
            <w:pPr>
              <w:pStyle w:val="style94"/>
              <w:spacing w:before="0" w:beforeAutospacing="false" w:after="0" w:afterAutospacing="false"/>
              <w:jc w:val="both"/>
              <w:rPr>
                <w:b/>
              </w:rPr>
            </w:pPr>
            <w:r>
              <w:t>Income level affects feeding choice</w:t>
            </w:r>
          </w:p>
        </w:tc>
        <w:tc>
          <w:tcPr>
            <w:tcW w:w="2430" w:type="dxa"/>
            <w:tcBorders/>
          </w:tcPr>
          <w:p w14:paraId="BDBA94B8">
            <w:pPr>
              <w:pStyle w:val="style94"/>
              <w:spacing w:before="0" w:beforeAutospacing="false" w:after="0" w:afterAutospacing="false"/>
              <w:jc w:val="center"/>
              <w:rPr/>
            </w:pPr>
            <w:r>
              <w:t>112(74.7)</w:t>
            </w:r>
          </w:p>
        </w:tc>
        <w:tc>
          <w:tcPr>
            <w:tcW w:w="2358" w:type="dxa"/>
            <w:tcBorders/>
          </w:tcPr>
          <w:p w14:paraId="12118930">
            <w:pPr>
              <w:pStyle w:val="style94"/>
              <w:spacing w:before="0" w:beforeAutospacing="false" w:after="0" w:afterAutospacing="false"/>
              <w:jc w:val="center"/>
              <w:rPr/>
            </w:pPr>
            <w:r>
              <w:t>38(25.3)</w:t>
            </w:r>
          </w:p>
        </w:tc>
      </w:tr>
      <w:tr w14:paraId="DB08BAB6">
        <w:tblPrEx/>
        <w:trPr/>
        <w:tc>
          <w:tcPr>
            <w:tcW w:w="4788" w:type="dxa"/>
            <w:tcBorders/>
          </w:tcPr>
          <w:p w14:paraId="E33E3BF9">
            <w:pPr>
              <w:pStyle w:val="style94"/>
              <w:spacing w:before="0" w:beforeAutospacing="false" w:after="0" w:afterAutospacing="false"/>
              <w:jc w:val="both"/>
              <w:rPr/>
            </w:pPr>
            <w:r>
              <w:t>Employment status influences feeding practice</w:t>
            </w:r>
          </w:p>
        </w:tc>
        <w:tc>
          <w:tcPr>
            <w:tcW w:w="2430" w:type="dxa"/>
            <w:tcBorders/>
          </w:tcPr>
          <w:p w14:paraId="D3307241">
            <w:pPr>
              <w:pStyle w:val="style94"/>
              <w:spacing w:before="0" w:beforeAutospacing="false" w:after="0" w:afterAutospacing="false"/>
              <w:jc w:val="center"/>
              <w:rPr/>
            </w:pPr>
            <w:r>
              <w:t>98(65.3)</w:t>
            </w:r>
          </w:p>
        </w:tc>
        <w:tc>
          <w:tcPr>
            <w:tcW w:w="2358" w:type="dxa"/>
            <w:tcBorders/>
          </w:tcPr>
          <w:p w14:paraId="DC956C49">
            <w:pPr>
              <w:pStyle w:val="style94"/>
              <w:spacing w:before="0" w:beforeAutospacing="false" w:after="0" w:afterAutospacing="false"/>
              <w:jc w:val="center"/>
              <w:rPr/>
            </w:pPr>
            <w:r>
              <w:t>52(34.7)</w:t>
            </w:r>
          </w:p>
        </w:tc>
      </w:tr>
    </w:tbl>
    <w:p w14:paraId="26B2FE60">
      <w:pPr>
        <w:pStyle w:val="style0"/>
        <w:spacing w:after="0"/>
        <w:jc w:val="both"/>
        <w:rPr>
          <w:rFonts w:ascii="Times New Roman" w:cs="Times New Roman" w:hAnsi="Times New Roman"/>
          <w:b/>
          <w:sz w:val="24"/>
          <w:szCs w:val="24"/>
        </w:rPr>
      </w:pPr>
    </w:p>
    <w:p w14:paraId="02101F99">
      <w:pPr>
        <w:pStyle w:val="style0"/>
        <w:spacing w:after="0"/>
        <w:jc w:val="both"/>
        <w:rPr>
          <w:rFonts w:ascii="Times New Roman" w:cs="Times New Roman" w:hAnsi="Times New Roman"/>
          <w:b/>
          <w:sz w:val="24"/>
          <w:szCs w:val="24"/>
        </w:rPr>
      </w:pPr>
      <w:r>
        <w:rPr>
          <w:rFonts w:ascii="Times New Roman" w:cs="Times New Roman" w:hAnsi="Times New Roman"/>
          <w:b/>
          <w:sz w:val="24"/>
          <w:szCs w:val="24"/>
        </w:rPr>
        <w:t>Table 4: Influence of Counseling and Knowledge on Feeding Choices</w:t>
      </w:r>
    </w:p>
    <w:tbl>
      <w:tblPr>
        <w:tblStyle w:val="style154"/>
        <w:tblW w:w="0" w:type="auto"/>
        <w:tblLook w:val="04A0" w:firstRow="1" w:lastRow="0" w:firstColumn="1" w:lastColumn="0" w:noHBand="0" w:noVBand="1"/>
      </w:tblPr>
      <w:tblGrid>
        <w:gridCol w:w="6138"/>
        <w:gridCol w:w="1710"/>
        <w:gridCol w:w="1728"/>
      </w:tblGrid>
      <w:tr w14:paraId="F0C93560">
        <w:trPr/>
        <w:tc>
          <w:tcPr>
            <w:tcW w:w="6138" w:type="dxa"/>
            <w:tcBorders/>
          </w:tcPr>
          <w:p w14:paraId="B8F92562">
            <w:pPr>
              <w:pStyle w:val="style94"/>
              <w:spacing w:before="0" w:beforeAutospacing="false" w:after="0" w:afterAutospacing="false"/>
              <w:jc w:val="both"/>
              <w:rPr>
                <w:b/>
              </w:rPr>
            </w:pPr>
            <w:r>
              <w:rPr>
                <w:b/>
              </w:rPr>
              <w:t>Item Statement</w:t>
            </w:r>
          </w:p>
        </w:tc>
        <w:tc>
          <w:tcPr>
            <w:tcW w:w="1710" w:type="dxa"/>
            <w:tcBorders/>
          </w:tcPr>
          <w:p w14:paraId="3804210C">
            <w:pPr>
              <w:pStyle w:val="style94"/>
              <w:spacing w:before="0" w:beforeAutospacing="false" w:after="0" w:afterAutospacing="false"/>
              <w:jc w:val="center"/>
              <w:rPr>
                <w:b/>
              </w:rPr>
            </w:pPr>
            <w:r>
              <w:rPr>
                <w:b/>
              </w:rPr>
              <w:t>Agreed (%)</w:t>
            </w:r>
          </w:p>
        </w:tc>
        <w:tc>
          <w:tcPr>
            <w:tcW w:w="1728" w:type="dxa"/>
            <w:tcBorders/>
          </w:tcPr>
          <w:p w14:paraId="875B82C7">
            <w:pPr>
              <w:pStyle w:val="style94"/>
              <w:spacing w:before="0" w:beforeAutospacing="false" w:after="0" w:afterAutospacing="false"/>
              <w:jc w:val="center"/>
              <w:rPr>
                <w:b/>
              </w:rPr>
            </w:pPr>
            <w:r>
              <w:rPr>
                <w:b/>
              </w:rPr>
              <w:t>Disagreed (%)</w:t>
            </w:r>
          </w:p>
        </w:tc>
      </w:tr>
      <w:tr w14:paraId="ACB095CF">
        <w:tblPrEx/>
        <w:trPr/>
        <w:tc>
          <w:tcPr>
            <w:tcW w:w="6138" w:type="dxa"/>
            <w:tcBorders/>
          </w:tcPr>
          <w:p w14:paraId="75B53FFC">
            <w:pPr>
              <w:pStyle w:val="style94"/>
              <w:spacing w:before="0" w:beforeAutospacing="false" w:after="0" w:afterAutospacing="false"/>
              <w:jc w:val="both"/>
              <w:rPr>
                <w:b/>
              </w:rPr>
            </w:pPr>
            <w:r>
              <w:t>Received adequate PMTCT counseling</w:t>
            </w:r>
          </w:p>
        </w:tc>
        <w:tc>
          <w:tcPr>
            <w:tcW w:w="1710" w:type="dxa"/>
            <w:tcBorders/>
          </w:tcPr>
          <w:p w14:paraId="F13F4824">
            <w:pPr>
              <w:pStyle w:val="style94"/>
              <w:spacing w:before="0" w:beforeAutospacing="false" w:after="0" w:afterAutospacing="false"/>
              <w:jc w:val="center"/>
              <w:rPr/>
            </w:pPr>
            <w:r>
              <w:t>96(64.0)</w:t>
            </w:r>
          </w:p>
        </w:tc>
        <w:tc>
          <w:tcPr>
            <w:tcW w:w="1728" w:type="dxa"/>
            <w:tcBorders/>
          </w:tcPr>
          <w:p w14:paraId="85AB8AEC">
            <w:pPr>
              <w:pStyle w:val="style94"/>
              <w:spacing w:before="0" w:beforeAutospacing="false" w:after="0" w:afterAutospacing="false"/>
              <w:jc w:val="center"/>
              <w:rPr/>
            </w:pPr>
            <w:r>
              <w:t>54(36.0)</w:t>
            </w:r>
          </w:p>
        </w:tc>
      </w:tr>
      <w:tr w14:paraId="1D006CF8">
        <w:tblPrEx/>
        <w:trPr/>
        <w:tc>
          <w:tcPr>
            <w:tcW w:w="6138" w:type="dxa"/>
            <w:tcBorders/>
          </w:tcPr>
          <w:p w14:paraId="2AFFD7F1">
            <w:pPr>
              <w:pStyle w:val="style94"/>
              <w:spacing w:before="0" w:beforeAutospacing="false" w:after="0" w:afterAutospacing="false"/>
              <w:jc w:val="both"/>
              <w:rPr>
                <w:b/>
              </w:rPr>
            </w:pPr>
            <w:r>
              <w:t>Counseling influenced feeding choice</w:t>
            </w:r>
          </w:p>
        </w:tc>
        <w:tc>
          <w:tcPr>
            <w:tcW w:w="1710" w:type="dxa"/>
            <w:tcBorders/>
          </w:tcPr>
          <w:p w14:paraId="B1B8FB11">
            <w:pPr>
              <w:pStyle w:val="style94"/>
              <w:spacing w:before="0" w:beforeAutospacing="false" w:after="0" w:afterAutospacing="false"/>
              <w:jc w:val="center"/>
              <w:rPr/>
            </w:pPr>
            <w:r>
              <w:t>110(73.3)</w:t>
            </w:r>
          </w:p>
        </w:tc>
        <w:tc>
          <w:tcPr>
            <w:tcW w:w="1728" w:type="dxa"/>
            <w:tcBorders/>
          </w:tcPr>
          <w:p w14:paraId="84A19AC1">
            <w:pPr>
              <w:pStyle w:val="style94"/>
              <w:spacing w:before="0" w:beforeAutospacing="false" w:after="0" w:afterAutospacing="false"/>
              <w:jc w:val="center"/>
              <w:rPr/>
            </w:pPr>
            <w:r>
              <w:t>40(26.7)</w:t>
            </w:r>
          </w:p>
        </w:tc>
      </w:tr>
      <w:tr w14:paraId="8F20AB91">
        <w:tblPrEx/>
        <w:trPr/>
        <w:tc>
          <w:tcPr>
            <w:tcW w:w="6138" w:type="dxa"/>
            <w:tcBorders/>
          </w:tcPr>
          <w:p w14:paraId="7192606B">
            <w:pPr>
              <w:pStyle w:val="style94"/>
              <w:spacing w:before="0" w:beforeAutospacing="false" w:after="0" w:afterAutospacing="false"/>
              <w:jc w:val="both"/>
              <w:rPr>
                <w:b/>
              </w:rPr>
            </w:pPr>
            <w:r>
              <w:t>Good knowledge of HIV transmission reduces risk behavior</w:t>
            </w:r>
          </w:p>
        </w:tc>
        <w:tc>
          <w:tcPr>
            <w:tcW w:w="1710" w:type="dxa"/>
            <w:tcBorders/>
          </w:tcPr>
          <w:p w14:paraId="F606E8C3">
            <w:pPr>
              <w:pStyle w:val="style94"/>
              <w:spacing w:before="0" w:beforeAutospacing="false" w:after="0" w:afterAutospacing="false"/>
              <w:jc w:val="center"/>
              <w:rPr/>
            </w:pPr>
            <w:r>
              <w:t>105(70.0)</w:t>
            </w:r>
          </w:p>
        </w:tc>
        <w:tc>
          <w:tcPr>
            <w:tcW w:w="1728" w:type="dxa"/>
            <w:tcBorders/>
          </w:tcPr>
          <w:p w14:paraId="358C31C3">
            <w:pPr>
              <w:pStyle w:val="style94"/>
              <w:spacing w:before="0" w:beforeAutospacing="false" w:after="0" w:afterAutospacing="false"/>
              <w:jc w:val="center"/>
              <w:rPr/>
            </w:pPr>
            <w:r>
              <w:t>45(30.0)</w:t>
            </w:r>
          </w:p>
        </w:tc>
      </w:tr>
      <w:tr w14:paraId="16CC957B">
        <w:tblPrEx/>
        <w:trPr/>
        <w:tc>
          <w:tcPr>
            <w:tcW w:w="6138" w:type="dxa"/>
            <w:tcBorders/>
          </w:tcPr>
          <w:p w14:paraId="D6C55ADF">
            <w:pPr>
              <w:pStyle w:val="style94"/>
              <w:spacing w:before="0" w:beforeAutospacing="false" w:after="0" w:afterAutospacing="false"/>
              <w:jc w:val="both"/>
              <w:rPr/>
            </w:pPr>
            <w:r>
              <w:t>Inconsistent counseling affects decisions</w:t>
            </w:r>
          </w:p>
        </w:tc>
        <w:tc>
          <w:tcPr>
            <w:tcW w:w="1710" w:type="dxa"/>
            <w:tcBorders/>
          </w:tcPr>
          <w:p w14:paraId="4ECA9393">
            <w:pPr>
              <w:pStyle w:val="style94"/>
              <w:spacing w:before="0" w:beforeAutospacing="false" w:after="0" w:afterAutospacing="false"/>
              <w:jc w:val="center"/>
              <w:rPr/>
            </w:pPr>
            <w:r>
              <w:t>88(58.7)</w:t>
            </w:r>
          </w:p>
        </w:tc>
        <w:tc>
          <w:tcPr>
            <w:tcW w:w="1728" w:type="dxa"/>
            <w:tcBorders/>
          </w:tcPr>
          <w:p w14:paraId="8DED0952">
            <w:pPr>
              <w:pStyle w:val="style94"/>
              <w:spacing w:before="0" w:beforeAutospacing="false" w:after="0" w:afterAutospacing="false"/>
              <w:jc w:val="center"/>
              <w:rPr/>
            </w:pPr>
            <w:r>
              <w:t>62(41.3)</w:t>
            </w:r>
          </w:p>
        </w:tc>
      </w:tr>
    </w:tbl>
    <w:p w14:paraId="11DA7ED7">
      <w:pPr>
        <w:pStyle w:val="style0"/>
        <w:jc w:val="both"/>
        <w:rPr>
          <w:rFonts w:ascii="Times New Roman" w:cs="Times New Roman" w:hAnsi="Times New Roman"/>
          <w:b/>
          <w:sz w:val="24"/>
          <w:szCs w:val="24"/>
        </w:rPr>
      </w:pPr>
      <w:r>
        <w:rPr>
          <w:rFonts w:ascii="Times New Roman" w:cs="Times New Roman" w:hAnsi="Times New Roman"/>
          <w:b/>
          <w:sz w:val="24"/>
          <w:szCs w:val="24"/>
        </w:rPr>
        <w:t>Table 5: Psychosocial and Health System Factors Affecting Feeding Choices</w:t>
      </w:r>
    </w:p>
    <w:tbl>
      <w:tblPr>
        <w:tblStyle w:val="style154"/>
        <w:tblW w:w="0" w:type="auto"/>
        <w:tblLook w:val="04A0" w:firstRow="1" w:lastRow="0" w:firstColumn="1" w:lastColumn="0" w:noHBand="0" w:noVBand="1"/>
      </w:tblPr>
      <w:tblGrid>
        <w:gridCol w:w="5508"/>
        <w:gridCol w:w="1980"/>
        <w:gridCol w:w="2088"/>
      </w:tblGrid>
      <w:tr w14:paraId="F43A49B8">
        <w:trPr/>
        <w:tc>
          <w:tcPr>
            <w:tcW w:w="5508" w:type="dxa"/>
            <w:tcBorders/>
          </w:tcPr>
          <w:p w14:paraId="52057CDA">
            <w:pPr>
              <w:pStyle w:val="style94"/>
              <w:spacing w:before="0" w:beforeAutospacing="false" w:after="0" w:afterAutospacing="false"/>
              <w:jc w:val="both"/>
              <w:rPr>
                <w:b/>
              </w:rPr>
            </w:pPr>
            <w:r>
              <w:rPr>
                <w:b/>
              </w:rPr>
              <w:t>Variables</w:t>
            </w:r>
          </w:p>
        </w:tc>
        <w:tc>
          <w:tcPr>
            <w:tcW w:w="1980" w:type="dxa"/>
            <w:tcBorders/>
          </w:tcPr>
          <w:p w14:paraId="4D2EE6E8">
            <w:pPr>
              <w:pStyle w:val="style94"/>
              <w:spacing w:before="0" w:beforeAutospacing="false" w:after="0" w:afterAutospacing="false"/>
              <w:jc w:val="center"/>
              <w:rPr>
                <w:b/>
              </w:rPr>
            </w:pPr>
            <w:r>
              <w:rPr>
                <w:b/>
              </w:rPr>
              <w:t>Agreed (%)</w:t>
            </w:r>
          </w:p>
        </w:tc>
        <w:tc>
          <w:tcPr>
            <w:tcW w:w="2088" w:type="dxa"/>
            <w:tcBorders/>
          </w:tcPr>
          <w:p w14:paraId="7A685256">
            <w:pPr>
              <w:pStyle w:val="style94"/>
              <w:spacing w:before="0" w:beforeAutospacing="false" w:after="0" w:afterAutospacing="false"/>
              <w:jc w:val="center"/>
              <w:rPr>
                <w:b/>
              </w:rPr>
            </w:pPr>
            <w:r>
              <w:rPr>
                <w:b/>
              </w:rPr>
              <w:t>Disagreed (%)</w:t>
            </w:r>
          </w:p>
        </w:tc>
      </w:tr>
      <w:tr w14:paraId="11528585">
        <w:tblPrEx/>
        <w:trPr/>
        <w:tc>
          <w:tcPr>
            <w:tcW w:w="5508" w:type="dxa"/>
            <w:tcBorders/>
          </w:tcPr>
          <w:p w14:paraId="474C89C0">
            <w:pPr>
              <w:pStyle w:val="style94"/>
              <w:spacing w:before="0" w:beforeAutospacing="false" w:after="0" w:afterAutospacing="false"/>
              <w:jc w:val="both"/>
              <w:rPr>
                <w:b/>
              </w:rPr>
            </w:pPr>
            <w:r>
              <w:t>Fear of HIV-related stigma influences feeding choice</w:t>
            </w:r>
          </w:p>
        </w:tc>
        <w:tc>
          <w:tcPr>
            <w:tcW w:w="1980" w:type="dxa"/>
            <w:tcBorders/>
          </w:tcPr>
          <w:p w14:paraId="0C4007EE">
            <w:pPr>
              <w:pStyle w:val="style94"/>
              <w:spacing w:before="0" w:beforeAutospacing="false" w:after="0" w:afterAutospacing="false"/>
              <w:jc w:val="center"/>
              <w:rPr/>
            </w:pPr>
            <w:r>
              <w:t>87(58.0)</w:t>
            </w:r>
          </w:p>
        </w:tc>
        <w:tc>
          <w:tcPr>
            <w:tcW w:w="2088" w:type="dxa"/>
            <w:tcBorders/>
          </w:tcPr>
          <w:p w14:paraId="236DF59B">
            <w:pPr>
              <w:pStyle w:val="style94"/>
              <w:spacing w:before="0" w:beforeAutospacing="false" w:after="0" w:afterAutospacing="false"/>
              <w:jc w:val="center"/>
              <w:rPr/>
            </w:pPr>
            <w:r>
              <w:t>63(42.0)</w:t>
            </w:r>
          </w:p>
        </w:tc>
      </w:tr>
      <w:tr w14:paraId="8FD4E6DF">
        <w:tblPrEx/>
        <w:trPr/>
        <w:tc>
          <w:tcPr>
            <w:tcW w:w="5508" w:type="dxa"/>
            <w:tcBorders/>
          </w:tcPr>
          <w:p w14:paraId="8CA84610">
            <w:pPr>
              <w:pStyle w:val="style94"/>
              <w:spacing w:before="0" w:beforeAutospacing="false" w:after="0" w:afterAutospacing="false"/>
              <w:jc w:val="both"/>
              <w:rPr>
                <w:b/>
              </w:rPr>
            </w:pPr>
            <w:r>
              <w:t>Partner/family influence affects decision-making</w:t>
            </w:r>
          </w:p>
        </w:tc>
        <w:tc>
          <w:tcPr>
            <w:tcW w:w="1980" w:type="dxa"/>
            <w:tcBorders/>
          </w:tcPr>
          <w:p w14:paraId="A5370A0F">
            <w:pPr>
              <w:pStyle w:val="style94"/>
              <w:spacing w:before="0" w:beforeAutospacing="false" w:after="0" w:afterAutospacing="false"/>
              <w:jc w:val="center"/>
              <w:rPr/>
            </w:pPr>
            <w:r>
              <w:t>81(54.0)</w:t>
            </w:r>
          </w:p>
        </w:tc>
        <w:tc>
          <w:tcPr>
            <w:tcW w:w="2088" w:type="dxa"/>
            <w:tcBorders/>
          </w:tcPr>
          <w:p w14:paraId="BA6B65BD">
            <w:pPr>
              <w:pStyle w:val="style94"/>
              <w:spacing w:before="0" w:beforeAutospacing="false" w:after="0" w:afterAutospacing="false"/>
              <w:jc w:val="center"/>
              <w:rPr/>
            </w:pPr>
            <w:r>
              <w:t>69(46.0)</w:t>
            </w:r>
          </w:p>
        </w:tc>
      </w:tr>
      <w:tr w14:paraId="C2DA5FAD">
        <w:tblPrEx/>
        <w:trPr/>
        <w:tc>
          <w:tcPr>
            <w:tcW w:w="5508" w:type="dxa"/>
            <w:tcBorders/>
          </w:tcPr>
          <w:p w14:paraId="0C907A58">
            <w:pPr>
              <w:pStyle w:val="style94"/>
              <w:spacing w:before="0" w:beforeAutospacing="false" w:after="0" w:afterAutospacing="false"/>
              <w:jc w:val="both"/>
              <w:rPr>
                <w:b/>
              </w:rPr>
            </w:pPr>
            <w:r>
              <w:t>Health workers provide inconsistent advice</w:t>
            </w:r>
          </w:p>
        </w:tc>
        <w:tc>
          <w:tcPr>
            <w:tcW w:w="1980" w:type="dxa"/>
            <w:tcBorders/>
          </w:tcPr>
          <w:p w14:paraId="ACBAD5D8">
            <w:pPr>
              <w:pStyle w:val="style94"/>
              <w:spacing w:before="0" w:beforeAutospacing="false" w:after="0" w:afterAutospacing="false"/>
              <w:jc w:val="center"/>
              <w:rPr/>
            </w:pPr>
            <w:r>
              <w:t>90(60.0)</w:t>
            </w:r>
          </w:p>
        </w:tc>
        <w:tc>
          <w:tcPr>
            <w:tcW w:w="2088" w:type="dxa"/>
            <w:tcBorders/>
          </w:tcPr>
          <w:p w14:paraId="243C2189">
            <w:pPr>
              <w:pStyle w:val="style94"/>
              <w:spacing w:before="0" w:beforeAutospacing="false" w:after="0" w:afterAutospacing="false"/>
              <w:jc w:val="center"/>
              <w:rPr/>
            </w:pPr>
            <w:r>
              <w:t>60(40.0)</w:t>
            </w:r>
          </w:p>
        </w:tc>
      </w:tr>
      <w:tr w14:paraId="FC4B2A68">
        <w:tblPrEx/>
        <w:trPr/>
        <w:tc>
          <w:tcPr>
            <w:tcW w:w="5508" w:type="dxa"/>
            <w:tcBorders/>
          </w:tcPr>
          <w:p w14:paraId="831926D7">
            <w:pPr>
              <w:pStyle w:val="style94"/>
              <w:spacing w:before="0" w:beforeAutospacing="false" w:after="0" w:afterAutospacing="false"/>
              <w:jc w:val="both"/>
              <w:rPr/>
            </w:pPr>
            <w:r>
              <w:t>Cultural beliefs influence breastfeeding preference</w:t>
            </w:r>
          </w:p>
        </w:tc>
        <w:tc>
          <w:tcPr>
            <w:tcW w:w="1980" w:type="dxa"/>
            <w:tcBorders/>
          </w:tcPr>
          <w:p w14:paraId="DA49C869">
            <w:pPr>
              <w:pStyle w:val="style94"/>
              <w:spacing w:before="0" w:beforeAutospacing="false" w:after="0" w:afterAutospacing="false"/>
              <w:jc w:val="center"/>
              <w:rPr/>
            </w:pPr>
            <w:r>
              <w:t>95(63.3)</w:t>
            </w:r>
          </w:p>
        </w:tc>
        <w:tc>
          <w:tcPr>
            <w:tcW w:w="2088" w:type="dxa"/>
            <w:tcBorders/>
          </w:tcPr>
          <w:p w14:paraId="EA739AF9">
            <w:pPr>
              <w:pStyle w:val="style94"/>
              <w:spacing w:before="0" w:beforeAutospacing="false" w:after="0" w:afterAutospacing="false"/>
              <w:jc w:val="center"/>
              <w:rPr/>
            </w:pPr>
            <w:r>
              <w:t>55(36.7)</w:t>
            </w:r>
          </w:p>
        </w:tc>
      </w:tr>
    </w:tbl>
    <w:p w14:paraId="17863071">
      <w:pPr>
        <w:pStyle w:val="style0"/>
        <w:jc w:val="both"/>
        <w:rPr>
          <w:rFonts w:ascii="Times New Roman" w:cs="Times New Roman" w:eastAsia="Times New Roman" w:hAnsi="Times New Roman"/>
          <w:b/>
          <w:sz w:val="24"/>
          <w:szCs w:val="24"/>
        </w:rPr>
      </w:pPr>
    </w:p>
    <w:p w14:paraId="6F691515">
      <w:pPr>
        <w:pStyle w:val="style2"/>
        <w:rPr>
          <w:rStyle w:val="style87"/>
          <w:b/>
          <w:bCs/>
          <w:sz w:val="24"/>
        </w:rPr>
      </w:pPr>
      <w:r>
        <w:rPr>
          <w:rStyle w:val="style87"/>
          <w:b/>
          <w:bCs/>
          <w:sz w:val="24"/>
        </w:rPr>
        <w:t>Discussion</w:t>
      </w:r>
    </w:p>
    <w:p w14:paraId="9D6A4D32">
      <w:pPr>
        <w:pStyle w:val="style0"/>
        <w:jc w:val="both"/>
        <w:rPr>
          <w:rFonts w:ascii="Times New Roman" w:cs="Times New Roman" w:hAnsi="Times New Roman"/>
          <w:sz w:val="24"/>
          <w:szCs w:val="24"/>
        </w:rPr>
      </w:pPr>
      <w:r>
        <w:rPr>
          <w:rFonts w:ascii="Times New Roman" w:cs="Times New Roman" w:hAnsi="Times New Roman"/>
          <w:sz w:val="24"/>
          <w:szCs w:val="24"/>
        </w:rPr>
        <w:t xml:space="preserve">Table 1 </w:t>
      </w:r>
      <w:r>
        <w:rPr>
          <w:rFonts w:ascii="Times New Roman" w:cs="Times New Roman" w:hAnsi="Times New Roman"/>
          <w:sz w:val="24"/>
          <w:szCs w:val="24"/>
        </w:rPr>
        <w:t>show</w:t>
      </w:r>
      <w:r>
        <w:rPr>
          <w:rFonts w:ascii="Times New Roman" w:cs="Times New Roman" w:hAnsi="Times New Roman"/>
          <w:sz w:val="24"/>
          <w:szCs w:val="24"/>
        </w:rPr>
        <w:t xml:space="preserve"> that the majority of respond</w:t>
      </w:r>
      <w:r>
        <w:rPr>
          <w:rFonts w:ascii="Times New Roman" w:cs="Times New Roman" w:hAnsi="Times New Roman"/>
          <w:sz w:val="24"/>
          <w:szCs w:val="24"/>
        </w:rPr>
        <w:t xml:space="preserve">ents were </w:t>
      </w:r>
      <w:r>
        <w:rPr>
          <w:rFonts w:ascii="Times New Roman" w:cs="Times New Roman" w:hAnsi="Times New Roman"/>
          <w:sz w:val="24"/>
          <w:szCs w:val="24"/>
        </w:rPr>
        <w:t xml:space="preserve">within the active reproductive age group commonly associated with childbearing and infant care responsibilities. This age distribution is consistent with findings by Adejuyigbe </w:t>
      </w:r>
      <w:r>
        <w:rPr>
          <w:rFonts w:ascii="Times New Roman" w:cs="Times New Roman" w:hAnsi="Times New Roman"/>
          <w:i/>
          <w:sz w:val="24"/>
          <w:szCs w:val="24"/>
        </w:rPr>
        <w:t>et al</w:t>
      </w:r>
      <w:r>
        <w:rPr>
          <w:rFonts w:ascii="Times New Roman" w:cs="Times New Roman" w:hAnsi="Times New Roman"/>
          <w:sz w:val="24"/>
          <w:szCs w:val="24"/>
        </w:rPr>
        <w:t xml:space="preserve"> (2008), who reported that most HIV-positive mothers accessing PMTCT services are within the young adult age group. In terms of marital status, most respondents were</w:t>
      </w:r>
      <w:r>
        <w:rPr>
          <w:rFonts w:ascii="Times New Roman" w:cs="Times New Roman" w:hAnsi="Times New Roman"/>
          <w:sz w:val="24"/>
          <w:szCs w:val="24"/>
        </w:rPr>
        <w:t xml:space="preserve"> married 128(85.3%), while 22</w:t>
      </w:r>
      <w:r>
        <w:rPr>
          <w:rFonts w:ascii="Times New Roman" w:cs="Times New Roman" w:hAnsi="Times New Roman"/>
          <w:sz w:val="24"/>
          <w:szCs w:val="24"/>
        </w:rPr>
        <w:t xml:space="preserve">(14.7%) were single, suggesting that the majority had partners who may influence infant feeding decisions, a pattern similarly observed by Sadoh </w:t>
      </w:r>
      <w:r>
        <w:rPr>
          <w:rFonts w:ascii="Times New Roman" w:cs="Times New Roman" w:hAnsi="Times New Roman"/>
          <w:i/>
          <w:sz w:val="24"/>
          <w:szCs w:val="24"/>
        </w:rPr>
        <w:t>et al</w:t>
      </w:r>
      <w:r>
        <w:rPr>
          <w:rFonts w:ascii="Times New Roman" w:cs="Times New Roman" w:hAnsi="Times New Roman"/>
          <w:sz w:val="24"/>
          <w:szCs w:val="24"/>
        </w:rPr>
        <w:t xml:space="preserve"> (2008). Educat</w:t>
      </w:r>
      <w:r>
        <w:rPr>
          <w:rFonts w:ascii="Times New Roman" w:cs="Times New Roman" w:hAnsi="Times New Roman"/>
          <w:sz w:val="24"/>
          <w:szCs w:val="24"/>
        </w:rPr>
        <w:t>ional attainment showed that 70</w:t>
      </w:r>
      <w:r>
        <w:rPr>
          <w:rFonts w:ascii="Times New Roman" w:cs="Times New Roman" w:hAnsi="Times New Roman"/>
          <w:sz w:val="24"/>
          <w:szCs w:val="24"/>
        </w:rPr>
        <w:t>(46.</w:t>
      </w:r>
      <w:r>
        <w:rPr>
          <w:rFonts w:ascii="Times New Roman" w:cs="Times New Roman" w:hAnsi="Times New Roman"/>
          <w:sz w:val="24"/>
          <w:szCs w:val="24"/>
        </w:rPr>
        <w:t>7%) had secondary education, 34</w:t>
      </w:r>
      <w:r>
        <w:rPr>
          <w:rFonts w:ascii="Times New Roman" w:cs="Times New Roman" w:hAnsi="Times New Roman"/>
          <w:sz w:val="24"/>
          <w:szCs w:val="24"/>
        </w:rPr>
        <w:t>(2</w:t>
      </w:r>
      <w:r>
        <w:rPr>
          <w:rFonts w:ascii="Times New Roman" w:cs="Times New Roman" w:hAnsi="Times New Roman"/>
          <w:sz w:val="24"/>
          <w:szCs w:val="24"/>
        </w:rPr>
        <w:t>2.7%) had primary education, 28</w:t>
      </w:r>
      <w:r>
        <w:rPr>
          <w:rFonts w:ascii="Times New Roman" w:cs="Times New Roman" w:hAnsi="Times New Roman"/>
          <w:sz w:val="24"/>
          <w:szCs w:val="24"/>
        </w:rPr>
        <w:t>(18.6%)</w:t>
      </w:r>
      <w:r>
        <w:rPr>
          <w:rFonts w:ascii="Times New Roman" w:cs="Times New Roman" w:hAnsi="Times New Roman"/>
          <w:sz w:val="24"/>
          <w:szCs w:val="24"/>
        </w:rPr>
        <w:t xml:space="preserve"> had tertiary education, and 18</w:t>
      </w:r>
      <w:r>
        <w:rPr>
          <w:rFonts w:ascii="Times New Roman" w:cs="Times New Roman" w:hAnsi="Times New Roman"/>
          <w:sz w:val="24"/>
          <w:szCs w:val="24"/>
        </w:rPr>
        <w:t xml:space="preserve">(12.0%) had no formal education, indicating a moderate level of education, which may affect understanding and adherence to PMTCT infant feeding guidelines as noted by Tuthill </w:t>
      </w:r>
      <w:r>
        <w:rPr>
          <w:rFonts w:ascii="Times New Roman" w:cs="Times New Roman" w:hAnsi="Times New Roman"/>
          <w:i/>
          <w:sz w:val="24"/>
          <w:szCs w:val="24"/>
        </w:rPr>
        <w:t>et al</w:t>
      </w:r>
      <w:r>
        <w:rPr>
          <w:rFonts w:ascii="Times New Roman" w:cs="Times New Roman" w:hAnsi="Times New Roman"/>
          <w:sz w:val="24"/>
          <w:szCs w:val="24"/>
        </w:rPr>
        <w:t xml:space="preserve"> (2014). </w:t>
      </w:r>
      <w:r>
        <w:rPr>
          <w:rFonts w:ascii="Times New Roman" w:cs="Times New Roman" w:hAnsi="Times New Roman"/>
          <w:sz w:val="24"/>
          <w:szCs w:val="24"/>
        </w:rPr>
        <w:t>Regarding employment status, 60(40.0%) were employed while 90</w:t>
      </w:r>
      <w:r>
        <w:rPr>
          <w:rFonts w:ascii="Times New Roman" w:cs="Times New Roman" w:hAnsi="Times New Roman"/>
          <w:sz w:val="24"/>
          <w:szCs w:val="24"/>
        </w:rPr>
        <w:t xml:space="preserve">(60.0%) were unemployed, indicating a high level of economic dependence, which is a known determinant of infant feeding choices in HIV contexts (Rollins </w:t>
      </w:r>
      <w:r>
        <w:rPr>
          <w:rFonts w:ascii="Times New Roman" w:cs="Times New Roman" w:hAnsi="Times New Roman"/>
          <w:i/>
          <w:sz w:val="24"/>
          <w:szCs w:val="24"/>
        </w:rPr>
        <w:t>et al</w:t>
      </w:r>
      <w:r>
        <w:rPr>
          <w:rFonts w:ascii="Times New Roman" w:cs="Times New Roman" w:hAnsi="Times New Roman"/>
          <w:sz w:val="24"/>
          <w:szCs w:val="24"/>
        </w:rPr>
        <w:t>., 2007).</w:t>
      </w:r>
    </w:p>
    <w:p w14:paraId="40964724">
      <w:pPr>
        <w:pStyle w:val="style0"/>
        <w:jc w:val="both"/>
        <w:rPr>
          <w:rFonts w:ascii="Times New Roman" w:cs="Times New Roman" w:hAnsi="Times New Roman"/>
          <w:sz w:val="24"/>
          <w:szCs w:val="24"/>
        </w:rPr>
      </w:pPr>
      <w:r>
        <w:rPr>
          <w:rFonts w:ascii="Times New Roman" w:cs="Times New Roman" w:hAnsi="Times New Roman"/>
          <w:sz w:val="24"/>
          <w:szCs w:val="24"/>
        </w:rPr>
        <w:t>Table 2 shows that the majority of respondents practiced e</w:t>
      </w:r>
      <w:r>
        <w:rPr>
          <w:rFonts w:ascii="Times New Roman" w:cs="Times New Roman" w:hAnsi="Times New Roman"/>
          <w:sz w:val="24"/>
          <w:szCs w:val="24"/>
        </w:rPr>
        <w:t>xclusive breastfeeding 95</w:t>
      </w:r>
      <w:r>
        <w:rPr>
          <w:rFonts w:ascii="Times New Roman" w:cs="Times New Roman" w:hAnsi="Times New Roman"/>
          <w:sz w:val="24"/>
          <w:szCs w:val="24"/>
        </w:rPr>
        <w:t>(63.3%)</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e</w:t>
      </w:r>
      <w:r>
        <w:rPr>
          <w:rFonts w:ascii="Times New Roman" w:cs="Times New Roman" w:hAnsi="Times New Roman"/>
          <w:sz w:val="24"/>
          <w:szCs w:val="24"/>
        </w:rPr>
        <w:t xml:space="preserve">xclusive formula feeding </w:t>
      </w:r>
      <w:r>
        <w:rPr>
          <w:rFonts w:ascii="Times New Roman" w:cs="Times New Roman" w:hAnsi="Times New Roman"/>
          <w:sz w:val="24"/>
          <w:szCs w:val="24"/>
        </w:rPr>
        <w:t>40</w:t>
      </w:r>
      <w:r>
        <w:rPr>
          <w:rFonts w:ascii="Times New Roman" w:cs="Times New Roman" w:hAnsi="Times New Roman"/>
          <w:sz w:val="24"/>
          <w:szCs w:val="24"/>
        </w:rPr>
        <w:t>(26.7%)</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and </w:t>
      </w:r>
      <w:r>
        <w:rPr>
          <w:rFonts w:ascii="Times New Roman" w:cs="Times New Roman" w:hAnsi="Times New Roman"/>
          <w:sz w:val="24"/>
          <w:szCs w:val="24"/>
        </w:rPr>
        <w:t>mixed</w:t>
      </w:r>
      <w:r>
        <w:rPr>
          <w:rFonts w:ascii="Times New Roman" w:cs="Times New Roman" w:hAnsi="Times New Roman"/>
          <w:sz w:val="24"/>
          <w:szCs w:val="24"/>
        </w:rPr>
        <w:t xml:space="preserve"> feeding </w:t>
      </w:r>
      <w:r>
        <w:rPr>
          <w:rFonts w:ascii="Times New Roman" w:cs="Times New Roman" w:hAnsi="Times New Roman"/>
          <w:sz w:val="24"/>
          <w:szCs w:val="24"/>
        </w:rPr>
        <w:t>15</w:t>
      </w:r>
      <w:r>
        <w:rPr>
          <w:rFonts w:ascii="Times New Roman" w:cs="Times New Roman" w:hAnsi="Times New Roman"/>
          <w:sz w:val="24"/>
          <w:szCs w:val="24"/>
        </w:rPr>
        <w:t xml:space="preserve">(10.0%). The predominance of exclusive breastfeeding aligns with WHO (2016) recommendations for HIV-positive mothers in resource-limited settings where safe formula feeding may not be feasible. Similar findings were reported by Doherty </w:t>
      </w:r>
      <w:r>
        <w:rPr>
          <w:rFonts w:ascii="Times New Roman" w:cs="Times New Roman" w:hAnsi="Times New Roman"/>
          <w:i/>
          <w:sz w:val="24"/>
          <w:szCs w:val="24"/>
        </w:rPr>
        <w:t>et al</w:t>
      </w:r>
      <w:r>
        <w:rPr>
          <w:rFonts w:ascii="Times New Roman" w:cs="Times New Roman" w:hAnsi="Times New Roman"/>
          <w:sz w:val="24"/>
          <w:szCs w:val="24"/>
        </w:rPr>
        <w:t>. (2011), who observed high rates of exclusive breastfeeding among HIV-positive mothers due to economic constraints and limited access to safe alternatives. However</w:t>
      </w:r>
      <w:r>
        <w:rPr>
          <w:rFonts w:ascii="Times New Roman" w:cs="Times New Roman" w:hAnsi="Times New Roman"/>
          <w:sz w:val="24"/>
          <w:szCs w:val="24"/>
        </w:rPr>
        <w:t xml:space="preserve">, the presence of mixed feeding </w:t>
      </w:r>
      <w:r>
        <w:rPr>
          <w:rFonts w:ascii="Times New Roman" w:cs="Times New Roman" w:hAnsi="Times New Roman"/>
          <w:sz w:val="24"/>
          <w:szCs w:val="24"/>
        </w:rPr>
        <w:t xml:space="preserve">(10.0%) remains a public health concern, as it has been strongly associated with increased risk of mother-to-child transmission of HIV, as emphasized by Coovadia </w:t>
      </w:r>
      <w:r>
        <w:rPr>
          <w:rFonts w:ascii="Times New Roman" w:cs="Times New Roman" w:hAnsi="Times New Roman"/>
          <w:i/>
          <w:sz w:val="24"/>
          <w:szCs w:val="24"/>
        </w:rPr>
        <w:t>et al</w:t>
      </w:r>
      <w:r>
        <w:rPr>
          <w:rFonts w:ascii="Times New Roman" w:cs="Times New Roman" w:hAnsi="Times New Roman"/>
          <w:sz w:val="24"/>
          <w:szCs w:val="24"/>
        </w:rPr>
        <w:t>. (2007).</w:t>
      </w:r>
    </w:p>
    <w:p w14:paraId="A73D5FEC">
      <w:pPr>
        <w:pStyle w:val="style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socio-economic factors </w:t>
      </w:r>
      <w:r>
        <w:rPr>
          <w:rFonts w:ascii="Times New Roman" w:cs="Times New Roman" w:hAnsi="Times New Roman"/>
          <w:sz w:val="24"/>
          <w:szCs w:val="24"/>
        </w:rPr>
        <w:t xml:space="preserve">that </w:t>
      </w:r>
      <w:r>
        <w:rPr>
          <w:rFonts w:ascii="Times New Roman" w:cs="Times New Roman" w:hAnsi="Times New Roman"/>
          <w:sz w:val="24"/>
          <w:szCs w:val="24"/>
        </w:rPr>
        <w:t>significantly influenced infant feeding choices among responden</w:t>
      </w:r>
      <w:r>
        <w:rPr>
          <w:rFonts w:ascii="Times New Roman" w:cs="Times New Roman" w:hAnsi="Times New Roman"/>
          <w:sz w:val="24"/>
          <w:szCs w:val="24"/>
        </w:rPr>
        <w:t>ts</w:t>
      </w:r>
      <w:r>
        <w:rPr>
          <w:rFonts w:ascii="Times New Roman" w:cs="Times New Roman" w:hAnsi="Times New Roman"/>
          <w:sz w:val="24"/>
          <w:szCs w:val="24"/>
        </w:rPr>
        <w:t xml:space="preserve"> was shown in Table 3</w:t>
      </w:r>
      <w:r>
        <w:rPr>
          <w:rFonts w:ascii="Times New Roman" w:cs="Times New Roman" w:hAnsi="Times New Roman"/>
          <w:sz w:val="24"/>
          <w:szCs w:val="24"/>
        </w:rPr>
        <w:t>; the</w:t>
      </w:r>
      <w:r>
        <w:rPr>
          <w:rFonts w:ascii="Times New Roman" w:cs="Times New Roman" w:hAnsi="Times New Roman"/>
          <w:sz w:val="24"/>
          <w:szCs w:val="24"/>
        </w:rPr>
        <w:t xml:space="preserve"> </w:t>
      </w:r>
      <w:r>
        <w:rPr>
          <w:rFonts w:ascii="Times New Roman" w:cs="Times New Roman" w:hAnsi="Times New Roman"/>
          <w:sz w:val="24"/>
          <w:szCs w:val="24"/>
        </w:rPr>
        <w:t xml:space="preserve">findings align with earlier evidence that economic constraints strongly shape infant feeding decisions among HIV-positive mothers, particularly in low-resource settings where affordability of infant formula is a major limitation (Fadnes </w:t>
      </w:r>
      <w:r>
        <w:rPr>
          <w:rFonts w:ascii="Times New Roman" w:cs="Times New Roman" w:hAnsi="Times New Roman"/>
          <w:i/>
          <w:sz w:val="24"/>
          <w:szCs w:val="24"/>
        </w:rPr>
        <w:t>et al</w:t>
      </w:r>
      <w:r>
        <w:rPr>
          <w:rFonts w:ascii="Times New Roman" w:cs="Times New Roman" w:hAnsi="Times New Roman"/>
          <w:sz w:val="24"/>
          <w:szCs w:val="24"/>
        </w:rPr>
        <w:t xml:space="preserve">., </w:t>
      </w:r>
      <w:r>
        <w:rPr>
          <w:rFonts w:ascii="Times New Roman" w:cs="Times New Roman" w:hAnsi="Times New Roman"/>
          <w:sz w:val="24"/>
          <w:szCs w:val="24"/>
        </w:rPr>
        <w:t xml:space="preserve">2012; Victora </w:t>
      </w:r>
      <w:r>
        <w:rPr>
          <w:rFonts w:ascii="Times New Roman" w:cs="Times New Roman" w:hAnsi="Times New Roman"/>
          <w:i/>
          <w:sz w:val="24"/>
          <w:szCs w:val="24"/>
        </w:rPr>
        <w:t>et al</w:t>
      </w:r>
      <w:r>
        <w:rPr>
          <w:rFonts w:ascii="Times New Roman" w:cs="Times New Roman" w:hAnsi="Times New Roman"/>
          <w:sz w:val="24"/>
          <w:szCs w:val="24"/>
        </w:rPr>
        <w:t xml:space="preserve">., 2016). Similarly, Iyengar </w:t>
      </w:r>
      <w:r>
        <w:rPr>
          <w:rFonts w:ascii="Times New Roman" w:cs="Times New Roman" w:hAnsi="Times New Roman"/>
          <w:i/>
          <w:sz w:val="24"/>
          <w:szCs w:val="24"/>
        </w:rPr>
        <w:t>et al</w:t>
      </w:r>
      <w:r>
        <w:rPr>
          <w:rFonts w:ascii="Times New Roman" w:cs="Times New Roman" w:hAnsi="Times New Roman"/>
          <w:sz w:val="24"/>
          <w:szCs w:val="24"/>
        </w:rPr>
        <w:t xml:space="preserve"> (2015) reported that poverty and household income level are major determinants of exclusive breastfeeding practices in sub-Saharan Africa.</w:t>
      </w:r>
    </w:p>
    <w:p w14:paraId="FA2DE38B">
      <w:pPr>
        <w:pStyle w:val="style0"/>
        <w:jc w:val="both"/>
        <w:rPr>
          <w:rFonts w:ascii="Times New Roman" w:cs="Times New Roman" w:hAnsi="Times New Roman"/>
          <w:sz w:val="24"/>
          <w:szCs w:val="24"/>
        </w:rPr>
      </w:pPr>
      <w:r>
        <w:rPr>
          <w:rFonts w:ascii="Times New Roman" w:cs="Times New Roman" w:hAnsi="Times New Roman"/>
          <w:sz w:val="24"/>
          <w:szCs w:val="24"/>
        </w:rPr>
        <w:t>The study also indicated</w:t>
      </w:r>
      <w:r>
        <w:rPr>
          <w:rFonts w:ascii="Times New Roman" w:cs="Times New Roman" w:hAnsi="Times New Roman"/>
          <w:sz w:val="24"/>
          <w:szCs w:val="24"/>
        </w:rPr>
        <w:t xml:space="preserve"> that counseling and maternal knowledge significantly influenced infant feeding choices among respondents</w:t>
      </w:r>
      <w:r>
        <w:rPr>
          <w:rFonts w:ascii="Times New Roman" w:cs="Times New Roman" w:hAnsi="Times New Roman"/>
          <w:sz w:val="24"/>
          <w:szCs w:val="24"/>
        </w:rPr>
        <w:t xml:space="preserve"> (</w:t>
      </w:r>
      <w:r>
        <w:rPr>
          <w:rFonts w:ascii="Times New Roman" w:cs="Times New Roman" w:hAnsi="Times New Roman"/>
          <w:sz w:val="24"/>
          <w:szCs w:val="24"/>
        </w:rPr>
        <w:t>Table 4</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These findings we</w:t>
      </w:r>
      <w:r>
        <w:rPr>
          <w:rFonts w:ascii="Times New Roman" w:cs="Times New Roman" w:hAnsi="Times New Roman"/>
          <w:sz w:val="24"/>
          <w:szCs w:val="24"/>
        </w:rPr>
        <w:t xml:space="preserve">re supported by Horwood </w:t>
      </w:r>
      <w:r>
        <w:rPr>
          <w:rFonts w:ascii="Times New Roman" w:cs="Times New Roman" w:hAnsi="Times New Roman"/>
          <w:i/>
          <w:sz w:val="24"/>
          <w:szCs w:val="24"/>
        </w:rPr>
        <w:t>et al</w:t>
      </w:r>
      <w:r>
        <w:rPr>
          <w:rFonts w:ascii="Times New Roman" w:cs="Times New Roman" w:hAnsi="Times New Roman"/>
          <w:sz w:val="24"/>
          <w:szCs w:val="24"/>
        </w:rPr>
        <w:t xml:space="preserve"> (2012), who emphasized that effective and consistent PMTCT counseling improves adherence to recommended infant feeding practices. Likewise, Ndirangu </w:t>
      </w:r>
      <w:r>
        <w:rPr>
          <w:rFonts w:ascii="Times New Roman" w:cs="Times New Roman" w:hAnsi="Times New Roman"/>
          <w:i/>
          <w:sz w:val="24"/>
          <w:szCs w:val="24"/>
        </w:rPr>
        <w:t>et al</w:t>
      </w:r>
      <w:r>
        <w:rPr>
          <w:rFonts w:ascii="Times New Roman" w:cs="Times New Roman" w:hAnsi="Times New Roman"/>
          <w:sz w:val="24"/>
          <w:szCs w:val="24"/>
        </w:rPr>
        <w:t xml:space="preserve"> (2014) noted that maternal knowledge and exposure to structured health education significantly reduce risky infant feeding behaviors, including mixed feeding, among HIV-positive mothers.</w:t>
      </w:r>
    </w:p>
    <w:p w14:paraId="926BEEF4">
      <w:pPr>
        <w:pStyle w:val="style0"/>
        <w:jc w:val="both"/>
        <w:rPr>
          <w:rFonts w:ascii="Times New Roman" w:cs="Times New Roman" w:hAnsi="Times New Roman"/>
          <w:sz w:val="24"/>
          <w:szCs w:val="24"/>
        </w:rPr>
      </w:pPr>
      <w:r>
        <w:rPr>
          <w:rFonts w:ascii="Times New Roman" w:cs="Times New Roman" w:hAnsi="Times New Roman"/>
          <w:sz w:val="24"/>
          <w:szCs w:val="24"/>
        </w:rPr>
        <w:t>The findings in Table 5 indicate that psychosocial and health system factors significantly influence infant feeding choices among HIV-positive mothers in the study</w:t>
      </w:r>
      <w:r>
        <w:rPr>
          <w:rFonts w:ascii="Times New Roman" w:cs="Times New Roman" w:hAnsi="Times New Roman"/>
          <w:sz w:val="24"/>
          <w:szCs w:val="24"/>
        </w:rPr>
        <w:t xml:space="preserve"> area. A notable proportion</w:t>
      </w:r>
      <w:r>
        <w:rPr>
          <w:rFonts w:ascii="Times New Roman" w:cs="Times New Roman" w:hAnsi="Times New Roman"/>
          <w:sz w:val="24"/>
          <w:szCs w:val="24"/>
        </w:rPr>
        <w:t xml:space="preserve"> </w:t>
      </w:r>
      <w:r>
        <w:rPr>
          <w:rFonts w:ascii="Times New Roman" w:cs="Times New Roman" w:hAnsi="Times New Roman"/>
          <w:sz w:val="24"/>
          <w:szCs w:val="24"/>
        </w:rPr>
        <w:t>agreed that fear of HIV-related stigma affe</w:t>
      </w:r>
      <w:r>
        <w:rPr>
          <w:rFonts w:ascii="Times New Roman" w:cs="Times New Roman" w:hAnsi="Times New Roman"/>
          <w:sz w:val="24"/>
          <w:szCs w:val="24"/>
        </w:rPr>
        <w:t>cts feeding decisions</w:t>
      </w:r>
      <w:r>
        <w:rPr>
          <w:rFonts w:ascii="Times New Roman" w:cs="Times New Roman" w:hAnsi="Times New Roman"/>
          <w:sz w:val="24"/>
          <w:szCs w:val="24"/>
        </w:rPr>
        <w:t xml:space="preserve">. This suggests that stigma remains a persistent barrier to optimal infant feeding practices. Evidence from multiple studies shows that HIV-related stigma often compels mothers to conceal their status, thereby influencing them to adopt feeding practices that are socially acceptable rather than medically recommended. For example, Paudel </w:t>
      </w:r>
      <w:r>
        <w:rPr>
          <w:rFonts w:ascii="Times New Roman" w:cs="Times New Roman" w:hAnsi="Times New Roman"/>
          <w:i/>
          <w:sz w:val="24"/>
          <w:szCs w:val="24"/>
        </w:rPr>
        <w:t>et al</w:t>
      </w:r>
      <w:r>
        <w:rPr>
          <w:rFonts w:ascii="Times New Roman" w:cs="Times New Roman" w:hAnsi="Times New Roman"/>
          <w:sz w:val="24"/>
          <w:szCs w:val="24"/>
        </w:rPr>
        <w:t xml:space="preserve"> (2017) reported that stigma significantly reduces adherence to exclusive breastfeeding guidelines among HIV-positive mothers in low-income settings. Similarly, Turan </w:t>
      </w:r>
      <w:r>
        <w:rPr>
          <w:rFonts w:ascii="Times New Roman" w:cs="Times New Roman" w:hAnsi="Times New Roman"/>
          <w:i/>
          <w:sz w:val="24"/>
          <w:szCs w:val="24"/>
        </w:rPr>
        <w:t>et al</w:t>
      </w:r>
      <w:r>
        <w:rPr>
          <w:rFonts w:ascii="Times New Roman" w:cs="Times New Roman" w:hAnsi="Times New Roman"/>
          <w:sz w:val="24"/>
          <w:szCs w:val="24"/>
        </w:rPr>
        <w:t xml:space="preserve"> (2011) found that anticipated stigma strongly predicts non-disclosure of HIV status and suboptimal infant feeding choices.</w:t>
      </w:r>
      <w:r>
        <w:rPr>
          <w:rFonts w:ascii="Times New Roman" w:cs="Times New Roman" w:hAnsi="Times New Roman"/>
          <w:sz w:val="24"/>
          <w:szCs w:val="24"/>
        </w:rPr>
        <w:t xml:space="preserve"> </w:t>
      </w:r>
      <w:r>
        <w:rPr>
          <w:rFonts w:ascii="Times New Roman" w:cs="Times New Roman" w:hAnsi="Times New Roman"/>
          <w:sz w:val="24"/>
          <w:szCs w:val="24"/>
        </w:rPr>
        <w:t xml:space="preserve">In addition, </w:t>
      </w:r>
      <w:r>
        <w:rPr>
          <w:rFonts w:ascii="Times New Roman" w:cs="Times New Roman" w:hAnsi="Times New Roman"/>
          <w:sz w:val="24"/>
          <w:szCs w:val="24"/>
        </w:rPr>
        <w:t xml:space="preserve">it was discovered that </w:t>
      </w:r>
      <w:r>
        <w:rPr>
          <w:rFonts w:ascii="Times New Roman" w:cs="Times New Roman" w:hAnsi="Times New Roman"/>
          <w:sz w:val="24"/>
          <w:szCs w:val="24"/>
        </w:rPr>
        <w:t>partner or family influence af</w:t>
      </w:r>
      <w:r>
        <w:rPr>
          <w:rFonts w:ascii="Times New Roman" w:cs="Times New Roman" w:hAnsi="Times New Roman"/>
          <w:sz w:val="24"/>
          <w:szCs w:val="24"/>
        </w:rPr>
        <w:t>fects decision-making</w:t>
      </w:r>
      <w:r>
        <w:rPr>
          <w:rFonts w:ascii="Times New Roman" w:cs="Times New Roman" w:hAnsi="Times New Roman"/>
          <w:sz w:val="24"/>
          <w:szCs w:val="24"/>
        </w:rPr>
        <w:t xml:space="preserve">. This highlights the critical role of household dynamics in infant feeding practices. Infant feeding decisions are often made within the context of marital and extended family relationships, where male partners and elder family members may exert significant influence. Ditekemena </w:t>
      </w:r>
      <w:r>
        <w:rPr>
          <w:rFonts w:ascii="Times New Roman" w:cs="Times New Roman" w:hAnsi="Times New Roman"/>
          <w:i/>
          <w:sz w:val="24"/>
          <w:szCs w:val="24"/>
        </w:rPr>
        <w:t>et al</w:t>
      </w:r>
      <w:r>
        <w:rPr>
          <w:rFonts w:ascii="Times New Roman" w:cs="Times New Roman" w:hAnsi="Times New Roman"/>
          <w:sz w:val="24"/>
          <w:szCs w:val="24"/>
        </w:rPr>
        <w:t xml:space="preserve"> (2012) emphasized that male partner involvement is a key determinant of PMTCT adherence, while Peltzer </w:t>
      </w:r>
      <w:r>
        <w:rPr>
          <w:rFonts w:ascii="Times New Roman" w:cs="Times New Roman" w:hAnsi="Times New Roman"/>
          <w:i/>
          <w:sz w:val="24"/>
          <w:szCs w:val="24"/>
        </w:rPr>
        <w:t>et al</w:t>
      </w:r>
      <w:r>
        <w:rPr>
          <w:rFonts w:ascii="Times New Roman" w:cs="Times New Roman" w:hAnsi="Times New Roman"/>
          <w:sz w:val="24"/>
          <w:szCs w:val="24"/>
        </w:rPr>
        <w:t xml:space="preserve"> (2011) found that lack of partner support is associated with poor uptake of recommended infant feeding practices. Similarly, studies by Busza </w:t>
      </w:r>
      <w:r>
        <w:rPr>
          <w:rFonts w:ascii="Times New Roman" w:cs="Times New Roman" w:hAnsi="Times New Roman"/>
          <w:i/>
          <w:sz w:val="24"/>
          <w:szCs w:val="24"/>
        </w:rPr>
        <w:t>et al</w:t>
      </w:r>
      <w:r>
        <w:rPr>
          <w:rFonts w:ascii="Times New Roman" w:cs="Times New Roman" w:hAnsi="Times New Roman"/>
          <w:sz w:val="24"/>
          <w:szCs w:val="24"/>
        </w:rPr>
        <w:t xml:space="preserve"> (2013) highlight that family pressure can override healthcare advice, particularly in traditional settings where elders hold strong authority in child-rearing decisions.</w:t>
      </w:r>
    </w:p>
    <w:p w14:paraId="E6695178">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finding points to a gap in the health system that may negatively affect PMTCT outcomes. Inconsistent counseling can lead to confusion and poor adherence to infant feeding guidelines. Horwood </w:t>
      </w:r>
      <w:r>
        <w:rPr>
          <w:i/>
        </w:rPr>
        <w:t>et al</w:t>
      </w:r>
      <w:r>
        <w:rPr>
          <w:rFonts w:ascii="Times New Roman" w:cs="Times New Roman" w:hAnsi="Times New Roman"/>
          <w:sz w:val="24"/>
          <w:szCs w:val="24"/>
        </w:rPr>
        <w:t xml:space="preserve"> (2012) reported that variation in infant feeding messages across healthcare providers contributes to mixed feeding practices among HIV-positive mothers. Likewise, Kuhn </w:t>
      </w:r>
      <w:r>
        <w:rPr>
          <w:i/>
        </w:rPr>
        <w:t>et al</w:t>
      </w:r>
      <w:r>
        <w:rPr>
          <w:rFonts w:ascii="Times New Roman" w:cs="Times New Roman" w:hAnsi="Times New Roman"/>
          <w:sz w:val="24"/>
          <w:szCs w:val="24"/>
        </w:rPr>
        <w:t xml:space="preserve"> (2010) emphasized that standardized and consistent counseling significantly improves adherence to exclusive breastfeeding recommendations and reduces HIV transmission risk.</w:t>
      </w:r>
      <w:r>
        <w:t xml:space="preserve"> </w:t>
      </w:r>
      <w:r>
        <w:rPr>
          <w:rFonts w:ascii="Times New Roman" w:cs="Times New Roman" w:hAnsi="Times New Roman"/>
          <w:sz w:val="24"/>
          <w:szCs w:val="24"/>
        </w:rPr>
        <w:t>Moreover, cultural beliefs influence breastfeeding preference</w:t>
      </w:r>
      <w:r>
        <w:rPr>
          <w:rFonts w:ascii="Times New Roman" w:cs="Times New Roman" w:hAnsi="Times New Roman"/>
          <w:sz w:val="24"/>
          <w:szCs w:val="24"/>
        </w:rPr>
        <w:t xml:space="preserve"> as observed in this study</w:t>
      </w:r>
      <w:r>
        <w:rPr>
          <w:rFonts w:ascii="Times New Roman" w:cs="Times New Roman" w:hAnsi="Times New Roman"/>
          <w:sz w:val="24"/>
          <w:szCs w:val="24"/>
        </w:rPr>
        <w:t xml:space="preserve">. This reflects the strong role of socio-cultural norms in shaping infant feeding behavior. In many African communities, breastfeeding is culturally expected and deeply rooted in traditional child-rearing practices. According to Rollins </w:t>
      </w:r>
      <w:r>
        <w:rPr>
          <w:i/>
        </w:rPr>
        <w:t>et al</w:t>
      </w:r>
      <w:r>
        <w:rPr>
          <w:rFonts w:ascii="Times New Roman" w:cs="Times New Roman" w:hAnsi="Times New Roman"/>
          <w:sz w:val="24"/>
          <w:szCs w:val="24"/>
        </w:rPr>
        <w:t xml:space="preserve"> (2007), cultural norms often reinforce exclusive breastfeeding as the only acceptable feeding practice, making formula feeding socially sensitive. </w:t>
      </w:r>
      <w:r>
        <w:rPr>
          <w:rFonts w:ascii="Times New Roman" w:cs="Times New Roman" w:hAnsi="Times New Roman"/>
          <w:sz w:val="24"/>
          <w:szCs w:val="24"/>
        </w:rPr>
        <w:t xml:space="preserve">Likewise, Sarker </w:t>
      </w:r>
      <w:r>
        <w:rPr>
          <w:i/>
        </w:rPr>
        <w:t>et al</w:t>
      </w:r>
      <w:r>
        <w:rPr>
          <w:rFonts w:ascii="Times New Roman" w:cs="Times New Roman" w:hAnsi="Times New Roman"/>
          <w:sz w:val="24"/>
          <w:szCs w:val="24"/>
        </w:rPr>
        <w:t xml:space="preserve"> (2013) noted that cultural expectations can discourage HIV-positive mothers from adopting formula feeding even when medically indicated.</w:t>
      </w:r>
      <w:r>
        <w:t xml:space="preserve"> </w:t>
      </w:r>
      <w:r>
        <w:t xml:space="preserve">The </w:t>
      </w:r>
      <w:r>
        <w:rPr>
          <w:rFonts w:ascii="Times New Roman" w:cs="Times New Roman" w:hAnsi="Times New Roman"/>
          <w:sz w:val="24"/>
          <w:szCs w:val="24"/>
        </w:rPr>
        <w:t xml:space="preserve">findings suggest that psychosocial factors such as stigma, partner influence, and cultural norms, together with health system challenges like inconsistent counseling, strongly shape infant feeding decisions. These findings are consistent with broader literature emphasizing that infant feeding in HIV contexts is not only a medical decision but also a deeply social and structural one (Turan </w:t>
      </w:r>
      <w:r>
        <w:rPr>
          <w:i/>
        </w:rPr>
        <w:t>et al</w:t>
      </w:r>
      <w:r>
        <w:rPr>
          <w:rFonts w:ascii="Times New Roman" w:cs="Times New Roman" w:hAnsi="Times New Roman"/>
          <w:sz w:val="24"/>
          <w:szCs w:val="24"/>
        </w:rPr>
        <w:t xml:space="preserve">., 2011; Rollins </w:t>
      </w:r>
      <w:r>
        <w:rPr>
          <w:i/>
        </w:rPr>
        <w:t>et al</w:t>
      </w:r>
      <w:r>
        <w:rPr>
          <w:rFonts w:ascii="Times New Roman" w:cs="Times New Roman" w:hAnsi="Times New Roman"/>
          <w:sz w:val="24"/>
          <w:szCs w:val="24"/>
        </w:rPr>
        <w:t>., 2007).</w:t>
      </w:r>
    </w:p>
    <w:p w14:paraId="8FFB5567">
      <w:pPr>
        <w:pStyle w:val="style2"/>
        <w:rPr>
          <w:rStyle w:val="style87"/>
          <w:b/>
          <w:bCs/>
          <w:sz w:val="24"/>
        </w:rPr>
      </w:pPr>
      <w:r>
        <w:rPr>
          <w:rStyle w:val="style87"/>
          <w:b/>
          <w:bCs/>
          <w:sz w:val="24"/>
        </w:rPr>
        <w:t>Conclusion</w:t>
      </w:r>
    </w:p>
    <w:p w14:paraId="C5686C23">
      <w:pPr>
        <w:pStyle w:val="style94"/>
        <w:jc w:val="both"/>
        <w:rPr/>
      </w:pPr>
      <w:r>
        <w:t>The study established that infant feeding choices among HIV-positive mothers at Imo State Teaching Hospital, Orlu are influenced by multiple interrelated factors. Exclusive breastfeeding was the most commonly practiced feeding option, largely driven by economic constraints and affordability challenges associated with formula feeding. Socio-economic conditions, particularly income level and employment status, played a significant role in determining feeding practices. In addition, maternal knowledge and exposure to PMTCT counseling were important determinants, as mothers who received adequate and consistent counseling were more likely to adopt recommended feeding practices. However, psychosocial and health system factors such as HIV-related stigma, partner and family influence, cultural beliefs, and inconsistent advice from healthcare workers were also found to significantly affect decision-making. The findings indicate that infant feeding choices in the context of HIV are not solely based on medical recommendations but are strongly shaped by social, economic, and systemic realities. Addressing these multidimensional influences is essential for improving PMTCT outcomes and reducing the risk of mother-to-child transmission of HIV. Therefore, the study recommends that:</w:t>
      </w:r>
    </w:p>
    <w:p w14:paraId="92FB32C4">
      <w:pPr>
        <w:pStyle w:val="style94"/>
        <w:numPr>
          <w:ilvl w:val="0"/>
          <w:numId w:val="1"/>
        </w:numPr>
        <w:ind w:left="540"/>
        <w:jc w:val="both"/>
        <w:rPr/>
      </w:pPr>
      <w:r>
        <w:t>Healthcare facilities should ensure standardized, clear, and consistent infant feeding counseling for HIV-positive mothers to improve understanding and adherence to recommended feeding practices.</w:t>
      </w:r>
    </w:p>
    <w:p w14:paraId="DE0EA583">
      <w:pPr>
        <w:pStyle w:val="style94"/>
        <w:numPr>
          <w:ilvl w:val="0"/>
          <w:numId w:val="1"/>
        </w:numPr>
        <w:ind w:left="540"/>
        <w:jc w:val="both"/>
        <w:rPr/>
      </w:pPr>
      <w:r>
        <w:t>Community-based sensitization programs should be intensified to reduce stigma and discrimination associated with HIV, thereby encouraging safe disclosure and appropriate infant feeding choices.</w:t>
      </w:r>
    </w:p>
    <w:p w14:paraId="E1C999B5">
      <w:pPr>
        <w:pStyle w:val="style94"/>
        <w:numPr>
          <w:ilvl w:val="0"/>
          <w:numId w:val="1"/>
        </w:numPr>
        <w:ind w:left="540"/>
        <w:jc w:val="both"/>
        <w:rPr/>
      </w:pPr>
      <w:r>
        <w:t>Regular training and retraining of healthcare providers should be conducted to ensure uniformity and accuracy in infant feeding messages delivered during antenatal and postnatal care.</w:t>
      </w:r>
    </w:p>
    <w:p w14:paraId="6BDBBFFF">
      <w:pPr>
        <w:pStyle w:val="style94"/>
        <w:numPr>
          <w:ilvl w:val="0"/>
          <w:numId w:val="1"/>
        </w:numPr>
        <w:ind w:left="540"/>
        <w:jc w:val="both"/>
        <w:rPr/>
      </w:pPr>
      <w:r>
        <w:t>Government and non-governmental organizations should consider providing economic support or subsidies for HIV-positive mothers who may not be able to afford optimal feeding options such as formula feeding where appropriate.</w:t>
      </w:r>
    </w:p>
    <w:p w14:paraId="3C42AE94">
      <w:pPr>
        <w:pStyle w:val="style94"/>
        <w:numPr>
          <w:ilvl w:val="0"/>
          <w:numId w:val="1"/>
        </w:numPr>
        <w:ind w:left="540"/>
        <w:jc w:val="both"/>
        <w:rPr/>
      </w:pPr>
      <w:r>
        <w:t>Health education programs should be designed in a culturally sensitive manner to address misconceptions and align recommended practices with local beliefs without compromising safety.</w:t>
      </w:r>
    </w:p>
    <w:p w14:paraId="C2D73AFE">
      <w:pPr>
        <w:pStyle w:val="style2"/>
        <w:rPr>
          <w:rStyle w:val="style87"/>
          <w:b/>
          <w:bCs/>
          <w:sz w:val="24"/>
        </w:rPr>
      </w:pPr>
    </w:p>
    <w:p w14:paraId="7DD34C72">
      <w:pPr>
        <w:pStyle w:val="style2"/>
        <w:rPr>
          <w:rStyle w:val="style87"/>
          <w:b/>
          <w:bCs/>
          <w:sz w:val="24"/>
        </w:rPr>
      </w:pPr>
    </w:p>
    <w:p w14:paraId="4F6C3923">
      <w:pPr>
        <w:pStyle w:val="style2"/>
        <w:rPr/>
      </w:pPr>
      <w:r>
        <w:rPr>
          <w:rStyle w:val="style87"/>
          <w:b/>
          <w:bCs/>
          <w:sz w:val="24"/>
        </w:rPr>
        <w:t>References</w:t>
      </w:r>
    </w:p>
    <w:p w14:paraId="4F4701AC">
      <w:pPr>
        <w:pStyle w:val="style94"/>
        <w:spacing w:before="0" w:beforeAutospacing="false" w:afterAutospacing="false"/>
        <w:ind w:left="720" w:hanging="720"/>
        <w:jc w:val="both"/>
        <w:rPr/>
      </w:pPr>
      <w:r>
        <w:t xml:space="preserve">Adejuyigbe, E., Orji, E., Onayade, A., Makinde, N., &amp; Anyabolu, H. (2008). Infant feeding intentions and practices of HIV-positive mothers in southwestern Nigeria. </w:t>
      </w:r>
      <w:r>
        <w:rPr>
          <w:rStyle w:val="style88"/>
        </w:rPr>
        <w:t>Journal of Human Lactation, 24</w:t>
      </w:r>
      <w:r>
        <w:t>(3), 303–310.</w:t>
      </w:r>
    </w:p>
    <w:p w14:paraId="7EF74672">
      <w:pPr>
        <w:pStyle w:val="style94"/>
        <w:spacing w:before="0" w:beforeAutospacing="false" w:afterAutospacing="false"/>
        <w:ind w:left="720" w:hanging="720"/>
        <w:jc w:val="both"/>
        <w:rPr/>
      </w:pPr>
      <w:r>
        <w:t xml:space="preserve">Busza, J., Walker, D., Hairston, A., (2013). Community-based approaches to prevention of mother-to-child transmission of HIV. </w:t>
      </w:r>
      <w:r>
        <w:rPr>
          <w:rStyle w:val="style88"/>
        </w:rPr>
        <w:t>BMC Public Health, 13</w:t>
      </w:r>
      <w:r>
        <w:t>, 105.</w:t>
      </w:r>
    </w:p>
    <w:p w14:paraId="C1CF7DC6">
      <w:pPr>
        <w:pStyle w:val="style94"/>
        <w:spacing w:before="0" w:beforeAutospacing="false" w:afterAutospacing="false"/>
        <w:ind w:left="720" w:hanging="720"/>
        <w:jc w:val="both"/>
        <w:rPr/>
      </w:pPr>
      <w:r>
        <w:t xml:space="preserve">Coovadia, H. M., Rollins, N. C., Bland, R. M., (2007). Mother-to-child transmission of HIV-1 infection during exclusive breastfeeding in the first 6 months of life. </w:t>
      </w:r>
      <w:r>
        <w:rPr>
          <w:rStyle w:val="style88"/>
        </w:rPr>
        <w:t>The Lancet, 369</w:t>
      </w:r>
      <w:r>
        <w:t>(9567), 1107–1116.</w:t>
      </w:r>
    </w:p>
    <w:p w14:paraId="4653A1CD">
      <w:pPr>
        <w:pStyle w:val="style94"/>
        <w:spacing w:before="0" w:beforeAutospacing="false" w:afterAutospacing="false"/>
        <w:ind w:left="720" w:hanging="720"/>
        <w:jc w:val="both"/>
        <w:rPr/>
      </w:pPr>
      <w:r>
        <w:t xml:space="preserve">Ditekemena, J., Koole, O., Engmann, C., (2012). Determinants of male involvement in maternal and child health services in sub-Saharan Africa. </w:t>
      </w:r>
      <w:r>
        <w:rPr>
          <w:rStyle w:val="style88"/>
        </w:rPr>
        <w:t>BMC Public Health, 12</w:t>
      </w:r>
      <w:r>
        <w:t>, 515.</w:t>
      </w:r>
    </w:p>
    <w:p w14:paraId="D6C178C0">
      <w:pPr>
        <w:pStyle w:val="style94"/>
        <w:spacing w:before="0" w:beforeAutospacing="false" w:afterAutospacing="false"/>
        <w:ind w:left="720" w:hanging="720"/>
        <w:jc w:val="both"/>
        <w:rPr/>
      </w:pPr>
      <w:r>
        <w:t xml:space="preserve">Doherty, T., Chopra, M., Nkonki, L., Jackson, D., &amp; Greiner, T. (2011). Effect of the HIV epidemic on infant feeding in South Africa. </w:t>
      </w:r>
      <w:r>
        <w:rPr>
          <w:rStyle w:val="style88"/>
        </w:rPr>
        <w:t>Journal of Nutrition, 141</w:t>
      </w:r>
      <w:r>
        <w:t>(4), 714–719.</w:t>
      </w:r>
    </w:p>
    <w:p w14:paraId="492491D5">
      <w:pPr>
        <w:pStyle w:val="style94"/>
        <w:spacing w:before="0" w:beforeAutospacing="false" w:afterAutospacing="false"/>
        <w:ind w:left="720" w:hanging="720"/>
        <w:jc w:val="both"/>
        <w:rPr/>
      </w:pPr>
      <w:r>
        <w:t xml:space="preserve">Edmond, K. M., Zandoh, C., Quigley, M. A., (2006). Delayed breastfeeding initiation increases risk of neonatal mortality. </w:t>
      </w:r>
      <w:r>
        <w:rPr>
          <w:rStyle w:val="style88"/>
        </w:rPr>
        <w:t>Pediatrics, 117</w:t>
      </w:r>
      <w:r>
        <w:t>(3), e380–e386.</w:t>
      </w:r>
    </w:p>
    <w:p w14:paraId="E8516B4D">
      <w:pPr>
        <w:pStyle w:val="style94"/>
        <w:spacing w:before="0" w:beforeAutospacing="false" w:afterAutospacing="false"/>
        <w:ind w:left="720" w:hanging="720"/>
        <w:jc w:val="both"/>
        <w:rPr/>
      </w:pPr>
      <w:r>
        <w:t xml:space="preserve">Fadnes, L. T., Engebretsen, I. M. S., Wamani, H., Wangisi, J., Tumwine, J. K., &amp; Tylleskär, T. (2012). Infant feeding among HIV-positive mothers and the general population in rural Uganda. </w:t>
      </w:r>
      <w:r>
        <w:rPr>
          <w:rStyle w:val="style88"/>
        </w:rPr>
        <w:t>Public Health Nutrition, 15</w:t>
      </w:r>
      <w:r>
        <w:t>(7), 1249–1258.</w:t>
      </w:r>
    </w:p>
    <w:p w14:paraId="5F0A1D61">
      <w:pPr>
        <w:pStyle w:val="style94"/>
        <w:spacing w:before="0" w:beforeAutospacing="false" w:afterAutospacing="false"/>
        <w:ind w:left="720" w:hanging="720"/>
        <w:jc w:val="both"/>
        <w:rPr/>
      </w:pPr>
      <w:r>
        <w:t xml:space="preserve">Horwood, C., Haskins, L., Engebretsen, I. M. S., (2012). Infant feeding practices among HIV-positive women in South Africa. </w:t>
      </w:r>
      <w:r>
        <w:rPr>
          <w:rStyle w:val="style88"/>
        </w:rPr>
        <w:t>Journal of Acquired Immune Deficiency Syndromes, 59</w:t>
      </w:r>
      <w:r>
        <w:t xml:space="preserve">(2), 185–191. </w:t>
      </w:r>
    </w:p>
    <w:p w14:paraId="78EA3B44">
      <w:pPr>
        <w:pStyle w:val="style94"/>
        <w:spacing w:before="0" w:beforeAutospacing="false" w:afterAutospacing="false"/>
        <w:ind w:left="720" w:hanging="720"/>
        <w:jc w:val="both"/>
        <w:rPr/>
      </w:pPr>
      <w:r>
        <w:t xml:space="preserve">Iyengar, K., Iyengar, S. D., &amp; Thomas, T. (2015). Infant feeding practices and determinants in HIV-affected populations in sub-Saharan Africa. </w:t>
      </w:r>
      <w:r>
        <w:rPr>
          <w:rStyle w:val="style88"/>
        </w:rPr>
        <w:t>BMC Public Health, 15</w:t>
      </w:r>
      <w:r>
        <w:t xml:space="preserve">, 1112. </w:t>
      </w:r>
    </w:p>
    <w:p w14:paraId="6E9687DF">
      <w:pPr>
        <w:pStyle w:val="style94"/>
        <w:spacing w:before="0" w:beforeAutospacing="false" w:afterAutospacing="false"/>
        <w:ind w:left="720" w:hanging="720"/>
        <w:jc w:val="both"/>
        <w:rPr/>
      </w:pPr>
      <w:r>
        <w:t xml:space="preserve">Kuhn, L., Sinkala, M., Kankasa, C., (2010). High uptake of exclusive breastfeeding and reduced early postnatal transmission of HIV. </w:t>
      </w:r>
      <w:r>
        <w:rPr>
          <w:rStyle w:val="style88"/>
        </w:rPr>
        <w:t>AIDS, 21</w:t>
      </w:r>
      <w:r>
        <w:t>(4), 500–505.</w:t>
      </w:r>
    </w:p>
    <w:p w14:paraId="4EACB445">
      <w:pPr>
        <w:pStyle w:val="style94"/>
        <w:spacing w:before="0" w:beforeAutospacing="false" w:afterAutospacing="false"/>
        <w:ind w:left="720" w:hanging="720"/>
        <w:jc w:val="both"/>
        <w:rPr/>
      </w:pPr>
      <w:r>
        <w:t xml:space="preserve">Madiba, S., &amp; Letsoalo, R. (2013). Social stigma as a barrier to exclusive breastfeeding among HIV-positive mothers. </w:t>
      </w:r>
      <w:r>
        <w:rPr>
          <w:rStyle w:val="style88"/>
        </w:rPr>
        <w:t>African Journal of AIDS Research, 12</w:t>
      </w:r>
      <w:r>
        <w:t>(3), 167–174.</w:t>
      </w:r>
    </w:p>
    <w:p w14:paraId="256697B3">
      <w:pPr>
        <w:pStyle w:val="style94"/>
        <w:spacing w:before="0" w:beforeAutospacing="false" w:afterAutospacing="false"/>
        <w:ind w:left="720" w:hanging="720"/>
        <w:jc w:val="both"/>
        <w:rPr/>
      </w:pPr>
      <w:r>
        <w:t xml:space="preserve">Ndirangu, J., Newell, M. L., Thorne, C., &amp; Bland, R. M. (2014). Maternal education and infant feeding practices in HIV-infected women in Africa. </w:t>
      </w:r>
      <w:r>
        <w:rPr>
          <w:rStyle w:val="style88"/>
        </w:rPr>
        <w:t>AIDS Care, 26</w:t>
      </w:r>
      <w:r>
        <w:t>(4), 486–493. https://doi.org/10.1080/09540121.2013.844768</w:t>
      </w:r>
    </w:p>
    <w:p w14:paraId="4C6D5DA8">
      <w:pPr>
        <w:pStyle w:val="style94"/>
        <w:spacing w:before="0" w:beforeAutospacing="false" w:afterAutospacing="false"/>
        <w:ind w:left="720" w:hanging="720"/>
        <w:jc w:val="both"/>
        <w:rPr/>
      </w:pPr>
      <w:r>
        <w:t xml:space="preserve">Paudel, D., Acharya, S., &amp; Lamichhane, J. (2017). HIV-related stigma and infant feeding practices among mothers living with HIV. </w:t>
      </w:r>
      <w:r>
        <w:rPr>
          <w:rStyle w:val="style88"/>
        </w:rPr>
        <w:t>International Breastfeeding Journal, 12</w:t>
      </w:r>
      <w:r>
        <w:t>, 45.</w:t>
      </w:r>
    </w:p>
    <w:p w14:paraId="6DB7D6A7">
      <w:pPr>
        <w:pStyle w:val="style94"/>
        <w:spacing w:before="0" w:beforeAutospacing="false" w:afterAutospacing="false"/>
        <w:ind w:left="720" w:hanging="720"/>
        <w:jc w:val="both"/>
        <w:rPr/>
      </w:pPr>
      <w:r>
        <w:t xml:space="preserve">Peltzer, K., Babatunde, O. A., &amp; Pengpid, S. (2011). Male involvement and maternal health care in sub-Saharan Africa. </w:t>
      </w:r>
      <w:r>
        <w:rPr>
          <w:rStyle w:val="style88"/>
        </w:rPr>
        <w:t>Journal of Social Aspects of HIV/AIDS, 8</w:t>
      </w:r>
      <w:r>
        <w:t>(1), 1–8.</w:t>
      </w:r>
    </w:p>
    <w:p w14:paraId="694D3907">
      <w:pPr>
        <w:pStyle w:val="style94"/>
        <w:spacing w:before="0" w:beforeAutospacing="false" w:afterAutospacing="false"/>
        <w:ind w:left="720" w:hanging="720"/>
        <w:jc w:val="both"/>
        <w:rPr/>
      </w:pPr>
      <w:r>
        <w:t xml:space="preserve">Rollins, N. C., Little, K., Mbori-Ngacha, D., (2007). Feeding practices and HIV transmission. </w:t>
      </w:r>
      <w:r>
        <w:rPr>
          <w:rStyle w:val="style88"/>
        </w:rPr>
        <w:t>The Lancet, 369</w:t>
      </w:r>
      <w:r>
        <w:t>(9567), 1107–1116.</w:t>
      </w:r>
    </w:p>
    <w:p w14:paraId="594BE129">
      <w:pPr>
        <w:pStyle w:val="style94"/>
        <w:spacing w:before="0" w:beforeAutospacing="false" w:afterAutospacing="false"/>
        <w:ind w:left="720" w:hanging="720"/>
        <w:jc w:val="both"/>
        <w:rPr/>
      </w:pPr>
      <w:r>
        <w:t xml:space="preserve">Sadoh, W. E., Sadoh, A. E., Adeniran, K. A., &amp; Abhulimhen-Iyoha, B. I. (2008). Infant feeding practices among HIV-infected mothers in Nigeria. </w:t>
      </w:r>
      <w:r>
        <w:rPr>
          <w:rStyle w:val="style88"/>
        </w:rPr>
        <w:t>Journal of Health, Population and Nutrition, 26</w:t>
      </w:r>
      <w:r>
        <w:t>(4), 463–467.</w:t>
      </w:r>
    </w:p>
    <w:p w14:paraId="2AEF3D77">
      <w:pPr>
        <w:pStyle w:val="style94"/>
        <w:spacing w:before="0" w:beforeAutospacing="false" w:afterAutospacing="false"/>
        <w:ind w:left="720" w:hanging="720"/>
        <w:jc w:val="both"/>
        <w:rPr/>
      </w:pPr>
      <w:r>
        <w:t xml:space="preserve">Sarker, M., Gazi, R., &amp; Hoque, M. (2013). Cultural determinants of infant feeding practices in HIV contexts. </w:t>
      </w:r>
      <w:r>
        <w:rPr>
          <w:rStyle w:val="style88"/>
        </w:rPr>
        <w:t>BMC Public Health, 13</w:t>
      </w:r>
      <w:r>
        <w:t>, 505.</w:t>
      </w:r>
    </w:p>
    <w:p w14:paraId="2ED2E03D">
      <w:pPr>
        <w:pStyle w:val="style94"/>
        <w:spacing w:before="0" w:beforeAutospacing="false" w:afterAutospacing="false"/>
        <w:ind w:left="720" w:hanging="720"/>
        <w:jc w:val="both"/>
        <w:rPr/>
      </w:pPr>
      <w:r>
        <w:t xml:space="preserve">Turan, J. M., Hatcher, A. H., Medema-Wijnveen, J., (2011). The role of HIV-related stigma in utilization of maternal health care services. </w:t>
      </w:r>
      <w:r>
        <w:rPr>
          <w:rStyle w:val="style88"/>
        </w:rPr>
        <w:t>Social Science &amp; Medicine, 73</w:t>
      </w:r>
      <w:r>
        <w:t>(6), 842–851.</w:t>
      </w:r>
    </w:p>
    <w:p w14:paraId="2174672D">
      <w:pPr>
        <w:pStyle w:val="style94"/>
        <w:spacing w:before="0" w:beforeAutospacing="false" w:afterAutospacing="false"/>
        <w:ind w:left="720" w:hanging="720"/>
        <w:jc w:val="both"/>
        <w:rPr/>
      </w:pPr>
      <w:r>
        <w:t xml:space="preserve">Tuthill, E. L., Pellowski, J. A., Young, S. L., &amp; Butler, L. M. (2014). Perinatal HIV disclosure: A qualitative study of maternal experiences. </w:t>
      </w:r>
      <w:r>
        <w:rPr>
          <w:rStyle w:val="style88"/>
        </w:rPr>
        <w:t>BMC Public Health, 14</w:t>
      </w:r>
      <w:r>
        <w:t>, 238.</w:t>
      </w:r>
    </w:p>
    <w:p w14:paraId="269C38ED">
      <w:pPr>
        <w:pStyle w:val="style94"/>
        <w:spacing w:before="0" w:beforeAutospacing="false" w:afterAutospacing="false"/>
        <w:ind w:left="720" w:hanging="720"/>
        <w:jc w:val="both"/>
        <w:rPr/>
      </w:pPr>
      <w:r>
        <w:t xml:space="preserve">Victora, C. G., Bahl, R., Barros, A. J. D., França, G. V. A., Horton, S., Krasevec, J., Murch, S., Sankar, M. J., Walker, N., &amp; Rollins, N. C. (2016). Breastfeeding in the 21st century: Epidemiology, mechanisms, and lifelong effect. </w:t>
      </w:r>
      <w:r>
        <w:rPr>
          <w:rStyle w:val="style88"/>
        </w:rPr>
        <w:t>The Lancet, 387</w:t>
      </w:r>
      <w:r>
        <w:t>(10017), 475–490.</w:t>
      </w:r>
    </w:p>
    <w:p w14:paraId="3CF966C4">
      <w:pPr>
        <w:pStyle w:val="style94"/>
        <w:spacing w:before="0" w:beforeAutospacing="false" w:afterAutospacing="false"/>
        <w:ind w:left="720" w:hanging="720"/>
        <w:jc w:val="both"/>
        <w:rPr/>
      </w:pPr>
      <w:r>
        <w:t xml:space="preserve">World Health Organization. (2016). </w:t>
      </w:r>
      <w:r>
        <w:rPr>
          <w:rStyle w:val="style88"/>
        </w:rPr>
        <w:t>Guideline updates on HIV and infant feeding</w:t>
      </w:r>
      <w:r>
        <w:t>. WHO Press.</w:t>
      </w: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64E8416">
    <w:pPr>
      <w:pStyle w:val="style32"/>
      <w:jc w:val="center"/>
      <w:rPr/>
    </w:pPr>
    <w:r>
      <w:rPr/>
      <w:fldChar w:fldCharType="begin"/>
    </w:r>
    <w:r>
      <w:instrText xml:space="preserve"> PAGE   \* MERGEFORMAT </w:instrText>
    </w:r>
    <w:r>
      <w:rPr/>
      <w:fldChar w:fldCharType="separate"/>
    </w:r>
    <w:r>
      <w:rPr>
        <w:noProof/>
      </w:rPr>
      <w:t>6</w:t>
    </w:r>
    <w:r>
      <w:rPr/>
      <w:fldChar w:fldCharType="end"/>
    </w:r>
  </w:p>
  <w:p w14:paraId="11E1D401">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8280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8468c926-8134-468d-8038-07c664a146ea"/>
    <w:basedOn w:val="style65"/>
    <w:next w:val="style4097"/>
    <w:link w:val="style1"/>
    <w:uiPriority w:val="9"/>
    <w:rPr>
      <w:rFonts w:ascii="Times New Roman" w:cs="Times New Roman" w:eastAsia="Times New Roman" w:hAnsi="Times New Roman"/>
      <w:b/>
      <w:bCs/>
      <w:kern w:val="36"/>
      <w:sz w:val="48"/>
      <w:szCs w:val="48"/>
    </w:rPr>
  </w:style>
  <w:style w:type="character" w:customStyle="1" w:styleId="style4098">
    <w:name w:val="Heading 2 Char_14c1c35d-4154-4e4a-857e-425ea0d33938"/>
    <w:basedOn w:val="style65"/>
    <w:next w:val="style4098"/>
    <w:link w:val="style2"/>
    <w:uiPriority w:val="9"/>
    <w:rPr>
      <w:rFonts w:ascii="Times New Roman" w:cs="Times New Roman" w:eastAsia="Times New Roman" w:hAnsi="Times New Roman"/>
      <w:b/>
      <w:bCs/>
      <w:sz w:val="36"/>
      <w:szCs w:val="36"/>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7a06b74a-f6bb-43b9-b3fa-57ba552631ab"/>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ff4747dd-30e5-470c-b55c-385882f53d92"/>
    <w:basedOn w:val="style65"/>
    <w:next w:val="style4100"/>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Words>3385</Words>
  <Pages>9</Pages>
  <Characters>21141</Characters>
  <Application>WPS Office</Application>
  <DocSecurity>0</DocSecurity>
  <Paragraphs>224</Paragraphs>
  <ScaleCrop>false</ScaleCrop>
  <LinksUpToDate>false</LinksUpToDate>
  <CharactersWithSpaces>24361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2026-04-27T18:57:00Z</dcterms:created>
  <dc:creator>DANIEL</dc:creator>
  <lastModifiedBy>SM-A165F</lastModifiedBy>
  <dcterms:modified xsi:type="dcterms:W3CDTF">2026-06-11T06:42:07Z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bf7a978457d7458ca7ccf6d4a90b107f_23</vt:lpwstr>
  </property>
</Properties>
</file>