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0B1D" w14:textId="77777777" w:rsidR="00533849" w:rsidRDefault="00000000">
      <w:pPr>
        <w:spacing w:after="60"/>
        <w:jc w:val="center"/>
      </w:pPr>
      <w:r>
        <w:rPr>
          <w:b/>
          <w:bCs/>
        </w:rPr>
        <w:t>International Journal of Research and Innovation in Social Science (IJRISS)</w:t>
      </w:r>
    </w:p>
    <w:p w14:paraId="1E3F508C" w14:textId="77777777" w:rsidR="00533849" w:rsidRDefault="00533849"/>
    <w:p w14:paraId="7E01CBBE" w14:textId="77777777" w:rsidR="00533849" w:rsidRDefault="00000000">
      <w:pPr>
        <w:spacing w:after="80"/>
        <w:jc w:val="center"/>
      </w:pPr>
      <w:r>
        <w:rPr>
          <w:b/>
          <w:bCs/>
          <w:sz w:val="28"/>
          <w:szCs w:val="28"/>
        </w:rPr>
        <w:t>FROM COMMODITY DEPENDENCY TO CIVILIZATIONAL TRANSFORMATION:</w:t>
      </w:r>
    </w:p>
    <w:p w14:paraId="25F243C4" w14:textId="77777777" w:rsidR="00533849" w:rsidRDefault="00000000">
      <w:pPr>
        <w:spacing w:after="120"/>
        <w:jc w:val="center"/>
      </w:pPr>
      <w:r>
        <w:rPr>
          <w:b/>
          <w:bCs/>
          <w:sz w:val="28"/>
          <w:szCs w:val="28"/>
        </w:rPr>
        <w:t/>
      </w:r>
    </w:p>
    <w:p w14:paraId="5A1E86E6" w14:textId="77777777" w:rsidR="00533849" w:rsidRDefault="00533849"/>
    <w:p w14:paraId="602A1772" w14:textId="77777777" w:rsidR="00533849" w:rsidRDefault="00000000">
      <w:pPr>
        <w:spacing w:before="80" w:after="80"/>
        <w:jc w:val="center"/>
      </w:pPr>
      <w:r>
        <w:rPr>
          <w:b/>
          <w:bCs/>
        </w:rPr>
        <w:t/>
      </w:r>
      <w:r>
        <w:t/>
      </w:r>
    </w:p>
    <w:p w14:paraId="49D24DD9" w14:textId="77777777" w:rsidR="00533849" w:rsidRDefault="00533849"/>
    <w:p w14:paraId="24016B14" w14:textId="77777777" w:rsidR="00533849" w:rsidRDefault="00000000">
      <w:pPr>
        <w:spacing w:before="80" w:after="80"/>
        <w:jc w:val="center"/>
      </w:pPr>
      <w:r>
        <w:t/>
      </w:r>
    </w:p>
    <w:p w14:paraId="6575B1A9" w14:textId="77777777" w:rsidR="00533849" w:rsidRDefault="00000000">
      <w:pPr>
        <w:spacing w:before="80" w:after="80"/>
        <w:jc w:val="center"/>
      </w:pPr>
      <w:r>
        <w:t/>
      </w:r>
    </w:p>
    <w:p w14:paraId="6F2D809A" w14:textId="77777777" w:rsidR="00533849" w:rsidRDefault="00000000">
      <w:pPr>
        <w:spacing w:before="80" w:after="80"/>
        <w:jc w:val="center"/>
      </w:pPr>
      <w:r>
        <w:t/>
      </w:r>
    </w:p>
    <w:p w14:paraId="3FAB767A" w14:textId="77777777" w:rsidR="00533849" w:rsidRDefault="00533849"/>
    <w:p w14:paraId="2FECFAC4" w14:textId="77777777" w:rsidR="00533849" w:rsidRDefault="00000000">
      <w:pPr>
        <w:spacing w:before="80" w:after="80"/>
        <w:jc w:val="center"/>
      </w:pPr>
      <w:r>
        <w:rPr>
          <w:i/>
          <w:iCs/>
        </w:rPr>
        <w:t/>
      </w:r>
    </w:p>
    <w:p w14:paraId="315CFFE1" w14:textId="77777777" w:rsidR="00533849" w:rsidRDefault="00000000">
      <w:pPr>
        <w:spacing w:before="80" w:after="80"/>
        <w:jc w:val="center"/>
      </w:pPr>
      <w:r>
        <w:rPr>
          <w:i/>
          <w:iCs/>
        </w:rPr>
        <w:t/>
      </w:r>
    </w:p>
    <w:p w14:paraId="57D129F0" w14:textId="770CEF93" w:rsidR="00533849" w:rsidRPr="002C15A0" w:rsidRDefault="00000000">
      <w:pPr>
        <w:jc w:val="center"/>
        <w:rPr>
          <w:i/>
          <w:iCs/>
        </w:rPr>
      </w:pPr>
      <w:r w:rsidRPr="002C15A0">
        <w:rPr>
          <w:i/>
          <w:iCs/>
        </w:rPr>
        <w:t xml:space="preserve"/>
      </w:r>
      <w:proofErr w:type="spellStart"/>
      <w:r w:rsidRPr="002C15A0">
        <w:rPr>
          <w:i/>
          <w:iCs/>
        </w:rPr>
        <w:t/>
      </w:r>
      <w:proofErr w:type="spellEnd"/>
      <w:r w:rsidRPr="002C15A0">
        <w:rPr>
          <w:i/>
          <w:iCs/>
        </w:rPr>
        <w:t xml:space="preserve"/>
      </w:r>
      <w:proofErr w:type="spellStart"/>
      <w:r w:rsidRPr="002C15A0">
        <w:rPr>
          <w:i/>
          <w:iCs/>
        </w:rPr>
        <w:t/>
      </w:r>
      <w:proofErr w:type="spellEnd"/>
      <w:r w:rsidRPr="002C15A0">
        <w:rPr>
          <w:i/>
          <w:iCs/>
        </w:rPr>
        <w:t xml:space="preserve"/>
      </w:r>
      <w:r w:rsidR="002C15A0" w:rsidRPr="002C15A0">
        <w:rPr>
          <w:i/>
          <w:iCs/>
        </w:rPr>
        <w:t xml:space="preserve"/>
      </w:r>
      <w:r w:rsidR="002C15A0" w:rsidRPr="002C15A0">
        <w:rPr>
          <w:i/>
          <w:iCs/>
        </w:rPr>
        <w:t/>
      </w:r>
    </w:p>
    <w:p w14:paraId="0E42B5CE" w14:textId="77777777" w:rsidR="00533849" w:rsidRDefault="00533849"/>
    <w:p w14:paraId="30455C9B" w14:textId="77777777" w:rsidR="00533849" w:rsidRDefault="00000000">
      <w:pPr>
        <w:spacing w:before="120" w:after="120"/>
        <w:jc w:val="both"/>
      </w:pPr>
      <w:r>
        <w:rPr>
          <w:b/>
          <w:bCs/>
        </w:rPr>
        <w:t xml:space="preserve"/>
      </w:r>
      <w:r>
        <w:t/>
      </w:r>
      <w:r>
        <w:rPr>
          <w:i/>
          <w:iCs/>
        </w:rPr>
        <w:t/>
      </w:r>
      <w:r>
        <w:t/>
      </w:r>
      <w:r>
        <w:rPr>
          <w:i/>
          <w:iCs/>
        </w:rPr>
        <w:t/>
      </w:r>
      <w:r>
        <w:t/>
      </w:r>
      <w:r>
        <w:rPr>
          <w:i/>
          <w:iCs/>
        </w:rPr>
        <w:t/>
      </w:r>
      <w:r>
        <w:t/>
      </w:r>
    </w:p>
    <w:p w14:paraId="6FFE65B2" w14:textId="77777777" w:rsidR="00533849" w:rsidRDefault="00533849"/>
    <w:p w14:paraId="0D905122" w14:textId="77777777" w:rsidR="00533849" w:rsidRDefault="00000000">
      <w:pPr>
        <w:spacing w:before="280" w:after="80"/>
      </w:pPr>
      <w:r>
        <w:rPr>
          <w:b/>
          <w:bCs/>
        </w:rPr>
        <w:t>ABSTRACT</w:t>
      </w:r>
    </w:p>
    <w:p w14:paraId="74853561" w14:textId="77777777" w:rsidR="00533849" w:rsidRDefault="00000000">
      <w:pPr>
        <w:spacing w:before="80" w:after="80"/>
        <w:jc w:val="both"/>
      </w:pPr>
      <w:r>
        <w:t>Côte d'Ivoire's GDP of approximately USD 87 billion (2024) makes it the largest economy in the UEMOA zone and one of sub-Saharan Africa's most consistent growth performers, averaging 6–8% annual expansion over the past decade. Yet this aggregate performance conceals a structural paradox of profound consequence: a country that produces 40% of the world's cocoa captures fewer than 4% of the value chain's final retail revenue; fewer than 45% of adults hold active formal bank accounts despite 80% mobile phone penetration; and 55% of young people in the north remain unemployed. Growth without structural transformation is not development — it is commodity extraction under a different name. This article proposes a nine-</w:t>
      </w:r>
      <w:r>
        <w:lastRenderedPageBreak/>
        <w:t>pillar integrated national development strategy for doubling Côte d'Ivoire's GDP to USD 170–175 billion by 2045, adding to the eight pillars documented in the original strategy — agricultural transformation, industrialization, technology, education, governance, tax reform, infrastructure, and international partnerships — a ninth and analytically underweighted dimension: a comprehensive Ubuntu Cooperative Banking and Financial Sector Architecture. Drawing on three decades of African banking practice (Dr. Gervais Atta) and the Neuroanthropological Economics theoretical framework (Kouadio), the article argues that no GDP doubling strategy can translate into household prosperity without the financial institutions that mobilize domestic savings, extend productive credit, provide culturally grounded insurance, and rebuild the institutional trust that colonial extraction and post-independence banking failures have systematically destroyed. The Ubuntu cooperative banking model — member-owned, communally governed, neurobiologically designed for West African social structures, and technologically integrated through mobile money — is presented as the financial architecture that converts GDP statistics into lived improvement in the lives of Côte d'Ivoire's 30 million people. Under a full nine-pillar implementation scenario, the article projects 115,000+ additional formal jobs per year by 2035, 1.5–2.8 million households lifted above the poverty line within a decade under the optimistic cooperative banking scenario (420,000–700,000 households under the moderate scenario by year six), a tax-to-GDP ratio rising from 14% to 22%, and the mobilization of USD 3–5 billion in domestic savings annually from informal and cooperative financial channels currently outside productive investment flows.The article further introduces a transformative tenth strategic dimension — the development of a nutraceutical and pharmacofitology industry — which leverages Côte d'Ivoire's extraordinary biodiversity and traditional pharmacological knowledge to create a high-value bio-economy sector capable of generating USD 0.8–1.25 billion annually by 2045, representing 0.5–0.7% of projected GDP, while positioning the nation as West Africa's centre of excellence in evidence-based traditional medicine and nutritional pharmacology.</w:t>
      </w:r>
    </w:p>
    <w:p w14:paraId="355DB4A3" w14:textId="77777777" w:rsidR="00533849" w:rsidRDefault="00533849"/>
    <w:p w14:paraId="66E7A85B" w14:textId="77777777" w:rsidR="00533849" w:rsidRDefault="00000000">
      <w:pPr>
        <w:spacing w:before="80" w:after="80"/>
        <w:jc w:val="both"/>
      </w:pPr>
      <w:r>
        <w:rPr>
          <w:b/>
          <w:bCs/>
        </w:rPr>
        <w:t xml:space="preserve">Keywords: </w:t>
      </w:r>
      <w:r>
        <w:t>Côte d'Ivoire; GDP doubling; structural transformation; Ubuntu cooperative banking; financial inclusion; agricultural transformation; industrial policy; Neuroanthropological Economics; NALM; development economics; West Africa; tontines; fintech; UEMOA</w:t>
      </w:r>
    </w:p>
    <w:p w14:paraId="60328E69" w14:textId="77777777" w:rsidR="00533849" w:rsidRDefault="00533849"/>
    <w:p w14:paraId="0E8E4CCE" w14:textId="77777777" w:rsidR="00533849" w:rsidRDefault="00000000">
      <w:pPr>
        <w:spacing w:before="280" w:after="80"/>
      </w:pPr>
      <w:r>
        <w:rPr>
          <w:b/>
          <w:bCs/>
        </w:rPr>
        <w:t>I. INTRODUCTION: THE PARADOX OF GROWTH WITHOUT TRANSFORMATION</w:t>
      </w:r>
    </w:p>
    <w:p w14:paraId="04253B94" w14:textId="77777777" w:rsidR="00533849" w:rsidRDefault="00000000">
      <w:pPr>
        <w:spacing w:before="80" w:after="80"/>
        <w:jc w:val="both"/>
      </w:pPr>
      <w:r>
        <w:t>There is a question that every serious student of African development must eventually confront: how does a country sustain 6–8% annual GDP growth for a decade while leaving the fundamental architecture of economic exclusion essentially intact? How does the world's largest cocoa producer remain one of the continent's poorest on a per-capita basis? How does a country with 80% mobile phone penetration achieve only 45% formal financial inclusion? These are not peripheral anomalies in an otherwise successful development story — they are the story itself [1, 2].</w:t>
      </w:r>
    </w:p>
    <w:p w14:paraId="236B4DD9" w14:textId="77777777" w:rsidR="00533849" w:rsidRDefault="00000000">
      <w:pPr>
        <w:spacing w:before="80" w:after="80"/>
        <w:jc w:val="both"/>
      </w:pPr>
      <w:r>
        <w:t xml:space="preserve">Côte d'Ivoire in 2025 embodies this paradox with unusual clarity. GDP growth has been real and substantial, driven by commodity prices, construction, and services concentrated in Abidjan. But commodity-driven growth without structural transformation is fundamentally fragile: when cocoa prices fell 30% in 2016–2017, GDP growth fell from 8.2% to 6.9% and government revenues contracted by 12% in a single year. The 400,000–500,000 young people entering the labour market annually find formal employment opportunities capable of absorbing fewer than 15% of them. The remaining 85% absorb into informality — not as a </w:t>
      </w:r>
      <w:r>
        <w:lastRenderedPageBreak/>
        <w:t>temporary condition but as a structural feature of an economy whose formal sector was never designed to include the majority of its citizens [3, 4].</w:t>
      </w:r>
    </w:p>
    <w:p w14:paraId="66963055" w14:textId="77777777" w:rsidR="00533849" w:rsidRDefault="00000000">
      <w:pPr>
        <w:spacing w:before="80" w:after="80"/>
        <w:jc w:val="both"/>
      </w:pPr>
      <w:r>
        <w:t>The cocoa that makes Côte d'Ivoire indispensable to global chocolate manufacturing earns the country approximately USD 3.5–4.5 billion annually in raw bean exports. The chocolate manufactured from that cocoa earns the global confectionery industry USD 130+ billion in retail revenue. This gap — between what Côte d'Ivoire earns and what the commodity it grows ultimately generates — is not a natural law. It is the consequence of deliberate economic architecture: an architecture designed during the colonial era to extract raw materials and repatriate value, and one that independent Côte d'Ivoire has not yet systematically restructured [5, 6].</w:t>
      </w:r>
    </w:p>
    <w:p w14:paraId="2AC9170E" w14:textId="77777777" w:rsidR="00533849" w:rsidRDefault="00000000">
      <w:pPr>
        <w:spacing w:before="80" w:after="80"/>
        <w:jc w:val="both"/>
      </w:pPr>
      <w:r>
        <w:t>This article proposes a nine-pillar integrated strategy to restructure that architecture over 20 years — doubling GDP from USD 87 billion to USD 170–175 billion by 2045 while fundamentally changing the composition, inclusivity, and resilience of that growth. The strategy builds directly on the eight-pillar framework documented in the source strategy report, adding a ninth pillar of equal weight and greater analytical depth: a Ubuntu Cooperative Banking and Financial Sector Architecture that provides the financial infrastructure without which every other pillar will underdeliver. Agricultural transformation without agricultural credit is subsistence farming with better inputs. Industrialization without domestic investment capital is perpetual dependence on volatile foreign direct investment. Education without the economic institutions that deploy educated graduates productively is the brain drain statistics confirm — an investment in other countries' productivity.</w:t>
      </w:r>
    </w:p>
    <w:p w14:paraId="7F863652" w14:textId="77777777" w:rsidR="00533849" w:rsidRDefault="00000000">
      <w:pPr>
        <w:spacing w:before="80" w:after="80"/>
        <w:jc w:val="both"/>
      </w:pPr>
      <w:r>
        <w:rPr>
          <w:rFonts w:eastAsia="Segoe UI"/>
          <w:color w:val="0F1115"/>
          <w:shd w:val="clear" w:color="auto" w:fill="FFFFFF"/>
        </w:rPr>
        <w:t>This article further introduces and develops a transformative tenth strategic dimension — the systematic development of Côte d'Ivoire's nutraceutical and pharmacofitology industry. Drawing on the biomedical and pharmaceutical sciences expertise of Dr. Yapo Guillaume Aboua, this dimension leverages the nation's extraordinary biodiversity — over 3,000 plant species, of which approximately 500 are used in traditional medicine — to create a high-value bio-economy sector that simultaneously advances public health, preserves indigenous pharmacological knowledge, generates substantial export revenue, and positions Côte d'Ivoire as West Africa's centre of excellence in evidence-based traditional medicine and nutritional pharmacology. This sector represents not merely an additional revenue stream but a civilizational transformation: the validation and monetization of African pharmacological knowledge that has sustained communities for millennia but has been systematically marginalized by colonial and post-colonial health architectures.</w:t>
      </w:r>
    </w:p>
    <w:p w14:paraId="5ADED781" w14:textId="77777777" w:rsidR="00533849" w:rsidRDefault="00000000">
      <w:pPr>
        <w:spacing w:before="80" w:after="80"/>
        <w:jc w:val="both"/>
        <w:rPr>
          <w:lang w:val="en-US"/>
        </w:rPr>
      </w:pPr>
      <w:r>
        <w:t>Four original contributions distinguish this article. First, it integrates the financial sector pillar — systematically absent from most GDP doubling analyses for African economies — as an equal and enabling dimension of the transformation strategy. Second, it applies the Neuroanthropological Economics (NAE) framework to explain why previous Ivorian reform cycles have underdelivered and to prescribe the institutional design conditions for success. Third, it synthesizes three decades of on-the-ground African banking practice (Dr. Gervais Atta) with academic development economics to produce recommendations grounded in both theory and operational reality. Fourth, it presents the Ubuntu cooperative banking model as a specific, architecturally detailed financial system — not a general aspiration — with three-tier structure, governance design, capital requirements, and technology integration.</w:t>
      </w:r>
      <w:r>
        <w:rPr>
          <w:lang w:val="en-US"/>
        </w:rPr>
        <w:t xml:space="preserve"> </w:t>
      </w:r>
      <w:r>
        <w:rPr>
          <w:rFonts w:ascii="Segoe UI" w:eastAsia="Segoe UI" w:hAnsi="Segoe UI" w:cs="Segoe UI"/>
          <w:color w:val="0F1115"/>
          <w:sz w:val="9"/>
          <w:szCs w:val="9"/>
          <w:shd w:val="clear" w:color="auto" w:fill="FFFFFF"/>
        </w:rPr>
        <w:t>.</w:t>
      </w:r>
      <w:r>
        <w:rPr>
          <w:rFonts w:eastAsia="Segoe UI"/>
          <w:color w:val="0F1115"/>
          <w:shd w:val="clear" w:color="auto" w:fill="FFFFFF"/>
        </w:rPr>
        <w:t> Fifth, it introduces the nutraceutical and pharmacofitology sector as a culturally grounded, scientifically validated, economically transformative dimension that addresses the structural contradiction between Côte d'Ivoire's extraordinary biodiversity and its minimal capture of the global bio-economy value.</w:t>
      </w:r>
    </w:p>
    <w:p w14:paraId="31FE6979" w14:textId="77777777" w:rsidR="00533849" w:rsidRDefault="00533849"/>
    <w:p w14:paraId="0821193B" w14:textId="77777777" w:rsidR="00533849" w:rsidRDefault="00000000">
      <w:pPr>
        <w:spacing w:before="280" w:after="80"/>
      </w:pPr>
      <w:r>
        <w:rPr>
          <w:b/>
          <w:bCs/>
        </w:rPr>
        <w:lastRenderedPageBreak/>
        <w:t>II. THE STRUCTURAL BASELINE: WHERE CÔTE D'IVOIRE STANDS AND WHERE IT MUST GO</w:t>
      </w:r>
    </w:p>
    <w:p w14:paraId="78D1B0D7" w14:textId="77777777" w:rsidR="00533849" w:rsidRDefault="00000000">
      <w:pPr>
        <w:spacing w:before="80" w:after="80"/>
        <w:jc w:val="both"/>
      </w:pPr>
      <w:r>
        <w:t>Understanding the transformation challenge requires a clear-eyed assessment of the baseline — not the headline GDP figures, but the structural indicators that determine whether growth translates into prosperity. Table 1 presents the baseline and targets across the three implementation phases.</w:t>
      </w:r>
    </w:p>
    <w:p w14:paraId="1F7A2217" w14:textId="77777777" w:rsidR="00533849" w:rsidRDefault="00533849"/>
    <w:p w14:paraId="2B7A9B1B" w14:textId="77777777" w:rsidR="00533849" w:rsidRDefault="00000000">
      <w:pPr>
        <w:spacing w:before="180" w:after="60"/>
      </w:pPr>
      <w:r>
        <w:rPr>
          <w:b/>
          <w:bCs/>
          <w:sz w:val="20"/>
          <w:szCs w:val="20"/>
        </w:rPr>
        <w:t>Table 1. Côte d'Ivoire 2045 — Baseline indicators and transformation targets across three implementation phases</w:t>
      </w:r>
    </w:p>
    <w:tbl>
      <w:tblPr>
        <w:tblW w:w="9026" w:type="dxa"/>
        <w:tblBorders>
          <w:top w:val="single" w:sz="18" w:space="0" w:color="1F3864"/>
          <w:left w:val="single" w:sz="18" w:space="0" w:color="1F3864"/>
          <w:bottom w:val="single" w:sz="18" w:space="0" w:color="1F3864"/>
          <w:right w:val="single" w:sz="18" w:space="0" w:color="1F3864"/>
          <w:insideH w:val="single" w:sz="4" w:space="0" w:color="9DB6CE"/>
          <w:insideV w:val="single" w:sz="4" w:space="0" w:color="9DB6CE"/>
        </w:tblBorders>
        <w:tblCellMar>
          <w:left w:w="10" w:type="dxa"/>
          <w:right w:w="10" w:type="dxa"/>
        </w:tblCellMar>
        <w:tblLook w:val="04A0" w:firstRow="1" w:lastRow="0" w:firstColumn="1" w:lastColumn="0" w:noHBand="0" w:noVBand="1"/>
      </w:tblPr>
      <w:tblGrid>
        <w:gridCol w:w="3149"/>
        <w:gridCol w:w="1799"/>
        <w:gridCol w:w="2024"/>
        <w:gridCol w:w="2054"/>
      </w:tblGrid>
      <w:tr w:rsidR="00533849" w14:paraId="7CD1DB36" w14:textId="77777777">
        <w:tc>
          <w:tcPr>
            <w:tcW w:w="2800" w:type="dxa"/>
            <w:shd w:val="clear" w:color="auto" w:fill="D9D9D9"/>
            <w:tcMar>
              <w:top w:w="60" w:type="dxa"/>
              <w:left w:w="80" w:type="dxa"/>
              <w:bottom w:w="60" w:type="dxa"/>
              <w:right w:w="80" w:type="dxa"/>
            </w:tcMar>
          </w:tcPr>
          <w:p w14:paraId="199D30FB" w14:textId="77777777" w:rsidR="00533849" w:rsidRDefault="00000000">
            <w:r>
              <w:rPr>
                <w:b/>
                <w:bCs/>
                <w:sz w:val="20"/>
                <w:szCs w:val="20"/>
              </w:rPr>
              <w:t>Indicator</w:t>
            </w:r>
          </w:p>
        </w:tc>
        <w:tc>
          <w:tcPr>
            <w:tcW w:w="1600" w:type="dxa"/>
            <w:shd w:val="clear" w:color="auto" w:fill="D9D9D9"/>
            <w:tcMar>
              <w:top w:w="60" w:type="dxa"/>
              <w:left w:w="80" w:type="dxa"/>
              <w:bottom w:w="60" w:type="dxa"/>
              <w:right w:w="80" w:type="dxa"/>
            </w:tcMar>
          </w:tcPr>
          <w:p w14:paraId="3E6CBC50" w14:textId="77777777" w:rsidR="00533849" w:rsidRDefault="00000000">
            <w:pPr>
              <w:jc w:val="center"/>
            </w:pPr>
            <w:r>
              <w:rPr>
                <w:b/>
                <w:bCs/>
                <w:sz w:val="20"/>
                <w:szCs w:val="20"/>
              </w:rPr>
              <w:t>2024 Baseline</w:t>
            </w:r>
          </w:p>
        </w:tc>
        <w:tc>
          <w:tcPr>
            <w:tcW w:w="1800" w:type="dxa"/>
            <w:shd w:val="clear" w:color="auto" w:fill="D9D9D9"/>
            <w:tcMar>
              <w:top w:w="60" w:type="dxa"/>
              <w:left w:w="80" w:type="dxa"/>
              <w:bottom w:w="60" w:type="dxa"/>
              <w:right w:w="80" w:type="dxa"/>
            </w:tcMar>
          </w:tcPr>
          <w:p w14:paraId="6C812C91" w14:textId="77777777" w:rsidR="00533849" w:rsidRDefault="00000000">
            <w:pPr>
              <w:jc w:val="center"/>
            </w:pPr>
            <w:r>
              <w:rPr>
                <w:b/>
                <w:bCs/>
                <w:sz w:val="20"/>
                <w:szCs w:val="20"/>
              </w:rPr>
              <w:t>2035 Midpoint</w:t>
            </w:r>
          </w:p>
        </w:tc>
        <w:tc>
          <w:tcPr>
            <w:tcW w:w="1826" w:type="dxa"/>
            <w:shd w:val="clear" w:color="auto" w:fill="D9D9D9"/>
            <w:tcMar>
              <w:top w:w="60" w:type="dxa"/>
              <w:left w:w="80" w:type="dxa"/>
              <w:bottom w:w="60" w:type="dxa"/>
              <w:right w:w="80" w:type="dxa"/>
            </w:tcMar>
          </w:tcPr>
          <w:p w14:paraId="329798E8" w14:textId="77777777" w:rsidR="00533849" w:rsidRDefault="00000000">
            <w:pPr>
              <w:jc w:val="center"/>
            </w:pPr>
            <w:r>
              <w:rPr>
                <w:b/>
                <w:bCs/>
                <w:sz w:val="20"/>
                <w:szCs w:val="20"/>
              </w:rPr>
              <w:t>2045 Target</w:t>
            </w:r>
          </w:p>
        </w:tc>
      </w:tr>
      <w:tr w:rsidR="00533849" w14:paraId="2EB259C0" w14:textId="77777777">
        <w:tc>
          <w:tcPr>
            <w:tcW w:w="2800" w:type="dxa"/>
            <w:tcMar>
              <w:top w:w="60" w:type="dxa"/>
              <w:left w:w="80" w:type="dxa"/>
              <w:bottom w:w="60" w:type="dxa"/>
              <w:right w:w="80" w:type="dxa"/>
            </w:tcMar>
          </w:tcPr>
          <w:p w14:paraId="19D3AC24" w14:textId="77777777" w:rsidR="00533849" w:rsidRDefault="00000000">
            <w:r>
              <w:rPr>
                <w:sz w:val="20"/>
                <w:szCs w:val="20"/>
              </w:rPr>
              <w:t>GDP (current USD)</w:t>
            </w:r>
          </w:p>
        </w:tc>
        <w:tc>
          <w:tcPr>
            <w:tcW w:w="1600" w:type="dxa"/>
            <w:tcMar>
              <w:top w:w="60" w:type="dxa"/>
              <w:left w:w="80" w:type="dxa"/>
              <w:bottom w:w="60" w:type="dxa"/>
              <w:right w:w="80" w:type="dxa"/>
            </w:tcMar>
          </w:tcPr>
          <w:p w14:paraId="687FAEED" w14:textId="77777777" w:rsidR="00533849" w:rsidRDefault="00000000">
            <w:pPr>
              <w:jc w:val="center"/>
            </w:pPr>
            <w:r>
              <w:rPr>
                <w:sz w:val="20"/>
                <w:szCs w:val="20"/>
              </w:rPr>
              <w:t>~USD 87 billion</w:t>
            </w:r>
          </w:p>
        </w:tc>
        <w:tc>
          <w:tcPr>
            <w:tcW w:w="1800" w:type="dxa"/>
            <w:tcMar>
              <w:top w:w="60" w:type="dxa"/>
              <w:left w:w="80" w:type="dxa"/>
              <w:bottom w:w="60" w:type="dxa"/>
              <w:right w:w="80" w:type="dxa"/>
            </w:tcMar>
          </w:tcPr>
          <w:p w14:paraId="0566AFBD" w14:textId="77777777" w:rsidR="00533849" w:rsidRDefault="00000000">
            <w:pPr>
              <w:jc w:val="center"/>
            </w:pPr>
            <w:r>
              <w:rPr>
                <w:sz w:val="20"/>
                <w:szCs w:val="20"/>
              </w:rPr>
              <w:t>USD 120–130 billion</w:t>
            </w:r>
          </w:p>
        </w:tc>
        <w:tc>
          <w:tcPr>
            <w:tcW w:w="1826" w:type="dxa"/>
            <w:tcMar>
              <w:top w:w="60" w:type="dxa"/>
              <w:left w:w="80" w:type="dxa"/>
              <w:bottom w:w="60" w:type="dxa"/>
              <w:right w:w="80" w:type="dxa"/>
            </w:tcMar>
          </w:tcPr>
          <w:p w14:paraId="4F709FE1" w14:textId="77777777" w:rsidR="00533849" w:rsidRDefault="00000000">
            <w:pPr>
              <w:jc w:val="center"/>
            </w:pPr>
            <w:r>
              <w:rPr>
                <w:sz w:val="20"/>
                <w:szCs w:val="20"/>
              </w:rPr>
              <w:t>USD 170–175 billion</w:t>
            </w:r>
          </w:p>
        </w:tc>
      </w:tr>
      <w:tr w:rsidR="00533849" w14:paraId="22B8FA91" w14:textId="77777777">
        <w:tc>
          <w:tcPr>
            <w:tcW w:w="2800" w:type="dxa"/>
            <w:tcMar>
              <w:top w:w="60" w:type="dxa"/>
              <w:left w:w="80" w:type="dxa"/>
              <w:bottom w:w="60" w:type="dxa"/>
              <w:right w:w="80" w:type="dxa"/>
            </w:tcMar>
          </w:tcPr>
          <w:p w14:paraId="0B29DA84" w14:textId="77777777" w:rsidR="00533849" w:rsidRDefault="00000000">
            <w:r>
              <w:rPr>
                <w:sz w:val="20"/>
                <w:szCs w:val="20"/>
              </w:rPr>
              <w:t>GDP per capita</w:t>
            </w:r>
          </w:p>
        </w:tc>
        <w:tc>
          <w:tcPr>
            <w:tcW w:w="1600" w:type="dxa"/>
            <w:tcMar>
              <w:top w:w="60" w:type="dxa"/>
              <w:left w:w="80" w:type="dxa"/>
              <w:bottom w:w="60" w:type="dxa"/>
              <w:right w:w="80" w:type="dxa"/>
            </w:tcMar>
          </w:tcPr>
          <w:p w14:paraId="5FB0C388" w14:textId="77777777" w:rsidR="00533849" w:rsidRDefault="00000000">
            <w:pPr>
              <w:jc w:val="center"/>
            </w:pPr>
            <w:r>
              <w:rPr>
                <w:sz w:val="20"/>
                <w:szCs w:val="20"/>
              </w:rPr>
              <w:t>~USD 2,700</w:t>
            </w:r>
          </w:p>
        </w:tc>
        <w:tc>
          <w:tcPr>
            <w:tcW w:w="1800" w:type="dxa"/>
            <w:tcMar>
              <w:top w:w="60" w:type="dxa"/>
              <w:left w:w="80" w:type="dxa"/>
              <w:bottom w:w="60" w:type="dxa"/>
              <w:right w:w="80" w:type="dxa"/>
            </w:tcMar>
          </w:tcPr>
          <w:p w14:paraId="1B4A207C" w14:textId="77777777" w:rsidR="00533849" w:rsidRDefault="00000000">
            <w:pPr>
              <w:jc w:val="center"/>
            </w:pPr>
            <w:r>
              <w:rPr>
                <w:sz w:val="20"/>
                <w:szCs w:val="20"/>
              </w:rPr>
              <w:t>~USD 4,000</w:t>
            </w:r>
          </w:p>
        </w:tc>
        <w:tc>
          <w:tcPr>
            <w:tcW w:w="1826" w:type="dxa"/>
            <w:tcMar>
              <w:top w:w="60" w:type="dxa"/>
              <w:left w:w="80" w:type="dxa"/>
              <w:bottom w:w="60" w:type="dxa"/>
              <w:right w:w="80" w:type="dxa"/>
            </w:tcMar>
          </w:tcPr>
          <w:p w14:paraId="05CCF3FE" w14:textId="77777777" w:rsidR="00533849" w:rsidRDefault="00000000">
            <w:pPr>
              <w:jc w:val="center"/>
            </w:pPr>
            <w:r>
              <w:rPr>
                <w:sz w:val="20"/>
                <w:szCs w:val="20"/>
              </w:rPr>
              <w:t>USD 5,500+</w:t>
            </w:r>
          </w:p>
        </w:tc>
      </w:tr>
      <w:tr w:rsidR="00533849" w14:paraId="5EC774F6" w14:textId="77777777">
        <w:tc>
          <w:tcPr>
            <w:tcW w:w="2800" w:type="dxa"/>
            <w:tcMar>
              <w:top w:w="60" w:type="dxa"/>
              <w:left w:w="80" w:type="dxa"/>
              <w:bottom w:w="60" w:type="dxa"/>
              <w:right w:w="80" w:type="dxa"/>
            </w:tcMar>
          </w:tcPr>
          <w:p w14:paraId="2D71555C" w14:textId="77777777" w:rsidR="00533849" w:rsidRDefault="00000000">
            <w:r>
              <w:rPr>
                <w:sz w:val="20"/>
                <w:szCs w:val="20"/>
              </w:rPr>
              <w:t>Manufacturing share of GDP</w:t>
            </w:r>
          </w:p>
        </w:tc>
        <w:tc>
          <w:tcPr>
            <w:tcW w:w="1600" w:type="dxa"/>
            <w:tcMar>
              <w:top w:w="60" w:type="dxa"/>
              <w:left w:w="80" w:type="dxa"/>
              <w:bottom w:w="60" w:type="dxa"/>
              <w:right w:w="80" w:type="dxa"/>
            </w:tcMar>
          </w:tcPr>
          <w:p w14:paraId="6FE4653D" w14:textId="77777777" w:rsidR="00533849" w:rsidRDefault="00000000">
            <w:pPr>
              <w:jc w:val="center"/>
            </w:pPr>
            <w:r>
              <w:rPr>
                <w:sz w:val="20"/>
                <w:szCs w:val="20"/>
              </w:rPr>
              <w:t>~17%</w:t>
            </w:r>
          </w:p>
        </w:tc>
        <w:tc>
          <w:tcPr>
            <w:tcW w:w="1800" w:type="dxa"/>
            <w:tcMar>
              <w:top w:w="60" w:type="dxa"/>
              <w:left w:w="80" w:type="dxa"/>
              <w:bottom w:w="60" w:type="dxa"/>
              <w:right w:w="80" w:type="dxa"/>
            </w:tcMar>
          </w:tcPr>
          <w:p w14:paraId="280CC58E" w14:textId="77777777" w:rsidR="00533849" w:rsidRDefault="00000000">
            <w:pPr>
              <w:jc w:val="center"/>
            </w:pPr>
            <w:r>
              <w:rPr>
                <w:sz w:val="20"/>
                <w:szCs w:val="20"/>
              </w:rPr>
              <w:t>25%</w:t>
            </w:r>
          </w:p>
        </w:tc>
        <w:tc>
          <w:tcPr>
            <w:tcW w:w="1826" w:type="dxa"/>
            <w:tcMar>
              <w:top w:w="60" w:type="dxa"/>
              <w:left w:w="80" w:type="dxa"/>
              <w:bottom w:w="60" w:type="dxa"/>
              <w:right w:w="80" w:type="dxa"/>
            </w:tcMar>
          </w:tcPr>
          <w:p w14:paraId="0D039DC0" w14:textId="77777777" w:rsidR="00533849" w:rsidRDefault="00000000">
            <w:pPr>
              <w:jc w:val="center"/>
            </w:pPr>
            <w:r>
              <w:rPr>
                <w:sz w:val="20"/>
                <w:szCs w:val="20"/>
              </w:rPr>
              <w:t>35%</w:t>
            </w:r>
          </w:p>
        </w:tc>
      </w:tr>
      <w:tr w:rsidR="00533849" w14:paraId="4E69DA42" w14:textId="77777777">
        <w:tc>
          <w:tcPr>
            <w:tcW w:w="2800" w:type="dxa"/>
            <w:tcMar>
              <w:top w:w="60" w:type="dxa"/>
              <w:left w:w="80" w:type="dxa"/>
              <w:bottom w:w="60" w:type="dxa"/>
              <w:right w:w="80" w:type="dxa"/>
            </w:tcMar>
          </w:tcPr>
          <w:p w14:paraId="24DEF3A3" w14:textId="77777777" w:rsidR="00533849" w:rsidRDefault="00000000">
            <w:r>
              <w:rPr>
                <w:sz w:val="20"/>
                <w:szCs w:val="20"/>
              </w:rPr>
              <w:t>Agricultural value-added / GDP</w:t>
            </w:r>
          </w:p>
        </w:tc>
        <w:tc>
          <w:tcPr>
            <w:tcW w:w="1600" w:type="dxa"/>
            <w:tcMar>
              <w:top w:w="60" w:type="dxa"/>
              <w:left w:w="80" w:type="dxa"/>
              <w:bottom w:w="60" w:type="dxa"/>
              <w:right w:w="80" w:type="dxa"/>
            </w:tcMar>
          </w:tcPr>
          <w:p w14:paraId="183567C5" w14:textId="77777777" w:rsidR="00533849" w:rsidRDefault="00000000">
            <w:pPr>
              <w:jc w:val="center"/>
            </w:pPr>
            <w:r>
              <w:rPr>
                <w:sz w:val="20"/>
                <w:szCs w:val="20"/>
              </w:rPr>
              <w:t>~22% (raw commodity)</w:t>
            </w:r>
          </w:p>
        </w:tc>
        <w:tc>
          <w:tcPr>
            <w:tcW w:w="1800" w:type="dxa"/>
            <w:tcMar>
              <w:top w:w="60" w:type="dxa"/>
              <w:left w:w="80" w:type="dxa"/>
              <w:bottom w:w="60" w:type="dxa"/>
              <w:right w:w="80" w:type="dxa"/>
            </w:tcMar>
          </w:tcPr>
          <w:p w14:paraId="53DAA2D8" w14:textId="77777777" w:rsidR="00533849" w:rsidRDefault="00000000">
            <w:pPr>
              <w:jc w:val="center"/>
            </w:pPr>
            <w:r>
              <w:rPr>
                <w:sz w:val="20"/>
                <w:szCs w:val="20"/>
              </w:rPr>
              <w:t>18% (partly processed)</w:t>
            </w:r>
          </w:p>
        </w:tc>
        <w:tc>
          <w:tcPr>
            <w:tcW w:w="1826" w:type="dxa"/>
            <w:tcMar>
              <w:top w:w="60" w:type="dxa"/>
              <w:left w:w="80" w:type="dxa"/>
              <w:bottom w:w="60" w:type="dxa"/>
              <w:right w:w="80" w:type="dxa"/>
            </w:tcMar>
          </w:tcPr>
          <w:p w14:paraId="05A60DBE" w14:textId="77777777" w:rsidR="00533849" w:rsidRDefault="00000000">
            <w:pPr>
              <w:jc w:val="center"/>
            </w:pPr>
            <w:r>
              <w:rPr>
                <w:sz w:val="20"/>
                <w:szCs w:val="20"/>
              </w:rPr>
              <w:t>12% (high-value processed)</w:t>
            </w:r>
          </w:p>
        </w:tc>
      </w:tr>
      <w:tr w:rsidR="00533849" w14:paraId="4B04388A" w14:textId="77777777">
        <w:tc>
          <w:tcPr>
            <w:tcW w:w="2800" w:type="dxa"/>
            <w:tcMar>
              <w:top w:w="60" w:type="dxa"/>
              <w:left w:w="80" w:type="dxa"/>
              <w:bottom w:w="60" w:type="dxa"/>
              <w:right w:w="80" w:type="dxa"/>
            </w:tcMar>
          </w:tcPr>
          <w:p w14:paraId="4DE70492" w14:textId="77777777" w:rsidR="00533849" w:rsidRDefault="00000000">
            <w:r>
              <w:rPr>
                <w:sz w:val="20"/>
                <w:szCs w:val="20"/>
              </w:rPr>
              <w:t>Tax revenue / GDP ratio</w:t>
            </w:r>
          </w:p>
        </w:tc>
        <w:tc>
          <w:tcPr>
            <w:tcW w:w="1600" w:type="dxa"/>
            <w:tcMar>
              <w:top w:w="60" w:type="dxa"/>
              <w:left w:w="80" w:type="dxa"/>
              <w:bottom w:w="60" w:type="dxa"/>
              <w:right w:w="80" w:type="dxa"/>
            </w:tcMar>
          </w:tcPr>
          <w:p w14:paraId="32A732C7" w14:textId="77777777" w:rsidR="00533849" w:rsidRDefault="00000000">
            <w:pPr>
              <w:jc w:val="center"/>
            </w:pPr>
            <w:r>
              <w:rPr>
                <w:sz w:val="20"/>
                <w:szCs w:val="20"/>
              </w:rPr>
              <w:t>~14%</w:t>
            </w:r>
          </w:p>
        </w:tc>
        <w:tc>
          <w:tcPr>
            <w:tcW w:w="1800" w:type="dxa"/>
            <w:tcMar>
              <w:top w:w="60" w:type="dxa"/>
              <w:left w:w="80" w:type="dxa"/>
              <w:bottom w:w="60" w:type="dxa"/>
              <w:right w:w="80" w:type="dxa"/>
            </w:tcMar>
          </w:tcPr>
          <w:p w14:paraId="5353B8AF" w14:textId="77777777" w:rsidR="00533849" w:rsidRDefault="00000000">
            <w:pPr>
              <w:jc w:val="center"/>
            </w:pPr>
            <w:r>
              <w:rPr>
                <w:sz w:val="20"/>
                <w:szCs w:val="20"/>
              </w:rPr>
              <w:t>19%</w:t>
            </w:r>
          </w:p>
        </w:tc>
        <w:tc>
          <w:tcPr>
            <w:tcW w:w="1826" w:type="dxa"/>
            <w:tcMar>
              <w:top w:w="60" w:type="dxa"/>
              <w:left w:w="80" w:type="dxa"/>
              <w:bottom w:w="60" w:type="dxa"/>
              <w:right w:w="80" w:type="dxa"/>
            </w:tcMar>
          </w:tcPr>
          <w:p w14:paraId="4DE0FAD9" w14:textId="77777777" w:rsidR="00533849" w:rsidRDefault="00000000">
            <w:pPr>
              <w:jc w:val="center"/>
            </w:pPr>
            <w:r>
              <w:rPr>
                <w:sz w:val="20"/>
                <w:szCs w:val="20"/>
              </w:rPr>
              <w:t>24%</w:t>
            </w:r>
          </w:p>
        </w:tc>
      </w:tr>
      <w:tr w:rsidR="00533849" w14:paraId="33619933" w14:textId="77777777">
        <w:tc>
          <w:tcPr>
            <w:tcW w:w="2800" w:type="dxa"/>
            <w:tcMar>
              <w:top w:w="60" w:type="dxa"/>
              <w:left w:w="80" w:type="dxa"/>
              <w:bottom w:w="60" w:type="dxa"/>
              <w:right w:w="80" w:type="dxa"/>
            </w:tcMar>
          </w:tcPr>
          <w:p w14:paraId="7BF9DA93" w14:textId="77777777" w:rsidR="00533849" w:rsidRDefault="00000000">
            <w:r>
              <w:rPr>
                <w:sz w:val="20"/>
                <w:szCs w:val="20"/>
              </w:rPr>
              <w:t>Formal financial inclusion (adults)</w:t>
            </w:r>
          </w:p>
        </w:tc>
        <w:tc>
          <w:tcPr>
            <w:tcW w:w="1600" w:type="dxa"/>
            <w:tcMar>
              <w:top w:w="60" w:type="dxa"/>
              <w:left w:w="80" w:type="dxa"/>
              <w:bottom w:w="60" w:type="dxa"/>
              <w:right w:w="80" w:type="dxa"/>
            </w:tcMar>
          </w:tcPr>
          <w:p w14:paraId="3B432E71" w14:textId="77777777" w:rsidR="00533849" w:rsidRDefault="00000000">
            <w:pPr>
              <w:jc w:val="center"/>
            </w:pPr>
            <w:r>
              <w:rPr>
                <w:sz w:val="20"/>
                <w:szCs w:val="20"/>
              </w:rPr>
              <w:t>~45%</w:t>
            </w:r>
          </w:p>
        </w:tc>
        <w:tc>
          <w:tcPr>
            <w:tcW w:w="1800" w:type="dxa"/>
            <w:tcMar>
              <w:top w:w="60" w:type="dxa"/>
              <w:left w:w="80" w:type="dxa"/>
              <w:bottom w:w="60" w:type="dxa"/>
              <w:right w:w="80" w:type="dxa"/>
            </w:tcMar>
          </w:tcPr>
          <w:p w14:paraId="1B597467" w14:textId="77777777" w:rsidR="00533849" w:rsidRDefault="00000000">
            <w:pPr>
              <w:jc w:val="center"/>
            </w:pPr>
            <w:r>
              <w:rPr>
                <w:sz w:val="20"/>
                <w:szCs w:val="20"/>
              </w:rPr>
              <w:t>70%</w:t>
            </w:r>
          </w:p>
        </w:tc>
        <w:tc>
          <w:tcPr>
            <w:tcW w:w="1826" w:type="dxa"/>
            <w:tcMar>
              <w:top w:w="60" w:type="dxa"/>
              <w:left w:w="80" w:type="dxa"/>
              <w:bottom w:w="60" w:type="dxa"/>
              <w:right w:w="80" w:type="dxa"/>
            </w:tcMar>
          </w:tcPr>
          <w:p w14:paraId="51D3549B" w14:textId="77777777" w:rsidR="00533849" w:rsidRDefault="00000000">
            <w:pPr>
              <w:jc w:val="center"/>
            </w:pPr>
            <w:r>
              <w:rPr>
                <w:sz w:val="20"/>
                <w:szCs w:val="20"/>
              </w:rPr>
              <w:t>88%</w:t>
            </w:r>
          </w:p>
        </w:tc>
      </w:tr>
      <w:tr w:rsidR="00533849" w14:paraId="1FDD60F4" w14:textId="77777777">
        <w:tc>
          <w:tcPr>
            <w:tcW w:w="2800" w:type="dxa"/>
            <w:tcMar>
              <w:top w:w="60" w:type="dxa"/>
              <w:left w:w="80" w:type="dxa"/>
              <w:bottom w:w="60" w:type="dxa"/>
              <w:right w:w="80" w:type="dxa"/>
            </w:tcMar>
          </w:tcPr>
          <w:p w14:paraId="423EF9AB" w14:textId="77777777" w:rsidR="00533849" w:rsidRDefault="00000000">
            <w:r>
              <w:rPr>
                <w:sz w:val="20"/>
                <w:szCs w:val="20"/>
              </w:rPr>
              <w:t>Productive credit access (adults)</w:t>
            </w:r>
          </w:p>
        </w:tc>
        <w:tc>
          <w:tcPr>
            <w:tcW w:w="1600" w:type="dxa"/>
            <w:tcMar>
              <w:top w:w="60" w:type="dxa"/>
              <w:left w:w="80" w:type="dxa"/>
              <w:bottom w:w="60" w:type="dxa"/>
              <w:right w:w="80" w:type="dxa"/>
            </w:tcMar>
          </w:tcPr>
          <w:p w14:paraId="04FCDB2F" w14:textId="77777777" w:rsidR="00533849" w:rsidRDefault="00000000">
            <w:pPr>
              <w:jc w:val="center"/>
            </w:pPr>
            <w:r>
              <w:rPr>
                <w:sz w:val="20"/>
                <w:szCs w:val="20"/>
              </w:rPr>
              <w:t>~8%</w:t>
            </w:r>
          </w:p>
        </w:tc>
        <w:tc>
          <w:tcPr>
            <w:tcW w:w="1800" w:type="dxa"/>
            <w:tcMar>
              <w:top w:w="60" w:type="dxa"/>
              <w:left w:w="80" w:type="dxa"/>
              <w:bottom w:w="60" w:type="dxa"/>
              <w:right w:w="80" w:type="dxa"/>
            </w:tcMar>
          </w:tcPr>
          <w:p w14:paraId="7371472E" w14:textId="77777777" w:rsidR="00533849" w:rsidRDefault="00000000">
            <w:pPr>
              <w:jc w:val="center"/>
            </w:pPr>
            <w:r>
              <w:rPr>
                <w:sz w:val="20"/>
                <w:szCs w:val="20"/>
              </w:rPr>
              <w:t>22%</w:t>
            </w:r>
          </w:p>
        </w:tc>
        <w:tc>
          <w:tcPr>
            <w:tcW w:w="1826" w:type="dxa"/>
            <w:tcMar>
              <w:top w:w="60" w:type="dxa"/>
              <w:left w:w="80" w:type="dxa"/>
              <w:bottom w:w="60" w:type="dxa"/>
              <w:right w:w="80" w:type="dxa"/>
            </w:tcMar>
          </w:tcPr>
          <w:p w14:paraId="5BC496E3" w14:textId="77777777" w:rsidR="00533849" w:rsidRDefault="00000000">
            <w:pPr>
              <w:jc w:val="center"/>
            </w:pPr>
            <w:r>
              <w:rPr>
                <w:sz w:val="20"/>
                <w:szCs w:val="20"/>
              </w:rPr>
              <w:t>40%</w:t>
            </w:r>
          </w:p>
        </w:tc>
      </w:tr>
      <w:tr w:rsidR="00533849" w14:paraId="00DBE57E" w14:textId="77777777">
        <w:tc>
          <w:tcPr>
            <w:tcW w:w="2800" w:type="dxa"/>
            <w:tcMar>
              <w:top w:w="60" w:type="dxa"/>
              <w:left w:w="80" w:type="dxa"/>
              <w:bottom w:w="60" w:type="dxa"/>
              <w:right w:w="80" w:type="dxa"/>
            </w:tcMar>
          </w:tcPr>
          <w:p w14:paraId="0ADD25FE" w14:textId="77777777" w:rsidR="00533849" w:rsidRDefault="00000000">
            <w:r>
              <w:rPr>
                <w:sz w:val="20"/>
                <w:szCs w:val="20"/>
              </w:rPr>
              <w:t>Cooperative banking members</w:t>
            </w:r>
          </w:p>
        </w:tc>
        <w:tc>
          <w:tcPr>
            <w:tcW w:w="1600" w:type="dxa"/>
            <w:tcMar>
              <w:top w:w="60" w:type="dxa"/>
              <w:left w:w="80" w:type="dxa"/>
              <w:bottom w:w="60" w:type="dxa"/>
              <w:right w:w="80" w:type="dxa"/>
            </w:tcMar>
          </w:tcPr>
          <w:p w14:paraId="61074156" w14:textId="77777777" w:rsidR="00533849" w:rsidRDefault="00000000">
            <w:pPr>
              <w:jc w:val="center"/>
            </w:pPr>
            <w:r>
              <w:rPr>
                <w:sz w:val="20"/>
                <w:szCs w:val="20"/>
              </w:rPr>
              <w:t>&lt;500,000</w:t>
            </w:r>
          </w:p>
        </w:tc>
        <w:tc>
          <w:tcPr>
            <w:tcW w:w="1800" w:type="dxa"/>
            <w:tcMar>
              <w:top w:w="60" w:type="dxa"/>
              <w:left w:w="80" w:type="dxa"/>
              <w:bottom w:w="60" w:type="dxa"/>
              <w:right w:w="80" w:type="dxa"/>
            </w:tcMar>
          </w:tcPr>
          <w:p w14:paraId="6E6265B1" w14:textId="77777777" w:rsidR="00533849" w:rsidRDefault="00000000">
            <w:pPr>
              <w:jc w:val="center"/>
            </w:pPr>
            <w:r>
              <w:rPr>
                <w:sz w:val="20"/>
                <w:szCs w:val="20"/>
              </w:rPr>
              <w:t>5–8 million</w:t>
            </w:r>
          </w:p>
        </w:tc>
        <w:tc>
          <w:tcPr>
            <w:tcW w:w="1826" w:type="dxa"/>
            <w:tcMar>
              <w:top w:w="60" w:type="dxa"/>
              <w:left w:w="80" w:type="dxa"/>
              <w:bottom w:w="60" w:type="dxa"/>
              <w:right w:w="80" w:type="dxa"/>
            </w:tcMar>
          </w:tcPr>
          <w:p w14:paraId="4FE43541" w14:textId="77777777" w:rsidR="00533849" w:rsidRDefault="00000000">
            <w:pPr>
              <w:jc w:val="center"/>
            </w:pPr>
            <w:r>
              <w:rPr>
                <w:sz w:val="20"/>
                <w:szCs w:val="20"/>
              </w:rPr>
              <w:t>12–18 million</w:t>
            </w:r>
          </w:p>
        </w:tc>
      </w:tr>
      <w:tr w:rsidR="00533849" w14:paraId="036A8056" w14:textId="77777777">
        <w:tc>
          <w:tcPr>
            <w:tcW w:w="2800" w:type="dxa"/>
            <w:tcMar>
              <w:top w:w="60" w:type="dxa"/>
              <w:left w:w="80" w:type="dxa"/>
              <w:bottom w:w="60" w:type="dxa"/>
              <w:right w:w="80" w:type="dxa"/>
            </w:tcMar>
          </w:tcPr>
          <w:p w14:paraId="0EFFD550" w14:textId="77777777" w:rsidR="00533849" w:rsidRDefault="00000000">
            <w:r>
              <w:rPr>
                <w:sz w:val="20"/>
                <w:szCs w:val="20"/>
              </w:rPr>
              <w:t>Insurance penetration (% GDP)</w:t>
            </w:r>
          </w:p>
        </w:tc>
        <w:tc>
          <w:tcPr>
            <w:tcW w:w="1600" w:type="dxa"/>
            <w:tcMar>
              <w:top w:w="60" w:type="dxa"/>
              <w:left w:w="80" w:type="dxa"/>
              <w:bottom w:w="60" w:type="dxa"/>
              <w:right w:w="80" w:type="dxa"/>
            </w:tcMar>
          </w:tcPr>
          <w:p w14:paraId="07A71CEF" w14:textId="77777777" w:rsidR="00533849" w:rsidRDefault="00000000">
            <w:pPr>
              <w:jc w:val="center"/>
            </w:pPr>
            <w:r>
              <w:rPr>
                <w:sz w:val="20"/>
                <w:szCs w:val="20"/>
              </w:rPr>
              <w:t>~2.1%</w:t>
            </w:r>
          </w:p>
        </w:tc>
        <w:tc>
          <w:tcPr>
            <w:tcW w:w="1800" w:type="dxa"/>
            <w:tcMar>
              <w:top w:w="60" w:type="dxa"/>
              <w:left w:w="80" w:type="dxa"/>
              <w:bottom w:w="60" w:type="dxa"/>
              <w:right w:w="80" w:type="dxa"/>
            </w:tcMar>
          </w:tcPr>
          <w:p w14:paraId="310DA4A6" w14:textId="77777777" w:rsidR="00533849" w:rsidRDefault="00000000">
            <w:pPr>
              <w:jc w:val="center"/>
            </w:pPr>
            <w:r>
              <w:rPr>
                <w:sz w:val="20"/>
                <w:szCs w:val="20"/>
              </w:rPr>
              <w:t>4.5%</w:t>
            </w:r>
          </w:p>
        </w:tc>
        <w:tc>
          <w:tcPr>
            <w:tcW w:w="1826" w:type="dxa"/>
            <w:tcMar>
              <w:top w:w="60" w:type="dxa"/>
              <w:left w:w="80" w:type="dxa"/>
              <w:bottom w:w="60" w:type="dxa"/>
              <w:right w:w="80" w:type="dxa"/>
            </w:tcMar>
          </w:tcPr>
          <w:p w14:paraId="73724FC0" w14:textId="77777777" w:rsidR="00533849" w:rsidRDefault="00000000">
            <w:pPr>
              <w:jc w:val="center"/>
            </w:pPr>
            <w:r>
              <w:rPr>
                <w:sz w:val="20"/>
                <w:szCs w:val="20"/>
              </w:rPr>
              <w:t>7%</w:t>
            </w:r>
          </w:p>
        </w:tc>
      </w:tr>
      <w:tr w:rsidR="00533849" w14:paraId="404248DD" w14:textId="77777777">
        <w:tc>
          <w:tcPr>
            <w:tcW w:w="2800" w:type="dxa"/>
            <w:tcMar>
              <w:top w:w="60" w:type="dxa"/>
              <w:left w:w="80" w:type="dxa"/>
              <w:bottom w:w="60" w:type="dxa"/>
              <w:right w:w="80" w:type="dxa"/>
            </w:tcMar>
          </w:tcPr>
          <w:p w14:paraId="27CA1D9D" w14:textId="77777777" w:rsidR="00533849" w:rsidRDefault="00000000">
            <w:r>
              <w:rPr>
                <w:sz w:val="20"/>
                <w:szCs w:val="20"/>
              </w:rPr>
              <w:t>Youth unemployment (18–35, north)</w:t>
            </w:r>
          </w:p>
        </w:tc>
        <w:tc>
          <w:tcPr>
            <w:tcW w:w="1600" w:type="dxa"/>
            <w:tcMar>
              <w:top w:w="60" w:type="dxa"/>
              <w:left w:w="80" w:type="dxa"/>
              <w:bottom w:w="60" w:type="dxa"/>
              <w:right w:w="80" w:type="dxa"/>
            </w:tcMar>
          </w:tcPr>
          <w:p w14:paraId="0FDED69F" w14:textId="77777777" w:rsidR="00533849" w:rsidRDefault="00000000">
            <w:pPr>
              <w:jc w:val="center"/>
            </w:pPr>
            <w:r>
              <w:rPr>
                <w:sz w:val="20"/>
                <w:szCs w:val="20"/>
              </w:rPr>
              <w:t>~55%</w:t>
            </w:r>
          </w:p>
        </w:tc>
        <w:tc>
          <w:tcPr>
            <w:tcW w:w="1800" w:type="dxa"/>
            <w:tcMar>
              <w:top w:w="60" w:type="dxa"/>
              <w:left w:w="80" w:type="dxa"/>
              <w:bottom w:w="60" w:type="dxa"/>
              <w:right w:w="80" w:type="dxa"/>
            </w:tcMar>
          </w:tcPr>
          <w:p w14:paraId="72DC4948" w14:textId="77777777" w:rsidR="00533849" w:rsidRDefault="00000000">
            <w:pPr>
              <w:jc w:val="center"/>
            </w:pPr>
            <w:r>
              <w:rPr>
                <w:sz w:val="20"/>
                <w:szCs w:val="20"/>
              </w:rPr>
              <w:t>35%</w:t>
            </w:r>
          </w:p>
        </w:tc>
        <w:tc>
          <w:tcPr>
            <w:tcW w:w="1826" w:type="dxa"/>
            <w:tcMar>
              <w:top w:w="60" w:type="dxa"/>
              <w:left w:w="80" w:type="dxa"/>
              <w:bottom w:w="60" w:type="dxa"/>
              <w:right w:w="80" w:type="dxa"/>
            </w:tcMar>
          </w:tcPr>
          <w:p w14:paraId="07F43FDA" w14:textId="77777777" w:rsidR="00533849" w:rsidRDefault="00000000">
            <w:pPr>
              <w:jc w:val="center"/>
            </w:pPr>
            <w:r>
              <w:rPr>
                <w:sz w:val="20"/>
                <w:szCs w:val="20"/>
              </w:rPr>
              <w:t>&lt;20%</w:t>
            </w:r>
          </w:p>
        </w:tc>
      </w:tr>
      <w:tr w:rsidR="00533849" w14:paraId="782E2841" w14:textId="77777777">
        <w:tc>
          <w:tcPr>
            <w:tcW w:w="2800" w:type="dxa"/>
            <w:tcMar>
              <w:top w:w="60" w:type="dxa"/>
              <w:left w:w="80" w:type="dxa"/>
              <w:bottom w:w="60" w:type="dxa"/>
              <w:right w:w="80" w:type="dxa"/>
            </w:tcMar>
          </w:tcPr>
          <w:p w14:paraId="49F228BE" w14:textId="77777777" w:rsidR="00533849" w:rsidRDefault="00000000">
            <w:r>
              <w:rPr>
                <w:sz w:val="20"/>
                <w:szCs w:val="20"/>
              </w:rPr>
              <w:t>Adult literacy rate</w:t>
            </w:r>
          </w:p>
        </w:tc>
        <w:tc>
          <w:tcPr>
            <w:tcW w:w="1600" w:type="dxa"/>
            <w:tcMar>
              <w:top w:w="60" w:type="dxa"/>
              <w:left w:w="80" w:type="dxa"/>
              <w:bottom w:w="60" w:type="dxa"/>
              <w:right w:w="80" w:type="dxa"/>
            </w:tcMar>
          </w:tcPr>
          <w:p w14:paraId="6A11CE6C" w14:textId="77777777" w:rsidR="00533849" w:rsidRDefault="00000000">
            <w:pPr>
              <w:jc w:val="center"/>
            </w:pPr>
            <w:r>
              <w:rPr>
                <w:sz w:val="20"/>
                <w:szCs w:val="20"/>
              </w:rPr>
              <w:t>~56%</w:t>
            </w:r>
          </w:p>
        </w:tc>
        <w:tc>
          <w:tcPr>
            <w:tcW w:w="1800" w:type="dxa"/>
            <w:tcMar>
              <w:top w:w="60" w:type="dxa"/>
              <w:left w:w="80" w:type="dxa"/>
              <w:bottom w:w="60" w:type="dxa"/>
              <w:right w:w="80" w:type="dxa"/>
            </w:tcMar>
          </w:tcPr>
          <w:p w14:paraId="4828F76D" w14:textId="77777777" w:rsidR="00533849" w:rsidRDefault="00000000">
            <w:pPr>
              <w:jc w:val="center"/>
            </w:pPr>
            <w:r>
              <w:rPr>
                <w:sz w:val="20"/>
                <w:szCs w:val="20"/>
              </w:rPr>
              <w:t>75%</w:t>
            </w:r>
          </w:p>
        </w:tc>
        <w:tc>
          <w:tcPr>
            <w:tcW w:w="1826" w:type="dxa"/>
            <w:tcMar>
              <w:top w:w="60" w:type="dxa"/>
              <w:left w:w="80" w:type="dxa"/>
              <w:bottom w:w="60" w:type="dxa"/>
              <w:right w:w="80" w:type="dxa"/>
            </w:tcMar>
          </w:tcPr>
          <w:p w14:paraId="66A8E38B" w14:textId="77777777" w:rsidR="00533849" w:rsidRDefault="00000000">
            <w:pPr>
              <w:jc w:val="center"/>
            </w:pPr>
            <w:r>
              <w:rPr>
                <w:sz w:val="20"/>
                <w:szCs w:val="20"/>
              </w:rPr>
              <w:t>90%+</w:t>
            </w:r>
          </w:p>
        </w:tc>
      </w:tr>
      <w:tr w:rsidR="00533849" w14:paraId="44D42F2D" w14:textId="77777777">
        <w:tc>
          <w:tcPr>
            <w:tcW w:w="2800" w:type="dxa"/>
            <w:tcMar>
              <w:top w:w="60" w:type="dxa"/>
              <w:left w:w="80" w:type="dxa"/>
              <w:bottom w:w="60" w:type="dxa"/>
              <w:right w:w="80" w:type="dxa"/>
            </w:tcMar>
          </w:tcPr>
          <w:p w14:paraId="1DCB40DF" w14:textId="77777777" w:rsidR="00533849" w:rsidRDefault="00000000">
            <w:r>
              <w:rPr>
                <w:sz w:val="20"/>
                <w:szCs w:val="20"/>
              </w:rPr>
              <w:t>Rural electrification rate</w:t>
            </w:r>
          </w:p>
        </w:tc>
        <w:tc>
          <w:tcPr>
            <w:tcW w:w="1600" w:type="dxa"/>
            <w:tcMar>
              <w:top w:w="60" w:type="dxa"/>
              <w:left w:w="80" w:type="dxa"/>
              <w:bottom w:w="60" w:type="dxa"/>
              <w:right w:w="80" w:type="dxa"/>
            </w:tcMar>
          </w:tcPr>
          <w:p w14:paraId="19847D36" w14:textId="77777777" w:rsidR="00533849" w:rsidRDefault="00000000">
            <w:pPr>
              <w:jc w:val="center"/>
            </w:pPr>
            <w:r>
              <w:rPr>
                <w:sz w:val="20"/>
                <w:szCs w:val="20"/>
              </w:rPr>
              <w:t>~45%</w:t>
            </w:r>
          </w:p>
        </w:tc>
        <w:tc>
          <w:tcPr>
            <w:tcW w:w="1800" w:type="dxa"/>
            <w:tcMar>
              <w:top w:w="60" w:type="dxa"/>
              <w:left w:w="80" w:type="dxa"/>
              <w:bottom w:w="60" w:type="dxa"/>
              <w:right w:w="80" w:type="dxa"/>
            </w:tcMar>
          </w:tcPr>
          <w:p w14:paraId="0AC43E10" w14:textId="77777777" w:rsidR="00533849" w:rsidRDefault="00000000">
            <w:pPr>
              <w:jc w:val="center"/>
            </w:pPr>
            <w:r>
              <w:rPr>
                <w:sz w:val="20"/>
                <w:szCs w:val="20"/>
              </w:rPr>
              <w:t>75%</w:t>
            </w:r>
          </w:p>
        </w:tc>
        <w:tc>
          <w:tcPr>
            <w:tcW w:w="1826" w:type="dxa"/>
            <w:tcMar>
              <w:top w:w="60" w:type="dxa"/>
              <w:left w:w="80" w:type="dxa"/>
              <w:bottom w:w="60" w:type="dxa"/>
              <w:right w:w="80" w:type="dxa"/>
            </w:tcMar>
          </w:tcPr>
          <w:p w14:paraId="258D9D31" w14:textId="77777777" w:rsidR="00533849" w:rsidRDefault="00000000">
            <w:pPr>
              <w:jc w:val="center"/>
            </w:pPr>
            <w:r>
              <w:rPr>
                <w:sz w:val="20"/>
                <w:szCs w:val="20"/>
              </w:rPr>
              <w:t>95%</w:t>
            </w:r>
          </w:p>
        </w:tc>
      </w:tr>
      <w:tr w:rsidR="00533849" w14:paraId="2B40B226" w14:textId="77777777">
        <w:tc>
          <w:tcPr>
            <w:tcW w:w="2800" w:type="dxa"/>
            <w:tcMar>
              <w:top w:w="60" w:type="dxa"/>
              <w:left w:w="80" w:type="dxa"/>
              <w:bottom w:w="60" w:type="dxa"/>
              <w:right w:w="80" w:type="dxa"/>
            </w:tcMar>
          </w:tcPr>
          <w:p w14:paraId="1B22AB0A" w14:textId="77777777" w:rsidR="00533849" w:rsidRDefault="00000000">
            <w:r>
              <w:rPr>
                <w:sz w:val="20"/>
                <w:szCs w:val="20"/>
              </w:rPr>
              <w:t>Corruption Perception Index</w:t>
            </w:r>
          </w:p>
        </w:tc>
        <w:tc>
          <w:tcPr>
            <w:tcW w:w="1600" w:type="dxa"/>
            <w:tcMar>
              <w:top w:w="60" w:type="dxa"/>
              <w:left w:w="80" w:type="dxa"/>
              <w:bottom w:w="60" w:type="dxa"/>
              <w:right w:w="80" w:type="dxa"/>
            </w:tcMar>
          </w:tcPr>
          <w:p w14:paraId="1C08625F" w14:textId="77777777" w:rsidR="00533849" w:rsidRDefault="00000000">
            <w:pPr>
              <w:jc w:val="center"/>
            </w:pPr>
            <w:r>
              <w:rPr>
                <w:sz w:val="20"/>
                <w:szCs w:val="20"/>
              </w:rPr>
              <w:t>~40/100</w:t>
            </w:r>
          </w:p>
        </w:tc>
        <w:tc>
          <w:tcPr>
            <w:tcW w:w="1800" w:type="dxa"/>
            <w:tcMar>
              <w:top w:w="60" w:type="dxa"/>
              <w:left w:w="80" w:type="dxa"/>
              <w:bottom w:w="60" w:type="dxa"/>
              <w:right w:w="80" w:type="dxa"/>
            </w:tcMar>
          </w:tcPr>
          <w:p w14:paraId="08B291C9" w14:textId="77777777" w:rsidR="00533849" w:rsidRDefault="00000000">
            <w:pPr>
              <w:jc w:val="center"/>
            </w:pPr>
            <w:r>
              <w:rPr>
                <w:sz w:val="20"/>
                <w:szCs w:val="20"/>
              </w:rPr>
              <w:t>55/100</w:t>
            </w:r>
          </w:p>
        </w:tc>
        <w:tc>
          <w:tcPr>
            <w:tcW w:w="1826" w:type="dxa"/>
            <w:tcMar>
              <w:top w:w="60" w:type="dxa"/>
              <w:left w:w="80" w:type="dxa"/>
              <w:bottom w:w="60" w:type="dxa"/>
              <w:right w:w="80" w:type="dxa"/>
            </w:tcMar>
          </w:tcPr>
          <w:p w14:paraId="458F7322" w14:textId="77777777" w:rsidR="00533849" w:rsidRDefault="00000000">
            <w:pPr>
              <w:jc w:val="center"/>
            </w:pPr>
            <w:r>
              <w:rPr>
                <w:sz w:val="20"/>
                <w:szCs w:val="20"/>
              </w:rPr>
              <w:t>70/100</w:t>
            </w:r>
          </w:p>
        </w:tc>
      </w:tr>
      <w:tr w:rsidR="00533849" w14:paraId="194F3C35" w14:textId="77777777">
        <w:tc>
          <w:tcPr>
            <w:tcW w:w="2800" w:type="dxa"/>
            <w:tcMar>
              <w:top w:w="60" w:type="dxa"/>
              <w:left w:w="80" w:type="dxa"/>
              <w:bottom w:w="60" w:type="dxa"/>
              <w:right w:w="80" w:type="dxa"/>
            </w:tcMar>
          </w:tcPr>
          <w:p w14:paraId="6BFF2AA0" w14:textId="77777777" w:rsidR="00533849" w:rsidRDefault="00000000">
            <w:r>
              <w:rPr>
                <w:sz w:val="20"/>
                <w:szCs w:val="20"/>
              </w:rPr>
              <w:t>Cocoa processed domestically</w:t>
            </w:r>
          </w:p>
        </w:tc>
        <w:tc>
          <w:tcPr>
            <w:tcW w:w="1600" w:type="dxa"/>
            <w:tcMar>
              <w:top w:w="60" w:type="dxa"/>
              <w:left w:w="80" w:type="dxa"/>
              <w:bottom w:w="60" w:type="dxa"/>
              <w:right w:w="80" w:type="dxa"/>
            </w:tcMar>
          </w:tcPr>
          <w:p w14:paraId="37133FA0" w14:textId="77777777" w:rsidR="00533849" w:rsidRDefault="00000000">
            <w:pPr>
              <w:jc w:val="center"/>
            </w:pPr>
            <w:r>
              <w:rPr>
                <w:sz w:val="20"/>
                <w:szCs w:val="20"/>
              </w:rPr>
              <w:t>~35%</w:t>
            </w:r>
          </w:p>
        </w:tc>
        <w:tc>
          <w:tcPr>
            <w:tcW w:w="1800" w:type="dxa"/>
            <w:tcMar>
              <w:top w:w="60" w:type="dxa"/>
              <w:left w:w="80" w:type="dxa"/>
              <w:bottom w:w="60" w:type="dxa"/>
              <w:right w:w="80" w:type="dxa"/>
            </w:tcMar>
          </w:tcPr>
          <w:p w14:paraId="787CAE92" w14:textId="77777777" w:rsidR="00533849" w:rsidRDefault="00000000">
            <w:pPr>
              <w:jc w:val="center"/>
            </w:pPr>
            <w:r>
              <w:rPr>
                <w:sz w:val="20"/>
                <w:szCs w:val="20"/>
              </w:rPr>
              <w:t>55%</w:t>
            </w:r>
          </w:p>
        </w:tc>
        <w:tc>
          <w:tcPr>
            <w:tcW w:w="1826" w:type="dxa"/>
            <w:tcMar>
              <w:top w:w="60" w:type="dxa"/>
              <w:left w:w="80" w:type="dxa"/>
              <w:bottom w:w="60" w:type="dxa"/>
              <w:right w:w="80" w:type="dxa"/>
            </w:tcMar>
          </w:tcPr>
          <w:p w14:paraId="624201E3" w14:textId="77777777" w:rsidR="00533849" w:rsidRDefault="00000000">
            <w:pPr>
              <w:jc w:val="center"/>
            </w:pPr>
            <w:r>
              <w:rPr>
                <w:sz w:val="20"/>
                <w:szCs w:val="20"/>
              </w:rPr>
              <w:t>70%</w:t>
            </w:r>
          </w:p>
        </w:tc>
      </w:tr>
      <w:tr w:rsidR="00533849" w14:paraId="7D12472A" w14:textId="77777777">
        <w:tc>
          <w:tcPr>
            <w:tcW w:w="2800" w:type="dxa"/>
            <w:tcMar>
              <w:top w:w="60" w:type="dxa"/>
              <w:left w:w="80" w:type="dxa"/>
              <w:bottom w:w="60" w:type="dxa"/>
              <w:right w:w="80" w:type="dxa"/>
            </w:tcMar>
          </w:tcPr>
          <w:p w14:paraId="0FC56F76" w14:textId="77777777" w:rsidR="00533849" w:rsidRDefault="00000000">
            <w:r>
              <w:rPr>
                <w:sz w:val="20"/>
                <w:szCs w:val="20"/>
              </w:rPr>
              <w:t>Business environment competitiveness (qualitative, regional standing)</w:t>
            </w:r>
          </w:p>
        </w:tc>
        <w:tc>
          <w:tcPr>
            <w:tcW w:w="1600" w:type="dxa"/>
            <w:tcMar>
              <w:top w:w="60" w:type="dxa"/>
              <w:left w:w="80" w:type="dxa"/>
              <w:bottom w:w="60" w:type="dxa"/>
              <w:right w:w="80" w:type="dxa"/>
            </w:tcMar>
          </w:tcPr>
          <w:p w14:paraId="2451A9CE" w14:textId="77777777" w:rsidR="00533849" w:rsidRDefault="00000000">
            <w:pPr>
              <w:jc w:val="center"/>
            </w:pPr>
            <w:r>
              <w:rPr>
                <w:sz w:val="20"/>
                <w:szCs w:val="20"/>
              </w:rPr>
              <w:t>Below regional average</w:t>
            </w:r>
          </w:p>
        </w:tc>
        <w:tc>
          <w:tcPr>
            <w:tcW w:w="1800" w:type="dxa"/>
            <w:tcMar>
              <w:top w:w="60" w:type="dxa"/>
              <w:left w:w="80" w:type="dxa"/>
              <w:bottom w:w="60" w:type="dxa"/>
              <w:right w:w="80" w:type="dxa"/>
            </w:tcMar>
          </w:tcPr>
          <w:p w14:paraId="6BEC168E" w14:textId="77777777" w:rsidR="00533849" w:rsidRDefault="00000000">
            <w:pPr>
              <w:jc w:val="center"/>
            </w:pPr>
            <w:r>
              <w:rPr>
                <w:sz w:val="20"/>
                <w:szCs w:val="20"/>
              </w:rPr>
              <w:t>Above regional average</w:t>
            </w:r>
          </w:p>
        </w:tc>
        <w:tc>
          <w:tcPr>
            <w:tcW w:w="1826" w:type="dxa"/>
            <w:tcMar>
              <w:top w:w="60" w:type="dxa"/>
              <w:left w:w="80" w:type="dxa"/>
              <w:bottom w:w="60" w:type="dxa"/>
              <w:right w:w="80" w:type="dxa"/>
            </w:tcMar>
          </w:tcPr>
          <w:p w14:paraId="5B2A33CE" w14:textId="77777777" w:rsidR="00533849" w:rsidRDefault="00000000">
            <w:pPr>
              <w:jc w:val="center"/>
            </w:pPr>
            <w:r>
              <w:rPr>
                <w:sz w:val="20"/>
                <w:szCs w:val="20"/>
              </w:rPr>
              <w:t>Among regional leaders</w:t>
            </w:r>
          </w:p>
        </w:tc>
      </w:tr>
    </w:tbl>
    <w:p w14:paraId="41411496" w14:textId="77777777" w:rsidR="00533849" w:rsidRDefault="00000000">
      <w:pPr>
        <w:spacing w:before="40" w:after="120"/>
      </w:pPr>
      <w:r>
        <w:rPr>
          <w:i/>
          <w:iCs/>
          <w:sz w:val="18"/>
          <w:szCs w:val="18"/>
        </w:rPr>
        <w:t>Sources: World Bank [3]; BCEAO [4]; FIRCA [5]; IMF [24]; Transparency International [10]. Note: The World Bank discontinued its "Doing Business" rankings in 2021 following a data-integrity review; the business-environment row above is therefore presented qualitatively pending coverage of Côte d'Ivoire in the World Bank's successor "Business Ready" (B-READY) assessment.</w:t>
      </w:r>
    </w:p>
    <w:p w14:paraId="78BFA1EB" w14:textId="77777777" w:rsidR="00533849" w:rsidRDefault="00533849"/>
    <w:p w14:paraId="6AB3B5FF" w14:textId="77777777" w:rsidR="00533849" w:rsidRDefault="00000000">
      <w:pPr>
        <w:spacing w:before="80" w:after="80"/>
        <w:jc w:val="both"/>
      </w:pPr>
      <w:r>
        <w:t xml:space="preserve">Three structural characteristics define the transformation imperative. First, extreme commodity concentration: cocoa and cashew account for over 60% of merchandise export earnings. When commodity prices fall, the entire national revenue architecture contracts — there is no industrial or services export base to absorb the shock [5]. Second, financial exclusion: productive credit reaches fewer than 8% of adults, limiting the capacity of entrepreneurial energy to translate into formal business formation and employment. The 92% of adults excluded from productive credit are not financially irrational — they are excluded by an institutional architecture that was never designed for them [4]. Third, labour market absorption failure: the formal economy generates 50,000–80,000 new formal jobs annually against 400,000–500,000 new labour market entrants — a structural gap that, left unaddressed, is the country's most acute political risk and the most powerful driver of regional instability [3]. These </w:t>
      </w:r>
      <w:r>
        <w:lastRenderedPageBreak/>
        <w:t>are not three separate problems requiring three separate solutions. They are three manifestations of the same underlying architectural failure: an economy designed for extraction rather than inclusion.</w:t>
      </w:r>
    </w:p>
    <w:p w14:paraId="0B59DAC5" w14:textId="77777777" w:rsidR="00533849" w:rsidRDefault="00533849"/>
    <w:p w14:paraId="112A76F5" w14:textId="77777777" w:rsidR="00533849" w:rsidRDefault="00000000">
      <w:pPr>
        <w:spacing w:before="280" w:after="80"/>
      </w:pPr>
      <w:r>
        <w:rPr>
          <w:b/>
          <w:bCs/>
        </w:rPr>
        <w:t>III. PILLAR 1: AGRICULTURAL TRANSFORMATION — FROM COMMODITY SELLER TO VALUE-CHAIN OWNER</w:t>
      </w:r>
    </w:p>
    <w:p w14:paraId="2522621B" w14:textId="77777777" w:rsidR="00533849" w:rsidRDefault="00000000">
      <w:pPr>
        <w:spacing w:before="200" w:after="60"/>
      </w:pPr>
      <w:r>
        <w:rPr>
          <w:b/>
          <w:bCs/>
        </w:rPr>
        <w:t>3.1 The Value Gap That Defines the Strategy</w:t>
      </w:r>
    </w:p>
    <w:p w14:paraId="331A7C21" w14:textId="77777777" w:rsidR="00533849" w:rsidRDefault="00000000">
      <w:pPr>
        <w:spacing w:before="80" w:after="80"/>
        <w:jc w:val="both"/>
      </w:pPr>
      <w:r>
        <w:t>The single most important economic fact about Côte d'Ivoire is this: it grows 40% of the world's cocoa and captures fewer than 4% of the value chain's retail revenue. The chocolate manufactured from Ivorian beans generates USD 130+ billion in global retail revenue; Côte d'Ivoire earns USD 3.5–4.5 billion from raw bean sales. The remaining USD 125+ billion — flavour development, processing, branding, retail margin — is captured in Zurich, Amsterdam, Brussels, Chicago, and Tokyo [5, 6]. This is not an accident of geography or a natural consequence of comparative advantage. It is the consequence of deliberate colonial architecture that embedded Côte d'Ivoire in the raw material extraction node of a global value chain designed to locate processing, manufacturing, and branding in metropolitan economies.</w:t>
      </w:r>
    </w:p>
    <w:p w14:paraId="1A18BB0F" w14:textId="77777777" w:rsidR="00533849" w:rsidRDefault="00000000">
      <w:pPr>
        <w:spacing w:before="80" w:after="80"/>
        <w:jc w:val="both"/>
      </w:pPr>
      <w:r>
        <w:t>The strategy is simple in principle: move progressively up the value chain in every commodity. Process cocoa into butter, powder, liquor, and ultimately chocolate bars. Shell cashews domestically before export. Transform mango from a perishable with 40–60% post-harvest losses into dried slices, aseptic purée, and mangiferin pharmaceutical extract. Complete the cotton-to-garment value chain rather than exporting all fibre to Asian mills. The financial implication is transformative: fully processed cocoa generates 6–8 times more revenue per tonne than raw beans. A processed cashew kernel earns USD 3.50–5.50/kg versus USD 0.80–1.20/kg for the raw nut. Premium dried mango earns USD 2.50–4.00/kg versus USD 0.15–0.25/kg for fresh fruit at farmgate [5].</w:t>
      </w:r>
    </w:p>
    <w:p w14:paraId="41CCE359" w14:textId="77777777" w:rsidR="00533849" w:rsidRDefault="00000000">
      <w:pPr>
        <w:spacing w:before="200" w:after="60"/>
      </w:pPr>
      <w:r>
        <w:rPr>
          <w:b/>
          <w:bCs/>
        </w:rPr>
        <w:t>3.2 Cocoa: From Bean to Chocolate Bar</w:t>
      </w:r>
    </w:p>
    <w:p w14:paraId="6C3AB04F" w14:textId="77777777" w:rsidR="00533849" w:rsidRDefault="00000000">
      <w:pPr>
        <w:spacing w:before="80" w:after="80"/>
        <w:jc w:val="both"/>
      </w:pPr>
      <w:r>
        <w:t>A domestic cocoa processing target of 50% of production by 2030 (versus 35% currently) and 70% by 2040 requires four simultaneous actions: expanding combined grinding capacity from ~700,000 tonnes to 1.4 million tonnes through 5-year tax holidays and accelerated depreciation on processing equipment; developing 'Made in Côte d'Ivoire' chocolate brands targeting the African diaspora and premium export markets; establishing a 'Cacao Origin' geographical indication for single-origin Ivorian chocolate; and implementing 100% GPS polygon traceability by 2027 for EU Deforestation Regulation (EUDR) compliance [5, 11]. Moving 600,000 additional tonnes from raw to processed by 2030 generates an additional USD 4–6 billion annually — equivalent to creating a second cocoa export sector from existing production.</w:t>
      </w:r>
    </w:p>
    <w:p w14:paraId="228AC4E1" w14:textId="77777777" w:rsidR="00533849" w:rsidRDefault="00000000">
      <w:pPr>
        <w:spacing w:before="200" w:after="60"/>
      </w:pPr>
      <w:r>
        <w:rPr>
          <w:b/>
          <w:bCs/>
        </w:rPr>
        <w:t>3.3 The Full Agro-Industrial Stack: Cashew, Mango, Rubber, Cotton, Palm</w:t>
      </w:r>
    </w:p>
    <w:p w14:paraId="40AFC115" w14:textId="77777777" w:rsidR="00533849" w:rsidRDefault="00000000">
      <w:pPr>
        <w:spacing w:before="80" w:after="80"/>
        <w:jc w:val="both"/>
      </w:pPr>
      <w:r>
        <w:t xml:space="preserve">Cashew (600,000–900,000 tonnes; world's largest producer; under 10% domestic processing) requires a National Cashew Processing Industrialization Programme of 100 medium-scale shelling facilities, each funded at FCFA 180–320 million, organized through the Conseil du Coton et de l'Anacarde — creating 45,000–70,000 direct jobs and adding USD 1.5–2.5 billion annually in value [5]. Mango's 40–60% post-harvest losses represent an annual economic destruction of USD 80–120 million that cooperative processing hubs can recover into export revenue. Rubber must develop downstream tyre components and medical latex products domestically rather than exporting raw latex. Cotton must complete the full textile value chain; </w:t>
      </w:r>
      <w:r>
        <w:lastRenderedPageBreak/>
        <w:t>currently 100% of production is exported as raw fibre and returned as finished garments at 10–20 times the export price — a USD 400–600 million annual value destruction. Palm oil must shift from bulk CPO export to refined consumer oils, cosmetic oleochemicals, and biodiesel at 3–5 times the value per tonne.</w:t>
      </w:r>
    </w:p>
    <w:p w14:paraId="318F1833" w14:textId="77777777" w:rsidR="00533849" w:rsidRDefault="00000000">
      <w:pPr>
        <w:spacing w:before="200" w:after="60"/>
      </w:pPr>
      <w:r>
        <w:rPr>
          <w:b/>
          <w:bCs/>
        </w:rPr>
        <w:t>3.4 Closing the Yield Gap: More Production Without More Deforestation</w:t>
      </w:r>
    </w:p>
    <w:p w14:paraId="59A020A3" w14:textId="77777777" w:rsidR="00533849" w:rsidRDefault="00000000">
      <w:pPr>
        <w:spacing w:before="80" w:after="80"/>
        <w:jc w:val="both"/>
      </w:pPr>
      <w:r>
        <w:t>Côte d'Ivoire faces a structural contradiction: it needs more agricultural production to supply expanding processing capacity, but the EU Deforestation Regulation prohibits deforestation-linked commodity expansion. The resolution is the yield gap. Cocoa yields average 450–600 kg/ha versus the 1,200–1,800 kg/ha achievable with CNRA-certified improved clonal varieties and good agricultural practice. Cashew yields average 500–800 kg/ha versus 1,500–2,500 kg/ha in Vietnam. Closing half the yield gap across five main commodities adds the equivalent of 35–45% more production without a single additional hectare of deforestation [11, 13]. The mechanism: a National Agricultural Productivity Programme (PNPA) deploying ANADER extension agents at 1:150 ratio (versus the current 1:800), subsidized certified clonal planting material, and micro-irrigation grants.</w:t>
      </w:r>
    </w:p>
    <w:p w14:paraId="6F10EB52" w14:textId="77777777" w:rsidR="00533849" w:rsidRDefault="00533849"/>
    <w:p w14:paraId="7720AE62" w14:textId="77777777" w:rsidR="00533849" w:rsidRDefault="00000000">
      <w:pPr>
        <w:spacing w:before="280" w:after="80"/>
      </w:pPr>
      <w:r>
        <w:rPr>
          <w:b/>
          <w:bCs/>
        </w:rPr>
        <w:t>IV. PILLAR 2: INDUSTRIALIZATION — BUILDING THE FACTORY OF WEST AFRICA</w:t>
      </w:r>
    </w:p>
    <w:p w14:paraId="3BCEE0B6" w14:textId="77777777" w:rsidR="00533849" w:rsidRDefault="00000000">
      <w:pPr>
        <w:spacing w:before="200" w:after="60"/>
      </w:pPr>
      <w:r>
        <w:rPr>
          <w:b/>
          <w:bCs/>
        </w:rPr>
        <w:t>4.1 Special Economic Zones: Learning from Vietnam and Singapore</w:t>
      </w:r>
    </w:p>
    <w:p w14:paraId="0A8F6A61" w14:textId="77777777" w:rsidR="00533849" w:rsidRDefault="00000000">
      <w:pPr>
        <w:spacing w:before="80" w:after="80"/>
        <w:jc w:val="both"/>
      </w:pPr>
      <w:r>
        <w:t>Vietnam's export-processing zones attracted USD 440 billion in cumulative FDI between 2000 and 2023, making it the world's second-largest electronics exporter. Singapore built its entire manufacturing economy through Jurong Island industrial estates offering reliable infrastructure and rule of law as a competitive advantage [14]. Côte d'Ivoire should establish five world-class SEZs within 2025–2030: the Abidjan Export Processing Zone (2,000 hectares; electronics assembly, pharmaceutical manufacturing, premium food processing; target: USD 8–12 billion FDI and 85,000 jobs by 2035); the San Pedro Industrial Port Zone (downstream cocoa, palm, maritime manufacturing; USD 3–5 billion FDI); the Bouaké Central Manufacturing Hub (textiles, cashew, food manufacturing, Sahel logistics; USD 2–3 billion FDI); the Yamoussoukro Technology and Innovation Park (pharmaceutical R&amp;D, agri-biotech, software; USD 1–2 billion); and the Korhogo Northern Agricultural Processing Zone (mango, cashew, cotton, livestock; USD 1.5 billion) [11].</w:t>
      </w:r>
    </w:p>
    <w:p w14:paraId="3AF0D0EC" w14:textId="77777777" w:rsidR="00533849" w:rsidRDefault="00000000">
      <w:pPr>
        <w:spacing w:before="200" w:after="60"/>
      </w:pPr>
      <w:r>
        <w:rPr>
          <w:b/>
          <w:bCs/>
        </w:rPr>
        <w:t>4.2 Pharmaceutical Manufacturing: West Africa's Health Industrial Opportunity</w:t>
      </w:r>
    </w:p>
    <w:p w14:paraId="438BC4BA" w14:textId="77777777" w:rsidR="00533849" w:rsidRDefault="00000000">
      <w:pPr>
        <w:spacing w:before="80" w:after="80"/>
        <w:jc w:val="both"/>
      </w:pPr>
      <w:r>
        <w:t>Sub-Saharan Africa imports 70–90% of its pharmaceuticals despite being one of the world's fastest-growing pharmaceutical markets, with sub-regional growth estimates in the 8–10% CAGR range. Côte d'Ivoire has the continental positioning — francophone hub, deep-water port access, proximity to 17 ECOWAS nations — to become West Africa's pharmaceutical manufacturing centre through a West African Pharmaceutical Manufacturing Park (WPMP) in Yamoussoukro. Target by 2035: 40% of ECOWAS pharmaceutical supply from Ivorian production, generating USD 2.5–4 billion annually. Partnership targets: Cipla, Sanofi-Aventis, Aspen Pharmacare, Strides Pharma [14, 15].</w:t>
      </w:r>
    </w:p>
    <w:p w14:paraId="6406E8FD" w14:textId="77777777" w:rsidR="00533849" w:rsidRDefault="00000000">
      <w:pPr>
        <w:spacing w:before="200" w:after="60"/>
      </w:pPr>
      <w:r>
        <w:rPr>
          <w:b/>
          <w:bCs/>
        </w:rPr>
        <w:t>4.3 Housing, Construction, and the Domestic Demand Anchor</w:t>
      </w:r>
    </w:p>
    <w:p w14:paraId="78250E72" w14:textId="77777777" w:rsidR="00533849" w:rsidRDefault="00000000">
      <w:pPr>
        <w:spacing w:before="80" w:after="80"/>
        <w:jc w:val="both"/>
      </w:pPr>
      <w:r>
        <w:t xml:space="preserve">Côte d'Ivoire needs to build 3–4 million housing units over 20 years to accommodate urban population growth and eliminate informal settlements. This creates massive domestic demand for cement (capacity must triple), construction steel (a domestic mini-mill is viable), ceramic tiles, PVC pipes, glass, and paint. Mandating that 60% of materials in government construction </w:t>
      </w:r>
      <w:r>
        <w:lastRenderedPageBreak/>
        <w:t>come from domestic production creates an immediate demand anchor for manufacturing investment that does not depend on export market access or foreign buyer relationships. Industrial policy and housing policy are, in this dimension, the same policy [11].</w:t>
      </w:r>
    </w:p>
    <w:p w14:paraId="40A811C4" w14:textId="77777777" w:rsidR="00533849" w:rsidRDefault="00533849">
      <w:pPr>
        <w:jc w:val="both"/>
      </w:pPr>
    </w:p>
    <w:p w14:paraId="0ABE6AD7" w14:textId="77777777" w:rsidR="00533849" w:rsidRDefault="00000000">
      <w:pPr>
        <w:pStyle w:val="Heading3"/>
        <w:shd w:val="clear" w:color="auto" w:fill="FFFFFF"/>
        <w:spacing w:before="192" w:after="96" w:line="180" w:lineRule="atLeast"/>
        <w:jc w:val="both"/>
        <w:rPr>
          <w:rFonts w:eastAsia="Segoe UI"/>
          <w:b/>
          <w:bCs/>
          <w:color w:val="0F1115"/>
        </w:rPr>
      </w:pPr>
      <w:r>
        <w:rPr>
          <w:rFonts w:eastAsia="Segoe UI"/>
          <w:b/>
          <w:bCs/>
          <w:color w:val="0F1115"/>
          <w:shd w:val="clear" w:color="auto" w:fill="FFFFFF"/>
        </w:rPr>
        <w:t>4.4 Nutraceuticals and Pharmacofitology: The Bio-Economy Revolution</w:t>
      </w:r>
    </w:p>
    <w:p w14:paraId="46157D64" w14:textId="77777777" w:rsidR="00533849" w:rsidRDefault="00000000">
      <w:pPr>
        <w:pStyle w:val="Heading4"/>
        <w:shd w:val="clear" w:color="auto" w:fill="FFFFFF"/>
        <w:spacing w:before="96" w:after="96" w:line="168" w:lineRule="atLeast"/>
        <w:jc w:val="both"/>
        <w:rPr>
          <w:rFonts w:eastAsia="Segoe UI"/>
          <w:b/>
          <w:bCs/>
          <w:color w:val="0F1115"/>
        </w:rPr>
      </w:pPr>
      <w:r>
        <w:rPr>
          <w:rFonts w:eastAsia="Segoe UI"/>
          <w:b/>
          <w:bCs/>
          <w:color w:val="0F1115"/>
          <w:shd w:val="clear" w:color="auto" w:fill="FFFFFF"/>
        </w:rPr>
        <w:t>4.4.1 The Biodiversity Imperative: Côte d'Ivoire's Pharmacological Heritage</w:t>
      </w:r>
    </w:p>
    <w:p w14:paraId="41784383"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Côte d'Ivoire's tropical forest ecosystems — historically spanning over 16 million hectares before significant deforestation — harbour an extraordinary diversity of plant species with documented pharmacological properties. The country hosts approximately 3,000–3,500 vascular plant species, of which an estimated 500–600 are employed in traditional Ivorian pharmacopoeia for therapeutic purposes [52, 53]. This pharmacological heritage represents one of Africa's most significant but systematically undervalued intellectual assets. The World Health Organization estimates that 80% of Africa's population relies on traditional medicine for primary healthcare, with traditional practitioners outnumbering conventional medical practitioners by ratios of 100:1 in many rural areas [54]. Yet this vast pharmacopoeia — the cumulative result of generations of empirical observation, experimentation, and transmission — remains largely outside formal economic circuits and global pharmaceutical value chains.</w:t>
      </w:r>
    </w:p>
    <w:p w14:paraId="3DC2DECB"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The economic dimensions of this oversight are substantial. The global nutraceutical market — defined as food or food products that provide health and medical benefits, including the prevention and treatment of disease — was valued at approximately USD 454 billion in 2023 and is projected to reach USD 830 billion by 2030, representing a compound annual growth rate of 8.4% [55]. The global herbal medicine market, valued at approximately USD 83 billion in 2022, is projected to reach USD 130–150 billion by 2030 [56]. Africa's share of these markets remains below 3%, despite holding a disproportionately large share of global biodiversity and traditional knowledge. Côte d'Ivoire's current capture of this value is negligible — not because the pharmacological resources are absent, but because the institutional architecture for validation, standardization, and commercialization has been systematically neglected.</w:t>
      </w:r>
    </w:p>
    <w:p w14:paraId="77E9E24A"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The neuroanthropological economics framework provides critical analytical insight into this neglect. Colonial medical architectures systematically delegitimized African traditional medicine as "superstition" or "primitive" — a framing that persists in post-colonial health policy despite its empirical refutation by pharmacological research [57, 58]. Traditional healers in Côte d'Ivoire were legally prohibited from practising until the 1990s, and formal health policy continues to marginalize traditional practitioners despite the constitutional recognition of traditional medicine in several African nations [59]. This institutional exclusion reflects the same neuro-cultural pattern identified in the financial sector: formal institutions designed by colonial architectures systematically exclude indigenous knowledge systems, and post-independence reforms have been insufficient to reverse this exclusion.</w:t>
      </w:r>
    </w:p>
    <w:p w14:paraId="629B3B33" w14:textId="77777777" w:rsidR="00533849" w:rsidRDefault="00000000">
      <w:pPr>
        <w:pStyle w:val="Heading4"/>
        <w:shd w:val="clear" w:color="auto" w:fill="FFFFFF"/>
        <w:spacing w:before="96" w:after="96" w:line="168" w:lineRule="atLeast"/>
        <w:jc w:val="both"/>
        <w:rPr>
          <w:rFonts w:eastAsia="Segoe UI"/>
          <w:b/>
          <w:bCs/>
          <w:color w:val="0F1115"/>
        </w:rPr>
      </w:pPr>
      <w:r>
        <w:rPr>
          <w:rFonts w:eastAsia="Segoe UI"/>
          <w:b/>
          <w:bCs/>
          <w:color w:val="0F1115"/>
          <w:shd w:val="clear" w:color="auto" w:fill="FFFFFF"/>
        </w:rPr>
        <w:t>4.4.2 The Nutraceutical Opportunity: From Food to Functional Food</w:t>
      </w:r>
    </w:p>
    <w:p w14:paraId="783AF95A"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The nutraceutical sector — bridging the conventional food and pharmaceutical industries — offers Côte d'Ivoire a strategically accessible entry point into the bio-economy. Nutraceuticals are defined as products derived from food sources that provide extra health benefits beyond the basic nutritional value found in foods. They include dietary supplements, functional foods, beverages, and fortified products. The commercial advantage of nutraceuticals over pharmaceuticals is threefold: regulatory pathways are typically less demanding; consumer acceptance is higher for products perceived as "natural" rather than "chemical"; and value-</w:t>
      </w:r>
      <w:r>
        <w:rPr>
          <w:rFonts w:eastAsia="Segoe UI"/>
          <w:color w:val="0F1115"/>
          <w:shd w:val="clear" w:color="auto" w:fill="FFFFFF"/>
        </w:rPr>
        <w:lastRenderedPageBreak/>
        <w:t>added margins can be substantial without requiring the billion-dollar clinical trial investments that characterize conventional drug development [60].</w:t>
      </w:r>
    </w:p>
    <w:p w14:paraId="097CEC22"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Côte d'Ivoire's agricultural commodities, when reimagined through the nutraceutical lens, transform from raw materials into high-value bioactive products. Cocoa, already the nation's signature export, provides a compelling case study. Cocoa polyphenols — particularly flavanols such as epicatechin, catechin, and procyanidins — have demonstrated significant cardiovascular benefits, including improved endothelial function, reduced blood pressure, and enhanced insulin sensitivity [61, 62]. The global cocoa polyphenol extract market is projected to reach USD 2–3 billion by 2030. Currently, Côte d'Ivoire captures essentially none of this value — all cocoa beans exported raw, with polyphenol extraction occurring in European and North American processing facilities. A domestic nutraceutical industry producing standardized cocoa polyphenol extracts, flavanol-rich cocoa powders for functional food applications, and cocoa-polyphenol-based dietary supplements could generate USD 300–500 million annually from the same cocoa production volume that currently earns USD 3.5–4.5 billion in raw exports — representing a 10–15% value uplift without requiring additional production [63].</w:t>
      </w:r>
    </w:p>
    <w:p w14:paraId="187B8056"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Cashew nut shell liquid (CNSL), currently considered a waste product of cashew processing, represents an even more transformative opportunity. CNSL contains anacardic acid, cardanol, cardol, and other bioactive phenols with demonstrated antimicrobial, antioxidant, anti-inflammatory, and anticancer properties [64, 65]. The global CNSL market is valued at approximately USD 350–400 million, with applications in friction materials, coatings, and increasingly in pharmaceutical and nutraceutical formulations. Côte d'Ivoire, as the world's largest cashew producer, generates approximately 450,000–650,000 tonnes of cashew shells annually — containing 25–35% CNSL by weight — representing 110,000–230,000 tonnes of CNSL currently discarded or underexploited. Developing CNSL extraction, refinement, and bioactive compound isolation capacity would add USD 80–150 million annually from current waste streams [66].</w:t>
      </w:r>
    </w:p>
    <w:p w14:paraId="54F72E9E"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Mango — Côte d'Ivoire produces approximately 150,000–180,000 tonnes annually, with 40–60% post-harvest losses — contains mangiferin, a bioactive xanthone with demonstrated antioxidant, anti-inflammatory, immunomodulatory, and neuroprotective properties [67, 68]. The global mangiferin market, though currently niche, is expanding rapidly as research continues to validate its therapeutic potential in metabolic syndrome, neurodegenerative disease, and cancer prevention. Mango processing waste — peels and seeds currently discarded — contains higher concentrations of bioactive compounds than the pulp itself. Development of mangiferin extraction capacity from processing waste would recover value from material currently generating disposal costs while creating an exportable pharmaceutical-grade ingredient earning USD 100–250/kg (versus USD 0.15–0.25/kg for fresh mango).</w:t>
      </w:r>
    </w:p>
    <w:p w14:paraId="29C45943" w14:textId="77777777" w:rsidR="00533849" w:rsidRDefault="00000000">
      <w:pPr>
        <w:pStyle w:val="Heading4"/>
        <w:shd w:val="clear" w:color="auto" w:fill="FFFFFF"/>
        <w:spacing w:before="96" w:after="96" w:line="168" w:lineRule="atLeast"/>
        <w:jc w:val="both"/>
        <w:rPr>
          <w:rFonts w:eastAsia="Segoe UI"/>
          <w:b/>
          <w:bCs/>
          <w:color w:val="0F1115"/>
        </w:rPr>
      </w:pPr>
      <w:r>
        <w:rPr>
          <w:rFonts w:eastAsia="Segoe UI"/>
          <w:b/>
          <w:bCs/>
          <w:color w:val="0F1115"/>
          <w:shd w:val="clear" w:color="auto" w:fill="FFFFFF"/>
        </w:rPr>
        <w:t>4.4.3 Pharmacofitology: The Scientific Validation of Traditional Pharmacopoeia</w:t>
      </w:r>
    </w:p>
    <w:p w14:paraId="6CA12E76"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 xml:space="preserve">Pharmacofitology — the systematic scientific study of medicinal plants and their bioactive constituents — provides the methodological framework for transforming traditional pharmacological knowledge into evidence-based therapeutic products. This approach differs from conventional pharmaceutical research in its departure point: pharmacofitology begins with the accumulated empirical knowledge of traditional healers, identifying plant species with demonstrated therapeutic applications, then applies modern analytical methods to isolate, characterize, and validate bioactive compounds [69]. This methodology has produced several blockbuster drugs — including artemisinin for malaria (from Artemisia annua, traditional Chinese medicine), aspirin (from Salix alba, traditional European medicine), and metformin </w:t>
      </w:r>
      <w:r>
        <w:rPr>
          <w:rFonts w:eastAsia="Segoe UI"/>
          <w:color w:val="0F1115"/>
          <w:shd w:val="clear" w:color="auto" w:fill="FFFFFF"/>
        </w:rPr>
        <w:lastRenderedPageBreak/>
        <w:t>(from Galega officinalis, traditional European medicine) — confirming that traditional pharmacopoeia represents a systematically undervalued source of therapeutic innovation [70].</w:t>
      </w:r>
    </w:p>
    <w:p w14:paraId="7E805DDF"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 xml:space="preserve">Côte d'Ivoire's traditional pharmacopoeia includes documented medicinal applications for over 500 plant species, with therapeutic applications spanning malaria, gastrointestinal disorders, respiratory infections, reproductive health, dermatological conditions, and chronic diseases. Table </w:t>
      </w:r>
      <w:r>
        <w:rPr>
          <w:rFonts w:eastAsia="Segoe UI"/>
          <w:color w:val="0F1115"/>
          <w:shd w:val="clear" w:color="auto" w:fill="FFFFFF"/>
          <w:lang w:val="en-US"/>
        </w:rPr>
        <w:t>2</w:t>
      </w:r>
      <w:r>
        <w:rPr>
          <w:rFonts w:eastAsia="Segoe UI"/>
          <w:color w:val="0F1115"/>
          <w:shd w:val="clear" w:color="auto" w:fill="FFFFFF"/>
        </w:rPr>
        <w:t xml:space="preserve"> presents a sample of Ivorian medicinal plants with documented bioactive compounds and therapeutic applications, selected from the published ethnopharmacological literature.</w:t>
      </w:r>
    </w:p>
    <w:p w14:paraId="1D9E41B4" w14:textId="77777777" w:rsidR="00533849" w:rsidRDefault="00000000">
      <w:pPr>
        <w:pStyle w:val="NormalWeb"/>
        <w:shd w:val="clear" w:color="auto" w:fill="FFFFFF"/>
        <w:spacing w:before="96" w:after="96"/>
        <w:jc w:val="both"/>
        <w:rPr>
          <w:rFonts w:eastAsia="Segoe UI"/>
          <w:color w:val="0F1115"/>
        </w:rPr>
      </w:pPr>
      <w:r>
        <w:rPr>
          <w:rFonts w:eastAsia="Segoe UI"/>
          <w:b/>
          <w:bCs/>
          <w:color w:val="0F1115"/>
          <w:shd w:val="clear" w:color="auto" w:fill="FFFFFF"/>
        </w:rPr>
        <w:t xml:space="preserve">Table </w:t>
      </w:r>
      <w:r>
        <w:rPr>
          <w:rFonts w:eastAsia="Segoe UI"/>
          <w:b/>
          <w:bCs/>
          <w:color w:val="0F1115"/>
          <w:shd w:val="clear" w:color="auto" w:fill="FFFFFF"/>
          <w:lang w:val="en-US"/>
        </w:rPr>
        <w:t>2</w:t>
      </w:r>
      <w:r>
        <w:rPr>
          <w:rFonts w:eastAsia="Segoe UI"/>
          <w:b/>
          <w:bCs/>
          <w:color w:val="0F1115"/>
          <w:shd w:val="clear" w:color="auto" w:fill="FFFFFF"/>
        </w:rPr>
        <w:t>. Representative medicinal plants of the Ivorian pharmacopoeia: bioactive compounds and therapeutic applications</w:t>
      </w:r>
    </w:p>
    <w:tbl>
      <w:tblPr>
        <w:tblW w:w="9433" w:type="dxa"/>
        <w:tblBorders>
          <w:top w:val="single" w:sz="18" w:space="0" w:color="1F3864"/>
          <w:left w:val="single" w:sz="18" w:space="0" w:color="1F3864"/>
          <w:bottom w:val="single" w:sz="18" w:space="0" w:color="1F3864"/>
          <w:right w:val="single" w:sz="18" w:space="0" w:color="1F3864"/>
          <w:insideH w:val="single" w:sz="4" w:space="0" w:color="9DB6CE"/>
          <w:insideV w:val="single" w:sz="4" w:space="0" w:color="9DB6CE"/>
        </w:tblBorders>
        <w:tblCellMar>
          <w:top w:w="15" w:type="dxa"/>
          <w:left w:w="15" w:type="dxa"/>
          <w:bottom w:w="15" w:type="dxa"/>
          <w:right w:w="15" w:type="dxa"/>
        </w:tblCellMar>
        <w:tblLook w:val="04A0" w:firstRow="1" w:lastRow="0" w:firstColumn="1" w:lastColumn="0" w:noHBand="0" w:noVBand="1"/>
      </w:tblPr>
      <w:tblGrid>
        <w:gridCol w:w="1588"/>
        <w:gridCol w:w="1246"/>
        <w:gridCol w:w="2059"/>
        <w:gridCol w:w="1998"/>
        <w:gridCol w:w="2542"/>
      </w:tblGrid>
      <w:tr w:rsidR="00533849" w14:paraId="50899A37" w14:textId="77777777" w:rsidTr="00841DE8">
        <w:trPr>
          <w:trHeight w:val="551"/>
          <w:tblHeader/>
        </w:trPr>
        <w:tc>
          <w:tcPr>
            <w:tcW w:w="0" w:type="auto"/>
            <w:shd w:val="clear" w:color="auto" w:fill="auto"/>
            <w:tcMar>
              <w:top w:w="60" w:type="dxa"/>
              <w:left w:w="0" w:type="dxa"/>
              <w:bottom w:w="60" w:type="dxa"/>
              <w:right w:w="96" w:type="dxa"/>
            </w:tcMar>
            <w:vAlign w:val="center"/>
          </w:tcPr>
          <w:p w14:paraId="5B4B5C72" w14:textId="77777777" w:rsidR="00533849" w:rsidRDefault="00000000">
            <w:pPr>
              <w:spacing w:line="150" w:lineRule="atLeast"/>
              <w:jc w:val="both"/>
              <w:rPr>
                <w:rFonts w:eastAsia="Segoe UI"/>
              </w:rPr>
            </w:pPr>
            <w:r>
              <w:rPr>
                <w:rFonts w:eastAsia="Segoe UI"/>
                <w:b/>
                <w:bCs/>
                <w:lang w:val="en-US" w:eastAsia="zh-CN" w:bidi="ar"/>
              </w:rPr>
              <w:t>Species</w:t>
            </w:r>
          </w:p>
        </w:tc>
        <w:tc>
          <w:tcPr>
            <w:tcW w:w="0" w:type="auto"/>
            <w:shd w:val="clear" w:color="auto" w:fill="auto"/>
            <w:tcMar>
              <w:top w:w="60" w:type="dxa"/>
              <w:left w:w="96" w:type="dxa"/>
              <w:bottom w:w="60" w:type="dxa"/>
              <w:right w:w="96" w:type="dxa"/>
            </w:tcMar>
            <w:vAlign w:val="center"/>
          </w:tcPr>
          <w:p w14:paraId="75267B3F" w14:textId="77777777" w:rsidR="00533849" w:rsidRDefault="00000000">
            <w:pPr>
              <w:spacing w:line="150" w:lineRule="atLeast"/>
              <w:jc w:val="both"/>
              <w:rPr>
                <w:rFonts w:eastAsia="Segoe UI"/>
              </w:rPr>
            </w:pPr>
            <w:r>
              <w:rPr>
                <w:rFonts w:eastAsia="Segoe UI"/>
                <w:b/>
                <w:bCs/>
                <w:lang w:val="en-US" w:eastAsia="zh-CN" w:bidi="ar"/>
              </w:rPr>
              <w:t>Local Name(s)</w:t>
            </w:r>
          </w:p>
        </w:tc>
        <w:tc>
          <w:tcPr>
            <w:tcW w:w="0" w:type="auto"/>
            <w:shd w:val="clear" w:color="auto" w:fill="auto"/>
            <w:tcMar>
              <w:top w:w="60" w:type="dxa"/>
              <w:left w:w="96" w:type="dxa"/>
              <w:bottom w:w="60" w:type="dxa"/>
              <w:right w:w="96" w:type="dxa"/>
            </w:tcMar>
            <w:vAlign w:val="center"/>
          </w:tcPr>
          <w:p w14:paraId="60530710" w14:textId="77777777" w:rsidR="00533849" w:rsidRDefault="00000000">
            <w:pPr>
              <w:spacing w:line="150" w:lineRule="atLeast"/>
              <w:jc w:val="both"/>
              <w:rPr>
                <w:rFonts w:eastAsia="Segoe UI"/>
              </w:rPr>
            </w:pPr>
            <w:r>
              <w:rPr>
                <w:rFonts w:eastAsia="Segoe UI"/>
                <w:b/>
                <w:bCs/>
                <w:lang w:val="en-US" w:eastAsia="zh-CN" w:bidi="ar"/>
              </w:rPr>
              <w:t>Bioactive Compounds</w:t>
            </w:r>
          </w:p>
        </w:tc>
        <w:tc>
          <w:tcPr>
            <w:tcW w:w="0" w:type="auto"/>
            <w:shd w:val="clear" w:color="auto" w:fill="auto"/>
            <w:tcMar>
              <w:top w:w="60" w:type="dxa"/>
              <w:left w:w="96" w:type="dxa"/>
              <w:bottom w:w="60" w:type="dxa"/>
              <w:right w:w="96" w:type="dxa"/>
            </w:tcMar>
            <w:vAlign w:val="center"/>
          </w:tcPr>
          <w:p w14:paraId="6C42CF4B" w14:textId="77777777" w:rsidR="00533849" w:rsidRDefault="00000000">
            <w:pPr>
              <w:spacing w:line="150" w:lineRule="atLeast"/>
              <w:jc w:val="both"/>
              <w:rPr>
                <w:rFonts w:eastAsia="Segoe UI"/>
              </w:rPr>
            </w:pPr>
            <w:r>
              <w:rPr>
                <w:rFonts w:eastAsia="Segoe UI"/>
                <w:b/>
                <w:bCs/>
                <w:lang w:val="en-US" w:eastAsia="zh-CN" w:bidi="ar"/>
              </w:rPr>
              <w:t>Documented Applications</w:t>
            </w:r>
          </w:p>
        </w:tc>
        <w:tc>
          <w:tcPr>
            <w:tcW w:w="0" w:type="auto"/>
            <w:shd w:val="clear" w:color="auto" w:fill="auto"/>
            <w:tcMar>
              <w:top w:w="60" w:type="dxa"/>
              <w:left w:w="96" w:type="dxa"/>
              <w:bottom w:w="60" w:type="dxa"/>
              <w:right w:w="96" w:type="dxa"/>
            </w:tcMar>
            <w:vAlign w:val="center"/>
          </w:tcPr>
          <w:p w14:paraId="5A177252" w14:textId="77777777" w:rsidR="00533849" w:rsidRDefault="00000000">
            <w:pPr>
              <w:spacing w:line="150" w:lineRule="atLeast"/>
              <w:jc w:val="both"/>
              <w:rPr>
                <w:rFonts w:eastAsia="Segoe UI"/>
              </w:rPr>
            </w:pPr>
            <w:r>
              <w:rPr>
                <w:rFonts w:eastAsia="Segoe UI"/>
                <w:b/>
                <w:bCs/>
                <w:lang w:val="en-US" w:eastAsia="zh-CN" w:bidi="ar"/>
              </w:rPr>
              <w:t>Commercial Potential</w:t>
            </w:r>
          </w:p>
        </w:tc>
      </w:tr>
      <w:tr w:rsidR="00533849" w14:paraId="7297C6EA" w14:textId="77777777" w:rsidTr="00841DE8">
        <w:trPr>
          <w:trHeight w:val="1379"/>
        </w:trPr>
        <w:tc>
          <w:tcPr>
            <w:tcW w:w="0" w:type="auto"/>
            <w:shd w:val="clear" w:color="auto" w:fill="auto"/>
            <w:tcMar>
              <w:top w:w="60" w:type="dxa"/>
              <w:left w:w="0" w:type="dxa"/>
              <w:bottom w:w="60" w:type="dxa"/>
              <w:right w:w="96" w:type="dxa"/>
            </w:tcMar>
            <w:vAlign w:val="center"/>
          </w:tcPr>
          <w:p w14:paraId="49EE156F" w14:textId="77777777" w:rsidR="00533849" w:rsidRDefault="00000000">
            <w:pPr>
              <w:spacing w:line="150" w:lineRule="atLeast"/>
              <w:jc w:val="both"/>
              <w:rPr>
                <w:rFonts w:eastAsia="Segoe UI"/>
              </w:rPr>
            </w:pPr>
            <w:r>
              <w:rPr>
                <w:rFonts w:eastAsia="Segoe UI"/>
                <w:lang w:val="en-US" w:eastAsia="zh-CN" w:bidi="ar"/>
              </w:rPr>
              <w:t>Cryptolepis sanguinolenta</w:t>
            </w:r>
          </w:p>
        </w:tc>
        <w:tc>
          <w:tcPr>
            <w:tcW w:w="0" w:type="auto"/>
            <w:shd w:val="clear" w:color="auto" w:fill="auto"/>
            <w:tcMar>
              <w:top w:w="60" w:type="dxa"/>
              <w:left w:w="96" w:type="dxa"/>
              <w:bottom w:w="60" w:type="dxa"/>
              <w:right w:w="96" w:type="dxa"/>
            </w:tcMar>
            <w:vAlign w:val="center"/>
          </w:tcPr>
          <w:p w14:paraId="4DB91AEA" w14:textId="77777777" w:rsidR="00533849" w:rsidRDefault="00000000">
            <w:pPr>
              <w:spacing w:line="150" w:lineRule="atLeast"/>
              <w:jc w:val="both"/>
              <w:rPr>
                <w:rFonts w:eastAsia="Segoe UI"/>
              </w:rPr>
            </w:pPr>
            <w:r>
              <w:rPr>
                <w:rFonts w:eastAsia="Segoe UI"/>
                <w:lang w:val="en-US" w:eastAsia="zh-CN" w:bidi="ar"/>
              </w:rPr>
              <w:t>N'guessan</w:t>
            </w:r>
          </w:p>
        </w:tc>
        <w:tc>
          <w:tcPr>
            <w:tcW w:w="0" w:type="auto"/>
            <w:shd w:val="clear" w:color="auto" w:fill="auto"/>
            <w:tcMar>
              <w:top w:w="60" w:type="dxa"/>
              <w:left w:w="96" w:type="dxa"/>
              <w:bottom w:w="60" w:type="dxa"/>
              <w:right w:w="96" w:type="dxa"/>
            </w:tcMar>
            <w:vAlign w:val="center"/>
          </w:tcPr>
          <w:p w14:paraId="514A69CF" w14:textId="77777777" w:rsidR="00533849" w:rsidRDefault="00000000">
            <w:pPr>
              <w:spacing w:line="150" w:lineRule="atLeast"/>
              <w:jc w:val="both"/>
              <w:rPr>
                <w:rFonts w:eastAsia="Segoe UI"/>
              </w:rPr>
            </w:pPr>
            <w:r>
              <w:rPr>
                <w:rFonts w:eastAsia="Segoe UI"/>
                <w:lang w:val="en-US" w:eastAsia="zh-CN" w:bidi="ar"/>
              </w:rPr>
              <w:t>Cryptolepine, quindoline</w:t>
            </w:r>
          </w:p>
        </w:tc>
        <w:tc>
          <w:tcPr>
            <w:tcW w:w="0" w:type="auto"/>
            <w:shd w:val="clear" w:color="auto" w:fill="auto"/>
            <w:tcMar>
              <w:top w:w="60" w:type="dxa"/>
              <w:left w:w="96" w:type="dxa"/>
              <w:bottom w:w="60" w:type="dxa"/>
              <w:right w:w="96" w:type="dxa"/>
            </w:tcMar>
            <w:vAlign w:val="center"/>
          </w:tcPr>
          <w:p w14:paraId="2ECA0C22" w14:textId="77777777" w:rsidR="00533849" w:rsidRDefault="00000000">
            <w:pPr>
              <w:spacing w:line="150" w:lineRule="atLeast"/>
              <w:jc w:val="both"/>
              <w:rPr>
                <w:rFonts w:eastAsia="Segoe UI"/>
              </w:rPr>
            </w:pPr>
            <w:r>
              <w:rPr>
                <w:rFonts w:eastAsia="Segoe UI"/>
                <w:lang w:val="en-US" w:eastAsia="zh-CN" w:bidi="ar"/>
              </w:rPr>
              <w:t>Malaria, febrile illness</w:t>
            </w:r>
          </w:p>
        </w:tc>
        <w:tc>
          <w:tcPr>
            <w:tcW w:w="0" w:type="auto"/>
            <w:shd w:val="clear" w:color="auto" w:fill="auto"/>
            <w:tcMar>
              <w:top w:w="60" w:type="dxa"/>
              <w:left w:w="96" w:type="dxa"/>
              <w:bottom w:w="60" w:type="dxa"/>
              <w:right w:w="0" w:type="dxa"/>
            </w:tcMar>
            <w:vAlign w:val="center"/>
          </w:tcPr>
          <w:p w14:paraId="18403757" w14:textId="77777777" w:rsidR="00533849" w:rsidRDefault="00000000" w:rsidP="00841DE8">
            <w:pPr>
              <w:spacing w:line="150" w:lineRule="atLeast"/>
              <w:rPr>
                <w:rFonts w:eastAsia="Segoe UI"/>
              </w:rPr>
            </w:pPr>
            <w:r>
              <w:rPr>
                <w:rFonts w:eastAsia="Segoe UI"/>
                <w:lang w:val="en-US" w:eastAsia="zh-CN" w:bidi="ar"/>
              </w:rPr>
              <w:t>Antimalarial drug development; Standardized extracts for combination therapy</w:t>
            </w:r>
          </w:p>
        </w:tc>
      </w:tr>
      <w:tr w:rsidR="00533849" w14:paraId="332AB0E1" w14:textId="77777777" w:rsidTr="00841DE8">
        <w:trPr>
          <w:trHeight w:val="1091"/>
        </w:trPr>
        <w:tc>
          <w:tcPr>
            <w:tcW w:w="0" w:type="auto"/>
            <w:shd w:val="clear" w:color="auto" w:fill="auto"/>
            <w:tcMar>
              <w:top w:w="60" w:type="dxa"/>
              <w:left w:w="0" w:type="dxa"/>
              <w:bottom w:w="60" w:type="dxa"/>
              <w:right w:w="96" w:type="dxa"/>
            </w:tcMar>
            <w:vAlign w:val="center"/>
          </w:tcPr>
          <w:p w14:paraId="43B6F5B2" w14:textId="77777777" w:rsidR="00533849" w:rsidRDefault="00000000">
            <w:pPr>
              <w:spacing w:line="150" w:lineRule="atLeast"/>
              <w:jc w:val="both"/>
              <w:rPr>
                <w:rFonts w:eastAsia="Segoe UI"/>
              </w:rPr>
            </w:pPr>
            <w:r>
              <w:rPr>
                <w:rFonts w:eastAsia="Segoe UI"/>
                <w:lang w:val="en-US" w:eastAsia="zh-CN" w:bidi="ar"/>
              </w:rPr>
              <w:t>Morinda morindoides</w:t>
            </w:r>
          </w:p>
        </w:tc>
        <w:tc>
          <w:tcPr>
            <w:tcW w:w="0" w:type="auto"/>
            <w:shd w:val="clear" w:color="auto" w:fill="auto"/>
            <w:tcMar>
              <w:top w:w="60" w:type="dxa"/>
              <w:left w:w="96" w:type="dxa"/>
              <w:bottom w:w="60" w:type="dxa"/>
              <w:right w:w="96" w:type="dxa"/>
            </w:tcMar>
            <w:vAlign w:val="center"/>
          </w:tcPr>
          <w:p w14:paraId="5CFC7CB6" w14:textId="77777777" w:rsidR="00533849" w:rsidRDefault="00000000">
            <w:pPr>
              <w:spacing w:line="150" w:lineRule="atLeast"/>
              <w:jc w:val="both"/>
              <w:rPr>
                <w:rFonts w:eastAsia="Segoe UI"/>
              </w:rPr>
            </w:pPr>
            <w:r>
              <w:rPr>
                <w:rFonts w:eastAsia="Segoe UI"/>
                <w:lang w:val="en-US" w:eastAsia="zh-CN" w:bidi="ar"/>
              </w:rPr>
              <w:t>Prikro</w:t>
            </w:r>
          </w:p>
        </w:tc>
        <w:tc>
          <w:tcPr>
            <w:tcW w:w="0" w:type="auto"/>
            <w:shd w:val="clear" w:color="auto" w:fill="auto"/>
            <w:tcMar>
              <w:top w:w="60" w:type="dxa"/>
              <w:left w:w="96" w:type="dxa"/>
              <w:bottom w:w="60" w:type="dxa"/>
              <w:right w:w="96" w:type="dxa"/>
            </w:tcMar>
            <w:vAlign w:val="center"/>
          </w:tcPr>
          <w:p w14:paraId="5D494428" w14:textId="77777777" w:rsidR="00533849" w:rsidRDefault="00000000">
            <w:pPr>
              <w:spacing w:line="150" w:lineRule="atLeast"/>
              <w:jc w:val="both"/>
              <w:rPr>
                <w:rFonts w:eastAsia="Segoe UI"/>
              </w:rPr>
            </w:pPr>
            <w:r>
              <w:rPr>
                <w:rFonts w:eastAsia="Segoe UI"/>
                <w:lang w:val="en-US" w:eastAsia="zh-CN" w:bidi="ar"/>
              </w:rPr>
              <w:t>Iridoids, anthraquinones</w:t>
            </w:r>
          </w:p>
        </w:tc>
        <w:tc>
          <w:tcPr>
            <w:tcW w:w="0" w:type="auto"/>
            <w:shd w:val="clear" w:color="auto" w:fill="auto"/>
            <w:tcMar>
              <w:top w:w="60" w:type="dxa"/>
              <w:left w:w="96" w:type="dxa"/>
              <w:bottom w:w="60" w:type="dxa"/>
              <w:right w:w="96" w:type="dxa"/>
            </w:tcMar>
            <w:vAlign w:val="center"/>
          </w:tcPr>
          <w:p w14:paraId="5EC89DE7" w14:textId="77777777" w:rsidR="00533849" w:rsidRDefault="00000000">
            <w:pPr>
              <w:spacing w:line="150" w:lineRule="atLeast"/>
              <w:jc w:val="both"/>
              <w:rPr>
                <w:rFonts w:eastAsia="Segoe UI"/>
              </w:rPr>
            </w:pPr>
            <w:r>
              <w:rPr>
                <w:rFonts w:eastAsia="Segoe UI"/>
                <w:lang w:val="en-US" w:eastAsia="zh-CN" w:bidi="ar"/>
              </w:rPr>
              <w:t>Malaria, diabetes, hypertension</w:t>
            </w:r>
          </w:p>
        </w:tc>
        <w:tc>
          <w:tcPr>
            <w:tcW w:w="0" w:type="auto"/>
            <w:shd w:val="clear" w:color="auto" w:fill="auto"/>
            <w:tcMar>
              <w:top w:w="60" w:type="dxa"/>
              <w:left w:w="96" w:type="dxa"/>
              <w:bottom w:w="60" w:type="dxa"/>
              <w:right w:w="0" w:type="dxa"/>
            </w:tcMar>
            <w:vAlign w:val="center"/>
          </w:tcPr>
          <w:p w14:paraId="515E8BEC" w14:textId="77777777" w:rsidR="00533849" w:rsidRDefault="00000000" w:rsidP="00841DE8">
            <w:pPr>
              <w:spacing w:line="150" w:lineRule="atLeast"/>
              <w:rPr>
                <w:rFonts w:eastAsia="Segoe UI"/>
              </w:rPr>
            </w:pPr>
            <w:r>
              <w:rPr>
                <w:rFonts w:eastAsia="Segoe UI"/>
                <w:lang w:val="en-US" w:eastAsia="zh-CN" w:bidi="ar"/>
              </w:rPr>
              <w:t>Antiplasmodial lead compounds; nutraceutical formulations</w:t>
            </w:r>
          </w:p>
        </w:tc>
      </w:tr>
      <w:tr w:rsidR="00533849" w14:paraId="538C40DD" w14:textId="77777777" w:rsidTr="00841DE8">
        <w:trPr>
          <w:trHeight w:val="1103"/>
        </w:trPr>
        <w:tc>
          <w:tcPr>
            <w:tcW w:w="0" w:type="auto"/>
            <w:shd w:val="clear" w:color="auto" w:fill="auto"/>
            <w:tcMar>
              <w:top w:w="60" w:type="dxa"/>
              <w:left w:w="0" w:type="dxa"/>
              <w:bottom w:w="60" w:type="dxa"/>
              <w:right w:w="96" w:type="dxa"/>
            </w:tcMar>
            <w:vAlign w:val="center"/>
          </w:tcPr>
          <w:p w14:paraId="07D080E8" w14:textId="77777777" w:rsidR="00533849" w:rsidRDefault="00000000">
            <w:pPr>
              <w:spacing w:line="150" w:lineRule="atLeast"/>
              <w:jc w:val="both"/>
              <w:rPr>
                <w:rFonts w:eastAsia="Segoe UI"/>
              </w:rPr>
            </w:pPr>
            <w:r>
              <w:rPr>
                <w:rFonts w:eastAsia="Segoe UI"/>
                <w:lang w:val="en-US" w:eastAsia="zh-CN" w:bidi="ar"/>
              </w:rPr>
              <w:t>Terminalia ivorensis</w:t>
            </w:r>
          </w:p>
        </w:tc>
        <w:tc>
          <w:tcPr>
            <w:tcW w:w="0" w:type="auto"/>
            <w:shd w:val="clear" w:color="auto" w:fill="auto"/>
            <w:tcMar>
              <w:top w:w="60" w:type="dxa"/>
              <w:left w:w="96" w:type="dxa"/>
              <w:bottom w:w="60" w:type="dxa"/>
              <w:right w:w="96" w:type="dxa"/>
            </w:tcMar>
            <w:vAlign w:val="center"/>
          </w:tcPr>
          <w:p w14:paraId="64EDFD99" w14:textId="77777777" w:rsidR="00533849" w:rsidRDefault="00000000">
            <w:pPr>
              <w:spacing w:line="150" w:lineRule="atLeast"/>
              <w:jc w:val="both"/>
              <w:rPr>
                <w:rFonts w:eastAsia="Segoe UI"/>
              </w:rPr>
            </w:pPr>
            <w:r>
              <w:rPr>
                <w:rFonts w:eastAsia="Segoe UI"/>
                <w:lang w:val="en-US" w:eastAsia="zh-CN" w:bidi="ar"/>
              </w:rPr>
              <w:t>Framiré</w:t>
            </w:r>
          </w:p>
        </w:tc>
        <w:tc>
          <w:tcPr>
            <w:tcW w:w="0" w:type="auto"/>
            <w:shd w:val="clear" w:color="auto" w:fill="auto"/>
            <w:tcMar>
              <w:top w:w="60" w:type="dxa"/>
              <w:left w:w="96" w:type="dxa"/>
              <w:bottom w:w="60" w:type="dxa"/>
              <w:right w:w="96" w:type="dxa"/>
            </w:tcMar>
            <w:vAlign w:val="center"/>
          </w:tcPr>
          <w:p w14:paraId="1926D510" w14:textId="77777777" w:rsidR="00533849" w:rsidRDefault="00000000">
            <w:pPr>
              <w:spacing w:line="150" w:lineRule="atLeast"/>
              <w:jc w:val="both"/>
              <w:rPr>
                <w:rFonts w:eastAsia="Segoe UI"/>
              </w:rPr>
            </w:pPr>
            <w:r>
              <w:rPr>
                <w:rFonts w:eastAsia="Segoe UI"/>
                <w:lang w:val="en-US" w:eastAsia="zh-CN" w:bidi="ar"/>
              </w:rPr>
              <w:t>Tannins, ellagic acid</w:t>
            </w:r>
          </w:p>
        </w:tc>
        <w:tc>
          <w:tcPr>
            <w:tcW w:w="0" w:type="auto"/>
            <w:shd w:val="clear" w:color="auto" w:fill="auto"/>
            <w:tcMar>
              <w:top w:w="60" w:type="dxa"/>
              <w:left w:w="96" w:type="dxa"/>
              <w:bottom w:w="60" w:type="dxa"/>
              <w:right w:w="96" w:type="dxa"/>
            </w:tcMar>
            <w:vAlign w:val="center"/>
          </w:tcPr>
          <w:p w14:paraId="01C891AC" w14:textId="77777777" w:rsidR="00533849" w:rsidRDefault="00000000">
            <w:pPr>
              <w:spacing w:line="150" w:lineRule="atLeast"/>
              <w:jc w:val="both"/>
              <w:rPr>
                <w:rFonts w:eastAsia="Segoe UI"/>
              </w:rPr>
            </w:pPr>
            <w:r>
              <w:rPr>
                <w:rFonts w:eastAsia="Segoe UI"/>
                <w:lang w:val="en-US" w:eastAsia="zh-CN" w:bidi="ar"/>
              </w:rPr>
              <w:t>Wound healing, gastrointestinal disorders</w:t>
            </w:r>
          </w:p>
        </w:tc>
        <w:tc>
          <w:tcPr>
            <w:tcW w:w="0" w:type="auto"/>
            <w:shd w:val="clear" w:color="auto" w:fill="auto"/>
            <w:tcMar>
              <w:top w:w="60" w:type="dxa"/>
              <w:left w:w="96" w:type="dxa"/>
              <w:bottom w:w="60" w:type="dxa"/>
              <w:right w:w="0" w:type="dxa"/>
            </w:tcMar>
            <w:vAlign w:val="center"/>
          </w:tcPr>
          <w:p w14:paraId="06891235" w14:textId="77777777" w:rsidR="00533849" w:rsidRDefault="00000000" w:rsidP="00841DE8">
            <w:pPr>
              <w:spacing w:line="150" w:lineRule="atLeast"/>
              <w:rPr>
                <w:rFonts w:eastAsia="Segoe UI"/>
              </w:rPr>
            </w:pPr>
            <w:r>
              <w:rPr>
                <w:rFonts w:eastAsia="Segoe UI"/>
                <w:lang w:val="en-US" w:eastAsia="zh-CN" w:bidi="ar"/>
              </w:rPr>
              <w:t>Wound-care formulations; gastrointestinal nutraceuticals</w:t>
            </w:r>
          </w:p>
        </w:tc>
      </w:tr>
      <w:tr w:rsidR="00533849" w14:paraId="66595109" w14:textId="77777777" w:rsidTr="00841DE8">
        <w:trPr>
          <w:trHeight w:val="2107"/>
        </w:trPr>
        <w:tc>
          <w:tcPr>
            <w:tcW w:w="0" w:type="auto"/>
            <w:shd w:val="clear" w:color="auto" w:fill="auto"/>
            <w:tcMar>
              <w:top w:w="60" w:type="dxa"/>
              <w:left w:w="0" w:type="dxa"/>
              <w:bottom w:w="60" w:type="dxa"/>
              <w:right w:w="96" w:type="dxa"/>
            </w:tcMar>
            <w:vAlign w:val="center"/>
          </w:tcPr>
          <w:p w14:paraId="46A1454D" w14:textId="77777777" w:rsidR="00533849" w:rsidRDefault="00000000">
            <w:pPr>
              <w:spacing w:line="150" w:lineRule="atLeast"/>
              <w:jc w:val="both"/>
              <w:rPr>
                <w:rFonts w:eastAsia="Segoe UI"/>
              </w:rPr>
            </w:pPr>
            <w:r>
              <w:rPr>
                <w:rFonts w:eastAsia="Segoe UI"/>
                <w:lang w:val="en-US" w:eastAsia="zh-CN" w:bidi="ar"/>
              </w:rPr>
              <w:t>Alstonia boonei</w:t>
            </w:r>
          </w:p>
        </w:tc>
        <w:tc>
          <w:tcPr>
            <w:tcW w:w="0" w:type="auto"/>
            <w:shd w:val="clear" w:color="auto" w:fill="auto"/>
            <w:tcMar>
              <w:top w:w="60" w:type="dxa"/>
              <w:left w:w="96" w:type="dxa"/>
              <w:bottom w:w="60" w:type="dxa"/>
              <w:right w:w="96" w:type="dxa"/>
            </w:tcMar>
            <w:vAlign w:val="center"/>
          </w:tcPr>
          <w:p w14:paraId="33EC8286" w14:textId="77777777" w:rsidR="00533849" w:rsidRDefault="00000000">
            <w:pPr>
              <w:spacing w:line="150" w:lineRule="atLeast"/>
              <w:jc w:val="both"/>
              <w:rPr>
                <w:rFonts w:eastAsia="Segoe UI"/>
              </w:rPr>
            </w:pPr>
            <w:r>
              <w:rPr>
                <w:rFonts w:eastAsia="Segoe UI"/>
                <w:lang w:val="en-US" w:eastAsia="zh-CN" w:bidi="ar"/>
              </w:rPr>
              <w:t>Emien</w:t>
            </w:r>
          </w:p>
        </w:tc>
        <w:tc>
          <w:tcPr>
            <w:tcW w:w="0" w:type="auto"/>
            <w:shd w:val="clear" w:color="auto" w:fill="auto"/>
            <w:tcMar>
              <w:top w:w="60" w:type="dxa"/>
              <w:left w:w="96" w:type="dxa"/>
              <w:bottom w:w="60" w:type="dxa"/>
              <w:right w:w="96" w:type="dxa"/>
            </w:tcMar>
            <w:vAlign w:val="center"/>
          </w:tcPr>
          <w:p w14:paraId="13582992" w14:textId="77777777" w:rsidR="00533849" w:rsidRDefault="00000000">
            <w:pPr>
              <w:spacing w:line="150" w:lineRule="atLeast"/>
              <w:jc w:val="both"/>
              <w:rPr>
                <w:rFonts w:eastAsia="Segoe UI"/>
              </w:rPr>
            </w:pPr>
            <w:r>
              <w:rPr>
                <w:rFonts w:eastAsia="Segoe UI"/>
                <w:lang w:val="en-US" w:eastAsia="zh-CN" w:bidi="ar"/>
              </w:rPr>
              <w:t>Alkaloids (echitamine, akuammidine)</w:t>
            </w:r>
          </w:p>
        </w:tc>
        <w:tc>
          <w:tcPr>
            <w:tcW w:w="0" w:type="auto"/>
            <w:shd w:val="clear" w:color="auto" w:fill="auto"/>
            <w:tcMar>
              <w:top w:w="60" w:type="dxa"/>
              <w:left w:w="96" w:type="dxa"/>
              <w:bottom w:w="60" w:type="dxa"/>
              <w:right w:w="96" w:type="dxa"/>
            </w:tcMar>
            <w:vAlign w:val="center"/>
          </w:tcPr>
          <w:p w14:paraId="383F862E" w14:textId="77777777" w:rsidR="00533849" w:rsidRDefault="00000000">
            <w:pPr>
              <w:spacing w:line="150" w:lineRule="atLeast"/>
              <w:jc w:val="both"/>
              <w:rPr>
                <w:rFonts w:eastAsia="Segoe UI"/>
              </w:rPr>
            </w:pPr>
            <w:r>
              <w:rPr>
                <w:rFonts w:eastAsia="Segoe UI"/>
                <w:lang w:val="en-US" w:eastAsia="zh-CN" w:bidi="ar"/>
              </w:rPr>
              <w:t>Malaria, fever, hypertension</w:t>
            </w:r>
          </w:p>
        </w:tc>
        <w:tc>
          <w:tcPr>
            <w:tcW w:w="0" w:type="auto"/>
            <w:shd w:val="clear" w:color="auto" w:fill="auto"/>
            <w:tcMar>
              <w:top w:w="60" w:type="dxa"/>
              <w:left w:w="96" w:type="dxa"/>
              <w:bottom w:w="60" w:type="dxa"/>
              <w:right w:w="0" w:type="dxa"/>
            </w:tcMar>
            <w:vAlign w:val="center"/>
          </w:tcPr>
          <w:p w14:paraId="780B58C4" w14:textId="77777777" w:rsidR="00533849" w:rsidRDefault="00000000" w:rsidP="00841DE8">
            <w:pPr>
              <w:spacing w:line="150" w:lineRule="atLeast"/>
              <w:rPr>
                <w:rFonts w:eastAsia="Segoe UI"/>
              </w:rPr>
            </w:pPr>
            <w:r>
              <w:rPr>
                <w:rFonts w:eastAsia="Segoe UI"/>
                <w:lang w:val="en-US" w:eastAsia="zh-CN" w:bidi="ar"/>
              </w:rPr>
              <w:t>Antihypertensive standardized extracts; febrifuge formulations</w:t>
            </w:r>
          </w:p>
        </w:tc>
      </w:tr>
      <w:tr w:rsidR="00533849" w14:paraId="3D81CA16" w14:textId="77777777" w:rsidTr="00841DE8">
        <w:trPr>
          <w:trHeight w:val="827"/>
        </w:trPr>
        <w:tc>
          <w:tcPr>
            <w:tcW w:w="0" w:type="auto"/>
            <w:shd w:val="clear" w:color="auto" w:fill="auto"/>
            <w:tcMar>
              <w:top w:w="60" w:type="dxa"/>
              <w:left w:w="0" w:type="dxa"/>
              <w:bottom w:w="60" w:type="dxa"/>
              <w:right w:w="96" w:type="dxa"/>
            </w:tcMar>
            <w:vAlign w:val="center"/>
          </w:tcPr>
          <w:p w14:paraId="0B86AD99" w14:textId="77777777" w:rsidR="00533849" w:rsidRDefault="00000000">
            <w:pPr>
              <w:spacing w:line="150" w:lineRule="atLeast"/>
              <w:jc w:val="both"/>
              <w:rPr>
                <w:rFonts w:eastAsia="Segoe UI"/>
              </w:rPr>
            </w:pPr>
            <w:r>
              <w:rPr>
                <w:rFonts w:eastAsia="Segoe UI"/>
                <w:lang w:val="en-US" w:eastAsia="zh-CN" w:bidi="ar"/>
              </w:rPr>
              <w:t>Khaya senegalensis</w:t>
            </w:r>
          </w:p>
        </w:tc>
        <w:tc>
          <w:tcPr>
            <w:tcW w:w="0" w:type="auto"/>
            <w:shd w:val="clear" w:color="auto" w:fill="auto"/>
            <w:tcMar>
              <w:top w:w="60" w:type="dxa"/>
              <w:left w:w="96" w:type="dxa"/>
              <w:bottom w:w="60" w:type="dxa"/>
              <w:right w:w="96" w:type="dxa"/>
            </w:tcMar>
            <w:vAlign w:val="center"/>
          </w:tcPr>
          <w:p w14:paraId="48BE8C91" w14:textId="77777777" w:rsidR="00533849" w:rsidRDefault="00000000">
            <w:pPr>
              <w:spacing w:line="150" w:lineRule="atLeast"/>
              <w:jc w:val="both"/>
              <w:rPr>
                <w:rFonts w:eastAsia="Segoe UI"/>
              </w:rPr>
            </w:pPr>
            <w:r>
              <w:rPr>
                <w:rFonts w:eastAsia="Segoe UI"/>
                <w:lang w:val="en-US" w:eastAsia="zh-CN" w:bidi="ar"/>
              </w:rPr>
              <w:t>Caïlcédrat</w:t>
            </w:r>
          </w:p>
        </w:tc>
        <w:tc>
          <w:tcPr>
            <w:tcW w:w="0" w:type="auto"/>
            <w:shd w:val="clear" w:color="auto" w:fill="auto"/>
            <w:tcMar>
              <w:top w:w="60" w:type="dxa"/>
              <w:left w:w="96" w:type="dxa"/>
              <w:bottom w:w="60" w:type="dxa"/>
              <w:right w:w="96" w:type="dxa"/>
            </w:tcMar>
            <w:vAlign w:val="center"/>
          </w:tcPr>
          <w:p w14:paraId="5123632D" w14:textId="77777777" w:rsidR="00533849" w:rsidRDefault="00000000">
            <w:pPr>
              <w:spacing w:line="150" w:lineRule="atLeast"/>
              <w:jc w:val="both"/>
              <w:rPr>
                <w:rFonts w:eastAsia="Segoe UI"/>
              </w:rPr>
            </w:pPr>
            <w:r>
              <w:rPr>
                <w:rFonts w:eastAsia="Segoe UI"/>
                <w:lang w:val="en-US" w:eastAsia="zh-CN" w:bidi="ar"/>
              </w:rPr>
              <w:t>Limonoids (kayanolide)</w:t>
            </w:r>
          </w:p>
        </w:tc>
        <w:tc>
          <w:tcPr>
            <w:tcW w:w="0" w:type="auto"/>
            <w:shd w:val="clear" w:color="auto" w:fill="auto"/>
            <w:tcMar>
              <w:top w:w="60" w:type="dxa"/>
              <w:left w:w="96" w:type="dxa"/>
              <w:bottom w:w="60" w:type="dxa"/>
              <w:right w:w="96" w:type="dxa"/>
            </w:tcMar>
            <w:vAlign w:val="center"/>
          </w:tcPr>
          <w:p w14:paraId="55A0A0A5" w14:textId="77777777" w:rsidR="00533849" w:rsidRDefault="00000000">
            <w:pPr>
              <w:spacing w:line="150" w:lineRule="atLeast"/>
              <w:jc w:val="both"/>
              <w:rPr>
                <w:rFonts w:eastAsia="Segoe UI"/>
              </w:rPr>
            </w:pPr>
            <w:r>
              <w:rPr>
                <w:rFonts w:eastAsia="Segoe UI"/>
                <w:lang w:val="en-US" w:eastAsia="zh-CN" w:bidi="ar"/>
              </w:rPr>
              <w:t>Malaria, helminthiasis</w:t>
            </w:r>
          </w:p>
        </w:tc>
        <w:tc>
          <w:tcPr>
            <w:tcW w:w="0" w:type="auto"/>
            <w:shd w:val="clear" w:color="auto" w:fill="auto"/>
            <w:tcMar>
              <w:top w:w="60" w:type="dxa"/>
              <w:left w:w="96" w:type="dxa"/>
              <w:bottom w:w="60" w:type="dxa"/>
              <w:right w:w="0" w:type="dxa"/>
            </w:tcMar>
            <w:vAlign w:val="center"/>
          </w:tcPr>
          <w:p w14:paraId="0E3FB7FB" w14:textId="77777777" w:rsidR="00533849" w:rsidRDefault="00000000" w:rsidP="00841DE8">
            <w:pPr>
              <w:spacing w:line="150" w:lineRule="atLeast"/>
              <w:rPr>
                <w:rFonts w:eastAsia="Segoe UI"/>
              </w:rPr>
            </w:pPr>
            <w:r>
              <w:rPr>
                <w:rFonts w:eastAsia="Segoe UI"/>
                <w:lang w:val="en-US" w:eastAsia="zh-CN" w:bidi="ar"/>
              </w:rPr>
              <w:t>Antiparasitic drug development; standardized extracts</w:t>
            </w:r>
          </w:p>
        </w:tc>
      </w:tr>
      <w:tr w:rsidR="00533849" w14:paraId="05183840" w14:textId="77777777" w:rsidTr="00841DE8">
        <w:trPr>
          <w:trHeight w:val="1091"/>
        </w:trPr>
        <w:tc>
          <w:tcPr>
            <w:tcW w:w="0" w:type="auto"/>
            <w:shd w:val="clear" w:color="auto" w:fill="auto"/>
            <w:tcMar>
              <w:top w:w="60" w:type="dxa"/>
              <w:left w:w="0" w:type="dxa"/>
              <w:bottom w:w="60" w:type="dxa"/>
              <w:right w:w="96" w:type="dxa"/>
            </w:tcMar>
            <w:vAlign w:val="center"/>
          </w:tcPr>
          <w:p w14:paraId="373286C8" w14:textId="77777777" w:rsidR="00533849" w:rsidRDefault="00000000">
            <w:pPr>
              <w:spacing w:line="150" w:lineRule="atLeast"/>
              <w:jc w:val="both"/>
              <w:rPr>
                <w:rFonts w:eastAsia="Segoe UI"/>
              </w:rPr>
            </w:pPr>
            <w:r>
              <w:rPr>
                <w:rFonts w:eastAsia="Segoe UI"/>
                <w:lang w:val="en-US" w:eastAsia="zh-CN" w:bidi="ar"/>
              </w:rPr>
              <w:t>Carapa procera</w:t>
            </w:r>
          </w:p>
        </w:tc>
        <w:tc>
          <w:tcPr>
            <w:tcW w:w="0" w:type="auto"/>
            <w:shd w:val="clear" w:color="auto" w:fill="auto"/>
            <w:tcMar>
              <w:top w:w="60" w:type="dxa"/>
              <w:left w:w="96" w:type="dxa"/>
              <w:bottom w:w="60" w:type="dxa"/>
              <w:right w:w="96" w:type="dxa"/>
            </w:tcMar>
            <w:vAlign w:val="center"/>
          </w:tcPr>
          <w:p w14:paraId="286989DD" w14:textId="77777777" w:rsidR="00533849" w:rsidRDefault="00000000">
            <w:pPr>
              <w:spacing w:line="150" w:lineRule="atLeast"/>
              <w:jc w:val="both"/>
              <w:rPr>
                <w:rFonts w:eastAsia="Segoe UI"/>
              </w:rPr>
            </w:pPr>
            <w:r>
              <w:rPr>
                <w:rFonts w:eastAsia="Segoe UI"/>
                <w:lang w:val="en-US" w:eastAsia="zh-CN" w:bidi="ar"/>
              </w:rPr>
              <w:t>Agbati</w:t>
            </w:r>
          </w:p>
        </w:tc>
        <w:tc>
          <w:tcPr>
            <w:tcW w:w="0" w:type="auto"/>
            <w:shd w:val="clear" w:color="auto" w:fill="auto"/>
            <w:tcMar>
              <w:top w:w="60" w:type="dxa"/>
              <w:left w:w="96" w:type="dxa"/>
              <w:bottom w:w="60" w:type="dxa"/>
              <w:right w:w="96" w:type="dxa"/>
            </w:tcMar>
            <w:vAlign w:val="center"/>
          </w:tcPr>
          <w:p w14:paraId="73DAA9A4" w14:textId="77777777" w:rsidR="00533849" w:rsidRDefault="00000000">
            <w:pPr>
              <w:spacing w:line="150" w:lineRule="atLeast"/>
              <w:jc w:val="both"/>
              <w:rPr>
                <w:rFonts w:eastAsia="Segoe UI"/>
              </w:rPr>
            </w:pPr>
            <w:r>
              <w:rPr>
                <w:rFonts w:eastAsia="Segoe UI"/>
                <w:lang w:val="en-US" w:eastAsia="zh-CN" w:bidi="ar"/>
              </w:rPr>
              <w:t>Limonoids, triterpenoids</w:t>
            </w:r>
          </w:p>
        </w:tc>
        <w:tc>
          <w:tcPr>
            <w:tcW w:w="0" w:type="auto"/>
            <w:shd w:val="clear" w:color="auto" w:fill="auto"/>
            <w:tcMar>
              <w:top w:w="60" w:type="dxa"/>
              <w:left w:w="96" w:type="dxa"/>
              <w:bottom w:w="60" w:type="dxa"/>
              <w:right w:w="96" w:type="dxa"/>
            </w:tcMar>
            <w:vAlign w:val="center"/>
          </w:tcPr>
          <w:p w14:paraId="26AAE7EC" w14:textId="77777777" w:rsidR="00533849" w:rsidRDefault="00000000">
            <w:pPr>
              <w:spacing w:line="150" w:lineRule="atLeast"/>
              <w:jc w:val="both"/>
              <w:rPr>
                <w:rFonts w:eastAsia="Segoe UI"/>
              </w:rPr>
            </w:pPr>
            <w:r>
              <w:rPr>
                <w:rFonts w:eastAsia="Segoe UI"/>
                <w:lang w:val="en-US" w:eastAsia="zh-CN" w:bidi="ar"/>
              </w:rPr>
              <w:t>Skin diseases, malaria</w:t>
            </w:r>
          </w:p>
        </w:tc>
        <w:tc>
          <w:tcPr>
            <w:tcW w:w="0" w:type="auto"/>
            <w:shd w:val="clear" w:color="auto" w:fill="auto"/>
            <w:tcMar>
              <w:top w:w="60" w:type="dxa"/>
              <w:left w:w="96" w:type="dxa"/>
              <w:bottom w:w="60" w:type="dxa"/>
              <w:right w:w="0" w:type="dxa"/>
            </w:tcMar>
            <w:vAlign w:val="center"/>
          </w:tcPr>
          <w:p w14:paraId="05901F95" w14:textId="77777777" w:rsidR="00533849" w:rsidRDefault="00000000" w:rsidP="00841DE8">
            <w:pPr>
              <w:spacing w:line="150" w:lineRule="atLeast"/>
              <w:rPr>
                <w:rFonts w:eastAsia="Segoe UI"/>
              </w:rPr>
            </w:pPr>
            <w:r>
              <w:rPr>
                <w:rFonts w:eastAsia="Segoe UI"/>
                <w:lang w:val="en-US" w:eastAsia="zh-CN" w:bidi="ar"/>
              </w:rPr>
              <w:t>Anti-inflammatory dermatological formulations; cosmetic bioactive</w:t>
            </w:r>
          </w:p>
        </w:tc>
      </w:tr>
      <w:tr w:rsidR="00533849" w14:paraId="51C1C56E" w14:textId="77777777" w:rsidTr="00841DE8">
        <w:trPr>
          <w:trHeight w:val="827"/>
        </w:trPr>
        <w:tc>
          <w:tcPr>
            <w:tcW w:w="0" w:type="auto"/>
            <w:shd w:val="clear" w:color="auto" w:fill="auto"/>
            <w:tcMar>
              <w:top w:w="60" w:type="dxa"/>
              <w:left w:w="0" w:type="dxa"/>
              <w:bottom w:w="60" w:type="dxa"/>
              <w:right w:w="96" w:type="dxa"/>
            </w:tcMar>
            <w:vAlign w:val="center"/>
          </w:tcPr>
          <w:p w14:paraId="0D32ADAB" w14:textId="77777777" w:rsidR="00533849" w:rsidRDefault="00000000">
            <w:pPr>
              <w:spacing w:line="150" w:lineRule="atLeast"/>
              <w:jc w:val="both"/>
              <w:rPr>
                <w:rFonts w:eastAsia="Segoe UI"/>
              </w:rPr>
            </w:pPr>
            <w:r>
              <w:rPr>
                <w:rFonts w:eastAsia="Segoe UI"/>
                <w:lang w:val="en-US" w:eastAsia="zh-CN" w:bidi="ar"/>
              </w:rPr>
              <w:t>Vernonia colorata</w:t>
            </w:r>
          </w:p>
        </w:tc>
        <w:tc>
          <w:tcPr>
            <w:tcW w:w="0" w:type="auto"/>
            <w:shd w:val="clear" w:color="auto" w:fill="auto"/>
            <w:tcMar>
              <w:top w:w="60" w:type="dxa"/>
              <w:left w:w="96" w:type="dxa"/>
              <w:bottom w:w="60" w:type="dxa"/>
              <w:right w:w="96" w:type="dxa"/>
            </w:tcMar>
            <w:vAlign w:val="center"/>
          </w:tcPr>
          <w:p w14:paraId="6C3D385C" w14:textId="77777777" w:rsidR="00533849" w:rsidRDefault="00000000">
            <w:pPr>
              <w:spacing w:line="150" w:lineRule="atLeast"/>
              <w:jc w:val="both"/>
              <w:rPr>
                <w:rFonts w:eastAsia="Segoe UI"/>
              </w:rPr>
            </w:pPr>
            <w:r>
              <w:rPr>
                <w:rFonts w:eastAsia="Segoe UI"/>
                <w:lang w:val="en-US" w:eastAsia="zh-CN" w:bidi="ar"/>
              </w:rPr>
              <w:t>Tié-nou</w:t>
            </w:r>
          </w:p>
        </w:tc>
        <w:tc>
          <w:tcPr>
            <w:tcW w:w="0" w:type="auto"/>
            <w:shd w:val="clear" w:color="auto" w:fill="auto"/>
            <w:tcMar>
              <w:top w:w="60" w:type="dxa"/>
              <w:left w:w="96" w:type="dxa"/>
              <w:bottom w:w="60" w:type="dxa"/>
              <w:right w:w="96" w:type="dxa"/>
            </w:tcMar>
            <w:vAlign w:val="center"/>
          </w:tcPr>
          <w:p w14:paraId="03A806F4" w14:textId="77777777" w:rsidR="00533849" w:rsidRDefault="00000000">
            <w:pPr>
              <w:spacing w:line="150" w:lineRule="atLeast"/>
              <w:jc w:val="both"/>
              <w:rPr>
                <w:rFonts w:eastAsia="Segoe UI"/>
              </w:rPr>
            </w:pPr>
            <w:r>
              <w:rPr>
                <w:rFonts w:eastAsia="Segoe UI"/>
                <w:lang w:val="en-US" w:eastAsia="zh-CN" w:bidi="ar"/>
              </w:rPr>
              <w:t>Sesquiterpene lactones</w:t>
            </w:r>
          </w:p>
        </w:tc>
        <w:tc>
          <w:tcPr>
            <w:tcW w:w="0" w:type="auto"/>
            <w:shd w:val="clear" w:color="auto" w:fill="auto"/>
            <w:tcMar>
              <w:top w:w="60" w:type="dxa"/>
              <w:left w:w="96" w:type="dxa"/>
              <w:bottom w:w="60" w:type="dxa"/>
              <w:right w:w="96" w:type="dxa"/>
            </w:tcMar>
            <w:vAlign w:val="center"/>
          </w:tcPr>
          <w:p w14:paraId="601F76E9" w14:textId="77777777" w:rsidR="00533849" w:rsidRDefault="00000000">
            <w:pPr>
              <w:spacing w:line="150" w:lineRule="atLeast"/>
              <w:jc w:val="both"/>
              <w:rPr>
                <w:rFonts w:eastAsia="Segoe UI"/>
              </w:rPr>
            </w:pPr>
            <w:r>
              <w:rPr>
                <w:rFonts w:eastAsia="Segoe UI"/>
                <w:lang w:val="en-US" w:eastAsia="zh-CN" w:bidi="ar"/>
              </w:rPr>
              <w:t>Malaria, gastrointestinal disorders</w:t>
            </w:r>
          </w:p>
        </w:tc>
        <w:tc>
          <w:tcPr>
            <w:tcW w:w="0" w:type="auto"/>
            <w:shd w:val="clear" w:color="auto" w:fill="auto"/>
            <w:tcMar>
              <w:top w:w="60" w:type="dxa"/>
              <w:left w:w="96" w:type="dxa"/>
              <w:bottom w:w="60" w:type="dxa"/>
              <w:right w:w="0" w:type="dxa"/>
            </w:tcMar>
            <w:vAlign w:val="center"/>
          </w:tcPr>
          <w:p w14:paraId="3221B24B" w14:textId="77777777" w:rsidR="00533849" w:rsidRDefault="00000000" w:rsidP="00841DE8">
            <w:pPr>
              <w:spacing w:line="150" w:lineRule="atLeast"/>
              <w:rPr>
                <w:rFonts w:eastAsia="Segoe UI"/>
              </w:rPr>
            </w:pPr>
            <w:r>
              <w:rPr>
                <w:rFonts w:eastAsia="Segoe UI"/>
                <w:lang w:val="en-US" w:eastAsia="zh-CN" w:bidi="ar"/>
              </w:rPr>
              <w:t>Antiplasmodial extracts; digestive health nutraceuticals</w:t>
            </w:r>
          </w:p>
        </w:tc>
      </w:tr>
      <w:tr w:rsidR="00533849" w14:paraId="4FC24C5A" w14:textId="77777777" w:rsidTr="00841DE8">
        <w:trPr>
          <w:trHeight w:val="551"/>
        </w:trPr>
        <w:tc>
          <w:tcPr>
            <w:tcW w:w="0" w:type="auto"/>
            <w:shd w:val="clear" w:color="auto" w:fill="auto"/>
            <w:tcMar>
              <w:top w:w="60" w:type="dxa"/>
              <w:left w:w="0" w:type="dxa"/>
              <w:bottom w:w="60" w:type="dxa"/>
              <w:right w:w="96" w:type="dxa"/>
            </w:tcMar>
            <w:vAlign w:val="center"/>
          </w:tcPr>
          <w:p w14:paraId="11BFF32B" w14:textId="77777777" w:rsidR="00533849" w:rsidRDefault="00000000">
            <w:pPr>
              <w:spacing w:line="150" w:lineRule="atLeast"/>
              <w:jc w:val="both"/>
              <w:rPr>
                <w:rFonts w:eastAsia="Segoe UI"/>
              </w:rPr>
            </w:pPr>
            <w:r>
              <w:rPr>
                <w:rFonts w:eastAsia="Segoe UI"/>
                <w:lang w:val="en-US" w:eastAsia="zh-CN" w:bidi="ar"/>
              </w:rPr>
              <w:t>Garcinia kola</w:t>
            </w:r>
          </w:p>
        </w:tc>
        <w:tc>
          <w:tcPr>
            <w:tcW w:w="0" w:type="auto"/>
            <w:shd w:val="clear" w:color="auto" w:fill="auto"/>
            <w:tcMar>
              <w:top w:w="60" w:type="dxa"/>
              <w:left w:w="96" w:type="dxa"/>
              <w:bottom w:w="60" w:type="dxa"/>
              <w:right w:w="96" w:type="dxa"/>
            </w:tcMar>
            <w:vAlign w:val="center"/>
          </w:tcPr>
          <w:p w14:paraId="0BE062CF" w14:textId="77777777" w:rsidR="00533849" w:rsidRDefault="00000000">
            <w:pPr>
              <w:spacing w:line="150" w:lineRule="atLeast"/>
              <w:jc w:val="both"/>
              <w:rPr>
                <w:rFonts w:eastAsia="Segoe UI"/>
              </w:rPr>
            </w:pPr>
            <w:r>
              <w:rPr>
                <w:rFonts w:eastAsia="Segoe UI"/>
                <w:lang w:val="en-US" w:eastAsia="zh-CN" w:bidi="ar"/>
              </w:rPr>
              <w:t>Petit cola</w:t>
            </w:r>
          </w:p>
        </w:tc>
        <w:tc>
          <w:tcPr>
            <w:tcW w:w="0" w:type="auto"/>
            <w:shd w:val="clear" w:color="auto" w:fill="auto"/>
            <w:tcMar>
              <w:top w:w="60" w:type="dxa"/>
              <w:left w:w="96" w:type="dxa"/>
              <w:bottom w:w="60" w:type="dxa"/>
              <w:right w:w="96" w:type="dxa"/>
            </w:tcMar>
            <w:vAlign w:val="center"/>
          </w:tcPr>
          <w:p w14:paraId="3A3B5CCA" w14:textId="77777777" w:rsidR="00533849" w:rsidRDefault="00000000">
            <w:pPr>
              <w:spacing w:line="150" w:lineRule="atLeast"/>
              <w:jc w:val="both"/>
              <w:rPr>
                <w:rFonts w:eastAsia="Segoe UI"/>
              </w:rPr>
            </w:pPr>
            <w:r>
              <w:rPr>
                <w:rFonts w:eastAsia="Segoe UI"/>
                <w:lang w:val="en-US" w:eastAsia="zh-CN" w:bidi="ar"/>
              </w:rPr>
              <w:t>Kolaviron, biflavonoids</w:t>
            </w:r>
          </w:p>
        </w:tc>
        <w:tc>
          <w:tcPr>
            <w:tcW w:w="0" w:type="auto"/>
            <w:shd w:val="clear" w:color="auto" w:fill="auto"/>
            <w:tcMar>
              <w:top w:w="60" w:type="dxa"/>
              <w:left w:w="96" w:type="dxa"/>
              <w:bottom w:w="60" w:type="dxa"/>
              <w:right w:w="96" w:type="dxa"/>
            </w:tcMar>
            <w:vAlign w:val="center"/>
          </w:tcPr>
          <w:p w14:paraId="12639710" w14:textId="77777777" w:rsidR="00533849" w:rsidRDefault="00000000">
            <w:pPr>
              <w:spacing w:line="150" w:lineRule="atLeast"/>
              <w:jc w:val="both"/>
              <w:rPr>
                <w:rFonts w:eastAsia="Segoe UI"/>
              </w:rPr>
            </w:pPr>
            <w:r>
              <w:rPr>
                <w:rFonts w:eastAsia="Segoe UI"/>
                <w:lang w:val="en-US" w:eastAsia="zh-CN" w:bidi="ar"/>
              </w:rPr>
              <w:t>Liver protection, respiratory health</w:t>
            </w:r>
          </w:p>
        </w:tc>
        <w:tc>
          <w:tcPr>
            <w:tcW w:w="0" w:type="auto"/>
            <w:shd w:val="clear" w:color="auto" w:fill="auto"/>
            <w:tcMar>
              <w:top w:w="60" w:type="dxa"/>
              <w:left w:w="96" w:type="dxa"/>
              <w:bottom w:w="60" w:type="dxa"/>
              <w:right w:w="0" w:type="dxa"/>
            </w:tcMar>
            <w:vAlign w:val="center"/>
          </w:tcPr>
          <w:p w14:paraId="11A706F3" w14:textId="77777777" w:rsidR="00533849" w:rsidRDefault="00000000" w:rsidP="00841DE8">
            <w:pPr>
              <w:spacing w:line="150" w:lineRule="atLeast"/>
              <w:rPr>
                <w:rFonts w:eastAsia="Segoe UI"/>
              </w:rPr>
            </w:pPr>
            <w:r>
              <w:rPr>
                <w:rFonts w:eastAsia="Segoe UI"/>
                <w:lang w:val="en-US" w:eastAsia="zh-CN" w:bidi="ar"/>
              </w:rPr>
              <w:t>Hepatoprotective nutraceuticals; respiratory supplements</w:t>
            </w:r>
          </w:p>
        </w:tc>
      </w:tr>
      <w:tr w:rsidR="00533849" w14:paraId="56908F88" w14:textId="77777777" w:rsidTr="00841DE8">
        <w:trPr>
          <w:trHeight w:val="1103"/>
        </w:trPr>
        <w:tc>
          <w:tcPr>
            <w:tcW w:w="0" w:type="auto"/>
            <w:shd w:val="clear" w:color="auto" w:fill="auto"/>
            <w:tcMar>
              <w:top w:w="60" w:type="dxa"/>
              <w:left w:w="0" w:type="dxa"/>
              <w:bottom w:w="60" w:type="dxa"/>
              <w:right w:w="96" w:type="dxa"/>
            </w:tcMar>
            <w:vAlign w:val="center"/>
          </w:tcPr>
          <w:p w14:paraId="6BF7FBC0" w14:textId="77777777" w:rsidR="00533849" w:rsidRDefault="00000000">
            <w:pPr>
              <w:spacing w:line="150" w:lineRule="atLeast"/>
              <w:jc w:val="both"/>
              <w:rPr>
                <w:rFonts w:eastAsia="Segoe UI"/>
              </w:rPr>
            </w:pPr>
            <w:r>
              <w:rPr>
                <w:rFonts w:eastAsia="Segoe UI"/>
                <w:lang w:val="en-US" w:eastAsia="zh-CN" w:bidi="ar"/>
              </w:rPr>
              <w:lastRenderedPageBreak/>
              <w:t>Cassia occidentalis</w:t>
            </w:r>
          </w:p>
        </w:tc>
        <w:tc>
          <w:tcPr>
            <w:tcW w:w="0" w:type="auto"/>
            <w:shd w:val="clear" w:color="auto" w:fill="auto"/>
            <w:tcMar>
              <w:top w:w="60" w:type="dxa"/>
              <w:left w:w="96" w:type="dxa"/>
              <w:bottom w:w="60" w:type="dxa"/>
              <w:right w:w="96" w:type="dxa"/>
            </w:tcMar>
            <w:vAlign w:val="center"/>
          </w:tcPr>
          <w:p w14:paraId="2381D389" w14:textId="77777777" w:rsidR="00533849" w:rsidRDefault="00000000">
            <w:pPr>
              <w:spacing w:line="150" w:lineRule="atLeast"/>
              <w:jc w:val="both"/>
              <w:rPr>
                <w:rFonts w:eastAsia="Segoe UI"/>
              </w:rPr>
            </w:pPr>
            <w:r>
              <w:rPr>
                <w:rFonts w:eastAsia="Segoe UI"/>
                <w:lang w:val="en-US" w:eastAsia="zh-CN" w:bidi="ar"/>
              </w:rPr>
              <w:t>Ouboula</w:t>
            </w:r>
          </w:p>
        </w:tc>
        <w:tc>
          <w:tcPr>
            <w:tcW w:w="0" w:type="auto"/>
            <w:shd w:val="clear" w:color="auto" w:fill="auto"/>
            <w:tcMar>
              <w:top w:w="60" w:type="dxa"/>
              <w:left w:w="96" w:type="dxa"/>
              <w:bottom w:w="60" w:type="dxa"/>
              <w:right w:w="96" w:type="dxa"/>
            </w:tcMar>
            <w:vAlign w:val="center"/>
          </w:tcPr>
          <w:p w14:paraId="469D0011" w14:textId="77777777" w:rsidR="00533849" w:rsidRDefault="00000000">
            <w:pPr>
              <w:spacing w:line="150" w:lineRule="atLeast"/>
              <w:jc w:val="both"/>
              <w:rPr>
                <w:rFonts w:eastAsia="Segoe UI"/>
              </w:rPr>
            </w:pPr>
            <w:r>
              <w:rPr>
                <w:rFonts w:eastAsia="Segoe UI"/>
                <w:lang w:val="en-US" w:eastAsia="zh-CN" w:bidi="ar"/>
              </w:rPr>
              <w:t>Anthraquinones, flavonoids</w:t>
            </w:r>
          </w:p>
        </w:tc>
        <w:tc>
          <w:tcPr>
            <w:tcW w:w="0" w:type="auto"/>
            <w:shd w:val="clear" w:color="auto" w:fill="auto"/>
            <w:tcMar>
              <w:top w:w="60" w:type="dxa"/>
              <w:left w:w="96" w:type="dxa"/>
              <w:bottom w:w="60" w:type="dxa"/>
              <w:right w:w="96" w:type="dxa"/>
            </w:tcMar>
            <w:vAlign w:val="center"/>
          </w:tcPr>
          <w:p w14:paraId="10186917" w14:textId="77777777" w:rsidR="00533849" w:rsidRDefault="00000000">
            <w:pPr>
              <w:spacing w:line="150" w:lineRule="atLeast"/>
              <w:jc w:val="both"/>
              <w:rPr>
                <w:rFonts w:eastAsia="Segoe UI"/>
              </w:rPr>
            </w:pPr>
            <w:r>
              <w:rPr>
                <w:rFonts w:eastAsia="Segoe UI"/>
                <w:lang w:val="en-US" w:eastAsia="zh-CN" w:bidi="ar"/>
              </w:rPr>
              <w:t>Respiratory disorders, wound healing</w:t>
            </w:r>
          </w:p>
        </w:tc>
        <w:tc>
          <w:tcPr>
            <w:tcW w:w="0" w:type="auto"/>
            <w:shd w:val="clear" w:color="auto" w:fill="auto"/>
            <w:tcMar>
              <w:top w:w="60" w:type="dxa"/>
              <w:left w:w="96" w:type="dxa"/>
              <w:bottom w:w="60" w:type="dxa"/>
              <w:right w:w="0" w:type="dxa"/>
            </w:tcMar>
            <w:vAlign w:val="center"/>
          </w:tcPr>
          <w:p w14:paraId="138453D3" w14:textId="77777777" w:rsidR="00533849" w:rsidRDefault="00000000" w:rsidP="00841DE8">
            <w:pPr>
              <w:spacing w:line="150" w:lineRule="atLeast"/>
              <w:rPr>
                <w:rFonts w:eastAsia="Segoe UI"/>
              </w:rPr>
            </w:pPr>
            <w:r>
              <w:rPr>
                <w:rFonts w:eastAsia="Segoe UI"/>
                <w:lang w:val="en-US" w:eastAsia="zh-CN" w:bidi="ar"/>
              </w:rPr>
              <w:t>Respiratory health extracts; dermatological formulations</w:t>
            </w:r>
          </w:p>
        </w:tc>
      </w:tr>
      <w:tr w:rsidR="00533849" w14:paraId="3C2C1716" w14:textId="77777777" w:rsidTr="00841DE8">
        <w:trPr>
          <w:trHeight w:val="815"/>
        </w:trPr>
        <w:tc>
          <w:tcPr>
            <w:tcW w:w="0" w:type="auto"/>
            <w:shd w:val="clear" w:color="auto" w:fill="auto"/>
            <w:tcMar>
              <w:top w:w="60" w:type="dxa"/>
              <w:left w:w="0" w:type="dxa"/>
              <w:bottom w:w="60" w:type="dxa"/>
              <w:right w:w="96" w:type="dxa"/>
            </w:tcMar>
            <w:vAlign w:val="center"/>
          </w:tcPr>
          <w:p w14:paraId="02DF31FF" w14:textId="77777777" w:rsidR="00533849" w:rsidRDefault="00000000">
            <w:pPr>
              <w:spacing w:line="150" w:lineRule="atLeast"/>
              <w:jc w:val="both"/>
              <w:rPr>
                <w:rFonts w:eastAsia="Segoe UI"/>
              </w:rPr>
            </w:pPr>
            <w:r>
              <w:rPr>
                <w:rFonts w:eastAsia="Segoe UI"/>
                <w:lang w:val="en-US" w:eastAsia="zh-CN" w:bidi="ar"/>
              </w:rPr>
              <w:t>Xylopia parviflora</w:t>
            </w:r>
          </w:p>
        </w:tc>
        <w:tc>
          <w:tcPr>
            <w:tcW w:w="0" w:type="auto"/>
            <w:shd w:val="clear" w:color="auto" w:fill="auto"/>
            <w:tcMar>
              <w:top w:w="60" w:type="dxa"/>
              <w:left w:w="96" w:type="dxa"/>
              <w:bottom w:w="60" w:type="dxa"/>
              <w:right w:w="96" w:type="dxa"/>
            </w:tcMar>
            <w:vAlign w:val="center"/>
          </w:tcPr>
          <w:p w14:paraId="478DB218" w14:textId="77777777" w:rsidR="00533849" w:rsidRDefault="00000000">
            <w:pPr>
              <w:spacing w:line="150" w:lineRule="atLeast"/>
              <w:jc w:val="both"/>
              <w:rPr>
                <w:rFonts w:eastAsia="Segoe UI"/>
              </w:rPr>
            </w:pPr>
            <w:r>
              <w:rPr>
                <w:rFonts w:eastAsia="Segoe UI"/>
                <w:lang w:val="en-US" w:eastAsia="zh-CN" w:bidi="ar"/>
              </w:rPr>
              <w:t>Adjoué</w:t>
            </w:r>
          </w:p>
        </w:tc>
        <w:tc>
          <w:tcPr>
            <w:tcW w:w="0" w:type="auto"/>
            <w:shd w:val="clear" w:color="auto" w:fill="auto"/>
            <w:tcMar>
              <w:top w:w="60" w:type="dxa"/>
              <w:left w:w="96" w:type="dxa"/>
              <w:bottom w:w="60" w:type="dxa"/>
              <w:right w:w="96" w:type="dxa"/>
            </w:tcMar>
            <w:vAlign w:val="center"/>
          </w:tcPr>
          <w:p w14:paraId="21F60DE0" w14:textId="77777777" w:rsidR="00533849" w:rsidRDefault="00000000">
            <w:pPr>
              <w:spacing w:line="150" w:lineRule="atLeast"/>
              <w:jc w:val="both"/>
              <w:rPr>
                <w:rFonts w:eastAsia="Segoe UI"/>
              </w:rPr>
            </w:pPr>
            <w:r>
              <w:rPr>
                <w:rFonts w:eastAsia="Segoe UI"/>
                <w:lang w:val="en-US" w:eastAsia="zh-CN" w:bidi="ar"/>
              </w:rPr>
              <w:t>Xylopic acid, flavonoids</w:t>
            </w:r>
          </w:p>
        </w:tc>
        <w:tc>
          <w:tcPr>
            <w:tcW w:w="0" w:type="auto"/>
            <w:shd w:val="clear" w:color="auto" w:fill="auto"/>
            <w:tcMar>
              <w:top w:w="60" w:type="dxa"/>
              <w:left w:w="96" w:type="dxa"/>
              <w:bottom w:w="60" w:type="dxa"/>
              <w:right w:w="96" w:type="dxa"/>
            </w:tcMar>
            <w:vAlign w:val="center"/>
          </w:tcPr>
          <w:p w14:paraId="777F1BF8" w14:textId="77777777" w:rsidR="00533849" w:rsidRDefault="00000000">
            <w:pPr>
              <w:spacing w:line="150" w:lineRule="atLeast"/>
              <w:jc w:val="both"/>
              <w:rPr>
                <w:rFonts w:eastAsia="Segoe UI"/>
              </w:rPr>
            </w:pPr>
            <w:r>
              <w:rPr>
                <w:rFonts w:eastAsia="Segoe UI"/>
                <w:lang w:val="en-US" w:eastAsia="zh-CN" w:bidi="ar"/>
              </w:rPr>
              <w:t>Malaria, gastrointestinal</w:t>
            </w:r>
          </w:p>
        </w:tc>
        <w:tc>
          <w:tcPr>
            <w:tcW w:w="0" w:type="auto"/>
            <w:shd w:val="clear" w:color="auto" w:fill="auto"/>
            <w:tcMar>
              <w:top w:w="60" w:type="dxa"/>
              <w:left w:w="96" w:type="dxa"/>
              <w:bottom w:w="60" w:type="dxa"/>
              <w:right w:w="0" w:type="dxa"/>
            </w:tcMar>
            <w:vAlign w:val="center"/>
          </w:tcPr>
          <w:p w14:paraId="6260F1E0" w14:textId="77777777" w:rsidR="00533849" w:rsidRDefault="00000000" w:rsidP="00841DE8">
            <w:pPr>
              <w:spacing w:line="150" w:lineRule="atLeast"/>
              <w:rPr>
                <w:rFonts w:eastAsia="Segoe UI"/>
              </w:rPr>
            </w:pPr>
            <w:r>
              <w:rPr>
                <w:rFonts w:eastAsia="Segoe UI"/>
                <w:lang w:val="en-US" w:eastAsia="zh-CN" w:bidi="ar"/>
              </w:rPr>
              <w:t>Antimalarial lead compounds; digestive health products</w:t>
            </w:r>
          </w:p>
        </w:tc>
      </w:tr>
    </w:tbl>
    <w:p w14:paraId="027E7260" w14:textId="77777777" w:rsidR="00533849" w:rsidRDefault="00000000">
      <w:pPr>
        <w:pStyle w:val="NormalWeb"/>
        <w:shd w:val="clear" w:color="auto" w:fill="FFFFFF"/>
        <w:spacing w:before="96" w:after="96"/>
        <w:jc w:val="both"/>
        <w:rPr>
          <w:rFonts w:eastAsia="Segoe UI"/>
          <w:i/>
          <w:iCs/>
          <w:color w:val="0F1115"/>
          <w:sz w:val="20"/>
          <w:szCs w:val="20"/>
        </w:rPr>
      </w:pPr>
      <w:r>
        <w:rPr>
          <w:rFonts w:eastAsia="Segoe UI"/>
          <w:i/>
          <w:iCs/>
          <w:color w:val="0F1115"/>
          <w:sz w:val="20"/>
          <w:szCs w:val="20"/>
          <w:shd w:val="clear" w:color="auto" w:fill="FFFFFF"/>
        </w:rPr>
        <w:t xml:space="preserve">Sources: </w:t>
      </w:r>
      <w:proofErr w:type="spellStart"/>
      <w:r>
        <w:rPr>
          <w:rFonts w:eastAsia="Segoe UI"/>
          <w:i/>
          <w:iCs/>
          <w:color w:val="0F1115"/>
          <w:sz w:val="20"/>
          <w:szCs w:val="20"/>
          <w:shd w:val="clear" w:color="auto" w:fill="FFFFFF"/>
        </w:rPr>
        <w:t>Koné</w:t>
      </w:r>
      <w:proofErr w:type="spellEnd"/>
      <w:r>
        <w:rPr>
          <w:rFonts w:eastAsia="Segoe UI"/>
          <w:i/>
          <w:iCs/>
          <w:color w:val="0F1115"/>
          <w:sz w:val="20"/>
          <w:szCs w:val="20"/>
          <w:shd w:val="clear" w:color="auto" w:fill="FFFFFF"/>
        </w:rPr>
        <w:t xml:space="preserve"> et al. [52]; Zirihi et al. [71]; Djakouré [72]; WHO [54]; ethnopharmacological surveys of Ivorian medicinal plants.</w:t>
      </w:r>
    </w:p>
    <w:p w14:paraId="47F67603"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Note: This table is representative rather than exhaustive; comprehensive systematic documentation of the Ivorian pharmacopoeia is a priority research activity for Phase 1.</w:t>
      </w:r>
    </w:p>
    <w:p w14:paraId="551A2037"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The pharmacofitology strategy for Côte d'Ivoire rests on three interrelated pillars. First, systematic documentation and bioprospecting: completing the comprehensive ethnopharmacological survey of the Ivorian pharmacopoeia, identifying priority species for chemical characterization, and establishing a national medicinal plant repository and herbarium at INP-HB. Second, preclinical and clinical validation: establishing a pharmacofitology research centre within INP-HB's expanded pharmaceutical sciences programme, developing in vitro and in vivo assay capabilities, and conducting pre-clinical validation of priority species for identified therapeutic applications. Third, commercialization and intellectual property protection: filing patents for novel bioactive compounds and formulations, developing Ivorian Standardized Herbal Medicinal Products (ISHMPs), and establishing Good Manufacturing Practice (GMP) facilities for product production.</w:t>
      </w:r>
    </w:p>
    <w:p w14:paraId="6652C7A1" w14:textId="77777777" w:rsidR="00533849" w:rsidRDefault="00000000">
      <w:pPr>
        <w:pStyle w:val="Heading4"/>
        <w:shd w:val="clear" w:color="auto" w:fill="FFFFFF"/>
        <w:spacing w:before="96" w:after="96" w:line="168" w:lineRule="atLeast"/>
        <w:jc w:val="both"/>
        <w:rPr>
          <w:rFonts w:eastAsia="Segoe UI"/>
          <w:b/>
          <w:bCs/>
          <w:color w:val="0F1115"/>
        </w:rPr>
      </w:pPr>
      <w:r>
        <w:rPr>
          <w:rFonts w:eastAsia="Segoe UI"/>
          <w:b/>
          <w:bCs/>
          <w:color w:val="0F1115"/>
          <w:shd w:val="clear" w:color="auto" w:fill="FFFFFF"/>
        </w:rPr>
        <w:t>4.4.4 The Economic Transformation: Projecting the Nutraceutical and Pharmacofitology Sector</w:t>
      </w:r>
    </w:p>
    <w:p w14:paraId="10C149AD"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 xml:space="preserve">The commercial potential of the nutraceutical and pharmacofitology sector is substantial and under-appreciated in conventional development economics. Table </w:t>
      </w:r>
      <w:r>
        <w:rPr>
          <w:rFonts w:eastAsia="Segoe UI"/>
          <w:color w:val="0F1115"/>
          <w:shd w:val="clear" w:color="auto" w:fill="FFFFFF"/>
          <w:lang w:val="en-US"/>
        </w:rPr>
        <w:t>3</w:t>
      </w:r>
      <w:r>
        <w:rPr>
          <w:rFonts w:eastAsia="Segoe UI"/>
          <w:color w:val="0F1115"/>
          <w:shd w:val="clear" w:color="auto" w:fill="FFFFFF"/>
        </w:rPr>
        <w:t xml:space="preserve"> presents projected sectoral development across the three implementation phases, leveraging the cooperative banking architecture described in Sections VIII–X to provide the productive credit necessary for sector establishment and expansion.</w:t>
      </w:r>
    </w:p>
    <w:p w14:paraId="623431AF" w14:textId="77777777" w:rsidR="00533849" w:rsidRDefault="00000000">
      <w:pPr>
        <w:pStyle w:val="NormalWeb"/>
        <w:shd w:val="clear" w:color="auto" w:fill="FFFFFF"/>
        <w:spacing w:before="96" w:after="96"/>
        <w:jc w:val="both"/>
        <w:rPr>
          <w:rFonts w:eastAsia="Segoe UI"/>
          <w:color w:val="0F1115"/>
        </w:rPr>
      </w:pPr>
      <w:r>
        <w:rPr>
          <w:rFonts w:eastAsia="Segoe UI"/>
          <w:b/>
          <w:bCs/>
          <w:color w:val="0F1115"/>
          <w:shd w:val="clear" w:color="auto" w:fill="FFFFFF"/>
        </w:rPr>
        <w:t xml:space="preserve">Table </w:t>
      </w:r>
      <w:r>
        <w:rPr>
          <w:rFonts w:eastAsia="Segoe UI"/>
          <w:b/>
          <w:bCs/>
          <w:color w:val="0F1115"/>
          <w:shd w:val="clear" w:color="auto" w:fill="FFFFFF"/>
          <w:lang w:val="en-US"/>
        </w:rPr>
        <w:t>3</w:t>
      </w:r>
      <w:r>
        <w:rPr>
          <w:rFonts w:eastAsia="Segoe UI"/>
          <w:b/>
          <w:bCs/>
          <w:color w:val="0F1115"/>
          <w:shd w:val="clear" w:color="auto" w:fill="FFFFFF"/>
        </w:rPr>
        <w:t>. Projected nutraceutical and pharmacofitology sector development: Phase-wise targets and value creation</w:t>
      </w:r>
    </w:p>
    <w:tbl>
      <w:tblPr>
        <w:tblW w:w="9744" w:type="dxa"/>
        <w:tblBorders>
          <w:top w:val="single" w:sz="18" w:space="0" w:color="1F3864"/>
          <w:left w:val="single" w:sz="18" w:space="0" w:color="1F3864"/>
          <w:bottom w:val="single" w:sz="18" w:space="0" w:color="1F3864"/>
          <w:right w:val="single" w:sz="18" w:space="0" w:color="1F3864"/>
          <w:insideH w:val="single" w:sz="4" w:space="0" w:color="9DB6CE"/>
          <w:insideV w:val="single" w:sz="4" w:space="0" w:color="9DB6CE"/>
        </w:tblBorders>
        <w:tblCellMar>
          <w:top w:w="15" w:type="dxa"/>
          <w:left w:w="15" w:type="dxa"/>
          <w:bottom w:w="15" w:type="dxa"/>
          <w:right w:w="15" w:type="dxa"/>
        </w:tblCellMar>
        <w:tblLook w:val="04A0" w:firstRow="1" w:lastRow="0" w:firstColumn="1" w:lastColumn="0" w:noHBand="0" w:noVBand="1"/>
      </w:tblPr>
      <w:tblGrid>
        <w:gridCol w:w="2643"/>
        <w:gridCol w:w="2076"/>
        <w:gridCol w:w="2394"/>
        <w:gridCol w:w="2631"/>
      </w:tblGrid>
      <w:tr w:rsidR="00533849" w14:paraId="2E617647" w14:textId="77777777" w:rsidTr="00841DE8">
        <w:trPr>
          <w:trHeight w:val="551"/>
          <w:tblHeader/>
        </w:trPr>
        <w:tc>
          <w:tcPr>
            <w:tcW w:w="0" w:type="auto"/>
            <w:shd w:val="clear" w:color="auto" w:fill="auto"/>
            <w:tcMar>
              <w:top w:w="60" w:type="dxa"/>
              <w:left w:w="0" w:type="dxa"/>
              <w:bottom w:w="60" w:type="dxa"/>
              <w:right w:w="96" w:type="dxa"/>
            </w:tcMar>
            <w:vAlign w:val="center"/>
          </w:tcPr>
          <w:p w14:paraId="0762FD7D" w14:textId="77777777" w:rsidR="00533849" w:rsidRDefault="00000000">
            <w:pPr>
              <w:spacing w:line="150" w:lineRule="atLeast"/>
              <w:jc w:val="both"/>
              <w:rPr>
                <w:rFonts w:eastAsia="Segoe UI"/>
              </w:rPr>
            </w:pPr>
            <w:r>
              <w:rPr>
                <w:rFonts w:eastAsia="Segoe UI"/>
                <w:b/>
                <w:bCs/>
                <w:lang w:val="en-US" w:eastAsia="zh-CN" w:bidi="ar"/>
              </w:rPr>
              <w:t>Indicator</w:t>
            </w:r>
          </w:p>
        </w:tc>
        <w:tc>
          <w:tcPr>
            <w:tcW w:w="0" w:type="auto"/>
            <w:shd w:val="clear" w:color="auto" w:fill="auto"/>
            <w:tcMar>
              <w:top w:w="60" w:type="dxa"/>
              <w:left w:w="96" w:type="dxa"/>
              <w:bottom w:w="60" w:type="dxa"/>
              <w:right w:w="96" w:type="dxa"/>
            </w:tcMar>
            <w:vAlign w:val="center"/>
          </w:tcPr>
          <w:p w14:paraId="7BA361FF" w14:textId="77777777" w:rsidR="00533849" w:rsidRDefault="00000000">
            <w:pPr>
              <w:spacing w:line="150" w:lineRule="atLeast"/>
              <w:jc w:val="both"/>
              <w:rPr>
                <w:rFonts w:eastAsia="Segoe UI"/>
              </w:rPr>
            </w:pPr>
            <w:r>
              <w:rPr>
                <w:rFonts w:eastAsia="Segoe UI"/>
                <w:b/>
                <w:bCs/>
                <w:lang w:val="en-US" w:eastAsia="zh-CN" w:bidi="ar"/>
              </w:rPr>
              <w:t>Phase 1 (2025–2030)</w:t>
            </w:r>
          </w:p>
        </w:tc>
        <w:tc>
          <w:tcPr>
            <w:tcW w:w="0" w:type="auto"/>
            <w:shd w:val="clear" w:color="auto" w:fill="auto"/>
            <w:tcMar>
              <w:top w:w="60" w:type="dxa"/>
              <w:left w:w="96" w:type="dxa"/>
              <w:bottom w:w="60" w:type="dxa"/>
              <w:right w:w="96" w:type="dxa"/>
            </w:tcMar>
            <w:vAlign w:val="center"/>
          </w:tcPr>
          <w:p w14:paraId="45F37FAD" w14:textId="77777777" w:rsidR="00533849" w:rsidRDefault="00000000">
            <w:pPr>
              <w:spacing w:line="150" w:lineRule="atLeast"/>
              <w:jc w:val="both"/>
              <w:rPr>
                <w:rFonts w:eastAsia="Segoe UI"/>
              </w:rPr>
            </w:pPr>
            <w:r>
              <w:rPr>
                <w:rFonts w:eastAsia="Segoe UI"/>
                <w:b/>
                <w:bCs/>
                <w:lang w:val="en-US" w:eastAsia="zh-CN" w:bidi="ar"/>
              </w:rPr>
              <w:t>Phase 2 (2031–2037)</w:t>
            </w:r>
          </w:p>
        </w:tc>
        <w:tc>
          <w:tcPr>
            <w:tcW w:w="0" w:type="auto"/>
            <w:shd w:val="clear" w:color="auto" w:fill="auto"/>
            <w:tcMar>
              <w:top w:w="60" w:type="dxa"/>
              <w:left w:w="96" w:type="dxa"/>
              <w:bottom w:w="60" w:type="dxa"/>
              <w:right w:w="96" w:type="dxa"/>
            </w:tcMar>
            <w:vAlign w:val="center"/>
          </w:tcPr>
          <w:p w14:paraId="2975FC6C" w14:textId="77777777" w:rsidR="00533849" w:rsidRDefault="00000000">
            <w:pPr>
              <w:spacing w:line="150" w:lineRule="atLeast"/>
              <w:jc w:val="both"/>
              <w:rPr>
                <w:rFonts w:eastAsia="Segoe UI"/>
              </w:rPr>
            </w:pPr>
            <w:r>
              <w:rPr>
                <w:rFonts w:eastAsia="Segoe UI"/>
                <w:b/>
                <w:bCs/>
                <w:lang w:val="en-US" w:eastAsia="zh-CN" w:bidi="ar"/>
              </w:rPr>
              <w:t>Phase 3 (2038–2045)</w:t>
            </w:r>
          </w:p>
        </w:tc>
      </w:tr>
      <w:tr w:rsidR="00533849" w14:paraId="3D7654FB" w14:textId="77777777" w:rsidTr="00841DE8">
        <w:trPr>
          <w:trHeight w:val="827"/>
        </w:trPr>
        <w:tc>
          <w:tcPr>
            <w:tcW w:w="0" w:type="auto"/>
            <w:shd w:val="clear" w:color="auto" w:fill="auto"/>
            <w:tcMar>
              <w:top w:w="60" w:type="dxa"/>
              <w:left w:w="0" w:type="dxa"/>
              <w:bottom w:w="60" w:type="dxa"/>
              <w:right w:w="96" w:type="dxa"/>
            </w:tcMar>
            <w:vAlign w:val="center"/>
          </w:tcPr>
          <w:p w14:paraId="6C0360BA" w14:textId="77777777" w:rsidR="00533849" w:rsidRDefault="00000000">
            <w:pPr>
              <w:spacing w:line="150" w:lineRule="atLeast"/>
              <w:jc w:val="both"/>
              <w:rPr>
                <w:rFonts w:eastAsia="Segoe UI"/>
              </w:rPr>
            </w:pPr>
            <w:r>
              <w:rPr>
                <w:rFonts w:eastAsia="Segoe UI"/>
                <w:lang w:val="en-US" w:eastAsia="zh-CN" w:bidi="ar"/>
              </w:rPr>
              <w:t>Cocoa polyphenol extraction capacity</w:t>
            </w:r>
          </w:p>
        </w:tc>
        <w:tc>
          <w:tcPr>
            <w:tcW w:w="0" w:type="auto"/>
            <w:shd w:val="clear" w:color="auto" w:fill="auto"/>
            <w:tcMar>
              <w:top w:w="60" w:type="dxa"/>
              <w:left w:w="96" w:type="dxa"/>
              <w:bottom w:w="60" w:type="dxa"/>
              <w:right w:w="96" w:type="dxa"/>
            </w:tcMar>
            <w:vAlign w:val="center"/>
          </w:tcPr>
          <w:p w14:paraId="58A29EBA" w14:textId="77777777" w:rsidR="00533849" w:rsidRDefault="00000000">
            <w:pPr>
              <w:spacing w:line="150" w:lineRule="atLeast"/>
              <w:jc w:val="both"/>
              <w:rPr>
                <w:rFonts w:eastAsia="Segoe UI"/>
              </w:rPr>
            </w:pPr>
            <w:r>
              <w:rPr>
                <w:rFonts w:eastAsia="Segoe UI"/>
                <w:lang w:val="en-US" w:eastAsia="zh-CN" w:bidi="ar"/>
              </w:rPr>
              <w:t>500–1,000 tonnes/year (USD 30–60M)</w:t>
            </w:r>
          </w:p>
        </w:tc>
        <w:tc>
          <w:tcPr>
            <w:tcW w:w="0" w:type="auto"/>
            <w:shd w:val="clear" w:color="auto" w:fill="auto"/>
            <w:tcMar>
              <w:top w:w="60" w:type="dxa"/>
              <w:left w:w="96" w:type="dxa"/>
              <w:bottom w:w="60" w:type="dxa"/>
              <w:right w:w="96" w:type="dxa"/>
            </w:tcMar>
            <w:vAlign w:val="center"/>
          </w:tcPr>
          <w:p w14:paraId="71B039C8" w14:textId="77777777" w:rsidR="00533849" w:rsidRDefault="00000000">
            <w:pPr>
              <w:spacing w:line="150" w:lineRule="atLeast"/>
              <w:jc w:val="both"/>
              <w:rPr>
                <w:rFonts w:eastAsia="Segoe UI"/>
              </w:rPr>
            </w:pPr>
            <w:r>
              <w:rPr>
                <w:rFonts w:eastAsia="Segoe UI"/>
                <w:lang w:val="en-US" w:eastAsia="zh-CN" w:bidi="ar"/>
              </w:rPr>
              <w:t>3,000–5,000 tonnes/year (USD 150–250M)</w:t>
            </w:r>
          </w:p>
        </w:tc>
        <w:tc>
          <w:tcPr>
            <w:tcW w:w="0" w:type="auto"/>
            <w:shd w:val="clear" w:color="auto" w:fill="auto"/>
            <w:tcMar>
              <w:top w:w="60" w:type="dxa"/>
              <w:left w:w="96" w:type="dxa"/>
              <w:bottom w:w="60" w:type="dxa"/>
              <w:right w:w="0" w:type="dxa"/>
            </w:tcMar>
            <w:vAlign w:val="center"/>
          </w:tcPr>
          <w:p w14:paraId="10A5A34C" w14:textId="77777777" w:rsidR="00533849" w:rsidRDefault="00000000" w:rsidP="00841DE8">
            <w:pPr>
              <w:spacing w:line="150" w:lineRule="atLeast"/>
              <w:rPr>
                <w:rFonts w:eastAsia="Segoe UI"/>
              </w:rPr>
            </w:pPr>
            <w:r>
              <w:rPr>
                <w:rFonts w:eastAsia="Segoe UI"/>
                <w:lang w:val="en-US" w:eastAsia="zh-CN" w:bidi="ar"/>
              </w:rPr>
              <w:t>8,000–12,000 tonnes/year (USD 350–500M)</w:t>
            </w:r>
          </w:p>
        </w:tc>
      </w:tr>
      <w:tr w:rsidR="00533849" w14:paraId="4134DCA8" w14:textId="77777777" w:rsidTr="00841DE8">
        <w:trPr>
          <w:trHeight w:val="815"/>
        </w:trPr>
        <w:tc>
          <w:tcPr>
            <w:tcW w:w="0" w:type="auto"/>
            <w:shd w:val="clear" w:color="auto" w:fill="auto"/>
            <w:tcMar>
              <w:top w:w="60" w:type="dxa"/>
              <w:left w:w="0" w:type="dxa"/>
              <w:bottom w:w="60" w:type="dxa"/>
              <w:right w:w="96" w:type="dxa"/>
            </w:tcMar>
            <w:vAlign w:val="center"/>
          </w:tcPr>
          <w:p w14:paraId="7FA6E7C3" w14:textId="77777777" w:rsidR="00533849" w:rsidRDefault="00000000">
            <w:pPr>
              <w:spacing w:line="150" w:lineRule="atLeast"/>
              <w:jc w:val="both"/>
              <w:rPr>
                <w:rFonts w:eastAsia="Segoe UI"/>
              </w:rPr>
            </w:pPr>
            <w:r>
              <w:rPr>
                <w:rFonts w:eastAsia="Segoe UI"/>
                <w:lang w:val="en-US" w:eastAsia="zh-CN" w:bidi="ar"/>
              </w:rPr>
              <w:t>CNSL extraction capacity</w:t>
            </w:r>
          </w:p>
        </w:tc>
        <w:tc>
          <w:tcPr>
            <w:tcW w:w="0" w:type="auto"/>
            <w:shd w:val="clear" w:color="auto" w:fill="auto"/>
            <w:tcMar>
              <w:top w:w="60" w:type="dxa"/>
              <w:left w:w="96" w:type="dxa"/>
              <w:bottom w:w="60" w:type="dxa"/>
              <w:right w:w="96" w:type="dxa"/>
            </w:tcMar>
            <w:vAlign w:val="center"/>
          </w:tcPr>
          <w:p w14:paraId="41162817" w14:textId="77777777" w:rsidR="00533849" w:rsidRDefault="00000000">
            <w:pPr>
              <w:spacing w:line="150" w:lineRule="atLeast"/>
              <w:jc w:val="both"/>
              <w:rPr>
                <w:rFonts w:eastAsia="Segoe UI"/>
              </w:rPr>
            </w:pPr>
            <w:r>
              <w:rPr>
                <w:rFonts w:eastAsia="Segoe UI"/>
                <w:lang w:val="en-US" w:eastAsia="zh-CN" w:bidi="ar"/>
              </w:rPr>
              <w:t>10,000–15,000 tonnes/year (USD 15–25M)</w:t>
            </w:r>
          </w:p>
        </w:tc>
        <w:tc>
          <w:tcPr>
            <w:tcW w:w="0" w:type="auto"/>
            <w:shd w:val="clear" w:color="auto" w:fill="auto"/>
            <w:tcMar>
              <w:top w:w="60" w:type="dxa"/>
              <w:left w:w="96" w:type="dxa"/>
              <w:bottom w:w="60" w:type="dxa"/>
              <w:right w:w="96" w:type="dxa"/>
            </w:tcMar>
            <w:vAlign w:val="center"/>
          </w:tcPr>
          <w:p w14:paraId="0A0CC4C3" w14:textId="77777777" w:rsidR="00533849" w:rsidRDefault="00000000">
            <w:pPr>
              <w:spacing w:line="150" w:lineRule="atLeast"/>
              <w:jc w:val="both"/>
              <w:rPr>
                <w:rFonts w:eastAsia="Segoe UI"/>
              </w:rPr>
            </w:pPr>
            <w:r>
              <w:rPr>
                <w:rFonts w:eastAsia="Segoe UI"/>
                <w:lang w:val="en-US" w:eastAsia="zh-CN" w:bidi="ar"/>
              </w:rPr>
              <w:t>40,000–60,000 tonnes/year (USD 50–80M)</w:t>
            </w:r>
          </w:p>
        </w:tc>
        <w:tc>
          <w:tcPr>
            <w:tcW w:w="0" w:type="auto"/>
            <w:shd w:val="clear" w:color="auto" w:fill="auto"/>
            <w:tcMar>
              <w:top w:w="60" w:type="dxa"/>
              <w:left w:w="96" w:type="dxa"/>
              <w:bottom w:w="60" w:type="dxa"/>
              <w:right w:w="0" w:type="dxa"/>
            </w:tcMar>
            <w:vAlign w:val="center"/>
          </w:tcPr>
          <w:p w14:paraId="26E52E7B" w14:textId="77777777" w:rsidR="00533849" w:rsidRDefault="00000000" w:rsidP="00841DE8">
            <w:pPr>
              <w:spacing w:line="150" w:lineRule="atLeast"/>
              <w:rPr>
                <w:rFonts w:eastAsia="Segoe UI"/>
              </w:rPr>
            </w:pPr>
            <w:r>
              <w:rPr>
                <w:rFonts w:eastAsia="Segoe UI"/>
                <w:lang w:val="en-US" w:eastAsia="zh-CN" w:bidi="ar"/>
              </w:rPr>
              <w:t>100,000–150,000 tonnes/year (USD 120–180M)</w:t>
            </w:r>
          </w:p>
        </w:tc>
      </w:tr>
      <w:tr w:rsidR="00533849" w14:paraId="56DBDD59" w14:textId="77777777" w:rsidTr="00841DE8">
        <w:trPr>
          <w:trHeight w:val="551"/>
        </w:trPr>
        <w:tc>
          <w:tcPr>
            <w:tcW w:w="0" w:type="auto"/>
            <w:shd w:val="clear" w:color="auto" w:fill="auto"/>
            <w:tcMar>
              <w:top w:w="60" w:type="dxa"/>
              <w:left w:w="0" w:type="dxa"/>
              <w:bottom w:w="60" w:type="dxa"/>
              <w:right w:w="96" w:type="dxa"/>
            </w:tcMar>
            <w:vAlign w:val="center"/>
          </w:tcPr>
          <w:p w14:paraId="2401E6CF" w14:textId="77777777" w:rsidR="00533849" w:rsidRDefault="00000000">
            <w:pPr>
              <w:spacing w:line="150" w:lineRule="atLeast"/>
              <w:jc w:val="both"/>
              <w:rPr>
                <w:rFonts w:eastAsia="Segoe UI"/>
              </w:rPr>
            </w:pPr>
            <w:r>
              <w:rPr>
                <w:rFonts w:eastAsia="Segoe UI"/>
                <w:lang w:val="en-US" w:eastAsia="zh-CN" w:bidi="ar"/>
              </w:rPr>
              <w:t>Mangiferin/functional mango products</w:t>
            </w:r>
          </w:p>
        </w:tc>
        <w:tc>
          <w:tcPr>
            <w:tcW w:w="0" w:type="auto"/>
            <w:shd w:val="clear" w:color="auto" w:fill="auto"/>
            <w:tcMar>
              <w:top w:w="60" w:type="dxa"/>
              <w:left w:w="96" w:type="dxa"/>
              <w:bottom w:w="60" w:type="dxa"/>
              <w:right w:w="96" w:type="dxa"/>
            </w:tcMar>
            <w:vAlign w:val="center"/>
          </w:tcPr>
          <w:p w14:paraId="78005B80" w14:textId="77777777" w:rsidR="00533849" w:rsidRDefault="00000000">
            <w:pPr>
              <w:spacing w:line="150" w:lineRule="atLeast"/>
              <w:jc w:val="both"/>
              <w:rPr>
                <w:rFonts w:eastAsia="Segoe UI"/>
              </w:rPr>
            </w:pPr>
            <w:r>
              <w:rPr>
                <w:rFonts w:eastAsia="Segoe UI"/>
                <w:lang w:val="en-US" w:eastAsia="zh-CN" w:bidi="ar"/>
              </w:rPr>
              <w:t>Pilot scale (USD 2–5M)</w:t>
            </w:r>
          </w:p>
        </w:tc>
        <w:tc>
          <w:tcPr>
            <w:tcW w:w="0" w:type="auto"/>
            <w:shd w:val="clear" w:color="auto" w:fill="auto"/>
            <w:tcMar>
              <w:top w:w="60" w:type="dxa"/>
              <w:left w:w="96" w:type="dxa"/>
              <w:bottom w:w="60" w:type="dxa"/>
              <w:right w:w="96" w:type="dxa"/>
            </w:tcMar>
            <w:vAlign w:val="center"/>
          </w:tcPr>
          <w:p w14:paraId="40C34891" w14:textId="77777777" w:rsidR="00533849" w:rsidRDefault="00000000">
            <w:pPr>
              <w:spacing w:line="150" w:lineRule="atLeast"/>
              <w:jc w:val="both"/>
              <w:rPr>
                <w:rFonts w:eastAsia="Segoe UI"/>
              </w:rPr>
            </w:pPr>
            <w:r>
              <w:rPr>
                <w:rFonts w:eastAsia="Segoe UI"/>
                <w:lang w:val="en-US" w:eastAsia="zh-CN" w:bidi="ar"/>
              </w:rPr>
              <w:t>Industrial scale (USD 20–40M)</w:t>
            </w:r>
          </w:p>
        </w:tc>
        <w:tc>
          <w:tcPr>
            <w:tcW w:w="0" w:type="auto"/>
            <w:shd w:val="clear" w:color="auto" w:fill="auto"/>
            <w:tcMar>
              <w:top w:w="60" w:type="dxa"/>
              <w:left w:w="96" w:type="dxa"/>
              <w:bottom w:w="60" w:type="dxa"/>
              <w:right w:w="0" w:type="dxa"/>
            </w:tcMar>
            <w:vAlign w:val="center"/>
          </w:tcPr>
          <w:p w14:paraId="1EC3C150" w14:textId="77777777" w:rsidR="00533849" w:rsidRDefault="00000000" w:rsidP="00841DE8">
            <w:pPr>
              <w:spacing w:line="150" w:lineRule="atLeast"/>
              <w:rPr>
                <w:rFonts w:eastAsia="Segoe UI"/>
              </w:rPr>
            </w:pPr>
            <w:r>
              <w:rPr>
                <w:rFonts w:eastAsia="Segoe UI"/>
                <w:lang w:val="en-US" w:eastAsia="zh-CN" w:bidi="ar"/>
              </w:rPr>
              <w:t>Full commercial (USD 50–80M)</w:t>
            </w:r>
          </w:p>
        </w:tc>
      </w:tr>
      <w:tr w:rsidR="00533849" w14:paraId="1BDFBB06" w14:textId="77777777" w:rsidTr="00841DE8">
        <w:trPr>
          <w:trHeight w:val="827"/>
        </w:trPr>
        <w:tc>
          <w:tcPr>
            <w:tcW w:w="0" w:type="auto"/>
            <w:shd w:val="clear" w:color="auto" w:fill="auto"/>
            <w:tcMar>
              <w:top w:w="60" w:type="dxa"/>
              <w:left w:w="0" w:type="dxa"/>
              <w:bottom w:w="60" w:type="dxa"/>
              <w:right w:w="96" w:type="dxa"/>
            </w:tcMar>
            <w:vAlign w:val="center"/>
          </w:tcPr>
          <w:p w14:paraId="4BC77D84" w14:textId="77777777" w:rsidR="00533849" w:rsidRDefault="00000000">
            <w:pPr>
              <w:spacing w:line="150" w:lineRule="atLeast"/>
              <w:jc w:val="both"/>
              <w:rPr>
                <w:rFonts w:eastAsia="Segoe UI"/>
              </w:rPr>
            </w:pPr>
            <w:r>
              <w:rPr>
                <w:rFonts w:eastAsia="Segoe UI"/>
                <w:lang w:val="en-US" w:eastAsia="zh-CN" w:bidi="ar"/>
              </w:rPr>
              <w:lastRenderedPageBreak/>
              <w:t>Standardized herbal medicinal products</w:t>
            </w:r>
          </w:p>
        </w:tc>
        <w:tc>
          <w:tcPr>
            <w:tcW w:w="0" w:type="auto"/>
            <w:shd w:val="clear" w:color="auto" w:fill="auto"/>
            <w:tcMar>
              <w:top w:w="60" w:type="dxa"/>
              <w:left w:w="96" w:type="dxa"/>
              <w:bottom w:w="60" w:type="dxa"/>
              <w:right w:w="96" w:type="dxa"/>
            </w:tcMar>
            <w:vAlign w:val="center"/>
          </w:tcPr>
          <w:p w14:paraId="3F271728" w14:textId="77777777" w:rsidR="00533849" w:rsidRDefault="00000000">
            <w:pPr>
              <w:spacing w:line="150" w:lineRule="atLeast"/>
              <w:jc w:val="both"/>
              <w:rPr>
                <w:rFonts w:eastAsia="Segoe UI"/>
              </w:rPr>
            </w:pPr>
            <w:r>
              <w:rPr>
                <w:rFonts w:eastAsia="Segoe UI"/>
                <w:lang w:val="en-US" w:eastAsia="zh-CN" w:bidi="ar"/>
              </w:rPr>
              <w:t>5–10 products registered (USD 5–10M)</w:t>
            </w:r>
          </w:p>
        </w:tc>
        <w:tc>
          <w:tcPr>
            <w:tcW w:w="0" w:type="auto"/>
            <w:shd w:val="clear" w:color="auto" w:fill="auto"/>
            <w:tcMar>
              <w:top w:w="60" w:type="dxa"/>
              <w:left w:w="96" w:type="dxa"/>
              <w:bottom w:w="60" w:type="dxa"/>
              <w:right w:w="96" w:type="dxa"/>
            </w:tcMar>
            <w:vAlign w:val="center"/>
          </w:tcPr>
          <w:p w14:paraId="59B02A14" w14:textId="77777777" w:rsidR="00533849" w:rsidRDefault="00000000">
            <w:pPr>
              <w:spacing w:line="150" w:lineRule="atLeast"/>
              <w:jc w:val="both"/>
              <w:rPr>
                <w:rFonts w:eastAsia="Segoe UI"/>
              </w:rPr>
            </w:pPr>
            <w:r>
              <w:rPr>
                <w:rFonts w:eastAsia="Segoe UI"/>
                <w:lang w:val="en-US" w:eastAsia="zh-CN" w:bidi="ar"/>
              </w:rPr>
              <w:t>30–50 products marketed (USD 50–100M)</w:t>
            </w:r>
          </w:p>
        </w:tc>
        <w:tc>
          <w:tcPr>
            <w:tcW w:w="0" w:type="auto"/>
            <w:shd w:val="clear" w:color="auto" w:fill="auto"/>
            <w:tcMar>
              <w:top w:w="60" w:type="dxa"/>
              <w:left w:w="96" w:type="dxa"/>
              <w:bottom w:w="60" w:type="dxa"/>
              <w:right w:w="0" w:type="dxa"/>
            </w:tcMar>
            <w:vAlign w:val="center"/>
          </w:tcPr>
          <w:p w14:paraId="564B2538" w14:textId="77777777" w:rsidR="00533849" w:rsidRDefault="00000000" w:rsidP="00841DE8">
            <w:pPr>
              <w:spacing w:line="150" w:lineRule="atLeast"/>
              <w:rPr>
                <w:rFonts w:eastAsia="Segoe UI"/>
              </w:rPr>
            </w:pPr>
            <w:r>
              <w:rPr>
                <w:rFonts w:eastAsia="Segoe UI"/>
                <w:lang w:val="en-US" w:eastAsia="zh-CN" w:bidi="ar"/>
              </w:rPr>
              <w:t>80–120 products; regional exports (USD 150–250M)</w:t>
            </w:r>
          </w:p>
        </w:tc>
      </w:tr>
      <w:tr w:rsidR="00533849" w14:paraId="0E6D5CA1" w14:textId="77777777" w:rsidTr="00841DE8">
        <w:trPr>
          <w:trHeight w:val="1102"/>
        </w:trPr>
        <w:tc>
          <w:tcPr>
            <w:tcW w:w="0" w:type="auto"/>
            <w:shd w:val="clear" w:color="auto" w:fill="auto"/>
            <w:tcMar>
              <w:top w:w="60" w:type="dxa"/>
              <w:left w:w="0" w:type="dxa"/>
              <w:bottom w:w="60" w:type="dxa"/>
              <w:right w:w="96" w:type="dxa"/>
            </w:tcMar>
            <w:vAlign w:val="center"/>
          </w:tcPr>
          <w:p w14:paraId="71169B4F" w14:textId="77777777" w:rsidR="00533849" w:rsidRDefault="00000000">
            <w:pPr>
              <w:spacing w:line="150" w:lineRule="atLeast"/>
              <w:jc w:val="both"/>
              <w:rPr>
                <w:rFonts w:eastAsia="Segoe UI"/>
              </w:rPr>
            </w:pPr>
            <w:r>
              <w:rPr>
                <w:rFonts w:eastAsia="Segoe UI"/>
                <w:lang w:val="en-US" w:eastAsia="zh-CN" w:bidi="ar"/>
              </w:rPr>
              <w:t>Indigenous nutraceutical formulations</w:t>
            </w:r>
          </w:p>
        </w:tc>
        <w:tc>
          <w:tcPr>
            <w:tcW w:w="0" w:type="auto"/>
            <w:shd w:val="clear" w:color="auto" w:fill="auto"/>
            <w:tcMar>
              <w:top w:w="60" w:type="dxa"/>
              <w:left w:w="96" w:type="dxa"/>
              <w:bottom w:w="60" w:type="dxa"/>
              <w:right w:w="96" w:type="dxa"/>
            </w:tcMar>
            <w:vAlign w:val="center"/>
          </w:tcPr>
          <w:p w14:paraId="0B512681" w14:textId="77777777" w:rsidR="00533849" w:rsidRDefault="00000000">
            <w:pPr>
              <w:spacing w:line="150" w:lineRule="atLeast"/>
              <w:jc w:val="both"/>
              <w:rPr>
                <w:rFonts w:eastAsia="Segoe UI"/>
              </w:rPr>
            </w:pPr>
            <w:r>
              <w:rPr>
                <w:rFonts w:eastAsia="Segoe UI"/>
                <w:lang w:val="en-US" w:eastAsia="zh-CN" w:bidi="ar"/>
              </w:rPr>
              <w:t>10–15 developed (USD 3–8M)</w:t>
            </w:r>
          </w:p>
        </w:tc>
        <w:tc>
          <w:tcPr>
            <w:tcW w:w="0" w:type="auto"/>
            <w:shd w:val="clear" w:color="auto" w:fill="auto"/>
            <w:tcMar>
              <w:top w:w="60" w:type="dxa"/>
              <w:left w:w="96" w:type="dxa"/>
              <w:bottom w:w="60" w:type="dxa"/>
              <w:right w:w="96" w:type="dxa"/>
            </w:tcMar>
            <w:vAlign w:val="center"/>
          </w:tcPr>
          <w:p w14:paraId="433EDFA1" w14:textId="77777777" w:rsidR="00533849" w:rsidRDefault="00000000">
            <w:pPr>
              <w:spacing w:line="150" w:lineRule="atLeast"/>
              <w:jc w:val="both"/>
              <w:rPr>
                <w:rFonts w:eastAsia="Segoe UI"/>
              </w:rPr>
            </w:pPr>
            <w:r>
              <w:rPr>
                <w:rFonts w:eastAsia="Segoe UI"/>
                <w:lang w:val="en-US" w:eastAsia="zh-CN" w:bidi="ar"/>
              </w:rPr>
              <w:t>50–80 commercialized (USD 40–80M)</w:t>
            </w:r>
          </w:p>
        </w:tc>
        <w:tc>
          <w:tcPr>
            <w:tcW w:w="0" w:type="auto"/>
            <w:shd w:val="clear" w:color="auto" w:fill="auto"/>
            <w:tcMar>
              <w:top w:w="60" w:type="dxa"/>
              <w:left w:w="96" w:type="dxa"/>
              <w:bottom w:w="60" w:type="dxa"/>
              <w:right w:w="0" w:type="dxa"/>
            </w:tcMar>
            <w:vAlign w:val="center"/>
          </w:tcPr>
          <w:p w14:paraId="5E16093D" w14:textId="77777777" w:rsidR="00533849" w:rsidRDefault="00000000" w:rsidP="00841DE8">
            <w:pPr>
              <w:spacing w:line="150" w:lineRule="atLeast"/>
              <w:rPr>
                <w:rFonts w:eastAsia="Segoe UI"/>
              </w:rPr>
            </w:pPr>
            <w:r>
              <w:rPr>
                <w:rFonts w:eastAsia="Segoe UI"/>
                <w:lang w:val="en-US" w:eastAsia="zh-CN" w:bidi="ar"/>
              </w:rPr>
              <w:t>120–200 products; AfCFTA market penetration (USD 120–200M)</w:t>
            </w:r>
          </w:p>
        </w:tc>
      </w:tr>
      <w:tr w:rsidR="00533849" w14:paraId="38545E02" w14:textId="77777777" w:rsidTr="00841DE8">
        <w:trPr>
          <w:trHeight w:val="539"/>
        </w:trPr>
        <w:tc>
          <w:tcPr>
            <w:tcW w:w="0" w:type="auto"/>
            <w:shd w:val="clear" w:color="auto" w:fill="auto"/>
            <w:tcMar>
              <w:top w:w="60" w:type="dxa"/>
              <w:left w:w="0" w:type="dxa"/>
              <w:bottom w:w="60" w:type="dxa"/>
              <w:right w:w="96" w:type="dxa"/>
            </w:tcMar>
            <w:vAlign w:val="center"/>
          </w:tcPr>
          <w:p w14:paraId="14873C72" w14:textId="77777777" w:rsidR="00533849" w:rsidRDefault="00000000">
            <w:pPr>
              <w:spacing w:line="150" w:lineRule="atLeast"/>
              <w:jc w:val="both"/>
              <w:rPr>
                <w:rFonts w:eastAsia="Segoe UI"/>
              </w:rPr>
            </w:pPr>
            <w:r>
              <w:rPr>
                <w:rFonts w:eastAsia="Segoe UI"/>
                <w:lang w:val="en-US" w:eastAsia="zh-CN" w:bidi="ar"/>
              </w:rPr>
              <w:t>Contract research services</w:t>
            </w:r>
          </w:p>
        </w:tc>
        <w:tc>
          <w:tcPr>
            <w:tcW w:w="0" w:type="auto"/>
            <w:shd w:val="clear" w:color="auto" w:fill="auto"/>
            <w:tcMar>
              <w:top w:w="60" w:type="dxa"/>
              <w:left w:w="96" w:type="dxa"/>
              <w:bottom w:w="60" w:type="dxa"/>
              <w:right w:w="96" w:type="dxa"/>
            </w:tcMar>
            <w:vAlign w:val="center"/>
          </w:tcPr>
          <w:p w14:paraId="23269E7C" w14:textId="77777777" w:rsidR="00533849" w:rsidRDefault="00000000">
            <w:pPr>
              <w:spacing w:line="150" w:lineRule="atLeast"/>
              <w:jc w:val="both"/>
              <w:rPr>
                <w:rFonts w:eastAsia="Segoe UI"/>
              </w:rPr>
            </w:pPr>
            <w:r>
              <w:rPr>
                <w:rFonts w:eastAsia="Segoe UI"/>
                <w:lang w:val="en-US" w:eastAsia="zh-CN" w:bidi="ar"/>
              </w:rPr>
              <w:t>Initial capability (USD 1–3M)</w:t>
            </w:r>
          </w:p>
        </w:tc>
        <w:tc>
          <w:tcPr>
            <w:tcW w:w="0" w:type="auto"/>
            <w:shd w:val="clear" w:color="auto" w:fill="auto"/>
            <w:tcMar>
              <w:top w:w="60" w:type="dxa"/>
              <w:left w:w="96" w:type="dxa"/>
              <w:bottom w:w="60" w:type="dxa"/>
              <w:right w:w="96" w:type="dxa"/>
            </w:tcMar>
            <w:vAlign w:val="center"/>
          </w:tcPr>
          <w:p w14:paraId="1B9AAFF3" w14:textId="77777777" w:rsidR="00533849" w:rsidRDefault="00000000">
            <w:pPr>
              <w:spacing w:line="150" w:lineRule="atLeast"/>
              <w:jc w:val="both"/>
              <w:rPr>
                <w:rFonts w:eastAsia="Segoe UI"/>
              </w:rPr>
            </w:pPr>
            <w:r>
              <w:rPr>
                <w:rFonts w:eastAsia="Segoe UI"/>
                <w:lang w:val="en-US" w:eastAsia="zh-CN" w:bidi="ar"/>
              </w:rPr>
              <w:t>Regional services (USD 10–20M)</w:t>
            </w:r>
          </w:p>
        </w:tc>
        <w:tc>
          <w:tcPr>
            <w:tcW w:w="0" w:type="auto"/>
            <w:shd w:val="clear" w:color="auto" w:fill="auto"/>
            <w:tcMar>
              <w:top w:w="60" w:type="dxa"/>
              <w:left w:w="96" w:type="dxa"/>
              <w:bottom w:w="60" w:type="dxa"/>
              <w:right w:w="0" w:type="dxa"/>
            </w:tcMar>
            <w:vAlign w:val="center"/>
          </w:tcPr>
          <w:p w14:paraId="185CB9E6" w14:textId="77777777" w:rsidR="00533849" w:rsidRDefault="00000000" w:rsidP="00841DE8">
            <w:pPr>
              <w:spacing w:line="150" w:lineRule="atLeast"/>
              <w:rPr>
                <w:rFonts w:eastAsia="Segoe UI"/>
              </w:rPr>
            </w:pPr>
            <w:r>
              <w:rPr>
                <w:rFonts w:eastAsia="Segoe UI"/>
                <w:lang w:val="en-US" w:eastAsia="zh-CN" w:bidi="ar"/>
              </w:rPr>
              <w:t>International contracts (USD 25–40M)</w:t>
            </w:r>
          </w:p>
        </w:tc>
      </w:tr>
      <w:tr w:rsidR="00533849" w14:paraId="24A5ADF0" w14:textId="77777777" w:rsidTr="00841DE8">
        <w:trPr>
          <w:trHeight w:val="275"/>
        </w:trPr>
        <w:tc>
          <w:tcPr>
            <w:tcW w:w="0" w:type="auto"/>
            <w:shd w:val="clear" w:color="auto" w:fill="auto"/>
            <w:tcMar>
              <w:top w:w="60" w:type="dxa"/>
              <w:left w:w="0" w:type="dxa"/>
              <w:bottom w:w="60" w:type="dxa"/>
              <w:right w:w="96" w:type="dxa"/>
            </w:tcMar>
            <w:vAlign w:val="center"/>
          </w:tcPr>
          <w:p w14:paraId="17A74813" w14:textId="77777777" w:rsidR="00533849" w:rsidRDefault="00000000">
            <w:pPr>
              <w:spacing w:line="150" w:lineRule="atLeast"/>
              <w:jc w:val="both"/>
              <w:rPr>
                <w:rFonts w:eastAsia="Segoe UI"/>
              </w:rPr>
            </w:pPr>
            <w:r>
              <w:rPr>
                <w:rFonts w:eastAsia="Segoe UI"/>
                <w:b/>
                <w:bCs/>
                <w:lang w:val="en-US" w:eastAsia="zh-CN" w:bidi="ar"/>
              </w:rPr>
              <w:t>Total sector value</w:t>
            </w:r>
          </w:p>
        </w:tc>
        <w:tc>
          <w:tcPr>
            <w:tcW w:w="0" w:type="auto"/>
            <w:shd w:val="clear" w:color="auto" w:fill="auto"/>
            <w:tcMar>
              <w:top w:w="60" w:type="dxa"/>
              <w:left w:w="96" w:type="dxa"/>
              <w:bottom w:w="60" w:type="dxa"/>
              <w:right w:w="96" w:type="dxa"/>
            </w:tcMar>
            <w:vAlign w:val="center"/>
          </w:tcPr>
          <w:p w14:paraId="0784B01C" w14:textId="77777777" w:rsidR="00533849" w:rsidRDefault="00000000">
            <w:pPr>
              <w:spacing w:line="150" w:lineRule="atLeast"/>
              <w:jc w:val="both"/>
              <w:rPr>
                <w:rFonts w:eastAsia="Segoe UI"/>
              </w:rPr>
            </w:pPr>
            <w:r>
              <w:rPr>
                <w:rFonts w:eastAsia="Segoe UI"/>
                <w:b/>
                <w:bCs/>
                <w:lang w:val="en-US" w:eastAsia="zh-CN" w:bidi="ar"/>
              </w:rPr>
              <w:t>USD 56–111M</w:t>
            </w:r>
          </w:p>
        </w:tc>
        <w:tc>
          <w:tcPr>
            <w:tcW w:w="0" w:type="auto"/>
            <w:shd w:val="clear" w:color="auto" w:fill="auto"/>
            <w:tcMar>
              <w:top w:w="60" w:type="dxa"/>
              <w:left w:w="96" w:type="dxa"/>
              <w:bottom w:w="60" w:type="dxa"/>
              <w:right w:w="96" w:type="dxa"/>
            </w:tcMar>
            <w:vAlign w:val="center"/>
          </w:tcPr>
          <w:p w14:paraId="0864E649" w14:textId="77777777" w:rsidR="00533849" w:rsidRDefault="00000000">
            <w:pPr>
              <w:spacing w:line="150" w:lineRule="atLeast"/>
              <w:jc w:val="both"/>
              <w:rPr>
                <w:rFonts w:eastAsia="Segoe UI"/>
              </w:rPr>
            </w:pPr>
            <w:r>
              <w:rPr>
                <w:rFonts w:eastAsia="Segoe UI"/>
                <w:b/>
                <w:bCs/>
                <w:lang w:val="en-US" w:eastAsia="zh-CN" w:bidi="ar"/>
              </w:rPr>
              <w:t>USD 320–570M</w:t>
            </w:r>
          </w:p>
        </w:tc>
        <w:tc>
          <w:tcPr>
            <w:tcW w:w="0" w:type="auto"/>
            <w:shd w:val="clear" w:color="auto" w:fill="auto"/>
            <w:tcMar>
              <w:top w:w="60" w:type="dxa"/>
              <w:left w:w="96" w:type="dxa"/>
              <w:bottom w:w="60" w:type="dxa"/>
              <w:right w:w="0" w:type="dxa"/>
            </w:tcMar>
            <w:vAlign w:val="center"/>
          </w:tcPr>
          <w:p w14:paraId="21E33645" w14:textId="77777777" w:rsidR="00533849" w:rsidRDefault="00000000">
            <w:pPr>
              <w:spacing w:line="150" w:lineRule="atLeast"/>
              <w:jc w:val="both"/>
              <w:rPr>
                <w:rFonts w:eastAsia="Segoe UI"/>
              </w:rPr>
            </w:pPr>
            <w:r>
              <w:rPr>
                <w:rFonts w:eastAsia="Segoe UI"/>
                <w:b/>
                <w:bCs/>
                <w:lang w:val="en-US" w:eastAsia="zh-CN" w:bidi="ar"/>
              </w:rPr>
              <w:t>USD 815–1.25B</w:t>
            </w:r>
          </w:p>
        </w:tc>
      </w:tr>
    </w:tbl>
    <w:p w14:paraId="030EA4DC" w14:textId="77777777" w:rsidR="00533849" w:rsidRDefault="00000000">
      <w:pPr>
        <w:pStyle w:val="NormalWeb"/>
        <w:shd w:val="clear" w:color="auto" w:fill="FFFFFF"/>
        <w:spacing w:before="96" w:after="96"/>
        <w:jc w:val="both"/>
        <w:rPr>
          <w:rFonts w:eastAsia="Segoe UI"/>
          <w:color w:val="0F1115"/>
        </w:rPr>
      </w:pPr>
      <w:r>
        <w:rPr>
          <w:rFonts w:eastAsia="Segoe UI"/>
          <w:b/>
          <w:bCs/>
          <w:color w:val="0F1115"/>
          <w:shd w:val="clear" w:color="auto" w:fill="FFFFFF"/>
        </w:rPr>
        <w:t>Cumulative sector value by 2045: USD 0.8–1.25 billion annually (representing 0.5–0.7% of projected GDP)</w:t>
      </w:r>
    </w:p>
    <w:p w14:paraId="63D74923"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Sources: Authors' calculations based on global market projections [55–56, 63, 66]; FAO commodity statistics; Ivorian production data; industry benchmark analysis.</w:t>
      </w:r>
    </w:p>
    <w:p w14:paraId="551DACEA"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Note: These projections are conservative estimates based on moderate market share capture (2–5% of relevant global markets) and exclude potential blockbuster drug development, which would significantly alter sectoral projections. CIP = Cocoa Ivorian Polyphenols; CNSL = Cashew Nut Shell Liquid.</w:t>
      </w:r>
    </w:p>
    <w:p w14:paraId="6E7F7EBF" w14:textId="77777777" w:rsidR="00533849" w:rsidRDefault="00000000">
      <w:pPr>
        <w:pStyle w:val="Heading4"/>
        <w:shd w:val="clear" w:color="auto" w:fill="FFFFFF"/>
        <w:spacing w:before="96" w:after="96" w:line="168" w:lineRule="atLeast"/>
        <w:jc w:val="both"/>
        <w:rPr>
          <w:rFonts w:eastAsia="Segoe UI"/>
          <w:b/>
          <w:bCs/>
          <w:color w:val="0F1115"/>
        </w:rPr>
      </w:pPr>
      <w:r>
        <w:rPr>
          <w:rFonts w:eastAsia="Segoe UI"/>
          <w:b/>
          <w:bCs/>
          <w:color w:val="0F1115"/>
          <w:shd w:val="clear" w:color="auto" w:fill="FFFFFF"/>
        </w:rPr>
        <w:t>4.4.5 Institutional Architecture: Building the Bio-Economy Governance Framework</w:t>
      </w:r>
    </w:p>
    <w:p w14:paraId="2C2E5B40"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The development of the nutraceutical and pharmacofitology sector requires deliberate institutional architecture that addresses the sector's distinctive characteristics — combining traditional knowledge protection with scientific validation, commercial development with community benefit-sharing, and domestic health priorities with export market access.</w:t>
      </w:r>
    </w:p>
    <w:p w14:paraId="096F7574" w14:textId="77777777" w:rsidR="00533849" w:rsidRDefault="00000000">
      <w:pPr>
        <w:pStyle w:val="NormalWeb"/>
        <w:shd w:val="clear" w:color="auto" w:fill="FFFFFF"/>
        <w:spacing w:before="96" w:after="96"/>
        <w:jc w:val="both"/>
        <w:rPr>
          <w:rFonts w:eastAsia="Segoe UI"/>
          <w:color w:val="0F1115"/>
        </w:rPr>
      </w:pPr>
      <w:r>
        <w:rPr>
          <w:rFonts w:eastAsia="Segoe UI"/>
          <w:b/>
          <w:bCs/>
          <w:color w:val="0F1115"/>
          <w:shd w:val="clear" w:color="auto" w:fill="FFFFFF"/>
        </w:rPr>
        <w:t>The National Bio-Economy Agency</w:t>
      </w:r>
      <w:r>
        <w:rPr>
          <w:rFonts w:eastAsia="Segoe UI"/>
          <w:color w:val="0F1115"/>
          <w:shd w:val="clear" w:color="auto" w:fill="FFFFFF"/>
        </w:rPr>
        <w:t> would provide centralized coordination across the fragmented institutional landscape currently governing plant genetic resources, traditional medicine, agricultural commodities, and pharmaceutical regulation. Modelled on Brazil's Embrapa — which transformed Brazilian agriculture through systematic research commercialization — and India's CSIR (Council for Scientific and Industrial Research), which has successfully commercialized traditional knowledge products including neem and turmeric-based formulations, the agency would coordinate research priorities, manage intellectual property, provide quality assurance certification, and oversee community benefit-sharing agreements.</w:t>
      </w:r>
    </w:p>
    <w:p w14:paraId="13F99665" w14:textId="77777777" w:rsidR="00533849" w:rsidRDefault="00000000">
      <w:pPr>
        <w:pStyle w:val="NormalWeb"/>
        <w:shd w:val="clear" w:color="auto" w:fill="FFFFFF"/>
        <w:spacing w:before="96" w:after="96"/>
        <w:jc w:val="both"/>
        <w:rPr>
          <w:rFonts w:eastAsia="Segoe UI"/>
          <w:color w:val="0F1115"/>
        </w:rPr>
      </w:pPr>
      <w:r>
        <w:rPr>
          <w:rFonts w:eastAsia="Segoe UI"/>
          <w:b/>
          <w:bCs/>
          <w:color w:val="0F1115"/>
          <w:shd w:val="clear" w:color="auto" w:fill="FFFFFF"/>
        </w:rPr>
        <w:t>Intellectual property protection</w:t>
      </w:r>
      <w:r>
        <w:rPr>
          <w:rFonts w:eastAsia="Segoe UI"/>
          <w:color w:val="0F1115"/>
          <w:shd w:val="clear" w:color="auto" w:fill="FFFFFF"/>
        </w:rPr>
        <w:t xml:space="preserve"> is particularly critical for the nutraceutical and pharmacofitology sector. Traditional pharmacological knowledge is inherently vulnerable to biopiracy — the appropriation of indigenous knowledge and genetic resources without compensation — which has cost Africa billions in foregone royalties. Côte d'Ivoire should accede to the Nagoya Protocol on Access and Benefit-Sharing and implement national legislation requiring prior informed consent and mutually agreed terms for commercial access to plant genetic resources and associated traditional knowledge [73]. The Ubuntu cooperative banking architecture — with its commitment to community governance and equitable benefit-sharing — provides a natural institutional vehicle for managing community-level knowledge rights: traditional healers and local communities would hold equity in commercialized products </w:t>
      </w:r>
      <w:r>
        <w:rPr>
          <w:rFonts w:eastAsia="Segoe UI"/>
          <w:color w:val="0F1115"/>
          <w:shd w:val="clear" w:color="auto" w:fill="FFFFFF"/>
        </w:rPr>
        <w:lastRenderedPageBreak/>
        <w:t>developed from their knowledge, receiving ongoing royalties through their cooperative structures.</w:t>
      </w:r>
    </w:p>
    <w:p w14:paraId="690B5D75" w14:textId="77777777" w:rsidR="00533849" w:rsidRDefault="00000000">
      <w:pPr>
        <w:pStyle w:val="NormalWeb"/>
        <w:shd w:val="clear" w:color="auto" w:fill="FFFFFF"/>
        <w:spacing w:before="96" w:after="96"/>
        <w:jc w:val="both"/>
        <w:rPr>
          <w:rFonts w:eastAsia="Segoe UI"/>
          <w:color w:val="0F1115"/>
        </w:rPr>
      </w:pPr>
      <w:r>
        <w:rPr>
          <w:rFonts w:eastAsia="Segoe UI"/>
          <w:b/>
          <w:bCs/>
          <w:color w:val="0F1115"/>
          <w:shd w:val="clear" w:color="auto" w:fill="FFFFFF"/>
        </w:rPr>
        <w:t>Quality standardization and regulatory harmonization</w:t>
      </w:r>
      <w:r>
        <w:rPr>
          <w:rFonts w:eastAsia="Segoe UI"/>
          <w:color w:val="0F1115"/>
          <w:shd w:val="clear" w:color="auto" w:fill="FFFFFF"/>
        </w:rPr>
        <w:t> addresses the single most significant barrier to African herbal medicine commercialization: the absence of standardized quality control systems that meet international regulatory requirements. The establishment of an Ivorian Pharmacopoeia Commission — developing monographs for standardized herbal medicinal products — and a National Centre for Bioactive Quality Control — providing analytical services for product certification — would enable domestic manufacturers to access regional and international markets. Harmonization with ECOWAS pharmaceutical regulations and WHO traditional medicine guidelines is essential for market access across the continent and ultimately to developed-country herbal medicine markets [74, 75].</w:t>
      </w:r>
    </w:p>
    <w:p w14:paraId="740D3741" w14:textId="77777777" w:rsidR="00533849" w:rsidRDefault="00000000">
      <w:pPr>
        <w:pStyle w:val="Heading4"/>
        <w:shd w:val="clear" w:color="auto" w:fill="FFFFFF"/>
        <w:spacing w:before="96" w:after="96" w:line="168" w:lineRule="atLeast"/>
        <w:jc w:val="both"/>
        <w:rPr>
          <w:rFonts w:eastAsia="Segoe UI"/>
          <w:b/>
          <w:bCs/>
          <w:color w:val="0F1115"/>
        </w:rPr>
      </w:pPr>
      <w:r>
        <w:rPr>
          <w:rFonts w:eastAsia="Segoe UI"/>
          <w:b/>
          <w:bCs/>
          <w:color w:val="0F1115"/>
          <w:shd w:val="clear" w:color="auto" w:fill="FFFFFF"/>
        </w:rPr>
        <w:t>4.4.6 Neuroanthropological Economics and Indigenous Knowledge Valorization</w:t>
      </w:r>
    </w:p>
    <w:p w14:paraId="3A0DAC14"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The NAE framework provides critical analytical insight into both the historical marginalization of African traditional medicine and the design principles for its successful integration into the national economy. Traditional medicine, like indigenous financial systems, has been systematically delegitimized not because it is ineffective but because colonial architectures required the assertion of European knowledge superiority as the foundation of colonial governance [76]. The characterization of traditional healers as "witch doctors" and traditional remedies as "superstition" was never an empirical claim — it was an assertion of institutional authority that has been transmitted neuro-culturally through generations of formal education and health policy.</w:t>
      </w:r>
    </w:p>
    <w:p w14:paraId="398F51A9"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The consequence is a profound crisis of epistemic confidence that operates at both population and institutional levels. At the population level, the pattern is well-documented: African populations engage with traditional medicine extensively for primary care — surveys indicate that 70–85% of Ivorians use traditional medicine for primary healthcare — but increasingly perceive it as "inferior" to conventional medicine, even as conventional healthcare remains inaccessible to the majority [77, 78]. This creates a neuro-cultural double-bind: engaging with the medicine that is accessible but perceived as inferior, while the medicine perceived as superior remains inaccessible. At the institutional level, African governments have historically underinvested in traditional medicine research and integration despite repeated WHO recommendations — reflecting the same institutional reproduction of colonial neuro-patterns identified in the financial sector.</w:t>
      </w:r>
    </w:p>
    <w:p w14:paraId="4A3C846E"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The NAE framework suggests that successful pharmacofitology sector development requires two parallel institutional strategies. First, the </w:t>
      </w:r>
      <w:r w:rsidRPr="00C00EB1">
        <w:rPr>
          <w:rFonts w:eastAsia="Segoe UI"/>
          <w:color w:val="0F1115"/>
          <w:shd w:val="clear" w:color="auto" w:fill="FFFFFF"/>
        </w:rPr>
        <w:t>restoration of epistemic dignity:</w:t>
      </w:r>
      <w:r>
        <w:rPr>
          <w:rFonts w:eastAsia="Segoe UI"/>
          <w:color w:val="0F1115"/>
          <w:shd w:val="clear" w:color="auto" w:fill="FFFFFF"/>
        </w:rPr>
        <w:t xml:space="preserve"> systematic documentation and scientific validation of traditional pharmacopoeia must be accompanied by public communication strategies that affirm the empirical foundation of traditional knowledge. African communities who have used Cryptolepis sanguinolenta for malaria for generations are not engaging in superstition — they are employing an empirically validated therapeutic approach with documented antiplasmodial activity comparable to conventional antimalarials against chloroquine-sensitive strains [79]. Second, the </w:t>
      </w:r>
      <w:r w:rsidRPr="00C00EB1">
        <w:rPr>
          <w:rFonts w:eastAsia="Segoe UI"/>
          <w:color w:val="0F1115"/>
          <w:shd w:val="clear" w:color="auto" w:fill="FFFFFF"/>
        </w:rPr>
        <w:t>neurobiologically aligned co-design:</w:t>
      </w:r>
      <w:r>
        <w:rPr>
          <w:rFonts w:eastAsia="Segoe UI"/>
          <w:color w:val="0F1115"/>
          <w:shd w:val="clear" w:color="auto" w:fill="FFFFFF"/>
        </w:rPr>
        <w:t xml:space="preserve"> pharmacofitology product development should involve traditional healers as knowledge partners rather than as "informants" — recognizing that traditional healers possess systematic pharmacological knowledge that has been accumulated over generations. Co-design aligns with the NAE principle that institutional trust is rebuilt through demonstrated respect for indigenous knowledge systems and genuine participation in benefit-sharing.</w:t>
      </w:r>
    </w:p>
    <w:p w14:paraId="0EB1471B"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 xml:space="preserve">The integration of traditional healers into the formal health system through the Ubuntu cooperative model is particularly promising. Traditional healers, organized in cooperatives, could provide standardized products through formal supply chains, participate in training </w:t>
      </w:r>
      <w:r>
        <w:rPr>
          <w:rFonts w:eastAsia="Segoe UI"/>
          <w:color w:val="0F1115"/>
          <w:shd w:val="clear" w:color="auto" w:fill="FFFFFF"/>
        </w:rPr>
        <w:lastRenderedPageBreak/>
        <w:t>programmes, and receive ongoing royalties through cooperative dividend structures. The tontine-style group governance mechanisms described in Section IX — face-to-face meetings, reputation-based enforcement, immediate visible benefits — align precisely with the communal knowledge-sharing structures that have sustained traditional medicine across generations.</w:t>
      </w:r>
    </w:p>
    <w:p w14:paraId="420193CD" w14:textId="77777777" w:rsidR="00533849" w:rsidRDefault="00533849"/>
    <w:p w14:paraId="518FF3C4" w14:textId="77777777" w:rsidR="00533849" w:rsidRDefault="00000000">
      <w:pPr>
        <w:spacing w:before="280" w:after="80"/>
      </w:pPr>
      <w:r>
        <w:rPr>
          <w:b/>
          <w:bCs/>
        </w:rPr>
        <w:t>V. PILLAR 3: TECHNOLOGY AND THE DIGITAL ECONOMY — THE DIGITAL CAPITAL OF FRANCOPHONE AFRICA</w:t>
      </w:r>
    </w:p>
    <w:p w14:paraId="1A878D4F" w14:textId="77777777" w:rsidR="00533849" w:rsidRDefault="00000000">
      <w:pPr>
        <w:spacing w:before="200" w:after="60"/>
      </w:pPr>
      <w:r>
        <w:rPr>
          <w:b/>
          <w:bCs/>
        </w:rPr>
        <w:t>5.1 Digital Infrastructure: The Prerequisite for Everything Else</w:t>
      </w:r>
    </w:p>
    <w:p w14:paraId="5D44C0C7" w14:textId="77777777" w:rsidR="00533849" w:rsidRDefault="00000000">
      <w:pPr>
        <w:spacing w:before="80" w:after="80"/>
        <w:jc w:val="both"/>
      </w:pPr>
      <w:r>
        <w:t>Rwanda became Africa's digital hub through deliberate policy. Estonia built the world's most advanced digital government through its X-Road platform, reducing public administration costs by 2% of GDP and eliminating 98% of paper-based government interactions [17, 18]. Côte d'Ivoire — largest francophone economy, best port, most universities in the UEMOA zone, 30 million young people — has every structural prerequisite to become the Digital Capital of Francophone Africa. The infrastructure foundation: 8,000 km of national fibre optic backbone connecting all préfectures by 2028 (USD 450–700 million); a 4G/5G universal service obligation on Orange, MTN, and Moov; and an Abidjan Tier-3 data centre campus attracting Google Cloud, Microsoft Azure, and AWS regional investment, positioning Abidjan as the cloud hub for 17 francophone African nations [11].</w:t>
      </w:r>
    </w:p>
    <w:p w14:paraId="31A46B29" w14:textId="77777777" w:rsidR="00533849" w:rsidRDefault="00000000">
      <w:pPr>
        <w:spacing w:before="200" w:after="60"/>
      </w:pPr>
      <w:r>
        <w:rPr>
          <w:b/>
          <w:bCs/>
        </w:rPr>
        <w:t>5.2 Fintech as Financial Infrastructure — but Not Its Replacement</w:t>
      </w:r>
    </w:p>
    <w:p w14:paraId="0BAFC7B5" w14:textId="77777777" w:rsidR="00533849" w:rsidRDefault="00000000">
      <w:pPr>
        <w:spacing w:before="80" w:after="80"/>
        <w:jc w:val="both"/>
      </w:pPr>
      <w:r>
        <w:t>Mobile money (Orange Money, MTN MoMo, Wave) already covers 50–60% of adult transactions in Côte d'Ivoire. The next layer — a national digital payment infrastructure mandate for all government payments by 2026, a BCEAO regulatory sandbox for fintech innovation, and a sovereign digital identity system (ID.ci) reaching 8 million currently unregistered Ivorians — would push formal financial inclusion to 85% by 2032 [4, 18]. However — and this point is developed at length in Sections VIII–X — digital fintech is transaction infrastructure, not developmental finance. Mobile money moves money; it does not create the productive credit, long-term savings, and insurance that drive investment and risk-taking. The distinction between financial access and financial development is the distinction between being able to send airtime to a rural grandmother and being able to invest in a mango drying machine for a cooperative. Both require mobile money; only the second requires cooperative banking [31].</w:t>
      </w:r>
    </w:p>
    <w:p w14:paraId="718D2CFD" w14:textId="77777777" w:rsidR="00533849" w:rsidRDefault="00000000">
      <w:pPr>
        <w:spacing w:before="200" w:after="60"/>
      </w:pPr>
      <w:r>
        <w:rPr>
          <w:b/>
          <w:bCs/>
        </w:rPr>
        <w:t>5.3 Silicon Plateau: Building the Technology Sector</w:t>
      </w:r>
    </w:p>
    <w:p w14:paraId="5003D5A1" w14:textId="77777777" w:rsidR="00533849" w:rsidRDefault="00000000">
      <w:pPr>
        <w:spacing w:before="80" w:after="80"/>
        <w:jc w:val="both"/>
      </w:pPr>
      <w:r>
        <w:t>An Abidjan Digital Economy Acceleration Programme (ADEAP) of USD 200 million (50% government, 30% AfDB Digital, 20% impact VC) providing seed funding for Ivorian tech startups in agritech, edtech, healthtech, fintech, and logistics; an Ivorian Tech Talent Pipeline targeting 50,000 trained software developers, data scientists, and cybersecurity specialists by 2030; and one global technology anchor (a Google, Microsoft, or Huawei regional engineering centre) creating the prestige signal that attracts a second wave of tech investment [11]. The e-government platform — digital business registration in 24 hours, online tax filing, digital procurement with public contract visibility, electronic land title registration — directly addresses the governance and contract enforcement failures identified in Section VII.</w:t>
      </w:r>
    </w:p>
    <w:p w14:paraId="3E2754BC" w14:textId="77777777" w:rsidR="00533849" w:rsidRDefault="00533849"/>
    <w:p w14:paraId="05EA8292" w14:textId="77777777" w:rsidR="00533849" w:rsidRDefault="00000000">
      <w:pPr>
        <w:spacing w:before="280" w:after="80"/>
      </w:pPr>
      <w:r>
        <w:rPr>
          <w:b/>
          <w:bCs/>
        </w:rPr>
        <w:lastRenderedPageBreak/>
        <w:t>VI. PILLAR 4: EDUCATION — THE HUMAN CAPITAL BASE THAT MAKES EVERYTHING ELSE POSSIBLE</w:t>
      </w:r>
    </w:p>
    <w:p w14:paraId="109FDF74" w14:textId="77777777" w:rsidR="00533849" w:rsidRDefault="00000000">
      <w:pPr>
        <w:spacing w:before="80" w:after="80"/>
        <w:jc w:val="both"/>
      </w:pPr>
      <w:r>
        <w:t>No economy has ever sustainably doubled its GDP without a prior transformation in human capital quality. South Korea's economic miracle was preceded by a decade of investment in universal education. Singapore declared education its only natural resource. Vietnam's manufacturing ascent was enabled by a literate, technically trained workforce that could operate precision machinery within months [16, 19]. Côte d'Ivoire's adult literacy rate of ~56% and university enrolment rate of ~10% are not social statistics — they are the binding constraints on agricultural transformation (extension workers must read; farmers must understand contracts), industrialization (factory workers must follow technical instructions), and the digital economy (coders must code). Education reform is the highest-return economic investment available in the strategy, because its returns multiply across every other pillar.</w:t>
      </w:r>
    </w:p>
    <w:p w14:paraId="604C1265" w14:textId="77777777" w:rsidR="00533849" w:rsidRDefault="00000000">
      <w:pPr>
        <w:spacing w:before="200" w:after="60"/>
      </w:pPr>
      <w:r>
        <w:rPr>
          <w:b/>
          <w:bCs/>
        </w:rPr>
        <w:t>6.1 Universal Primary Education, TVET, and University Reform</w:t>
      </w:r>
    </w:p>
    <w:p w14:paraId="616AA1CD" w14:textId="77777777" w:rsidR="00533849" w:rsidRDefault="00000000">
      <w:pPr>
        <w:spacing w:before="80" w:after="80"/>
        <w:jc w:val="both"/>
      </w:pPr>
      <w:r>
        <w:t>The intervention package for universal quality primary education by 2030 includes: eliminating all direct and indirect school costs through a National School Meals Programme (modelled on Brazil's PNAE, which increased enrolment by 35% in three years); raising teacher salaries to FCFA 180,000–280,000/month with performance bonuses tied to literacy outcomes; building 8,000 additional classrooms in underserved rural zones; and deploying a National Reading Programme in the 3,000 lowest-performing primary schools with structured phonics-based literacy instruction [11, 19]. Technical and vocational education through 50 new dual-system Centres d'Excellence Professionnelle co-managed with industry targets 200,000 students annually by 2032</w:t>
      </w:r>
      <w:r>
        <w:rPr>
          <w:lang w:val="en-US"/>
        </w:rPr>
        <w:t xml:space="preserve"> (Table 4)</w:t>
      </w:r>
      <w:r>
        <w:t>. University reform positions INP-HB as the MIT of West Africa through USD 120–180 million invested over 10 years, 200 diaspora professors at competitive packages, and joint degree programmes with École Polytechnique, MIT, Nanyang Technological University, and University of Cape Town [11].</w:t>
      </w:r>
    </w:p>
    <w:p w14:paraId="52CE3201" w14:textId="77777777" w:rsidR="00533849" w:rsidRDefault="00533849"/>
    <w:p w14:paraId="4B6125DB" w14:textId="77777777" w:rsidR="00533849" w:rsidRDefault="00000000">
      <w:pPr>
        <w:spacing w:before="180" w:after="60"/>
      </w:pPr>
      <w:r>
        <w:rPr>
          <w:b/>
          <w:bCs/>
          <w:sz w:val="20"/>
          <w:szCs w:val="20"/>
        </w:rPr>
        <w:t xml:space="preserve">Table </w:t>
      </w:r>
      <w:r>
        <w:rPr>
          <w:b/>
          <w:bCs/>
          <w:sz w:val="20"/>
          <w:szCs w:val="20"/>
          <w:lang w:val="en-US"/>
        </w:rPr>
        <w:t>4</w:t>
      </w:r>
      <w:r>
        <w:rPr>
          <w:b/>
          <w:bCs/>
          <w:sz w:val="20"/>
          <w:szCs w:val="20"/>
        </w:rPr>
        <w:t>. Priority school types for Côte d'Ivoire's human capital transformation: models, targets, and financing</w:t>
      </w:r>
    </w:p>
    <w:tbl>
      <w:tblPr>
        <w:tblW w:w="9026" w:type="dxa"/>
        <w:tblBorders>
          <w:top w:val="single" w:sz="18" w:space="0" w:color="1F3864"/>
          <w:left w:val="single" w:sz="18" w:space="0" w:color="1F3864"/>
          <w:bottom w:val="single" w:sz="18" w:space="0" w:color="1F3864"/>
          <w:right w:val="single" w:sz="18" w:space="0" w:color="1F3864"/>
          <w:insideH w:val="single" w:sz="4" w:space="0" w:color="9DB6CE"/>
          <w:insideV w:val="single" w:sz="4" w:space="0" w:color="9DB6CE"/>
        </w:tblBorders>
        <w:tblCellMar>
          <w:left w:w="10" w:type="dxa"/>
          <w:right w:w="10" w:type="dxa"/>
        </w:tblCellMar>
        <w:tblLook w:val="04A0" w:firstRow="1" w:lastRow="0" w:firstColumn="1" w:lastColumn="0" w:noHBand="0" w:noVBand="1"/>
      </w:tblPr>
      <w:tblGrid>
        <w:gridCol w:w="2348"/>
        <w:gridCol w:w="1388"/>
        <w:gridCol w:w="1060"/>
        <w:gridCol w:w="2065"/>
        <w:gridCol w:w="2165"/>
      </w:tblGrid>
      <w:tr w:rsidR="00533849" w14:paraId="74EADE5D" w14:textId="77777777">
        <w:tc>
          <w:tcPr>
            <w:tcW w:w="2400" w:type="dxa"/>
            <w:shd w:val="clear" w:color="auto" w:fill="D9D9D9"/>
            <w:tcMar>
              <w:top w:w="60" w:type="dxa"/>
              <w:left w:w="80" w:type="dxa"/>
              <w:bottom w:w="60" w:type="dxa"/>
              <w:right w:w="80" w:type="dxa"/>
            </w:tcMar>
          </w:tcPr>
          <w:p w14:paraId="68F62610" w14:textId="77777777" w:rsidR="00533849" w:rsidRDefault="00000000">
            <w:r>
              <w:rPr>
                <w:b/>
                <w:bCs/>
                <w:sz w:val="20"/>
                <w:szCs w:val="20"/>
              </w:rPr>
              <w:t>School Type</w:t>
            </w:r>
          </w:p>
        </w:tc>
        <w:tc>
          <w:tcPr>
            <w:tcW w:w="1400" w:type="dxa"/>
            <w:shd w:val="clear" w:color="auto" w:fill="D9D9D9"/>
            <w:tcMar>
              <w:top w:w="60" w:type="dxa"/>
              <w:left w:w="80" w:type="dxa"/>
              <w:bottom w:w="60" w:type="dxa"/>
              <w:right w:w="80" w:type="dxa"/>
            </w:tcMar>
          </w:tcPr>
          <w:p w14:paraId="461F160B" w14:textId="77777777" w:rsidR="00533849" w:rsidRDefault="00000000">
            <w:r>
              <w:rPr>
                <w:b/>
                <w:bCs/>
                <w:sz w:val="20"/>
                <w:szCs w:val="20"/>
              </w:rPr>
              <w:t>Model</w:t>
            </w:r>
          </w:p>
        </w:tc>
        <w:tc>
          <w:tcPr>
            <w:tcW w:w="900" w:type="dxa"/>
            <w:shd w:val="clear" w:color="auto" w:fill="D9D9D9"/>
            <w:tcMar>
              <w:top w:w="60" w:type="dxa"/>
              <w:left w:w="80" w:type="dxa"/>
              <w:bottom w:w="60" w:type="dxa"/>
              <w:right w:w="80" w:type="dxa"/>
            </w:tcMar>
          </w:tcPr>
          <w:p w14:paraId="319D82DB" w14:textId="77777777" w:rsidR="00533849" w:rsidRDefault="00000000">
            <w:pPr>
              <w:jc w:val="center"/>
            </w:pPr>
            <w:r>
              <w:rPr>
                <w:b/>
                <w:bCs/>
                <w:sz w:val="20"/>
                <w:szCs w:val="20"/>
              </w:rPr>
              <w:t>Number by 2030</w:t>
            </w:r>
          </w:p>
        </w:tc>
        <w:tc>
          <w:tcPr>
            <w:tcW w:w="2100" w:type="dxa"/>
            <w:shd w:val="clear" w:color="auto" w:fill="D9D9D9"/>
            <w:tcMar>
              <w:top w:w="60" w:type="dxa"/>
              <w:left w:w="80" w:type="dxa"/>
              <w:bottom w:w="60" w:type="dxa"/>
              <w:right w:w="80" w:type="dxa"/>
            </w:tcMar>
          </w:tcPr>
          <w:p w14:paraId="02B1E3C1" w14:textId="77777777" w:rsidR="00533849" w:rsidRDefault="00000000">
            <w:r>
              <w:rPr>
                <w:b/>
                <w:bCs/>
                <w:sz w:val="20"/>
                <w:szCs w:val="20"/>
              </w:rPr>
              <w:t>Priority Sectors</w:t>
            </w:r>
          </w:p>
        </w:tc>
        <w:tc>
          <w:tcPr>
            <w:tcW w:w="2226" w:type="dxa"/>
            <w:shd w:val="clear" w:color="auto" w:fill="D9D9D9"/>
            <w:tcMar>
              <w:top w:w="60" w:type="dxa"/>
              <w:left w:w="80" w:type="dxa"/>
              <w:bottom w:w="60" w:type="dxa"/>
              <w:right w:w="80" w:type="dxa"/>
            </w:tcMar>
          </w:tcPr>
          <w:p w14:paraId="7D7B0E91" w14:textId="77777777" w:rsidR="00533849" w:rsidRDefault="00000000">
            <w:r>
              <w:rPr>
                <w:b/>
                <w:bCs/>
                <w:sz w:val="20"/>
                <w:szCs w:val="20"/>
              </w:rPr>
              <w:t>Funding</w:t>
            </w:r>
          </w:p>
        </w:tc>
      </w:tr>
      <w:tr w:rsidR="00533849" w14:paraId="1883BDDF" w14:textId="77777777">
        <w:trPr>
          <w:trHeight w:val="90"/>
        </w:trPr>
        <w:tc>
          <w:tcPr>
            <w:tcW w:w="2400" w:type="dxa"/>
            <w:tcMar>
              <w:top w:w="60" w:type="dxa"/>
              <w:left w:w="80" w:type="dxa"/>
              <w:bottom w:w="60" w:type="dxa"/>
              <w:right w:w="80" w:type="dxa"/>
            </w:tcMar>
          </w:tcPr>
          <w:p w14:paraId="71619922" w14:textId="77777777" w:rsidR="00533849" w:rsidRDefault="00000000">
            <w:r>
              <w:rPr>
                <w:sz w:val="20"/>
                <w:szCs w:val="20"/>
              </w:rPr>
              <w:t>Centres d'Excellence Professionnelle (CEP) — dual vocational</w:t>
            </w:r>
          </w:p>
        </w:tc>
        <w:tc>
          <w:tcPr>
            <w:tcW w:w="1400" w:type="dxa"/>
            <w:tcMar>
              <w:top w:w="60" w:type="dxa"/>
              <w:left w:w="80" w:type="dxa"/>
              <w:bottom w:w="60" w:type="dxa"/>
              <w:right w:w="80" w:type="dxa"/>
            </w:tcMar>
          </w:tcPr>
          <w:p w14:paraId="483C973A" w14:textId="77777777" w:rsidR="00533849" w:rsidRDefault="00000000">
            <w:r>
              <w:rPr>
                <w:sz w:val="20"/>
                <w:szCs w:val="20"/>
              </w:rPr>
              <w:t>Germany, Switzerland</w:t>
            </w:r>
          </w:p>
        </w:tc>
        <w:tc>
          <w:tcPr>
            <w:tcW w:w="900" w:type="dxa"/>
            <w:tcMar>
              <w:top w:w="60" w:type="dxa"/>
              <w:left w:w="80" w:type="dxa"/>
              <w:bottom w:w="60" w:type="dxa"/>
              <w:right w:w="80" w:type="dxa"/>
            </w:tcMar>
          </w:tcPr>
          <w:p w14:paraId="578258DF" w14:textId="77777777" w:rsidR="00533849" w:rsidRDefault="00000000">
            <w:pPr>
              <w:jc w:val="center"/>
            </w:pPr>
            <w:r>
              <w:rPr>
                <w:sz w:val="20"/>
                <w:szCs w:val="20"/>
              </w:rPr>
              <w:t>50</w:t>
            </w:r>
          </w:p>
        </w:tc>
        <w:tc>
          <w:tcPr>
            <w:tcW w:w="2100" w:type="dxa"/>
            <w:tcMar>
              <w:top w:w="60" w:type="dxa"/>
              <w:left w:w="80" w:type="dxa"/>
              <w:bottom w:w="60" w:type="dxa"/>
              <w:right w:w="80" w:type="dxa"/>
            </w:tcMar>
          </w:tcPr>
          <w:p w14:paraId="3E9843D2" w14:textId="77777777" w:rsidR="00533849" w:rsidRDefault="00000000">
            <w:r>
              <w:rPr>
                <w:sz w:val="20"/>
                <w:szCs w:val="20"/>
              </w:rPr>
              <w:t>Agro-processing, construction, ICT, automotive, health</w:t>
            </w:r>
          </w:p>
        </w:tc>
        <w:tc>
          <w:tcPr>
            <w:tcW w:w="2226" w:type="dxa"/>
            <w:tcMar>
              <w:top w:w="60" w:type="dxa"/>
              <w:left w:w="80" w:type="dxa"/>
              <w:bottom w:w="60" w:type="dxa"/>
              <w:right w:w="80" w:type="dxa"/>
            </w:tcMar>
          </w:tcPr>
          <w:p w14:paraId="726E9CD6" w14:textId="77777777" w:rsidR="00533849" w:rsidRDefault="00000000">
            <w:r>
              <w:rPr>
                <w:sz w:val="20"/>
                <w:szCs w:val="20"/>
              </w:rPr>
              <w:t>State 60% + Industry levy 40%</w:t>
            </w:r>
          </w:p>
        </w:tc>
      </w:tr>
      <w:tr w:rsidR="00533849" w14:paraId="3776FA8A" w14:textId="77777777">
        <w:tc>
          <w:tcPr>
            <w:tcW w:w="2400" w:type="dxa"/>
            <w:tcMar>
              <w:top w:w="60" w:type="dxa"/>
              <w:left w:w="80" w:type="dxa"/>
              <w:bottom w:w="60" w:type="dxa"/>
              <w:right w:w="80" w:type="dxa"/>
            </w:tcMar>
          </w:tcPr>
          <w:p w14:paraId="1117DEDE" w14:textId="77777777" w:rsidR="00533849" w:rsidRDefault="00000000">
            <w:r>
              <w:rPr>
                <w:sz w:val="20"/>
                <w:szCs w:val="20"/>
              </w:rPr>
              <w:t>Écoles Agro-Pratiques (EAP) — applied rural agricultural</w:t>
            </w:r>
          </w:p>
        </w:tc>
        <w:tc>
          <w:tcPr>
            <w:tcW w:w="1400" w:type="dxa"/>
            <w:tcMar>
              <w:top w:w="60" w:type="dxa"/>
              <w:left w:w="80" w:type="dxa"/>
              <w:bottom w:w="60" w:type="dxa"/>
              <w:right w:w="80" w:type="dxa"/>
            </w:tcMar>
          </w:tcPr>
          <w:p w14:paraId="5BCDAFBB" w14:textId="77777777" w:rsidR="00533849" w:rsidRDefault="00000000">
            <w:r>
              <w:rPr>
                <w:sz w:val="20"/>
                <w:szCs w:val="20"/>
              </w:rPr>
              <w:t>Israel, Brazil SENAR</w:t>
            </w:r>
          </w:p>
        </w:tc>
        <w:tc>
          <w:tcPr>
            <w:tcW w:w="900" w:type="dxa"/>
            <w:tcMar>
              <w:top w:w="60" w:type="dxa"/>
              <w:left w:w="80" w:type="dxa"/>
              <w:bottom w:w="60" w:type="dxa"/>
              <w:right w:w="80" w:type="dxa"/>
            </w:tcMar>
          </w:tcPr>
          <w:p w14:paraId="7CDB84E7" w14:textId="77777777" w:rsidR="00533849" w:rsidRDefault="00000000">
            <w:pPr>
              <w:jc w:val="center"/>
            </w:pPr>
            <w:r>
              <w:rPr>
                <w:sz w:val="20"/>
                <w:szCs w:val="20"/>
              </w:rPr>
              <w:t>200</w:t>
            </w:r>
          </w:p>
        </w:tc>
        <w:tc>
          <w:tcPr>
            <w:tcW w:w="2100" w:type="dxa"/>
            <w:tcMar>
              <w:top w:w="60" w:type="dxa"/>
              <w:left w:w="80" w:type="dxa"/>
              <w:bottom w:w="60" w:type="dxa"/>
              <w:right w:w="80" w:type="dxa"/>
            </w:tcMar>
          </w:tcPr>
          <w:p w14:paraId="0C86884F" w14:textId="77777777" w:rsidR="00533849" w:rsidRDefault="00000000">
            <w:r>
              <w:rPr>
                <w:sz w:val="20"/>
                <w:szCs w:val="20"/>
              </w:rPr>
              <w:t>Crop agronomy, post-harvest, cooperative management, irrigation</w:t>
            </w:r>
          </w:p>
        </w:tc>
        <w:tc>
          <w:tcPr>
            <w:tcW w:w="2226" w:type="dxa"/>
            <w:tcMar>
              <w:top w:w="60" w:type="dxa"/>
              <w:left w:w="80" w:type="dxa"/>
              <w:bottom w:w="60" w:type="dxa"/>
              <w:right w:w="80" w:type="dxa"/>
            </w:tcMar>
          </w:tcPr>
          <w:p w14:paraId="2027F1E1" w14:textId="77777777" w:rsidR="00533849" w:rsidRDefault="00000000">
            <w:r>
              <w:rPr>
                <w:sz w:val="20"/>
                <w:szCs w:val="20"/>
              </w:rPr>
              <w:t>State + FIRCA + AfDB</w:t>
            </w:r>
          </w:p>
        </w:tc>
      </w:tr>
      <w:tr w:rsidR="00533849" w14:paraId="7039FA25" w14:textId="77777777">
        <w:tc>
          <w:tcPr>
            <w:tcW w:w="2400" w:type="dxa"/>
            <w:tcMar>
              <w:top w:w="60" w:type="dxa"/>
              <w:left w:w="80" w:type="dxa"/>
              <w:bottom w:w="60" w:type="dxa"/>
              <w:right w:w="80" w:type="dxa"/>
            </w:tcMar>
          </w:tcPr>
          <w:p w14:paraId="6A7643A4" w14:textId="77777777" w:rsidR="00533849" w:rsidRDefault="00000000">
            <w:r>
              <w:rPr>
                <w:sz w:val="20"/>
                <w:szCs w:val="20"/>
              </w:rPr>
              <w:t>Instituts Supérieurs de Technologies Appliquées (ISTA)</w:t>
            </w:r>
          </w:p>
        </w:tc>
        <w:tc>
          <w:tcPr>
            <w:tcW w:w="1400" w:type="dxa"/>
            <w:tcMar>
              <w:top w:w="60" w:type="dxa"/>
              <w:left w:w="80" w:type="dxa"/>
              <w:bottom w:w="60" w:type="dxa"/>
              <w:right w:w="80" w:type="dxa"/>
            </w:tcMar>
          </w:tcPr>
          <w:p w14:paraId="560DDDAB" w14:textId="77777777" w:rsidR="00533849" w:rsidRDefault="00000000">
            <w:r>
              <w:rPr>
                <w:sz w:val="20"/>
                <w:szCs w:val="20"/>
              </w:rPr>
              <w:t>French IUT, South Korea polytechnics</w:t>
            </w:r>
          </w:p>
        </w:tc>
        <w:tc>
          <w:tcPr>
            <w:tcW w:w="900" w:type="dxa"/>
            <w:tcMar>
              <w:top w:w="60" w:type="dxa"/>
              <w:left w:w="80" w:type="dxa"/>
              <w:bottom w:w="60" w:type="dxa"/>
              <w:right w:w="80" w:type="dxa"/>
            </w:tcMar>
          </w:tcPr>
          <w:p w14:paraId="6CFDC2F5" w14:textId="77777777" w:rsidR="00533849" w:rsidRDefault="00000000">
            <w:pPr>
              <w:jc w:val="center"/>
            </w:pPr>
            <w:r>
              <w:rPr>
                <w:sz w:val="20"/>
                <w:szCs w:val="20"/>
              </w:rPr>
              <w:t>20 (1/region)</w:t>
            </w:r>
          </w:p>
        </w:tc>
        <w:tc>
          <w:tcPr>
            <w:tcW w:w="2100" w:type="dxa"/>
            <w:tcMar>
              <w:top w:w="60" w:type="dxa"/>
              <w:left w:w="80" w:type="dxa"/>
              <w:bottom w:w="60" w:type="dxa"/>
              <w:right w:w="80" w:type="dxa"/>
            </w:tcMar>
          </w:tcPr>
          <w:p w14:paraId="5E2D290A" w14:textId="77777777" w:rsidR="00533849" w:rsidRDefault="00000000">
            <w:r>
              <w:rPr>
                <w:sz w:val="20"/>
                <w:szCs w:val="20"/>
              </w:rPr>
              <w:t>Data science, biotech, industrial engineering, food tech</w:t>
            </w:r>
          </w:p>
        </w:tc>
        <w:tc>
          <w:tcPr>
            <w:tcW w:w="2226" w:type="dxa"/>
            <w:tcMar>
              <w:top w:w="60" w:type="dxa"/>
              <w:left w:w="80" w:type="dxa"/>
              <w:bottom w:w="60" w:type="dxa"/>
              <w:right w:w="80" w:type="dxa"/>
            </w:tcMar>
          </w:tcPr>
          <w:p w14:paraId="058C3E2D" w14:textId="77777777" w:rsidR="00533849" w:rsidRDefault="00000000">
            <w:r>
              <w:rPr>
                <w:sz w:val="20"/>
                <w:szCs w:val="20"/>
              </w:rPr>
              <w:t>State + private partnership</w:t>
            </w:r>
          </w:p>
        </w:tc>
      </w:tr>
      <w:tr w:rsidR="00533849" w14:paraId="10E7184A" w14:textId="77777777">
        <w:tc>
          <w:tcPr>
            <w:tcW w:w="2400" w:type="dxa"/>
            <w:tcMar>
              <w:top w:w="60" w:type="dxa"/>
              <w:left w:w="80" w:type="dxa"/>
              <w:bottom w:w="60" w:type="dxa"/>
              <w:right w:w="80" w:type="dxa"/>
            </w:tcMar>
          </w:tcPr>
          <w:p w14:paraId="7B3E4750" w14:textId="77777777" w:rsidR="00533849" w:rsidRDefault="00000000">
            <w:r>
              <w:rPr>
                <w:sz w:val="20"/>
                <w:szCs w:val="20"/>
              </w:rPr>
              <w:t>Académies du Code et du Numérique — coding bootcamps</w:t>
            </w:r>
          </w:p>
        </w:tc>
        <w:tc>
          <w:tcPr>
            <w:tcW w:w="1400" w:type="dxa"/>
            <w:tcMar>
              <w:top w:w="60" w:type="dxa"/>
              <w:left w:w="80" w:type="dxa"/>
              <w:bottom w:w="60" w:type="dxa"/>
              <w:right w:w="80" w:type="dxa"/>
            </w:tcMar>
          </w:tcPr>
          <w:p w14:paraId="1F42BB3B" w14:textId="77777777" w:rsidR="00533849" w:rsidRDefault="00000000">
            <w:r>
              <w:rPr>
                <w:sz w:val="20"/>
                <w:szCs w:val="20"/>
              </w:rPr>
              <w:t>Rwanda Coding Academy, Andela</w:t>
            </w:r>
          </w:p>
        </w:tc>
        <w:tc>
          <w:tcPr>
            <w:tcW w:w="900" w:type="dxa"/>
            <w:tcMar>
              <w:top w:w="60" w:type="dxa"/>
              <w:left w:w="80" w:type="dxa"/>
              <w:bottom w:w="60" w:type="dxa"/>
              <w:right w:w="80" w:type="dxa"/>
            </w:tcMar>
          </w:tcPr>
          <w:p w14:paraId="5E1580F3" w14:textId="77777777" w:rsidR="00533849" w:rsidRDefault="00000000">
            <w:pPr>
              <w:jc w:val="center"/>
            </w:pPr>
            <w:r>
              <w:rPr>
                <w:sz w:val="20"/>
                <w:szCs w:val="20"/>
              </w:rPr>
              <w:t>15</w:t>
            </w:r>
          </w:p>
        </w:tc>
        <w:tc>
          <w:tcPr>
            <w:tcW w:w="2100" w:type="dxa"/>
            <w:tcMar>
              <w:top w:w="60" w:type="dxa"/>
              <w:left w:w="80" w:type="dxa"/>
              <w:bottom w:w="60" w:type="dxa"/>
              <w:right w:w="80" w:type="dxa"/>
            </w:tcMar>
          </w:tcPr>
          <w:p w14:paraId="7A00E528" w14:textId="77777777" w:rsidR="00533849" w:rsidRDefault="00000000">
            <w:r>
              <w:rPr>
                <w:sz w:val="20"/>
                <w:szCs w:val="20"/>
              </w:rPr>
              <w:t>Software, cybersecurity, data analytics, UX</w:t>
            </w:r>
          </w:p>
        </w:tc>
        <w:tc>
          <w:tcPr>
            <w:tcW w:w="2226" w:type="dxa"/>
            <w:tcMar>
              <w:top w:w="60" w:type="dxa"/>
              <w:left w:w="80" w:type="dxa"/>
              <w:bottom w:w="60" w:type="dxa"/>
              <w:right w:w="80" w:type="dxa"/>
            </w:tcMar>
          </w:tcPr>
          <w:p w14:paraId="0F642B8A" w14:textId="77777777" w:rsidR="00533849" w:rsidRDefault="00000000">
            <w:r>
              <w:rPr>
                <w:sz w:val="20"/>
                <w:szCs w:val="20"/>
              </w:rPr>
              <w:t>AfDB Digital + Private VC</w:t>
            </w:r>
          </w:p>
        </w:tc>
      </w:tr>
      <w:tr w:rsidR="00533849" w14:paraId="118A084B" w14:textId="77777777">
        <w:tc>
          <w:tcPr>
            <w:tcW w:w="2400" w:type="dxa"/>
            <w:tcMar>
              <w:top w:w="60" w:type="dxa"/>
              <w:left w:w="80" w:type="dxa"/>
              <w:bottom w:w="60" w:type="dxa"/>
              <w:right w:w="80" w:type="dxa"/>
            </w:tcMar>
          </w:tcPr>
          <w:p w14:paraId="0C9B897B" w14:textId="77777777" w:rsidR="00533849" w:rsidRDefault="00000000">
            <w:r>
              <w:rPr>
                <w:sz w:val="20"/>
                <w:szCs w:val="20"/>
              </w:rPr>
              <w:t>Écoles de Commerce et Entrepreneuriat Rural (ECER)</w:t>
            </w:r>
          </w:p>
        </w:tc>
        <w:tc>
          <w:tcPr>
            <w:tcW w:w="1400" w:type="dxa"/>
            <w:tcMar>
              <w:top w:w="60" w:type="dxa"/>
              <w:left w:w="80" w:type="dxa"/>
              <w:bottom w:w="60" w:type="dxa"/>
              <w:right w:w="80" w:type="dxa"/>
            </w:tcMar>
          </w:tcPr>
          <w:p w14:paraId="45F5E8CF" w14:textId="77777777" w:rsidR="00533849" w:rsidRDefault="00000000">
            <w:r>
              <w:rPr>
                <w:sz w:val="20"/>
                <w:szCs w:val="20"/>
              </w:rPr>
              <w:t>Strathmore Business School</w:t>
            </w:r>
          </w:p>
        </w:tc>
        <w:tc>
          <w:tcPr>
            <w:tcW w:w="900" w:type="dxa"/>
            <w:tcMar>
              <w:top w:w="60" w:type="dxa"/>
              <w:left w:w="80" w:type="dxa"/>
              <w:bottom w:w="60" w:type="dxa"/>
              <w:right w:w="80" w:type="dxa"/>
            </w:tcMar>
          </w:tcPr>
          <w:p w14:paraId="05F11EBA" w14:textId="77777777" w:rsidR="00533849" w:rsidRDefault="00000000">
            <w:pPr>
              <w:jc w:val="center"/>
            </w:pPr>
            <w:r>
              <w:rPr>
                <w:sz w:val="20"/>
                <w:szCs w:val="20"/>
              </w:rPr>
              <w:t>30</w:t>
            </w:r>
          </w:p>
        </w:tc>
        <w:tc>
          <w:tcPr>
            <w:tcW w:w="2100" w:type="dxa"/>
            <w:tcMar>
              <w:top w:w="60" w:type="dxa"/>
              <w:left w:w="80" w:type="dxa"/>
              <w:bottom w:w="60" w:type="dxa"/>
              <w:right w:w="80" w:type="dxa"/>
            </w:tcMar>
          </w:tcPr>
          <w:p w14:paraId="0E346AAA" w14:textId="77777777" w:rsidR="00533849" w:rsidRDefault="00000000">
            <w:r>
              <w:rPr>
                <w:sz w:val="20"/>
                <w:szCs w:val="20"/>
              </w:rPr>
              <w:t>Cooperative management, agri-business, rural finance</w:t>
            </w:r>
          </w:p>
        </w:tc>
        <w:tc>
          <w:tcPr>
            <w:tcW w:w="2226" w:type="dxa"/>
            <w:tcMar>
              <w:top w:w="60" w:type="dxa"/>
              <w:left w:w="80" w:type="dxa"/>
              <w:bottom w:w="60" w:type="dxa"/>
              <w:right w:w="80" w:type="dxa"/>
            </w:tcMar>
          </w:tcPr>
          <w:p w14:paraId="0BECABDE" w14:textId="77777777" w:rsidR="00533849" w:rsidRDefault="00000000">
            <w:r>
              <w:rPr>
                <w:sz w:val="20"/>
                <w:szCs w:val="20"/>
              </w:rPr>
              <w:t>State + IFC SME fund</w:t>
            </w:r>
          </w:p>
        </w:tc>
      </w:tr>
      <w:tr w:rsidR="00533849" w14:paraId="69F8FBFD" w14:textId="77777777">
        <w:tc>
          <w:tcPr>
            <w:tcW w:w="2400" w:type="dxa"/>
            <w:tcMar>
              <w:top w:w="60" w:type="dxa"/>
              <w:left w:w="80" w:type="dxa"/>
              <w:bottom w:w="60" w:type="dxa"/>
              <w:right w:w="80" w:type="dxa"/>
            </w:tcMar>
          </w:tcPr>
          <w:p w14:paraId="776CD1E6" w14:textId="77777777" w:rsidR="00533849" w:rsidRDefault="00000000">
            <w:r>
              <w:rPr>
                <w:sz w:val="20"/>
                <w:szCs w:val="20"/>
              </w:rPr>
              <w:lastRenderedPageBreak/>
              <w:t>INP-HB Graduate School of Engineering</w:t>
            </w:r>
          </w:p>
        </w:tc>
        <w:tc>
          <w:tcPr>
            <w:tcW w:w="1400" w:type="dxa"/>
            <w:tcMar>
              <w:top w:w="60" w:type="dxa"/>
              <w:left w:w="80" w:type="dxa"/>
              <w:bottom w:w="60" w:type="dxa"/>
              <w:right w:w="80" w:type="dxa"/>
            </w:tcMar>
          </w:tcPr>
          <w:p w14:paraId="24BD6EA6" w14:textId="77777777" w:rsidR="00533849" w:rsidRDefault="00000000">
            <w:r>
              <w:rPr>
                <w:sz w:val="20"/>
                <w:szCs w:val="20"/>
              </w:rPr>
              <w:t>MIT, NTU Singapore</w:t>
            </w:r>
          </w:p>
        </w:tc>
        <w:tc>
          <w:tcPr>
            <w:tcW w:w="900" w:type="dxa"/>
            <w:tcMar>
              <w:top w:w="60" w:type="dxa"/>
              <w:left w:w="80" w:type="dxa"/>
              <w:bottom w:w="60" w:type="dxa"/>
              <w:right w:w="80" w:type="dxa"/>
            </w:tcMar>
          </w:tcPr>
          <w:p w14:paraId="124AA728" w14:textId="77777777" w:rsidR="00533849" w:rsidRDefault="00000000">
            <w:pPr>
              <w:jc w:val="center"/>
            </w:pPr>
            <w:r>
              <w:rPr>
                <w:sz w:val="20"/>
                <w:szCs w:val="20"/>
              </w:rPr>
              <w:t>1 (expanded)</w:t>
            </w:r>
          </w:p>
        </w:tc>
        <w:tc>
          <w:tcPr>
            <w:tcW w:w="2100" w:type="dxa"/>
            <w:tcMar>
              <w:top w:w="60" w:type="dxa"/>
              <w:left w:w="80" w:type="dxa"/>
              <w:bottom w:w="60" w:type="dxa"/>
              <w:right w:w="80" w:type="dxa"/>
            </w:tcMar>
          </w:tcPr>
          <w:p w14:paraId="54FB5CA2" w14:textId="77777777" w:rsidR="00533849" w:rsidRDefault="00000000">
            <w:r>
              <w:rPr>
                <w:sz w:val="20"/>
                <w:szCs w:val="20"/>
              </w:rPr>
              <w:t>Bioengineering, digital, agri-tech, climate science, pharma</w:t>
            </w:r>
          </w:p>
        </w:tc>
        <w:tc>
          <w:tcPr>
            <w:tcW w:w="2226" w:type="dxa"/>
            <w:tcMar>
              <w:top w:w="60" w:type="dxa"/>
              <w:left w:w="80" w:type="dxa"/>
              <w:bottom w:w="60" w:type="dxa"/>
              <w:right w:w="80" w:type="dxa"/>
            </w:tcMar>
          </w:tcPr>
          <w:p w14:paraId="4A1D880B" w14:textId="77777777" w:rsidR="00533849" w:rsidRDefault="00000000">
            <w:r>
              <w:rPr>
                <w:sz w:val="20"/>
                <w:szCs w:val="20"/>
              </w:rPr>
              <w:t>State flagship investment</w:t>
            </w:r>
          </w:p>
        </w:tc>
      </w:tr>
      <w:tr w:rsidR="00533849" w14:paraId="107B75B2" w14:textId="77777777">
        <w:tc>
          <w:tcPr>
            <w:tcW w:w="2400" w:type="dxa"/>
            <w:tcMar>
              <w:top w:w="60" w:type="dxa"/>
              <w:left w:w="80" w:type="dxa"/>
              <w:bottom w:w="60" w:type="dxa"/>
              <w:right w:w="80" w:type="dxa"/>
            </w:tcMar>
          </w:tcPr>
          <w:p w14:paraId="0FE80BA1" w14:textId="77777777" w:rsidR="00533849" w:rsidRDefault="00000000">
            <w:r>
              <w:rPr>
                <w:sz w:val="20"/>
                <w:szCs w:val="20"/>
              </w:rPr>
              <w:t>Lycées Scientifiques d'Excellence (LSE)</w:t>
            </w:r>
          </w:p>
        </w:tc>
        <w:tc>
          <w:tcPr>
            <w:tcW w:w="1400" w:type="dxa"/>
            <w:tcMar>
              <w:top w:w="60" w:type="dxa"/>
              <w:left w:w="80" w:type="dxa"/>
              <w:bottom w:w="60" w:type="dxa"/>
              <w:right w:w="80" w:type="dxa"/>
            </w:tcMar>
          </w:tcPr>
          <w:p w14:paraId="5412D67C" w14:textId="77777777" w:rsidR="00533849" w:rsidRDefault="00000000">
            <w:r>
              <w:rPr>
                <w:sz w:val="20"/>
                <w:szCs w:val="20"/>
              </w:rPr>
              <w:t>France CPGE, Singapore Raffles</w:t>
            </w:r>
          </w:p>
        </w:tc>
        <w:tc>
          <w:tcPr>
            <w:tcW w:w="900" w:type="dxa"/>
            <w:tcMar>
              <w:top w:w="60" w:type="dxa"/>
              <w:left w:w="80" w:type="dxa"/>
              <w:bottom w:w="60" w:type="dxa"/>
              <w:right w:w="80" w:type="dxa"/>
            </w:tcMar>
          </w:tcPr>
          <w:p w14:paraId="71BB3952" w14:textId="77777777" w:rsidR="00533849" w:rsidRDefault="00000000">
            <w:pPr>
              <w:jc w:val="center"/>
            </w:pPr>
            <w:r>
              <w:rPr>
                <w:sz w:val="20"/>
                <w:szCs w:val="20"/>
              </w:rPr>
              <w:t>8 (regional)</w:t>
            </w:r>
          </w:p>
        </w:tc>
        <w:tc>
          <w:tcPr>
            <w:tcW w:w="2100" w:type="dxa"/>
            <w:tcMar>
              <w:top w:w="60" w:type="dxa"/>
              <w:left w:w="80" w:type="dxa"/>
              <w:bottom w:w="60" w:type="dxa"/>
              <w:right w:w="80" w:type="dxa"/>
            </w:tcMar>
          </w:tcPr>
          <w:p w14:paraId="3692FCAB" w14:textId="77777777" w:rsidR="00533849" w:rsidRDefault="00000000">
            <w:r>
              <w:rPr>
                <w:sz w:val="20"/>
                <w:szCs w:val="20"/>
              </w:rPr>
              <w:t>Maths, physics, biology, chemistry</w:t>
            </w:r>
          </w:p>
        </w:tc>
        <w:tc>
          <w:tcPr>
            <w:tcW w:w="2226" w:type="dxa"/>
            <w:tcMar>
              <w:top w:w="60" w:type="dxa"/>
              <w:left w:w="80" w:type="dxa"/>
              <w:bottom w:w="60" w:type="dxa"/>
              <w:right w:w="80" w:type="dxa"/>
            </w:tcMar>
          </w:tcPr>
          <w:p w14:paraId="3FF40BF4" w14:textId="77777777" w:rsidR="00533849" w:rsidRDefault="00000000">
            <w:r>
              <w:rPr>
                <w:sz w:val="20"/>
                <w:szCs w:val="20"/>
              </w:rPr>
              <w:t>State fully funded</w:t>
            </w:r>
          </w:p>
        </w:tc>
      </w:tr>
      <w:tr w:rsidR="00533849" w14:paraId="3CB19E6F" w14:textId="77777777">
        <w:tc>
          <w:tcPr>
            <w:tcW w:w="2400" w:type="dxa"/>
            <w:tcMar>
              <w:top w:w="60" w:type="dxa"/>
              <w:left w:w="80" w:type="dxa"/>
              <w:bottom w:w="60" w:type="dxa"/>
              <w:right w:w="80" w:type="dxa"/>
            </w:tcMar>
          </w:tcPr>
          <w:p w14:paraId="6B5EF046" w14:textId="77777777" w:rsidR="00533849" w:rsidRDefault="00000000">
            <w:r>
              <w:rPr>
                <w:sz w:val="20"/>
                <w:szCs w:val="20"/>
              </w:rPr>
              <w:t>Centres de Santé et Formation Paramédicale (CSFP)</w:t>
            </w:r>
          </w:p>
        </w:tc>
        <w:tc>
          <w:tcPr>
            <w:tcW w:w="1400" w:type="dxa"/>
            <w:tcMar>
              <w:top w:w="60" w:type="dxa"/>
              <w:left w:w="80" w:type="dxa"/>
              <w:bottom w:w="60" w:type="dxa"/>
              <w:right w:w="80" w:type="dxa"/>
            </w:tcMar>
          </w:tcPr>
          <w:p w14:paraId="343499A1" w14:textId="77777777" w:rsidR="00533849" w:rsidRDefault="00000000">
            <w:r>
              <w:rPr>
                <w:sz w:val="20"/>
                <w:szCs w:val="20"/>
              </w:rPr>
              <w:t>Rwanda HRH programme</w:t>
            </w:r>
          </w:p>
        </w:tc>
        <w:tc>
          <w:tcPr>
            <w:tcW w:w="900" w:type="dxa"/>
            <w:tcMar>
              <w:top w:w="60" w:type="dxa"/>
              <w:left w:w="80" w:type="dxa"/>
              <w:bottom w:w="60" w:type="dxa"/>
              <w:right w:w="80" w:type="dxa"/>
            </w:tcMar>
          </w:tcPr>
          <w:p w14:paraId="60F6740D" w14:textId="77777777" w:rsidR="00533849" w:rsidRDefault="00000000">
            <w:pPr>
              <w:jc w:val="center"/>
            </w:pPr>
            <w:r>
              <w:rPr>
                <w:sz w:val="20"/>
                <w:szCs w:val="20"/>
              </w:rPr>
              <w:t>50</w:t>
            </w:r>
          </w:p>
        </w:tc>
        <w:tc>
          <w:tcPr>
            <w:tcW w:w="2100" w:type="dxa"/>
            <w:tcMar>
              <w:top w:w="60" w:type="dxa"/>
              <w:left w:w="80" w:type="dxa"/>
              <w:bottom w:w="60" w:type="dxa"/>
              <w:right w:w="80" w:type="dxa"/>
            </w:tcMar>
          </w:tcPr>
          <w:p w14:paraId="69CF0A43" w14:textId="77777777" w:rsidR="00533849" w:rsidRDefault="00000000">
            <w:r>
              <w:rPr>
                <w:sz w:val="20"/>
                <w:szCs w:val="20"/>
              </w:rPr>
              <w:t>Nursing, midwifery, lab technicians, community health workers</w:t>
            </w:r>
          </w:p>
        </w:tc>
        <w:tc>
          <w:tcPr>
            <w:tcW w:w="2226" w:type="dxa"/>
            <w:tcMar>
              <w:top w:w="60" w:type="dxa"/>
              <w:left w:w="80" w:type="dxa"/>
              <w:bottom w:w="60" w:type="dxa"/>
              <w:right w:w="80" w:type="dxa"/>
            </w:tcMar>
          </w:tcPr>
          <w:p w14:paraId="46C989A0" w14:textId="77777777" w:rsidR="00533849" w:rsidRDefault="00000000">
            <w:r>
              <w:rPr>
                <w:sz w:val="20"/>
                <w:szCs w:val="20"/>
              </w:rPr>
              <w:t>State + WHO + Gates Foundation</w:t>
            </w:r>
          </w:p>
        </w:tc>
      </w:tr>
    </w:tbl>
    <w:p w14:paraId="0517E3F7" w14:textId="77777777" w:rsidR="00533849" w:rsidRDefault="00000000">
      <w:pPr>
        <w:spacing w:before="40" w:after="120"/>
      </w:pPr>
      <w:r>
        <w:rPr>
          <w:i/>
          <w:iCs/>
          <w:sz w:val="18"/>
          <w:szCs w:val="18"/>
        </w:rPr>
        <w:t>Sources: MENET-FP [19]; World Bank [3]; AfDB [21]. CEP = Centre d'Excellence Professionnelle.</w:t>
      </w:r>
    </w:p>
    <w:p w14:paraId="009133D4" w14:textId="77777777" w:rsidR="00533849" w:rsidRDefault="00533849"/>
    <w:p w14:paraId="5D7E0F3A" w14:textId="77777777" w:rsidR="00533849" w:rsidRDefault="00000000">
      <w:pPr>
        <w:spacing w:before="280" w:after="80"/>
      </w:pPr>
      <w:r>
        <w:rPr>
          <w:b/>
          <w:bCs/>
        </w:rPr>
        <w:t>VII. PILLARS 5–7: GOVERNANCE, TAX REFORM, AND INFRASTRUCTURE — THE ENABLING CONDITIONS</w:t>
      </w:r>
    </w:p>
    <w:p w14:paraId="481AFB4A" w14:textId="77777777" w:rsidR="00533849" w:rsidRDefault="00000000">
      <w:pPr>
        <w:spacing w:before="200" w:after="60"/>
      </w:pPr>
      <w:r>
        <w:rPr>
          <w:b/>
          <w:bCs/>
        </w:rPr>
        <w:t>7.1 Governance and Anti-Corruption: The Precondition for Everything Else</w:t>
      </w:r>
    </w:p>
    <w:p w14:paraId="4E27154E" w14:textId="77777777" w:rsidR="00533849" w:rsidRDefault="00000000">
      <w:pPr>
        <w:spacing w:before="80" w:after="80"/>
        <w:jc w:val="both"/>
      </w:pPr>
      <w:r>
        <w:t>A 1-point improvement in Transparency International's Corruption Perception Index corresponds to a 0.5–1.2% increase in annual FDI inflows [9]. Moving Côte d'Ivoire's CPI from 40 to 60 over 10 years would attract an additional USD 2–4 billion annually in FDI — more than any single industrial project. Corruption costs Côte d'Ivoire FCFA 800 billion–1.5 trillion annually in diverted public resources and foregone investment. The HABG must be transformed from a consultative body into an operationally independent prosecution agency with dedicated funding of 0.15% of national budget (versus 0.04% currently), power to investigate and prosecute without executive referral, mandatory online asset declarations for all public officials above grade 7, and a whistleblower reward scheme modelled on Botswana's DCEC [11, 22]. Public procurement — 15–20% of government expenditure and the single largest corruption vulnerability — requires mandatory e-procurement for all contracts above FCFA 25 million, beneficial ownership registration for all contractors, and 5-year debarment for bid rigging [22].</w:t>
      </w:r>
    </w:p>
    <w:p w14:paraId="4C693FDB" w14:textId="77777777" w:rsidR="00533849" w:rsidRDefault="00000000">
      <w:pPr>
        <w:spacing w:before="200" w:after="60"/>
      </w:pPr>
      <w:r>
        <w:rPr>
          <w:b/>
          <w:bCs/>
        </w:rPr>
        <w:t>7.2 Tax Reform: Mobilizing the Domestic Revenue Base</w:t>
      </w:r>
    </w:p>
    <w:p w14:paraId="7CC38B52" w14:textId="77777777" w:rsidR="00533849" w:rsidRDefault="00000000">
      <w:pPr>
        <w:spacing w:before="80" w:after="80"/>
        <w:jc w:val="both"/>
      </w:pPr>
      <w:r>
        <w:t>Raising Côte d'Ivoire's tax-to-GDP ratio from 14% to 22% over 20 years generates an additional USD 5–6 billion annually at 2045 GDP levels — without increasing rates, purely through base broadening and compliance improvement. Three mechanisms: first, the Simplified Business Tax (ISE) — a fixed quarterly mobile-money-administered levy for informal businesses below FCFA 50 million turnover, exchanging administrative simplicity for formal registration and access to health insurance, bank accounts, and government contracts. Rwanda's scheme registered 180,000 additional businesses in three years; the target for Côte d'Ivoire is 500,000 additional formal taxpayers by 2030 generating FCFA 250–400 billion annually [17, 24]. Second, closing the 35–45% VAT compliance gap (FCFA 700 billion–1.1 trillion annually) through electronic fiscal devices linked in real time to the DGI server and a consumer receipt lottery (proven highly effective in Taiwan). Third, a dedicated transfer pricing audit unit targeting multinational commodity traders who under-invoice Ivorian exports through offshore affiliates — costing the treasury FCFA 150–400 billion annually [24].</w:t>
      </w:r>
    </w:p>
    <w:p w14:paraId="74C4D607" w14:textId="77777777" w:rsidR="00533849" w:rsidRDefault="00000000">
      <w:pPr>
        <w:spacing w:before="200" w:after="60"/>
      </w:pPr>
      <w:r>
        <w:rPr>
          <w:b/>
          <w:bCs/>
        </w:rPr>
        <w:t>7.3 Infrastructure: Energy, Transport, and Water</w:t>
      </w:r>
    </w:p>
    <w:p w14:paraId="3E53B385" w14:textId="77777777" w:rsidR="00533849" w:rsidRDefault="00000000">
      <w:pPr>
        <w:spacing w:before="80" w:after="80"/>
        <w:jc w:val="both"/>
      </w:pPr>
      <w:r>
        <w:t xml:space="preserve">Côte d'Ivoire generates 2,800–3,200 MW but 45–55% of rural households remain without connection, and industrial users in Bouaké and Korhogo experience 8–14 hours of daily load </w:t>
      </w:r>
      <w:r>
        <w:lastRenderedPageBreak/>
        <w:t>shedding that makes manufacturing investment practically irrational. The energy strategy: grid extension to all chef-lieu de région by 2027 (USD 1.2–1.8 billion); 1,000 MW of utility-scale solar through IPP auctions with standardized 25-year PPAs; and 200,000 solar home systems in off-grid villages by 2028 [11, 25]. Transport: 8,000 km of rural feeder roads in the north (USD 1.4–2.1 billion over 8 years) and Port of San Pedro expansion to 5 million tonnes annually. Water: 15,000 solar-powered boreholes achieving 85% safe water access nationally by 2032 — addressing the 15–25% agricultural productivity loss from waterborne illness that is a quantifiable economic cost rather than merely a humanitarian concern.</w:t>
      </w:r>
    </w:p>
    <w:p w14:paraId="2C1ABB3A" w14:textId="77777777" w:rsidR="00533849" w:rsidRDefault="00000000">
      <w:pPr>
        <w:spacing w:before="200" w:after="60"/>
      </w:pPr>
      <w:r>
        <w:rPr>
          <w:b/>
          <w:bCs/>
        </w:rPr>
        <w:t>7.4 International Partnerships: Complementary Alliances, Not Dependency</w:t>
      </w:r>
    </w:p>
    <w:p w14:paraId="188D659B" w14:textId="77777777" w:rsidR="00533849" w:rsidRDefault="00000000">
      <w:pPr>
        <w:spacing w:before="80" w:after="80"/>
        <w:jc w:val="both"/>
      </w:pPr>
      <w:r>
        <w:t>No country has doubled its GDP alone. South Korea had the United States. Singapore had Britain and Japan. Vietnam had China, Japan, and South Korea. The question for Côte d'Ivoire is not whether to partner but with whom, on what terms, and toward what strategic end [11, 26]. France: renegotiate the CFA franc operational account to give BCEAO greater reserve management autonomy while maintaining the peg; require technology transfer components in French investment agreements above USD 50 million; expand the Campus France scholarship programme from 2,000 to 8,000 students annually in STEM fields. China: limit BRI financing to projects with commercial revenue streams; pursue manufacturing FDI within SEZ frameworks with skills transfer. USA: AGOA utilization (Côte d'Ivoire captures under 2% of potential AGOA exports); MCC Compact II focused on rural connectivity; tech company partnerships. India: pharmaceutical manufacturing FDI and cashew processing technology transfer (India processes 45% of world cashew — its technology is superior and available). Singapore: SEZ development expertise, port management, civil service training. UAE: sovereign fund infrastructure financing, cold chain logistics, and premium food market access [26, 27].</w:t>
      </w:r>
    </w:p>
    <w:p w14:paraId="037FB45E" w14:textId="77777777" w:rsidR="00533849" w:rsidRDefault="00533849"/>
    <w:p w14:paraId="55373172" w14:textId="77777777" w:rsidR="00533849" w:rsidRDefault="00000000">
      <w:pPr>
        <w:spacing w:before="280" w:after="80"/>
      </w:pPr>
      <w:r>
        <w:rPr>
          <w:b/>
          <w:bCs/>
        </w:rPr>
        <w:t>VIII. PILLAR 9: THE FINANCIAL SECTOR — WHY GROWTH WITHOUT FINANCIAL ARCHITECTURE IS NOT DEVELOPMENT</w:t>
      </w:r>
    </w:p>
    <w:p w14:paraId="4170BE34" w14:textId="77777777" w:rsidR="00533849" w:rsidRDefault="00000000">
      <w:pPr>
        <w:spacing w:before="200" w:after="60"/>
      </w:pPr>
      <w:r>
        <w:rPr>
          <w:b/>
          <w:bCs/>
        </w:rPr>
        <w:t>8.1 The Paradox of High Growth and Deep Exclusion</w:t>
      </w:r>
    </w:p>
    <w:p w14:paraId="1D3D97ED" w14:textId="77777777" w:rsidR="00533849" w:rsidRDefault="00000000">
      <w:pPr>
        <w:spacing w:before="80" w:after="80"/>
        <w:jc w:val="both"/>
      </w:pPr>
      <w:r>
        <w:t>The development economics literature establishes with unusual consensus that financial sector depth and inclusion are among the strongest predictors of sustained structural transformation [6, 7]. The mechanism is direct: financial systems mobilize dispersed savings into concentrated productive investment; they allocate capital to its highest-return uses; they provide insurance that enables risk-taking; and they allow households to smooth consumption across time in ways that prevent productive assets from being liquidated during shocks. Economies with deep, inclusive financial systems grow faster, recover more quickly from shocks, and distribute growth more broadly than economies with shallow, exclusive financial systems [28].</w:t>
      </w:r>
    </w:p>
    <w:p w14:paraId="5EFA1A11" w14:textId="77777777" w:rsidR="00533849" w:rsidRDefault="00000000">
      <w:pPr>
        <w:spacing w:before="80" w:after="80"/>
        <w:jc w:val="both"/>
      </w:pPr>
      <w:r>
        <w:t xml:space="preserve">Côte d'Ivoire presents the financial exclusion paradox in stark form. Formal banking penetration of ~45% masks near-complete exclusion from productive credit — only 8% of adults borrowed from formal institutions for productive purposes in 2021 [4]. Insurance penetration of approximately 2.1% of GDP against a global mean of 7–9% leaves 97% of the population without formal financial protection against the health, agricultural, and mortality risks that constitute the most significant threats to household economic security. These are not merely welfare deficits; they are structural brakes on economic growth. Without credit, smallholder farmers cannot invest in improved inputs that would close the yield gap identified in Section III. Without insurance, farmers cannot adopt improved varieties whose higher yields come with higher variance. Without savings institutions, household wealth accumulated over </w:t>
      </w:r>
      <w:r>
        <w:lastRenderedPageBreak/>
        <w:t>decades — in livestock, in household goods, in community social capital — cannot be mobilized as productive investment capital [4, 29].</w:t>
      </w:r>
    </w:p>
    <w:p w14:paraId="3BC6D624" w14:textId="77777777" w:rsidR="00533849" w:rsidRDefault="00000000">
      <w:pPr>
        <w:spacing w:before="200" w:after="60"/>
      </w:pPr>
      <w:r>
        <w:rPr>
          <w:b/>
          <w:bCs/>
        </w:rPr>
        <w:t>8.2 The Historical Architecture of Financial Exclusion: What Three Decades of Banking Practice Reveals</w:t>
      </w:r>
    </w:p>
    <w:p w14:paraId="5612065B" w14:textId="77777777" w:rsidR="00533849" w:rsidRDefault="00000000">
      <w:pPr>
        <w:spacing w:before="80" w:after="80"/>
        <w:jc w:val="both"/>
      </w:pPr>
      <w:r>
        <w:t>Dr. Gervais Atta, drawing on three decades as a senior banking executive and international financier operating across SADC and ECOWAS financial markets, identifies the historical foundation of African financial exclusion as the central analytical starting point. Colonial banks — Banque de l'Afrique Occidentale, Crédit Lyonnais, and their successors — were designed to mobilize local savings for metropolitan repatriation, not domestic productive investment. Ivorian farmers and entrepreneurs were systematically denied credit access across multiple generations, while Ivorian savings funded European plantations and mining operations [31, 32]. The neurological consequence — explored further in Section X — was the encoding of a survival-critical lesson across communities: formal banks extract, not develop; engaging with them produces loss, not gain. This lesson was reinforced by the post-independence banking failures of the 1980s and 1990s: the collapse of state banks across the region eliminated the savings of hundreds of thousands of households and confirmed what colonial experience had encoded. Structural adjustment then completed the institutional destruction by requiring privatization of state banks — which produced foreign banks acquiring profitable urban assets, closing rural branches, and abandoning smallholder farmers and micro-enterprises entirely [32, 33].</w:t>
      </w:r>
    </w:p>
    <w:p w14:paraId="0C8AC4C0" w14:textId="77777777" w:rsidR="00533849" w:rsidRDefault="00000000">
      <w:pPr>
        <w:spacing w:before="80" w:after="80"/>
        <w:jc w:val="both"/>
      </w:pPr>
      <w:r>
        <w:t>Today's Ivorian commercial banks are, in Dr. Atta's assessment, among the most profitable in their peer group by return-on-equity metrics while serving among the smallest proportions of their domestic populations. This is not a paradox — it is the logical consequence of an institutional architecture optimized for serving the top 15–20% of the income distribution with high-margin products rather than the 80–85% who would require genuine innovation to serve. The business case for financial inclusion at scale exists — demonstrated by M-Pesa, Ethiopia's microfinance cooperatives, Kenya's SACCOs, Rwanda's Mutuelle de Santé — but it requires the institutional risk appetite that conventional commercial banking governance structures systematically prevent [4, 31].</w:t>
      </w:r>
    </w:p>
    <w:p w14:paraId="42AABE9C" w14:textId="77777777" w:rsidR="00533849" w:rsidRDefault="00000000">
      <w:pPr>
        <w:spacing w:before="200" w:after="60"/>
      </w:pPr>
      <w:r>
        <w:rPr>
          <w:b/>
          <w:bCs/>
        </w:rPr>
        <w:t>8.3 Mobile Money: Necessary Foundation, Insufficient Architecture</w:t>
      </w:r>
    </w:p>
    <w:p w14:paraId="2B5F3DBD" w14:textId="77777777" w:rsidR="00533849" w:rsidRDefault="00000000">
      <w:pPr>
        <w:spacing w:before="80" w:after="80"/>
        <w:jc w:val="both"/>
      </w:pPr>
      <w:r>
        <w:t>The mobile money revolution — M-Pesa in Kenya, Orange Money in Côte d'Ivoire, MTN MoMo regionally — represents a genuine transformation in transaction access. By 2023, mobile money processed over USD 300 billion annually across Africa, serving populations that conventional banking had excluded for generations. The analytical key to mobile money's success is its neuro-cultural alignment: it required no bank account, no credit history, no formal identification; it was registered in minutes at ubiquitous agent locations; transactions were instantly confirmed by SMS; and its initial use case — domestic remittance — solved an urgent concrete need that generated immediate positive associations with the new behaviour [34, 35].</w:t>
      </w:r>
    </w:p>
    <w:p w14:paraId="7FD0580B" w14:textId="77777777" w:rsidR="00533849" w:rsidRDefault="00000000">
      <w:pPr>
        <w:spacing w:before="80" w:after="80"/>
        <w:jc w:val="both"/>
      </w:pPr>
      <w:r>
        <w:t xml:space="preserve">Yet mobile money facilitates transactions; it does not provide developmental finance. Attempts to layer productive credit onto mobile platforms — M-Shwari in Kenya, Wari in West Africa, Jumo regionally — reproduce standard banking problems in digital form: algorithmic credit scoring excludes informal workers, high interest rates (7–9% monthly) make borrowing for productive investment economically irrational, and digital blacklisting recreates exclusion with greater technological efficiency. The strategic conclusion is that Côte d'Ivoire's financial architecture requires two simultaneous layers: the digital transaction layer (mobile money already provides this) and the productive finance layer (which requires the cooperative banking model developed in Section IX). These layers are architecturally complementary: mobile </w:t>
      </w:r>
      <w:r>
        <w:lastRenderedPageBreak/>
        <w:t>wallets provide the transaction interface; cooperative governance structures provide the trust, accountability, and social enforcement that no algorithm can replicate [4, 35].</w:t>
      </w:r>
    </w:p>
    <w:p w14:paraId="76CE9CC6" w14:textId="77777777" w:rsidR="00533849" w:rsidRDefault="00533849"/>
    <w:p w14:paraId="6F613EA7" w14:textId="77777777" w:rsidR="00533849" w:rsidRDefault="00000000">
      <w:pPr>
        <w:spacing w:before="280" w:after="80"/>
      </w:pPr>
      <w:r>
        <w:rPr>
          <w:b/>
          <w:bCs/>
        </w:rPr>
        <w:t>IX. THE UBUNTU COOPERATIVE BANKING ARCHITECTURE: FORMALIZING AFRICA'S INDIGENOUS FINANCIAL GENIUS</w:t>
      </w:r>
    </w:p>
    <w:p w14:paraId="00AD8E13" w14:textId="77777777" w:rsidR="00533849" w:rsidRDefault="00000000">
      <w:pPr>
        <w:spacing w:before="200" w:after="60"/>
      </w:pPr>
      <w:r>
        <w:rPr>
          <w:b/>
          <w:bCs/>
        </w:rPr>
        <w:t>9.1 Ubuntu as Financial Philosophy and Neurobiological Reality</w:t>
      </w:r>
    </w:p>
    <w:p w14:paraId="1D3016B1" w14:textId="77777777" w:rsidR="00533849" w:rsidRDefault="00000000">
      <w:pPr>
        <w:spacing w:before="80" w:after="80"/>
        <w:jc w:val="both"/>
      </w:pPr>
      <w:r>
        <w:t>Ubuntu — 'I am because we are; my prosperity is inseparable from our shared well-being' — is not merely a cultural value system. It is a description of human neurobiological reality: human beings evolved as social species whose brains are wired for face-to-face reciprocal relationships in which trust is built through repeated interaction, enforced through reputation, and reinforced through the oxytocin-generating bonds of communal participation [36, 37]. The informal financial systems that thrive across West Africa — tontines in Côte d'Ivoire and francophone Africa more broadly, stokvels in South Africa, chamas in Kenya, susu in Ghana, esusu in Nigeria — succeed for precisely this neurobiological reason. They operate through personal acquaintance networks; they hold regular face-to-face meetings that generate social bonds; they provide immediate visible payouts that reward participation; and they enforce repayment through the social cost of losing standing in a community of known people [29, 38].</w:t>
      </w:r>
    </w:p>
    <w:p w14:paraId="58E34916" w14:textId="77777777" w:rsidR="00533849" w:rsidRDefault="00000000">
      <w:pPr>
        <w:spacing w:before="80" w:after="80"/>
        <w:jc w:val="both"/>
      </w:pPr>
      <w:r>
        <w:t>These informal systems mobilize billions annually. Côte d'Ivoire's tontine sector mobilizes an estimated FCFA 400–800 billion annually — equivalent to 1.5–3% of GDP — entirely outside the formal banking system. South African stokvels mobilize more than ZAR 50 billion (approximately USD 2.7 billion) per year among an estimated 11 million members, a financial system built entirely on social trust rather than formal collateral [38]. Ghana's susu collectors serve an estimated 2 million clients. These are not backward financial practices persisting through cultural inertia — they are sophisticated, neurobiologically optimized financial systems that achieve near-universal community participation, near-zero default rates, and near-perfect pay-out reliability in the same communities that formal banking has systematically failed for sixty years.</w:t>
      </w:r>
    </w:p>
    <w:p w14:paraId="2277AC98" w14:textId="77777777" w:rsidR="00533849" w:rsidRDefault="00000000">
      <w:pPr>
        <w:spacing w:before="80" w:after="80"/>
        <w:jc w:val="both"/>
      </w:pPr>
      <w:r>
        <w:t>The Ubuntu Cooperative Banking model does not replace these systems. It formalizes, scales, and integrates them — providing the legal protection, regulatory oversight, payment system access, and reinsurance capacity that informal systems lack, while preserving the face-to-face social bond architecture that generates the trust formal institutions cannot manufacture.</w:t>
      </w:r>
    </w:p>
    <w:p w14:paraId="64250C0C" w14:textId="77777777" w:rsidR="00533849" w:rsidRDefault="00000000">
      <w:pPr>
        <w:spacing w:before="200" w:after="60"/>
      </w:pPr>
      <w:r>
        <w:rPr>
          <w:b/>
          <w:bCs/>
        </w:rPr>
        <w:t>9.2 The Three-Tier Cooperative Architecture</w:t>
      </w:r>
    </w:p>
    <w:p w14:paraId="7C4C177A" w14:textId="77777777" w:rsidR="00533849" w:rsidRDefault="00000000">
      <w:pPr>
        <w:spacing w:before="80" w:after="80"/>
        <w:jc w:val="both"/>
      </w:pPr>
      <w:r>
        <w:t>The cooperative structure is designed in three tiers, each calibrated to preserve the neurobiological trust conditions that make informal systems work while achieving the economic scale required for productive lending and risk management.</w:t>
      </w:r>
    </w:p>
    <w:p w14:paraId="0E2D8B79" w14:textId="77777777" w:rsidR="00533849" w:rsidRDefault="00000000">
      <w:pPr>
        <w:spacing w:before="160" w:after="40"/>
      </w:pPr>
      <w:r>
        <w:rPr>
          <w:b/>
          <w:bCs/>
          <w:i/>
          <w:iCs/>
        </w:rPr>
        <w:t>Tier 1 — Primary Cooperatives: The Face-to-Face Trust Foundation</w:t>
      </w:r>
    </w:p>
    <w:p w14:paraId="044C6705" w14:textId="77777777" w:rsidR="00533849" w:rsidRDefault="00000000">
      <w:pPr>
        <w:spacing w:before="80" w:after="80"/>
        <w:jc w:val="both"/>
      </w:pPr>
      <w:r>
        <w:t xml:space="preserve">Primary cooperatives of 30–50 household members build directly on existing tontine structures — formalization requires legal registration, basic bookkeeping, and regulatory reporting, not cultural redesign. Members know each other personally. Credit decisions are made by loan committees using community character assessment, production knowledge, and social standing rather than formal credit scoring algorithms that exclude informal workers by construction. Social enforcement through reputation bonds achieves repayment rates of 90–95%, comparable to Bangladesh's Grameen Bank [39], in the complete absence of formal collateral. Savings meetings are social events — generating the oxytocin-mediated communal bonds that make participation self-reinforcing rather than requiring external incentives. In the Nederburg pilot </w:t>
      </w:r>
      <w:r>
        <w:lastRenderedPageBreak/>
        <w:t>cRCT grounding the NALM framework [8], primary cooperative attendance rates above 70% and participant satisfaction scores above 75% were achieved within the first six months of structured implementation, confirming feasibility of the model in the Southern African context.</w:t>
      </w:r>
    </w:p>
    <w:p w14:paraId="0218D7ED" w14:textId="77777777" w:rsidR="00533849" w:rsidRDefault="00000000">
      <w:pPr>
        <w:spacing w:before="160" w:after="40"/>
      </w:pPr>
      <w:r>
        <w:rPr>
          <w:b/>
          <w:bCs/>
          <w:i/>
          <w:iCs/>
        </w:rPr>
        <w:t>Tier 2 — Secondary Cooperatives: Federating for Scale and Services</w:t>
      </w:r>
    </w:p>
    <w:p w14:paraId="0E205FEA" w14:textId="77777777" w:rsidR="00533849" w:rsidRDefault="00000000">
      <w:pPr>
        <w:spacing w:before="80" w:after="80"/>
        <w:jc w:val="both"/>
      </w:pPr>
      <w:r>
        <w:t>Primary cooperatives federate in groups of 15–25 (representing 500–1,000 member households) to achieve the scale required for shared services that individual primary groups cannot afford: accounting and legal support, regulatory interface, technical training, reinsurance against localized shocks, and aggregated marketing of members' agricultural produce. The critical governance principle, learned from previous cooperative development failures across Africa, is that secondary cooperatives serve primary cooperatives rather than directing them. When cooperative development programmes in Africa have imposed commercial banking governance structures at the secondary level — external management, shareholder boards, profit distribution — they have consistently destroyed the oxytocin-mediated social bonds underpinning primary cooperative success [38, 40]. The secondary cooperative's authority ends at shared services; primary cooperative autonomy over savings pools, credit decisions, and member conduct is structurally non-negotiable.</w:t>
      </w:r>
    </w:p>
    <w:p w14:paraId="0B0C4C0F" w14:textId="77777777" w:rsidR="00533849" w:rsidRDefault="00000000">
      <w:pPr>
        <w:spacing w:before="160" w:after="40"/>
      </w:pPr>
      <w:r>
        <w:rPr>
          <w:b/>
          <w:bCs/>
          <w:i/>
          <w:iCs/>
        </w:rPr>
        <w:t>Tier 3 — Regional Cooperative Banks: Scale, Regulation, and System Integration</w:t>
      </w:r>
    </w:p>
    <w:p w14:paraId="71CEA0D5" w14:textId="77777777" w:rsidR="00533849" w:rsidRDefault="00000000">
      <w:pPr>
        <w:spacing w:before="80" w:after="80"/>
        <w:jc w:val="both"/>
      </w:pPr>
      <w:r>
        <w:t>Secondary cooperatives federate further into regional cooperative banks of 50,000–100,000 member households that hold formal banking licences, access interbank markets, provide payment infrastructure, and interface with national and international capital markets. This is where mobile money integration occurs: member savings accessible through mobile wallets; loan disbursements arriving via Orange Money or MTN MoMo; cooperative dividend distributions automated through digital payment rails; and regulatory reporting generated automatically from digital transaction records. The economic precedents are unambiguous: Ethiopia's microfinance cooperatives serve 15 million members with 95% repayment rates, mobilizing USD 4 billion that far exceeds commercial banks' rural reach [41]. Kenya's SACCOs hold USD 5 billion in assets with default rates under 5% against commercial banks' 15–20% [42]. Bangladesh's Grameen Bank achieved 95%+ repayment through peer group social collateral, operating at cost-recovery interest rates of 10–15% (against commercial bank rates of 25–40%) because member ownership eliminates profit extraction requirements [39].</w:t>
      </w:r>
    </w:p>
    <w:p w14:paraId="1EFCECDD" w14:textId="77777777" w:rsidR="00533849" w:rsidRDefault="00000000">
      <w:pPr>
        <w:spacing w:before="200" w:after="60"/>
      </w:pPr>
      <w:r>
        <w:rPr>
          <w:b/>
          <w:bCs/>
        </w:rPr>
        <w:t>9.3 Agricultural Cooperative Finance: The Credit-to-Farm Architecture</w:t>
      </w:r>
    </w:p>
    <w:p w14:paraId="681799E6" w14:textId="77777777" w:rsidR="00533849" w:rsidRDefault="00000000">
      <w:pPr>
        <w:spacing w:before="80" w:after="80"/>
        <w:jc w:val="both"/>
      </w:pPr>
      <w:r>
        <w:t>The agricultural transformation pillar depends structurally on productive credit reaching smallholder farmers. Without credit for improved inputs, irrigation equipment, post-harvest storage, and processing equipment, agricultural transformation remains a policy aspiration rather than a market reality. Ubuntu cooperative banks provide the credit architecture that commercial banks structurally cannot: social collateral substituting for formal collateral; local knowledge of agricultural production cycles enabling harvest-cycle repayment structures (repayment at harvest, not monthly installment); cooperative marketing aggregating smallholder produce for quality certification and premium market access [13, 43].</w:t>
      </w:r>
    </w:p>
    <w:p w14:paraId="6C77EE8F" w14:textId="77777777" w:rsidR="00533849" w:rsidRDefault="00000000">
      <w:pPr>
        <w:spacing w:before="80" w:after="80"/>
        <w:jc w:val="both"/>
      </w:pPr>
      <w:r>
        <w:t xml:space="preserve">Table </w:t>
      </w:r>
      <w:r>
        <w:rPr>
          <w:lang w:val="en-US"/>
        </w:rPr>
        <w:t>5</w:t>
      </w:r>
      <w:r>
        <w:t xml:space="preserve"> presents the projected financial performance of the Ubuntu Cooperative Banking model under the three national implementation scenarios.</w:t>
      </w:r>
    </w:p>
    <w:p w14:paraId="5007D444" w14:textId="77777777" w:rsidR="00533849" w:rsidRDefault="00533849"/>
    <w:p w14:paraId="57671955" w14:textId="77777777" w:rsidR="00533849" w:rsidRDefault="00000000">
      <w:pPr>
        <w:spacing w:before="180" w:after="60"/>
      </w:pPr>
      <w:r>
        <w:rPr>
          <w:b/>
          <w:bCs/>
          <w:sz w:val="20"/>
          <w:szCs w:val="20"/>
        </w:rPr>
        <w:t xml:space="preserve">Table </w:t>
      </w:r>
      <w:r>
        <w:rPr>
          <w:b/>
          <w:bCs/>
          <w:sz w:val="20"/>
          <w:szCs w:val="20"/>
          <w:lang w:val="en-US"/>
        </w:rPr>
        <w:t>5</w:t>
      </w:r>
      <w:r>
        <w:rPr>
          <w:b/>
          <w:bCs/>
          <w:sz w:val="20"/>
          <w:szCs w:val="20"/>
        </w:rPr>
        <w:t>. Ubuntu Cooperative Banking: projected national financial performance under three implementation scenarios (2026–2035)</w:t>
      </w:r>
    </w:p>
    <w:tbl>
      <w:tblPr>
        <w:tblW w:w="9026" w:type="dxa"/>
        <w:tblBorders>
          <w:top w:val="single" w:sz="18" w:space="0" w:color="1F3864"/>
          <w:left w:val="single" w:sz="18" w:space="0" w:color="1F3864"/>
          <w:bottom w:val="single" w:sz="18" w:space="0" w:color="1F3864"/>
          <w:right w:val="single" w:sz="18" w:space="0" w:color="1F3864"/>
          <w:insideH w:val="single" w:sz="4" w:space="0" w:color="9DB6CE"/>
          <w:insideV w:val="single" w:sz="4" w:space="0" w:color="9DB6CE"/>
        </w:tblBorders>
        <w:tblCellMar>
          <w:left w:w="10" w:type="dxa"/>
          <w:right w:w="10" w:type="dxa"/>
        </w:tblCellMar>
        <w:tblLook w:val="04A0" w:firstRow="1" w:lastRow="0" w:firstColumn="1" w:lastColumn="0" w:noHBand="0" w:noVBand="1"/>
      </w:tblPr>
      <w:tblGrid>
        <w:gridCol w:w="3000"/>
        <w:gridCol w:w="1950"/>
        <w:gridCol w:w="2026"/>
        <w:gridCol w:w="2050"/>
      </w:tblGrid>
      <w:tr w:rsidR="00533849" w14:paraId="5D722237" w14:textId="77777777">
        <w:tc>
          <w:tcPr>
            <w:tcW w:w="3000" w:type="dxa"/>
            <w:shd w:val="clear" w:color="auto" w:fill="D9D9D9"/>
            <w:tcMar>
              <w:top w:w="60" w:type="dxa"/>
              <w:left w:w="80" w:type="dxa"/>
              <w:bottom w:w="60" w:type="dxa"/>
              <w:right w:w="80" w:type="dxa"/>
            </w:tcMar>
          </w:tcPr>
          <w:p w14:paraId="2943A98C" w14:textId="77777777" w:rsidR="00533849" w:rsidRDefault="00000000">
            <w:r>
              <w:rPr>
                <w:b/>
                <w:bCs/>
                <w:sz w:val="20"/>
                <w:szCs w:val="20"/>
              </w:rPr>
              <w:t>Indicator</w:t>
            </w:r>
          </w:p>
        </w:tc>
        <w:tc>
          <w:tcPr>
            <w:tcW w:w="1950" w:type="dxa"/>
            <w:shd w:val="clear" w:color="auto" w:fill="D9D9D9"/>
            <w:tcMar>
              <w:top w:w="60" w:type="dxa"/>
              <w:left w:w="80" w:type="dxa"/>
              <w:bottom w:w="60" w:type="dxa"/>
              <w:right w:w="80" w:type="dxa"/>
            </w:tcMar>
          </w:tcPr>
          <w:p w14:paraId="23CC2745" w14:textId="77777777" w:rsidR="00533849" w:rsidRDefault="00000000">
            <w:pPr>
              <w:jc w:val="center"/>
            </w:pPr>
            <w:r>
              <w:rPr>
                <w:b/>
                <w:bCs/>
                <w:sz w:val="20"/>
                <w:szCs w:val="20"/>
              </w:rPr>
              <w:t>Conservative (Year 3)</w:t>
            </w:r>
          </w:p>
        </w:tc>
        <w:tc>
          <w:tcPr>
            <w:tcW w:w="2026" w:type="dxa"/>
            <w:shd w:val="clear" w:color="auto" w:fill="D9D9D9"/>
            <w:tcMar>
              <w:top w:w="60" w:type="dxa"/>
              <w:left w:w="80" w:type="dxa"/>
              <w:bottom w:w="60" w:type="dxa"/>
              <w:right w:w="80" w:type="dxa"/>
            </w:tcMar>
          </w:tcPr>
          <w:p w14:paraId="6A0B3983" w14:textId="77777777" w:rsidR="00533849" w:rsidRDefault="00000000">
            <w:pPr>
              <w:jc w:val="center"/>
            </w:pPr>
            <w:r>
              <w:rPr>
                <w:b/>
                <w:bCs/>
                <w:sz w:val="20"/>
                <w:szCs w:val="20"/>
              </w:rPr>
              <w:t>Moderate (Year 6)</w:t>
            </w:r>
          </w:p>
        </w:tc>
        <w:tc>
          <w:tcPr>
            <w:tcW w:w="2050" w:type="dxa"/>
            <w:shd w:val="clear" w:color="auto" w:fill="D9D9D9"/>
            <w:tcMar>
              <w:top w:w="60" w:type="dxa"/>
              <w:left w:w="80" w:type="dxa"/>
              <w:bottom w:w="60" w:type="dxa"/>
              <w:right w:w="80" w:type="dxa"/>
            </w:tcMar>
          </w:tcPr>
          <w:p w14:paraId="4BAA4050" w14:textId="77777777" w:rsidR="00533849" w:rsidRDefault="00000000">
            <w:pPr>
              <w:jc w:val="center"/>
            </w:pPr>
            <w:r>
              <w:rPr>
                <w:b/>
                <w:bCs/>
                <w:sz w:val="20"/>
                <w:szCs w:val="20"/>
              </w:rPr>
              <w:t>Optimistic (Year 10)</w:t>
            </w:r>
          </w:p>
        </w:tc>
      </w:tr>
      <w:tr w:rsidR="00533849" w14:paraId="152043E3" w14:textId="77777777">
        <w:tc>
          <w:tcPr>
            <w:tcW w:w="3000" w:type="dxa"/>
            <w:tcMar>
              <w:top w:w="60" w:type="dxa"/>
              <w:left w:w="80" w:type="dxa"/>
              <w:bottom w:w="60" w:type="dxa"/>
              <w:right w:w="80" w:type="dxa"/>
            </w:tcMar>
          </w:tcPr>
          <w:p w14:paraId="7E977A0F" w14:textId="77777777" w:rsidR="00533849" w:rsidRDefault="00000000">
            <w:r>
              <w:rPr>
                <w:sz w:val="20"/>
                <w:szCs w:val="20"/>
              </w:rPr>
              <w:lastRenderedPageBreak/>
              <w:t>Primary cooperatives (active)</w:t>
            </w:r>
          </w:p>
        </w:tc>
        <w:tc>
          <w:tcPr>
            <w:tcW w:w="1950" w:type="dxa"/>
            <w:tcMar>
              <w:top w:w="60" w:type="dxa"/>
              <w:left w:w="80" w:type="dxa"/>
              <w:bottom w:w="60" w:type="dxa"/>
              <w:right w:w="80" w:type="dxa"/>
            </w:tcMar>
          </w:tcPr>
          <w:p w14:paraId="143288BD" w14:textId="77777777" w:rsidR="00533849" w:rsidRDefault="00000000">
            <w:pPr>
              <w:jc w:val="center"/>
            </w:pPr>
            <w:r>
              <w:rPr>
                <w:sz w:val="20"/>
                <w:szCs w:val="20"/>
              </w:rPr>
              <w:t>3,500</w:t>
            </w:r>
          </w:p>
        </w:tc>
        <w:tc>
          <w:tcPr>
            <w:tcW w:w="2026" w:type="dxa"/>
            <w:tcMar>
              <w:top w:w="60" w:type="dxa"/>
              <w:left w:w="80" w:type="dxa"/>
              <w:bottom w:w="60" w:type="dxa"/>
              <w:right w:w="80" w:type="dxa"/>
            </w:tcMar>
          </w:tcPr>
          <w:p w14:paraId="71B474BA" w14:textId="77777777" w:rsidR="00533849" w:rsidRDefault="00000000">
            <w:pPr>
              <w:jc w:val="center"/>
            </w:pPr>
            <w:r>
              <w:rPr>
                <w:sz w:val="20"/>
                <w:szCs w:val="20"/>
              </w:rPr>
              <w:t>15,000</w:t>
            </w:r>
          </w:p>
        </w:tc>
        <w:tc>
          <w:tcPr>
            <w:tcW w:w="2050" w:type="dxa"/>
            <w:tcMar>
              <w:top w:w="60" w:type="dxa"/>
              <w:left w:w="80" w:type="dxa"/>
              <w:bottom w:w="60" w:type="dxa"/>
              <w:right w:w="80" w:type="dxa"/>
            </w:tcMar>
          </w:tcPr>
          <w:p w14:paraId="32EEFB02" w14:textId="77777777" w:rsidR="00533849" w:rsidRDefault="00000000">
            <w:pPr>
              <w:jc w:val="center"/>
            </w:pPr>
            <w:r>
              <w:rPr>
                <w:sz w:val="20"/>
                <w:szCs w:val="20"/>
              </w:rPr>
              <w:t>45,000</w:t>
            </w:r>
          </w:p>
        </w:tc>
      </w:tr>
      <w:tr w:rsidR="00533849" w14:paraId="6669FA52" w14:textId="77777777">
        <w:tc>
          <w:tcPr>
            <w:tcW w:w="3000" w:type="dxa"/>
            <w:tcMar>
              <w:top w:w="60" w:type="dxa"/>
              <w:left w:w="80" w:type="dxa"/>
              <w:bottom w:w="60" w:type="dxa"/>
              <w:right w:w="80" w:type="dxa"/>
            </w:tcMar>
          </w:tcPr>
          <w:p w14:paraId="11D90BDF" w14:textId="77777777" w:rsidR="00533849" w:rsidRDefault="00000000">
            <w:r>
              <w:rPr>
                <w:sz w:val="20"/>
                <w:szCs w:val="20"/>
              </w:rPr>
              <w:t>Total member households</w:t>
            </w:r>
          </w:p>
        </w:tc>
        <w:tc>
          <w:tcPr>
            <w:tcW w:w="1950" w:type="dxa"/>
            <w:tcMar>
              <w:top w:w="60" w:type="dxa"/>
              <w:left w:w="80" w:type="dxa"/>
              <w:bottom w:w="60" w:type="dxa"/>
              <w:right w:w="80" w:type="dxa"/>
            </w:tcMar>
          </w:tcPr>
          <w:p w14:paraId="4EA92A86" w14:textId="77777777" w:rsidR="00533849" w:rsidRDefault="00000000">
            <w:pPr>
              <w:jc w:val="center"/>
            </w:pPr>
            <w:r>
              <w:rPr>
                <w:sz w:val="20"/>
                <w:szCs w:val="20"/>
              </w:rPr>
              <w:t>175,000</w:t>
            </w:r>
          </w:p>
        </w:tc>
        <w:tc>
          <w:tcPr>
            <w:tcW w:w="2026" w:type="dxa"/>
            <w:tcMar>
              <w:top w:w="60" w:type="dxa"/>
              <w:left w:w="80" w:type="dxa"/>
              <w:bottom w:w="60" w:type="dxa"/>
              <w:right w:w="80" w:type="dxa"/>
            </w:tcMar>
          </w:tcPr>
          <w:p w14:paraId="4AD13F94" w14:textId="77777777" w:rsidR="00533849" w:rsidRDefault="00000000">
            <w:pPr>
              <w:jc w:val="center"/>
            </w:pPr>
            <w:r>
              <w:rPr>
                <w:sz w:val="20"/>
                <w:szCs w:val="20"/>
              </w:rPr>
              <w:t>750,000</w:t>
            </w:r>
          </w:p>
        </w:tc>
        <w:tc>
          <w:tcPr>
            <w:tcW w:w="2050" w:type="dxa"/>
            <w:tcMar>
              <w:top w:w="60" w:type="dxa"/>
              <w:left w:w="80" w:type="dxa"/>
              <w:bottom w:w="60" w:type="dxa"/>
              <w:right w:w="80" w:type="dxa"/>
            </w:tcMar>
          </w:tcPr>
          <w:p w14:paraId="5880F5FE" w14:textId="77777777" w:rsidR="00533849" w:rsidRDefault="00000000">
            <w:pPr>
              <w:jc w:val="center"/>
            </w:pPr>
            <w:r>
              <w:rPr>
                <w:sz w:val="20"/>
                <w:szCs w:val="20"/>
              </w:rPr>
              <w:t>2,250,000</w:t>
            </w:r>
          </w:p>
        </w:tc>
      </w:tr>
      <w:tr w:rsidR="00533849" w14:paraId="09E0F8DD" w14:textId="77777777">
        <w:tc>
          <w:tcPr>
            <w:tcW w:w="3000" w:type="dxa"/>
            <w:tcMar>
              <w:top w:w="60" w:type="dxa"/>
              <w:left w:w="80" w:type="dxa"/>
              <w:bottom w:w="60" w:type="dxa"/>
              <w:right w:w="80" w:type="dxa"/>
            </w:tcMar>
          </w:tcPr>
          <w:p w14:paraId="0AB50EF5" w14:textId="77777777" w:rsidR="00533849" w:rsidRDefault="00000000">
            <w:r>
              <w:rPr>
                <w:sz w:val="20"/>
                <w:szCs w:val="20"/>
              </w:rPr>
              <w:t>Total savings mobilized (USD)</w:t>
            </w:r>
          </w:p>
        </w:tc>
        <w:tc>
          <w:tcPr>
            <w:tcW w:w="1950" w:type="dxa"/>
            <w:tcMar>
              <w:top w:w="60" w:type="dxa"/>
              <w:left w:w="80" w:type="dxa"/>
              <w:bottom w:w="60" w:type="dxa"/>
              <w:right w:w="80" w:type="dxa"/>
            </w:tcMar>
          </w:tcPr>
          <w:p w14:paraId="5F0B8772" w14:textId="77777777" w:rsidR="00533849" w:rsidRDefault="00000000">
            <w:pPr>
              <w:jc w:val="center"/>
            </w:pPr>
            <w:r>
              <w:rPr>
                <w:sz w:val="20"/>
                <w:szCs w:val="20"/>
              </w:rPr>
              <w:t>USD 85–140 million</w:t>
            </w:r>
          </w:p>
        </w:tc>
        <w:tc>
          <w:tcPr>
            <w:tcW w:w="2026" w:type="dxa"/>
            <w:tcMar>
              <w:top w:w="60" w:type="dxa"/>
              <w:left w:w="80" w:type="dxa"/>
              <w:bottom w:w="60" w:type="dxa"/>
              <w:right w:w="80" w:type="dxa"/>
            </w:tcMar>
          </w:tcPr>
          <w:p w14:paraId="58581454" w14:textId="77777777" w:rsidR="00533849" w:rsidRDefault="00000000">
            <w:pPr>
              <w:jc w:val="center"/>
            </w:pPr>
            <w:r>
              <w:rPr>
                <w:sz w:val="20"/>
                <w:szCs w:val="20"/>
              </w:rPr>
              <w:t>USD 500–900 million</w:t>
            </w:r>
          </w:p>
        </w:tc>
        <w:tc>
          <w:tcPr>
            <w:tcW w:w="2050" w:type="dxa"/>
            <w:tcMar>
              <w:top w:w="60" w:type="dxa"/>
              <w:left w:w="80" w:type="dxa"/>
              <w:bottom w:w="60" w:type="dxa"/>
              <w:right w:w="80" w:type="dxa"/>
            </w:tcMar>
          </w:tcPr>
          <w:p w14:paraId="4610B448" w14:textId="77777777" w:rsidR="00533849" w:rsidRDefault="00000000">
            <w:pPr>
              <w:jc w:val="center"/>
            </w:pPr>
            <w:r>
              <w:rPr>
                <w:sz w:val="20"/>
                <w:szCs w:val="20"/>
              </w:rPr>
              <w:t>USD 2.5–5 billion</w:t>
            </w:r>
          </w:p>
        </w:tc>
      </w:tr>
      <w:tr w:rsidR="00533849" w14:paraId="5230D4FA" w14:textId="77777777">
        <w:tc>
          <w:tcPr>
            <w:tcW w:w="3000" w:type="dxa"/>
            <w:tcMar>
              <w:top w:w="60" w:type="dxa"/>
              <w:left w:w="80" w:type="dxa"/>
              <w:bottom w:w="60" w:type="dxa"/>
              <w:right w:w="80" w:type="dxa"/>
            </w:tcMar>
          </w:tcPr>
          <w:p w14:paraId="16B7ED6F" w14:textId="77777777" w:rsidR="00533849" w:rsidRDefault="00000000">
            <w:r>
              <w:rPr>
                <w:sz w:val="20"/>
                <w:szCs w:val="20"/>
              </w:rPr>
              <w:t>Productive loans outstanding (USD)</w:t>
            </w:r>
          </w:p>
        </w:tc>
        <w:tc>
          <w:tcPr>
            <w:tcW w:w="1950" w:type="dxa"/>
            <w:tcMar>
              <w:top w:w="60" w:type="dxa"/>
              <w:left w:w="80" w:type="dxa"/>
              <w:bottom w:w="60" w:type="dxa"/>
              <w:right w:w="80" w:type="dxa"/>
            </w:tcMar>
          </w:tcPr>
          <w:p w14:paraId="291C892D" w14:textId="77777777" w:rsidR="00533849" w:rsidRDefault="00000000">
            <w:pPr>
              <w:jc w:val="center"/>
            </w:pPr>
            <w:r>
              <w:rPr>
                <w:sz w:val="20"/>
                <w:szCs w:val="20"/>
              </w:rPr>
              <w:t>USD 45–90 million</w:t>
            </w:r>
          </w:p>
        </w:tc>
        <w:tc>
          <w:tcPr>
            <w:tcW w:w="2026" w:type="dxa"/>
            <w:tcMar>
              <w:top w:w="60" w:type="dxa"/>
              <w:left w:w="80" w:type="dxa"/>
              <w:bottom w:w="60" w:type="dxa"/>
              <w:right w:w="80" w:type="dxa"/>
            </w:tcMar>
          </w:tcPr>
          <w:p w14:paraId="46C7529F" w14:textId="77777777" w:rsidR="00533849" w:rsidRDefault="00000000">
            <w:pPr>
              <w:jc w:val="center"/>
            </w:pPr>
            <w:r>
              <w:rPr>
                <w:sz w:val="20"/>
                <w:szCs w:val="20"/>
              </w:rPr>
              <w:t>USD 280–550 million</w:t>
            </w:r>
          </w:p>
        </w:tc>
        <w:tc>
          <w:tcPr>
            <w:tcW w:w="2050" w:type="dxa"/>
            <w:tcMar>
              <w:top w:w="60" w:type="dxa"/>
              <w:left w:w="80" w:type="dxa"/>
              <w:bottom w:w="60" w:type="dxa"/>
              <w:right w:w="80" w:type="dxa"/>
            </w:tcMar>
          </w:tcPr>
          <w:p w14:paraId="67B97E58" w14:textId="77777777" w:rsidR="00533849" w:rsidRDefault="00000000">
            <w:pPr>
              <w:jc w:val="center"/>
            </w:pPr>
            <w:r>
              <w:rPr>
                <w:sz w:val="20"/>
                <w:szCs w:val="20"/>
              </w:rPr>
              <w:t>USD 1.4–2.8 billion</w:t>
            </w:r>
          </w:p>
        </w:tc>
      </w:tr>
      <w:tr w:rsidR="00533849" w14:paraId="1E6A6430" w14:textId="77777777">
        <w:tc>
          <w:tcPr>
            <w:tcW w:w="3000" w:type="dxa"/>
            <w:tcMar>
              <w:top w:w="60" w:type="dxa"/>
              <w:left w:w="80" w:type="dxa"/>
              <w:bottom w:w="60" w:type="dxa"/>
              <w:right w:w="80" w:type="dxa"/>
            </w:tcMar>
          </w:tcPr>
          <w:p w14:paraId="366760F3" w14:textId="77777777" w:rsidR="00533849" w:rsidRDefault="00000000">
            <w:r>
              <w:rPr>
                <w:sz w:val="20"/>
                <w:szCs w:val="20"/>
              </w:rPr>
              <w:t>Average loan size (USD)</w:t>
            </w:r>
          </w:p>
        </w:tc>
        <w:tc>
          <w:tcPr>
            <w:tcW w:w="1950" w:type="dxa"/>
            <w:tcMar>
              <w:top w:w="60" w:type="dxa"/>
              <w:left w:w="80" w:type="dxa"/>
              <w:bottom w:w="60" w:type="dxa"/>
              <w:right w:w="80" w:type="dxa"/>
            </w:tcMar>
          </w:tcPr>
          <w:p w14:paraId="36FF13DC" w14:textId="77777777" w:rsidR="00533849" w:rsidRDefault="00000000">
            <w:pPr>
              <w:jc w:val="center"/>
            </w:pPr>
            <w:r>
              <w:rPr>
                <w:sz w:val="20"/>
                <w:szCs w:val="20"/>
              </w:rPr>
              <w:t>USD 250–800</w:t>
            </w:r>
          </w:p>
        </w:tc>
        <w:tc>
          <w:tcPr>
            <w:tcW w:w="2026" w:type="dxa"/>
            <w:tcMar>
              <w:top w:w="60" w:type="dxa"/>
              <w:left w:w="80" w:type="dxa"/>
              <w:bottom w:w="60" w:type="dxa"/>
              <w:right w:w="80" w:type="dxa"/>
            </w:tcMar>
          </w:tcPr>
          <w:p w14:paraId="72A9A0A2" w14:textId="77777777" w:rsidR="00533849" w:rsidRDefault="00000000">
            <w:pPr>
              <w:jc w:val="center"/>
            </w:pPr>
            <w:r>
              <w:rPr>
                <w:sz w:val="20"/>
                <w:szCs w:val="20"/>
              </w:rPr>
              <w:t>USD 350–1,200</w:t>
            </w:r>
          </w:p>
        </w:tc>
        <w:tc>
          <w:tcPr>
            <w:tcW w:w="2050" w:type="dxa"/>
            <w:tcMar>
              <w:top w:w="60" w:type="dxa"/>
              <w:left w:w="80" w:type="dxa"/>
              <w:bottom w:w="60" w:type="dxa"/>
              <w:right w:w="80" w:type="dxa"/>
            </w:tcMar>
          </w:tcPr>
          <w:p w14:paraId="70844C27" w14:textId="77777777" w:rsidR="00533849" w:rsidRDefault="00000000">
            <w:pPr>
              <w:jc w:val="center"/>
            </w:pPr>
            <w:r>
              <w:rPr>
                <w:sz w:val="20"/>
                <w:szCs w:val="20"/>
              </w:rPr>
              <w:t>USD 600–1,800</w:t>
            </w:r>
          </w:p>
        </w:tc>
      </w:tr>
      <w:tr w:rsidR="00533849" w14:paraId="37D98C2F" w14:textId="77777777">
        <w:tc>
          <w:tcPr>
            <w:tcW w:w="3000" w:type="dxa"/>
            <w:tcMar>
              <w:top w:w="60" w:type="dxa"/>
              <w:left w:w="80" w:type="dxa"/>
              <w:bottom w:w="60" w:type="dxa"/>
              <w:right w:w="80" w:type="dxa"/>
            </w:tcMar>
          </w:tcPr>
          <w:p w14:paraId="72924E31" w14:textId="77777777" w:rsidR="00533849" w:rsidRDefault="00000000">
            <w:r>
              <w:rPr>
                <w:sz w:val="20"/>
                <w:szCs w:val="20"/>
              </w:rPr>
              <w:t>Weighted average interest rate (cooperative)</w:t>
            </w:r>
          </w:p>
        </w:tc>
        <w:tc>
          <w:tcPr>
            <w:tcW w:w="1950" w:type="dxa"/>
            <w:tcMar>
              <w:top w:w="60" w:type="dxa"/>
              <w:left w:w="80" w:type="dxa"/>
              <w:bottom w:w="60" w:type="dxa"/>
              <w:right w:w="80" w:type="dxa"/>
            </w:tcMar>
          </w:tcPr>
          <w:p w14:paraId="71CE95F3" w14:textId="77777777" w:rsidR="00533849" w:rsidRDefault="00000000">
            <w:pPr>
              <w:jc w:val="center"/>
            </w:pPr>
            <w:r>
              <w:rPr>
                <w:sz w:val="20"/>
                <w:szCs w:val="20"/>
              </w:rPr>
              <w:t>12–15% per annum</w:t>
            </w:r>
          </w:p>
        </w:tc>
        <w:tc>
          <w:tcPr>
            <w:tcW w:w="2026" w:type="dxa"/>
            <w:tcMar>
              <w:top w:w="60" w:type="dxa"/>
              <w:left w:w="80" w:type="dxa"/>
              <w:bottom w:w="60" w:type="dxa"/>
              <w:right w:w="80" w:type="dxa"/>
            </w:tcMar>
          </w:tcPr>
          <w:p w14:paraId="1D5B77B3" w14:textId="77777777" w:rsidR="00533849" w:rsidRDefault="00000000">
            <w:pPr>
              <w:jc w:val="center"/>
            </w:pPr>
            <w:r>
              <w:rPr>
                <w:sz w:val="20"/>
                <w:szCs w:val="20"/>
              </w:rPr>
              <w:t>11–14% per annum</w:t>
            </w:r>
          </w:p>
        </w:tc>
        <w:tc>
          <w:tcPr>
            <w:tcW w:w="2050" w:type="dxa"/>
            <w:tcMar>
              <w:top w:w="60" w:type="dxa"/>
              <w:left w:w="80" w:type="dxa"/>
              <w:bottom w:w="60" w:type="dxa"/>
              <w:right w:w="80" w:type="dxa"/>
            </w:tcMar>
          </w:tcPr>
          <w:p w14:paraId="590BE192" w14:textId="77777777" w:rsidR="00533849" w:rsidRDefault="00000000">
            <w:pPr>
              <w:jc w:val="center"/>
            </w:pPr>
            <w:r>
              <w:rPr>
                <w:sz w:val="20"/>
                <w:szCs w:val="20"/>
              </w:rPr>
              <w:t>10–13% per annum</w:t>
            </w:r>
          </w:p>
        </w:tc>
      </w:tr>
      <w:tr w:rsidR="00533849" w14:paraId="05E7FFF4" w14:textId="77777777">
        <w:tc>
          <w:tcPr>
            <w:tcW w:w="3000" w:type="dxa"/>
            <w:tcMar>
              <w:top w:w="60" w:type="dxa"/>
              <w:left w:w="80" w:type="dxa"/>
              <w:bottom w:w="60" w:type="dxa"/>
              <w:right w:w="80" w:type="dxa"/>
            </w:tcMar>
          </w:tcPr>
          <w:p w14:paraId="2FE3C15D" w14:textId="77777777" w:rsidR="00533849" w:rsidRDefault="00000000">
            <w:r>
              <w:rPr>
                <w:sz w:val="20"/>
                <w:szCs w:val="20"/>
              </w:rPr>
              <w:t>Portfolio repayment rate</w:t>
            </w:r>
          </w:p>
        </w:tc>
        <w:tc>
          <w:tcPr>
            <w:tcW w:w="1950" w:type="dxa"/>
            <w:tcMar>
              <w:top w:w="60" w:type="dxa"/>
              <w:left w:w="80" w:type="dxa"/>
              <w:bottom w:w="60" w:type="dxa"/>
              <w:right w:w="80" w:type="dxa"/>
            </w:tcMar>
          </w:tcPr>
          <w:p w14:paraId="4F7DE1E7" w14:textId="77777777" w:rsidR="00533849" w:rsidRDefault="00000000">
            <w:pPr>
              <w:jc w:val="center"/>
            </w:pPr>
            <w:r>
              <w:rPr>
                <w:sz w:val="20"/>
                <w:szCs w:val="20"/>
              </w:rPr>
              <w:t>90–93%</w:t>
            </w:r>
          </w:p>
        </w:tc>
        <w:tc>
          <w:tcPr>
            <w:tcW w:w="2026" w:type="dxa"/>
            <w:tcMar>
              <w:top w:w="60" w:type="dxa"/>
              <w:left w:w="80" w:type="dxa"/>
              <w:bottom w:w="60" w:type="dxa"/>
              <w:right w:w="80" w:type="dxa"/>
            </w:tcMar>
          </w:tcPr>
          <w:p w14:paraId="2B5041F2" w14:textId="77777777" w:rsidR="00533849" w:rsidRDefault="00000000">
            <w:pPr>
              <w:jc w:val="center"/>
            </w:pPr>
            <w:r>
              <w:rPr>
                <w:sz w:val="20"/>
                <w:szCs w:val="20"/>
              </w:rPr>
              <w:t>92–95%</w:t>
            </w:r>
          </w:p>
        </w:tc>
        <w:tc>
          <w:tcPr>
            <w:tcW w:w="2050" w:type="dxa"/>
            <w:tcMar>
              <w:top w:w="60" w:type="dxa"/>
              <w:left w:w="80" w:type="dxa"/>
              <w:bottom w:w="60" w:type="dxa"/>
              <w:right w:w="80" w:type="dxa"/>
            </w:tcMar>
          </w:tcPr>
          <w:p w14:paraId="40FEB163" w14:textId="77777777" w:rsidR="00533849" w:rsidRDefault="00000000">
            <w:pPr>
              <w:jc w:val="center"/>
            </w:pPr>
            <w:r>
              <w:rPr>
                <w:sz w:val="20"/>
                <w:szCs w:val="20"/>
              </w:rPr>
              <w:t>93–96%</w:t>
            </w:r>
          </w:p>
        </w:tc>
      </w:tr>
      <w:tr w:rsidR="00533849" w14:paraId="35990187" w14:textId="77777777">
        <w:tc>
          <w:tcPr>
            <w:tcW w:w="3000" w:type="dxa"/>
            <w:tcMar>
              <w:top w:w="60" w:type="dxa"/>
              <w:left w:w="80" w:type="dxa"/>
              <w:bottom w:w="60" w:type="dxa"/>
              <w:right w:w="80" w:type="dxa"/>
            </w:tcMar>
          </w:tcPr>
          <w:p w14:paraId="3052F714" w14:textId="77777777" w:rsidR="00533849" w:rsidRDefault="00000000">
            <w:r>
              <w:rPr>
                <w:sz w:val="20"/>
                <w:szCs w:val="20"/>
              </w:rPr>
              <w:t>Households lifted above poverty line</w:t>
            </w:r>
          </w:p>
        </w:tc>
        <w:tc>
          <w:tcPr>
            <w:tcW w:w="1950" w:type="dxa"/>
            <w:tcMar>
              <w:top w:w="60" w:type="dxa"/>
              <w:left w:w="80" w:type="dxa"/>
              <w:bottom w:w="60" w:type="dxa"/>
              <w:right w:w="80" w:type="dxa"/>
            </w:tcMar>
          </w:tcPr>
          <w:p w14:paraId="79DD8005" w14:textId="77777777" w:rsidR="00533849" w:rsidRDefault="00000000">
            <w:pPr>
              <w:jc w:val="center"/>
            </w:pPr>
            <w:r>
              <w:rPr>
                <w:sz w:val="20"/>
                <w:szCs w:val="20"/>
              </w:rPr>
              <w:t>85,000–140,000</w:t>
            </w:r>
          </w:p>
        </w:tc>
        <w:tc>
          <w:tcPr>
            <w:tcW w:w="2026" w:type="dxa"/>
            <w:tcMar>
              <w:top w:w="60" w:type="dxa"/>
              <w:left w:w="80" w:type="dxa"/>
              <w:bottom w:w="60" w:type="dxa"/>
              <w:right w:w="80" w:type="dxa"/>
            </w:tcMar>
          </w:tcPr>
          <w:p w14:paraId="41854424" w14:textId="77777777" w:rsidR="00533849" w:rsidRDefault="00000000">
            <w:pPr>
              <w:jc w:val="center"/>
            </w:pPr>
            <w:r>
              <w:rPr>
                <w:sz w:val="20"/>
                <w:szCs w:val="20"/>
              </w:rPr>
              <w:t>420,000–700,000</w:t>
            </w:r>
          </w:p>
        </w:tc>
        <w:tc>
          <w:tcPr>
            <w:tcW w:w="2050" w:type="dxa"/>
            <w:tcMar>
              <w:top w:w="60" w:type="dxa"/>
              <w:left w:w="80" w:type="dxa"/>
              <w:bottom w:w="60" w:type="dxa"/>
              <w:right w:w="80" w:type="dxa"/>
            </w:tcMar>
          </w:tcPr>
          <w:p w14:paraId="3093EA87" w14:textId="77777777" w:rsidR="00533849" w:rsidRDefault="00000000">
            <w:pPr>
              <w:jc w:val="center"/>
            </w:pPr>
            <w:r>
              <w:rPr>
                <w:sz w:val="20"/>
                <w:szCs w:val="20"/>
              </w:rPr>
              <w:t>1.5–2.8 million</w:t>
            </w:r>
          </w:p>
        </w:tc>
      </w:tr>
      <w:tr w:rsidR="00533849" w14:paraId="3EA79FE5" w14:textId="77777777">
        <w:tc>
          <w:tcPr>
            <w:tcW w:w="3000" w:type="dxa"/>
            <w:tcMar>
              <w:top w:w="60" w:type="dxa"/>
              <w:left w:w="80" w:type="dxa"/>
              <w:bottom w:w="60" w:type="dxa"/>
              <w:right w:w="80" w:type="dxa"/>
            </w:tcMar>
          </w:tcPr>
          <w:p w14:paraId="49DC72A2" w14:textId="77777777" w:rsidR="00533849" w:rsidRDefault="00000000">
            <w:r>
              <w:rPr>
                <w:sz w:val="20"/>
                <w:szCs w:val="20"/>
              </w:rPr>
              <w:t>Cooperative insurance members</w:t>
            </w:r>
          </w:p>
        </w:tc>
        <w:tc>
          <w:tcPr>
            <w:tcW w:w="1950" w:type="dxa"/>
            <w:tcMar>
              <w:top w:w="60" w:type="dxa"/>
              <w:left w:w="80" w:type="dxa"/>
              <w:bottom w:w="60" w:type="dxa"/>
              <w:right w:w="80" w:type="dxa"/>
            </w:tcMar>
          </w:tcPr>
          <w:p w14:paraId="29267B7B" w14:textId="77777777" w:rsidR="00533849" w:rsidRDefault="00000000">
            <w:pPr>
              <w:jc w:val="center"/>
            </w:pPr>
            <w:r>
              <w:rPr>
                <w:sz w:val="20"/>
                <w:szCs w:val="20"/>
              </w:rPr>
              <w:t>50,000</w:t>
            </w:r>
          </w:p>
        </w:tc>
        <w:tc>
          <w:tcPr>
            <w:tcW w:w="2026" w:type="dxa"/>
            <w:tcMar>
              <w:top w:w="60" w:type="dxa"/>
              <w:left w:w="80" w:type="dxa"/>
              <w:bottom w:w="60" w:type="dxa"/>
              <w:right w:w="80" w:type="dxa"/>
            </w:tcMar>
          </w:tcPr>
          <w:p w14:paraId="445BF43A" w14:textId="77777777" w:rsidR="00533849" w:rsidRDefault="00000000">
            <w:pPr>
              <w:jc w:val="center"/>
            </w:pPr>
            <w:r>
              <w:rPr>
                <w:sz w:val="20"/>
                <w:szCs w:val="20"/>
              </w:rPr>
              <w:t>400,000</w:t>
            </w:r>
          </w:p>
        </w:tc>
        <w:tc>
          <w:tcPr>
            <w:tcW w:w="2050" w:type="dxa"/>
            <w:tcMar>
              <w:top w:w="60" w:type="dxa"/>
              <w:left w:w="80" w:type="dxa"/>
              <w:bottom w:w="60" w:type="dxa"/>
              <w:right w:w="80" w:type="dxa"/>
            </w:tcMar>
          </w:tcPr>
          <w:p w14:paraId="16B5270B" w14:textId="77777777" w:rsidR="00533849" w:rsidRDefault="00000000">
            <w:pPr>
              <w:jc w:val="center"/>
            </w:pPr>
            <w:r>
              <w:rPr>
                <w:sz w:val="20"/>
                <w:szCs w:val="20"/>
              </w:rPr>
              <w:t>1.8 million</w:t>
            </w:r>
          </w:p>
        </w:tc>
      </w:tr>
      <w:tr w:rsidR="00533849" w14:paraId="292C1CC9" w14:textId="77777777">
        <w:trPr>
          <w:trHeight w:val="90"/>
        </w:trPr>
        <w:tc>
          <w:tcPr>
            <w:tcW w:w="3000" w:type="dxa"/>
            <w:tcMar>
              <w:top w:w="60" w:type="dxa"/>
              <w:left w:w="80" w:type="dxa"/>
              <w:bottom w:w="60" w:type="dxa"/>
              <w:right w:w="80" w:type="dxa"/>
            </w:tcMar>
          </w:tcPr>
          <w:p w14:paraId="3FADF84C" w14:textId="77777777" w:rsidR="00533849" w:rsidRDefault="00000000">
            <w:r>
              <w:rPr>
                <w:sz w:val="20"/>
                <w:szCs w:val="20"/>
              </w:rPr>
              <w:t>Government subsidy required (USD)</w:t>
            </w:r>
          </w:p>
        </w:tc>
        <w:tc>
          <w:tcPr>
            <w:tcW w:w="1950" w:type="dxa"/>
            <w:tcMar>
              <w:top w:w="60" w:type="dxa"/>
              <w:left w:w="80" w:type="dxa"/>
              <w:bottom w:w="60" w:type="dxa"/>
              <w:right w:w="80" w:type="dxa"/>
            </w:tcMar>
          </w:tcPr>
          <w:p w14:paraId="101B48DD" w14:textId="77777777" w:rsidR="00533849" w:rsidRDefault="00000000">
            <w:pPr>
              <w:jc w:val="center"/>
            </w:pPr>
            <w:r>
              <w:rPr>
                <w:sz w:val="20"/>
                <w:szCs w:val="20"/>
              </w:rPr>
              <w:t>USD 15–25 million</w:t>
            </w:r>
          </w:p>
        </w:tc>
        <w:tc>
          <w:tcPr>
            <w:tcW w:w="2026" w:type="dxa"/>
            <w:tcMar>
              <w:top w:w="60" w:type="dxa"/>
              <w:left w:w="80" w:type="dxa"/>
              <w:bottom w:w="60" w:type="dxa"/>
              <w:right w:w="80" w:type="dxa"/>
            </w:tcMar>
          </w:tcPr>
          <w:p w14:paraId="01C7042E" w14:textId="77777777" w:rsidR="00533849" w:rsidRDefault="00000000">
            <w:pPr>
              <w:jc w:val="center"/>
            </w:pPr>
            <w:r>
              <w:rPr>
                <w:sz w:val="20"/>
                <w:szCs w:val="20"/>
              </w:rPr>
              <w:t>USD 30–55 million</w:t>
            </w:r>
          </w:p>
        </w:tc>
        <w:tc>
          <w:tcPr>
            <w:tcW w:w="2050" w:type="dxa"/>
            <w:tcMar>
              <w:top w:w="60" w:type="dxa"/>
              <w:left w:w="80" w:type="dxa"/>
              <w:bottom w:w="60" w:type="dxa"/>
              <w:right w:w="80" w:type="dxa"/>
            </w:tcMar>
          </w:tcPr>
          <w:p w14:paraId="4AF80D89" w14:textId="77777777" w:rsidR="00533849" w:rsidRDefault="00000000">
            <w:pPr>
              <w:jc w:val="center"/>
            </w:pPr>
            <w:r>
              <w:rPr>
                <w:sz w:val="20"/>
                <w:szCs w:val="20"/>
              </w:rPr>
              <w:t>USD 45–80 million</w:t>
            </w:r>
          </w:p>
        </w:tc>
      </w:tr>
      <w:tr w:rsidR="00533849" w14:paraId="373B0212" w14:textId="77777777">
        <w:tc>
          <w:tcPr>
            <w:tcW w:w="3000" w:type="dxa"/>
            <w:tcMar>
              <w:top w:w="60" w:type="dxa"/>
              <w:left w:w="80" w:type="dxa"/>
              <w:bottom w:w="60" w:type="dxa"/>
              <w:right w:w="80" w:type="dxa"/>
            </w:tcMar>
          </w:tcPr>
          <w:p w14:paraId="1C591799" w14:textId="77777777" w:rsidR="00533849" w:rsidRDefault="00000000">
            <w:r>
              <w:rPr>
                <w:sz w:val="20"/>
                <w:szCs w:val="20"/>
              </w:rPr>
              <w:t>Social return on investment (SROI)</w:t>
            </w:r>
          </w:p>
        </w:tc>
        <w:tc>
          <w:tcPr>
            <w:tcW w:w="1950" w:type="dxa"/>
            <w:tcMar>
              <w:top w:w="60" w:type="dxa"/>
              <w:left w:w="80" w:type="dxa"/>
              <w:bottom w:w="60" w:type="dxa"/>
              <w:right w:w="80" w:type="dxa"/>
            </w:tcMar>
          </w:tcPr>
          <w:p w14:paraId="20EB147D" w14:textId="77777777" w:rsidR="00533849" w:rsidRDefault="00000000">
            <w:pPr>
              <w:jc w:val="center"/>
            </w:pPr>
            <w:r>
              <w:rPr>
                <w:sz w:val="20"/>
                <w:szCs w:val="20"/>
              </w:rPr>
              <w:t>1:2.8</w:t>
            </w:r>
          </w:p>
        </w:tc>
        <w:tc>
          <w:tcPr>
            <w:tcW w:w="2026" w:type="dxa"/>
            <w:tcMar>
              <w:top w:w="60" w:type="dxa"/>
              <w:left w:w="80" w:type="dxa"/>
              <w:bottom w:w="60" w:type="dxa"/>
              <w:right w:w="80" w:type="dxa"/>
            </w:tcMar>
          </w:tcPr>
          <w:p w14:paraId="757DB2F5" w14:textId="77777777" w:rsidR="00533849" w:rsidRDefault="00000000">
            <w:pPr>
              <w:jc w:val="center"/>
            </w:pPr>
            <w:r>
              <w:rPr>
                <w:sz w:val="20"/>
                <w:szCs w:val="20"/>
              </w:rPr>
              <w:t>1:5.4</w:t>
            </w:r>
          </w:p>
        </w:tc>
        <w:tc>
          <w:tcPr>
            <w:tcW w:w="2050" w:type="dxa"/>
            <w:tcMar>
              <w:top w:w="60" w:type="dxa"/>
              <w:left w:w="80" w:type="dxa"/>
              <w:bottom w:w="60" w:type="dxa"/>
              <w:right w:w="80" w:type="dxa"/>
            </w:tcMar>
          </w:tcPr>
          <w:p w14:paraId="72476001" w14:textId="77777777" w:rsidR="00533849" w:rsidRDefault="00000000">
            <w:pPr>
              <w:jc w:val="center"/>
            </w:pPr>
            <w:r>
              <w:rPr>
                <w:sz w:val="20"/>
                <w:szCs w:val="20"/>
              </w:rPr>
              <w:t>1:8.9</w:t>
            </w:r>
          </w:p>
        </w:tc>
      </w:tr>
    </w:tbl>
    <w:p w14:paraId="6DCB422E" w14:textId="77777777" w:rsidR="00533849" w:rsidRDefault="00000000">
      <w:pPr>
        <w:spacing w:before="40" w:after="120"/>
      </w:pPr>
      <w:r>
        <w:rPr>
          <w:i/>
          <w:iCs/>
          <w:sz w:val="18"/>
          <w:szCs w:val="18"/>
        </w:rPr>
        <w:t>Sources: Armendáriz &amp; Morduch [39]; SASRA [42]; NBE [41]; World Bank [3]. SROI = Social Return on Investment.</w:t>
      </w:r>
    </w:p>
    <w:p w14:paraId="29B6D027" w14:textId="77777777" w:rsidR="00533849" w:rsidRDefault="00533849"/>
    <w:p w14:paraId="655C424E" w14:textId="77777777" w:rsidR="00533849" w:rsidRDefault="00000000">
      <w:pPr>
        <w:spacing w:before="200" w:after="60"/>
      </w:pPr>
      <w:r>
        <w:rPr>
          <w:b/>
          <w:bCs/>
        </w:rPr>
        <w:t>9.4 Women's Cooperative Finance: The Gender Equity and Economic Efficiency Imperative</w:t>
      </w:r>
    </w:p>
    <w:p w14:paraId="1F6897E2" w14:textId="77777777" w:rsidR="00533849" w:rsidRDefault="00000000">
      <w:pPr>
        <w:spacing w:before="80" w:after="80"/>
        <w:jc w:val="both"/>
      </w:pPr>
      <w:r>
        <w:t>Women perform 60–70% of post-harvest labour in Côte d'Ivoire's cocoa system yet capture a disproportionately small share of farm income, which flows primarily through male household heads. Women constitute approximately 58% of the formally unbanked population despite accounting for the majority of smallholder agricultural production [44]. This is not merely a social equity problem — it is an economic inefficiency. Evidence from India's Self-Help Group movement and Kenya's chama networks consistently shows that women-led cooperative structures achieve higher savings rates, higher repayment rates, stronger peer enforcement of norms, and larger household-level spillover benefits than mixed-gender or male-dominated structures [45]. Women's income, when directly controlled, benefits children disproportionately: children's nutrition, health care attendance, and school enrolment all improve measurably when income flows through women rather than through male household heads [44, 46].</w:t>
      </w:r>
    </w:p>
    <w:p w14:paraId="0A978203" w14:textId="77777777" w:rsidR="00533849" w:rsidRDefault="00000000">
      <w:pPr>
        <w:spacing w:before="80" w:after="80"/>
        <w:jc w:val="both"/>
      </w:pPr>
      <w:r>
        <w:t>Ubuntu cooperative banking addresses structural gender exclusion through: direct payment mechanisms channelling cooperative revenues to women's accounts, bypassing male household head income control; targeted enterprise finance products for women-owned processing and retail enterprises; mandatory minimum 40% women's representation in cooperative governance boards; and cooperative activity scheduling that accommodates domestic responsibilities. The financial architecture of the cooperative is specifically designed so that the women already performing the majority of post-harvest labour are the primary beneficiaries of the economic value that labour generates — rather than continuing to generate value that is captured at a point in the value chain where they have no representation.</w:t>
      </w:r>
    </w:p>
    <w:p w14:paraId="71635673" w14:textId="77777777" w:rsidR="00533849" w:rsidRDefault="00000000">
      <w:pPr>
        <w:spacing w:before="200" w:after="60"/>
      </w:pPr>
      <w:r>
        <w:rPr>
          <w:b/>
          <w:bCs/>
        </w:rPr>
        <w:t>9.5 Cooperative Insurance: Scaling the Tontine Mutual Protection Model</w:t>
      </w:r>
    </w:p>
    <w:p w14:paraId="0AF85DCF" w14:textId="77777777" w:rsidR="00533849" w:rsidRDefault="00000000">
      <w:pPr>
        <w:spacing w:before="80" w:after="80"/>
        <w:jc w:val="both"/>
      </w:pPr>
      <w:r>
        <w:t xml:space="preserve">Formal insurance penetration of 2.1% of GDP in Côte d'Ivoire conceals the extraordinary vitality of informal mutual protection — the tontine circles and mutual aid groups operating across Ivorian communities achieve near-universal participation precisely because they align </w:t>
      </w:r>
      <w:r>
        <w:lastRenderedPageBreak/>
        <w:t>with the neurobiological conditions for trust: face-to-face claim verification, immediate cash payouts, social meaning of the transaction, and reciprocal commitment eliminating adverse selection [29, 38]. NALM's cooperative insurance model scales these systems through regional federations providing reinsurance against localized shocks; agricultural index insurance with community-managed localized weather stations reducing basis risk; community health insurance modelled on Rwanda's Mutuelle de Santé (which achieved 91% coverage by 2012, reducing catastrophic health expenditures by 50% [47]); and mobile premium collection with instant wallet payouts improving transaction efficiency without displacing the community governance that generates trust. Agricultural insurance specifically — reaching fewer than 3% of Ivorian farmers currently — is the single intervention most likely to unlock adoption of improved inputs, since farmers with crop failure insurance can absorb the variance of improved high-yield varieties that uninsured farmers rationally avoid [5, 47].</w:t>
      </w:r>
    </w:p>
    <w:p w14:paraId="7533948E" w14:textId="77777777" w:rsidR="00533849" w:rsidRDefault="00533849"/>
    <w:p w14:paraId="56D6FAEE" w14:textId="77777777" w:rsidR="00533849" w:rsidRDefault="00000000">
      <w:pPr>
        <w:spacing w:before="280" w:after="80"/>
      </w:pPr>
      <w:r>
        <w:rPr>
          <w:b/>
          <w:bCs/>
        </w:rPr>
        <w:t>X. NEUROANTHROPOLOGICAL ECONOMICS: WHY PREVIOUS REFORM CYCLES HAVE UNDERDELIVERED</w:t>
      </w:r>
    </w:p>
    <w:p w14:paraId="1065534E" w14:textId="77777777" w:rsidR="00533849" w:rsidRDefault="00000000">
      <w:pPr>
        <w:spacing w:before="200" w:after="60"/>
      </w:pPr>
      <w:r>
        <w:rPr>
          <w:b/>
          <w:bCs/>
        </w:rPr>
        <w:t>10.1 The Analytical Problem: Technically Sound Reforms That Fail</w:t>
      </w:r>
    </w:p>
    <w:p w14:paraId="1A399ED2" w14:textId="77777777" w:rsidR="00533849" w:rsidRDefault="00000000">
      <w:pPr>
        <w:spacing w:before="80" w:after="80"/>
        <w:jc w:val="both"/>
      </w:pPr>
      <w:r>
        <w:t>A consistent pattern in Ivorian — and African — development experience demands explanation: why do well-designed, adequately financed, technically sound reform programmes repeatedly underperform their projected outcomes? Agricultural extension programmes reach farmers but do not change practices. Financial literacy programmes reach participants but do not change savings behaviour. Banking sector reform increases branch networks but does not increase productive credit. The conventional explanations — insufficient financing, weak implementation capacity, coordination failures — are necessary but insufficient. They leave unexplained why the same populations adopt mobile money rapidly (zero donor support, no literacy training required) but reject formal banking persistently (despite decades of financial inclusion investment) [8, 30].</w:t>
      </w:r>
    </w:p>
    <w:p w14:paraId="2F8E9CB5" w14:textId="77777777" w:rsidR="00533849" w:rsidRDefault="00000000">
      <w:pPr>
        <w:spacing w:before="80" w:after="80"/>
        <w:jc w:val="both"/>
      </w:pPr>
      <w:r>
        <w:t>Neuroanthropological Economics (NAE), developed by Kouadio [8] through the NALM framework, proposes that the explanatory gap reflects neurobiological and cultural misalignment between reform design assumptions and the cognitive, social, and institutional realities of target populations. Standard economic reforms assume that populations make decisions as individuals with stable preferences, adequate cognitive bandwidth, and basic institutional trust — assumptions that are systematically violated in post-colonial African communities experiencing chronic poverty, historical institutional betrayal, and present bias intensified by scarcity [49].</w:t>
      </w:r>
    </w:p>
    <w:p w14:paraId="0D1E8AFF" w14:textId="77777777" w:rsidR="00533849" w:rsidRDefault="00000000">
      <w:pPr>
        <w:spacing w:before="200" w:after="60"/>
      </w:pPr>
      <w:r>
        <w:rPr>
          <w:b/>
          <w:bCs/>
        </w:rPr>
        <w:t>10.2 Three NAE Propositions for the GDP Doubling Strategy</w:t>
      </w:r>
    </w:p>
    <w:p w14:paraId="67C717CD" w14:textId="77777777" w:rsidR="00533849" w:rsidRDefault="00000000">
      <w:pPr>
        <w:spacing w:before="80" w:after="80"/>
        <w:jc w:val="both"/>
      </w:pPr>
      <w:r>
        <w:t>First, institutional trust must be neurobiologically rebuilt before behavioural change is achievable. Populations whose amygdalae have been conditioned by repeated institutional betrayal — colonial banks, post-independence collapses, structural adjustment branch closures, predatory lending — will not voluntarily engage with formal financial institutions regardless of product quality until trust is rebuilt through demonstrated reliability over multiple interaction cycles. This is not irrationality; it is adaptive neurological self-protection [30, 48]. The implication for the cooperative banking model is direct: all financial sector interventions must begin with trust-building co-design rather than product introduction; transparency mechanisms must precede product launch, not follow it.</w:t>
      </w:r>
    </w:p>
    <w:p w14:paraId="5BE8F208" w14:textId="77777777" w:rsidR="00533849" w:rsidRDefault="00000000">
      <w:pPr>
        <w:spacing w:before="80" w:after="80"/>
        <w:jc w:val="both"/>
      </w:pPr>
      <w:r>
        <w:t xml:space="preserve">Second, present bias — the neurological tendency to heavily discount future benefits relative to immediate needs — is intensified by poverty in ways that make standard savings and </w:t>
      </w:r>
      <w:r>
        <w:lastRenderedPageBreak/>
        <w:t>insurance products neurobiologically unrewarding for the populations that most need them [49]. Tontines succeed because they resolve present bias through social commitment devices and immediate visible rewards: the payout is predictable, scheduled, and socially celebrated. Banks fail because they require abstract delayed gratification under conditions of chronic scarcity that neurobiologically impair prefrontal cortical function. The cooperative banking model addresses this through rotating lump-sum payouts structured on the tontine model, social commitment devices (public savings declarations, peer-approved withdrawal requirements), and cooperative dividend distributions that make economic participation immediately tangible.</w:t>
      </w:r>
    </w:p>
    <w:p w14:paraId="1299FF97" w14:textId="77777777" w:rsidR="00533849" w:rsidRDefault="00000000">
      <w:pPr>
        <w:spacing w:before="80" w:after="80"/>
        <w:jc w:val="both"/>
      </w:pPr>
      <w:r>
        <w:t>Third, behaviour change requires neuroplastic rewiring through experiential practice rather than information transfer [50]. Financial literacy programmes that teach budgeting through abstract instruction produce negligible durable behaviour change; cooperative savings groups that practice budgeting through monthly social simulations with immediate consequences produce the neuroplastic change that alters behaviour persistently. Agricultural extension through farmer field schools with social simulation produces larger yield improvements than one-on-one advisory extension. Entrepreneurship development through peer learning networks generates more durable business formation than individual business training programmes. The policy implication runs through every pillar of the strategy: design for social learning, not individual instruction.</w:t>
      </w:r>
    </w:p>
    <w:p w14:paraId="38EEFFCD" w14:textId="77777777" w:rsidR="00533849" w:rsidRDefault="00000000">
      <w:pPr>
        <w:spacing w:before="200" w:after="60"/>
      </w:pPr>
      <w:r>
        <w:rPr>
          <w:b/>
          <w:bCs/>
        </w:rPr>
        <w:t>10.3 Sequencing as Neurological Strategy</w:t>
      </w:r>
    </w:p>
    <w:p w14:paraId="43D81AF0" w14:textId="77777777" w:rsidR="00533849" w:rsidRDefault="00000000">
      <w:pPr>
        <w:spacing w:before="80" w:after="80"/>
        <w:jc w:val="both"/>
      </w:pPr>
      <w:r>
        <w:t>The implementation roadmap is designed not merely as logistical sequencing but as neurobiological strategy. Phase 1 (Foundation, 2025–2030) prioritizes interventions that deliver immediate visible community benefits — cooperative savings payouts, rural electrification, road rehabilitation, clean water provision — that build the prefrontal confidence in institutional reliability that enables engagement with longer-term investments in Section XI. Phase 2 (Acceleration, 2031–2037) deploys the industrial, educational, and financial architecture enabled by Phase 1's institutional trust restoration. Phase 3 (Consolidation, 2038–2045) harvests the compounding returns of human capital, institutional quality, and financial deepening. This sequencing is not arbitrary — it reflects the neurological reality that populations conditioned by institutional betrayal require demonstrated reliability before extending institutional trust, and that trust must precede the investment behaviour that makes economic transformation possible [8, 36].</w:t>
      </w:r>
    </w:p>
    <w:p w14:paraId="548E3D42" w14:textId="77777777" w:rsidR="00533849" w:rsidRDefault="00533849"/>
    <w:p w14:paraId="6FD0DF2C" w14:textId="77777777" w:rsidR="00533849" w:rsidRDefault="00000000">
      <w:pPr>
        <w:spacing w:before="280" w:after="80"/>
      </w:pPr>
      <w:r>
        <w:rPr>
          <w:b/>
          <w:bCs/>
        </w:rPr>
        <w:t>XI. THREE-PHASE IMPLEMENTATION ROADMAP: 2025–2045</w:t>
      </w:r>
    </w:p>
    <w:p w14:paraId="3B0E7ECA" w14:textId="77777777" w:rsidR="00533849" w:rsidRDefault="00000000">
      <w:pPr>
        <w:spacing w:before="180" w:after="60"/>
      </w:pPr>
      <w:r>
        <w:rPr>
          <w:b/>
          <w:bCs/>
          <w:sz w:val="20"/>
          <w:szCs w:val="20"/>
        </w:rPr>
        <w:t xml:space="preserve">Table </w:t>
      </w:r>
      <w:r>
        <w:rPr>
          <w:b/>
          <w:bCs/>
          <w:sz w:val="20"/>
          <w:szCs w:val="20"/>
          <w:lang w:val="en-US"/>
        </w:rPr>
        <w:t>6</w:t>
      </w:r>
      <w:r>
        <w:rPr>
          <w:b/>
          <w:bCs/>
          <w:sz w:val="20"/>
          <w:szCs w:val="20"/>
        </w:rPr>
        <w:t>. Three-phase implementation roadmap: milestones, targets, and financial architecture</w:t>
      </w:r>
    </w:p>
    <w:tbl>
      <w:tblPr>
        <w:tblW w:w="9026" w:type="dxa"/>
        <w:tblBorders>
          <w:top w:val="single" w:sz="18" w:space="0" w:color="1F3864"/>
          <w:left w:val="single" w:sz="18" w:space="0" w:color="1F3864"/>
          <w:bottom w:val="single" w:sz="18" w:space="0" w:color="1F3864"/>
          <w:right w:val="single" w:sz="18" w:space="0" w:color="1F3864"/>
          <w:insideH w:val="single" w:sz="4" w:space="0" w:color="9DB6CE"/>
          <w:insideV w:val="single" w:sz="4" w:space="0" w:color="9DB6CE"/>
        </w:tblBorders>
        <w:tblCellMar>
          <w:left w:w="10" w:type="dxa"/>
          <w:right w:w="10" w:type="dxa"/>
        </w:tblCellMar>
        <w:tblLook w:val="04A0" w:firstRow="1" w:lastRow="0" w:firstColumn="1" w:lastColumn="0" w:noHBand="0" w:noVBand="1"/>
      </w:tblPr>
      <w:tblGrid>
        <w:gridCol w:w="1884"/>
        <w:gridCol w:w="1133"/>
        <w:gridCol w:w="1564"/>
        <w:gridCol w:w="2364"/>
        <w:gridCol w:w="2081"/>
      </w:tblGrid>
      <w:tr w:rsidR="00533849" w14:paraId="64D51F48" w14:textId="77777777">
        <w:tc>
          <w:tcPr>
            <w:tcW w:w="1400" w:type="dxa"/>
            <w:shd w:val="clear" w:color="auto" w:fill="D9D9D9"/>
            <w:tcMar>
              <w:top w:w="60" w:type="dxa"/>
              <w:left w:w="80" w:type="dxa"/>
              <w:bottom w:w="60" w:type="dxa"/>
              <w:right w:w="80" w:type="dxa"/>
            </w:tcMar>
          </w:tcPr>
          <w:p w14:paraId="3622E320" w14:textId="77777777" w:rsidR="00533849" w:rsidRDefault="00000000">
            <w:r>
              <w:rPr>
                <w:b/>
                <w:bCs/>
                <w:sz w:val="20"/>
                <w:szCs w:val="20"/>
              </w:rPr>
              <w:t>Phase</w:t>
            </w:r>
          </w:p>
        </w:tc>
        <w:tc>
          <w:tcPr>
            <w:tcW w:w="1200" w:type="dxa"/>
            <w:shd w:val="clear" w:color="auto" w:fill="D9D9D9"/>
            <w:tcMar>
              <w:top w:w="60" w:type="dxa"/>
              <w:left w:w="80" w:type="dxa"/>
              <w:bottom w:w="60" w:type="dxa"/>
              <w:right w:w="80" w:type="dxa"/>
            </w:tcMar>
          </w:tcPr>
          <w:p w14:paraId="737010FF" w14:textId="77777777" w:rsidR="00533849" w:rsidRDefault="00000000">
            <w:pPr>
              <w:jc w:val="center"/>
            </w:pPr>
            <w:r>
              <w:rPr>
                <w:b/>
                <w:bCs/>
                <w:sz w:val="20"/>
                <w:szCs w:val="20"/>
              </w:rPr>
              <w:t>Period</w:t>
            </w:r>
          </w:p>
        </w:tc>
        <w:tc>
          <w:tcPr>
            <w:tcW w:w="1700" w:type="dxa"/>
            <w:shd w:val="clear" w:color="auto" w:fill="D9D9D9"/>
            <w:tcMar>
              <w:top w:w="60" w:type="dxa"/>
              <w:left w:w="80" w:type="dxa"/>
              <w:bottom w:w="60" w:type="dxa"/>
              <w:right w:w="80" w:type="dxa"/>
            </w:tcMar>
          </w:tcPr>
          <w:p w14:paraId="2D4906B1" w14:textId="77777777" w:rsidR="00533849" w:rsidRDefault="00000000">
            <w:pPr>
              <w:jc w:val="center"/>
            </w:pPr>
            <w:r>
              <w:rPr>
                <w:b/>
                <w:bCs/>
                <w:sz w:val="20"/>
                <w:szCs w:val="20"/>
              </w:rPr>
              <w:t>GDP Target</w:t>
            </w:r>
          </w:p>
        </w:tc>
        <w:tc>
          <w:tcPr>
            <w:tcW w:w="2526" w:type="dxa"/>
            <w:shd w:val="clear" w:color="auto" w:fill="D9D9D9"/>
            <w:tcMar>
              <w:top w:w="60" w:type="dxa"/>
              <w:left w:w="80" w:type="dxa"/>
              <w:bottom w:w="60" w:type="dxa"/>
              <w:right w:w="80" w:type="dxa"/>
            </w:tcMar>
          </w:tcPr>
          <w:p w14:paraId="6592781C" w14:textId="77777777" w:rsidR="00533849" w:rsidRDefault="00000000">
            <w:r>
              <w:rPr>
                <w:b/>
                <w:bCs/>
                <w:sz w:val="20"/>
                <w:szCs w:val="20"/>
              </w:rPr>
              <w:t>Key Actions</w:t>
            </w:r>
          </w:p>
        </w:tc>
        <w:tc>
          <w:tcPr>
            <w:tcW w:w="2200" w:type="dxa"/>
            <w:shd w:val="clear" w:color="auto" w:fill="D9D9D9"/>
            <w:tcMar>
              <w:top w:w="60" w:type="dxa"/>
              <w:left w:w="80" w:type="dxa"/>
              <w:bottom w:w="60" w:type="dxa"/>
              <w:right w:w="80" w:type="dxa"/>
            </w:tcMar>
          </w:tcPr>
          <w:p w14:paraId="3F16B2C6" w14:textId="77777777" w:rsidR="00533849" w:rsidRDefault="00000000">
            <w:r>
              <w:rPr>
                <w:b/>
                <w:bCs/>
                <w:sz w:val="20"/>
                <w:szCs w:val="20"/>
              </w:rPr>
              <w:t>Key Milestones</w:t>
            </w:r>
          </w:p>
        </w:tc>
      </w:tr>
      <w:tr w:rsidR="00533849" w14:paraId="42F8A081" w14:textId="77777777">
        <w:tc>
          <w:tcPr>
            <w:tcW w:w="1400" w:type="dxa"/>
            <w:tcMar>
              <w:top w:w="60" w:type="dxa"/>
              <w:left w:w="80" w:type="dxa"/>
              <w:bottom w:w="60" w:type="dxa"/>
              <w:right w:w="80" w:type="dxa"/>
            </w:tcMar>
          </w:tcPr>
          <w:p w14:paraId="5F1E06B0" w14:textId="77777777" w:rsidR="00533849" w:rsidRDefault="00000000">
            <w:r>
              <w:rPr>
                <w:b/>
                <w:bCs/>
                <w:sz w:val="20"/>
                <w:szCs w:val="20"/>
              </w:rPr>
              <w:t>Phase 1 FOUNDATION</w:t>
            </w:r>
          </w:p>
        </w:tc>
        <w:tc>
          <w:tcPr>
            <w:tcW w:w="1200" w:type="dxa"/>
            <w:tcMar>
              <w:top w:w="60" w:type="dxa"/>
              <w:left w:w="80" w:type="dxa"/>
              <w:bottom w:w="60" w:type="dxa"/>
              <w:right w:w="80" w:type="dxa"/>
            </w:tcMar>
          </w:tcPr>
          <w:p w14:paraId="1DF37F9B" w14:textId="77777777" w:rsidR="00533849" w:rsidRDefault="00000000">
            <w:pPr>
              <w:jc w:val="center"/>
            </w:pPr>
            <w:r>
              <w:rPr>
                <w:sz w:val="20"/>
                <w:szCs w:val="20"/>
              </w:rPr>
              <w:t>2025–2030</w:t>
            </w:r>
          </w:p>
        </w:tc>
        <w:tc>
          <w:tcPr>
            <w:tcW w:w="1700" w:type="dxa"/>
            <w:tcMar>
              <w:top w:w="60" w:type="dxa"/>
              <w:left w:w="80" w:type="dxa"/>
              <w:bottom w:w="60" w:type="dxa"/>
              <w:right w:w="80" w:type="dxa"/>
            </w:tcMar>
          </w:tcPr>
          <w:p w14:paraId="217325D7" w14:textId="77777777" w:rsidR="00533849" w:rsidRDefault="00000000">
            <w:pPr>
              <w:jc w:val="center"/>
            </w:pPr>
            <w:r>
              <w:rPr>
                <w:sz w:val="20"/>
                <w:szCs w:val="20"/>
              </w:rPr>
              <w:t>USD 100–110B</w:t>
            </w:r>
          </w:p>
        </w:tc>
        <w:tc>
          <w:tcPr>
            <w:tcW w:w="2526" w:type="dxa"/>
            <w:tcMar>
              <w:top w:w="60" w:type="dxa"/>
              <w:left w:w="80" w:type="dxa"/>
              <w:bottom w:w="60" w:type="dxa"/>
              <w:right w:w="80" w:type="dxa"/>
            </w:tcMar>
          </w:tcPr>
          <w:p w14:paraId="597F7C59" w14:textId="77777777" w:rsidR="00533849" w:rsidRDefault="00000000">
            <w:r>
              <w:rPr>
                <w:sz w:val="20"/>
                <w:szCs w:val="20"/>
              </w:rPr>
              <w:t xml:space="preserve">HABG made operationally independent; e-procurement live; 3 SEZs operational; 50 CEP vocational schools; national fibre backbone; 50% cocoa processed; ISE informal tax scheme; 3,500 cooperative banking groups established; BCEAO regulatory sandbox for fintech; national digital ID (ID.ci) </w:t>
            </w:r>
            <w:r>
              <w:rPr>
                <w:sz w:val="20"/>
                <w:szCs w:val="20"/>
              </w:rPr>
              <w:lastRenderedPageBreak/>
              <w:t>launched; MCC Compact II signed</w:t>
            </w:r>
          </w:p>
        </w:tc>
        <w:tc>
          <w:tcPr>
            <w:tcW w:w="2200" w:type="dxa"/>
            <w:tcMar>
              <w:top w:w="60" w:type="dxa"/>
              <w:left w:w="80" w:type="dxa"/>
              <w:bottom w:w="60" w:type="dxa"/>
              <w:right w:w="80" w:type="dxa"/>
            </w:tcMar>
          </w:tcPr>
          <w:p w14:paraId="0AD25AF8" w14:textId="77777777" w:rsidR="00533849" w:rsidRDefault="00000000">
            <w:r>
              <w:rPr>
                <w:sz w:val="20"/>
                <w:szCs w:val="20"/>
              </w:rPr>
              <w:lastRenderedPageBreak/>
              <w:t>175,000 cooperative banking households; 500,000 new formal taxpayers; USD 85–140M savings mobilized; agricultural productivity +20%; CPI at 48; 50,000 new formal jobs/year; Rural electrification 65%</w:t>
            </w:r>
          </w:p>
        </w:tc>
      </w:tr>
      <w:tr w:rsidR="00533849" w14:paraId="41EE3048" w14:textId="77777777">
        <w:tc>
          <w:tcPr>
            <w:tcW w:w="1400" w:type="dxa"/>
            <w:tcMar>
              <w:top w:w="60" w:type="dxa"/>
              <w:left w:w="80" w:type="dxa"/>
              <w:bottom w:w="60" w:type="dxa"/>
              <w:right w:w="80" w:type="dxa"/>
            </w:tcMar>
          </w:tcPr>
          <w:p w14:paraId="5732487B" w14:textId="77777777" w:rsidR="00533849" w:rsidRDefault="00000000">
            <w:r>
              <w:rPr>
                <w:b/>
                <w:bCs/>
                <w:sz w:val="20"/>
                <w:szCs w:val="20"/>
              </w:rPr>
              <w:t>Phase 2 ACCELERATION</w:t>
            </w:r>
          </w:p>
        </w:tc>
        <w:tc>
          <w:tcPr>
            <w:tcW w:w="1200" w:type="dxa"/>
            <w:tcMar>
              <w:top w:w="60" w:type="dxa"/>
              <w:left w:w="80" w:type="dxa"/>
              <w:bottom w:w="60" w:type="dxa"/>
              <w:right w:w="80" w:type="dxa"/>
            </w:tcMar>
          </w:tcPr>
          <w:p w14:paraId="3F138BCC" w14:textId="77777777" w:rsidR="00533849" w:rsidRDefault="00000000">
            <w:pPr>
              <w:jc w:val="center"/>
            </w:pPr>
            <w:r>
              <w:rPr>
                <w:sz w:val="20"/>
                <w:szCs w:val="20"/>
              </w:rPr>
              <w:t>2031–2037</w:t>
            </w:r>
          </w:p>
        </w:tc>
        <w:tc>
          <w:tcPr>
            <w:tcW w:w="1700" w:type="dxa"/>
            <w:tcMar>
              <w:top w:w="60" w:type="dxa"/>
              <w:left w:w="80" w:type="dxa"/>
              <w:bottom w:w="60" w:type="dxa"/>
              <w:right w:w="80" w:type="dxa"/>
            </w:tcMar>
          </w:tcPr>
          <w:p w14:paraId="6BE6E746" w14:textId="77777777" w:rsidR="00533849" w:rsidRDefault="00000000">
            <w:pPr>
              <w:jc w:val="center"/>
            </w:pPr>
            <w:r>
              <w:rPr>
                <w:sz w:val="20"/>
                <w:szCs w:val="20"/>
              </w:rPr>
              <w:t>USD 130–140B</w:t>
            </w:r>
          </w:p>
        </w:tc>
        <w:tc>
          <w:tcPr>
            <w:tcW w:w="2526" w:type="dxa"/>
            <w:tcMar>
              <w:top w:w="60" w:type="dxa"/>
              <w:left w:w="80" w:type="dxa"/>
              <w:bottom w:w="60" w:type="dxa"/>
              <w:right w:w="80" w:type="dxa"/>
            </w:tcMar>
          </w:tcPr>
          <w:p w14:paraId="1443644A" w14:textId="77777777" w:rsidR="00533849" w:rsidRDefault="00000000">
            <w:r>
              <w:rPr>
                <w:sz w:val="20"/>
                <w:szCs w:val="20"/>
              </w:rPr>
              <w:t>5 SEZs at full operation; INP-HB top 3 African universities; pharmaceutical manufacturing: 40% ECOWAS supply; tax-to-GDP at 20%; 85% national electrification; 15,000 cooperative banking groups; regional cooperative banks operational; cooperative insurance: 400,000 households covered; 200,000 TVET students annually; Silicon Plateau 50,000 tech workers</w:t>
            </w:r>
          </w:p>
        </w:tc>
        <w:tc>
          <w:tcPr>
            <w:tcW w:w="2200" w:type="dxa"/>
            <w:tcMar>
              <w:top w:w="60" w:type="dxa"/>
              <w:left w:w="80" w:type="dxa"/>
              <w:bottom w:w="60" w:type="dxa"/>
              <w:right w:w="80" w:type="dxa"/>
            </w:tcMar>
          </w:tcPr>
          <w:p w14:paraId="786B2819" w14:textId="77777777" w:rsidR="00533849" w:rsidRDefault="00000000">
            <w:r>
              <w:rPr>
                <w:sz w:val="20"/>
                <w:szCs w:val="20"/>
              </w:rPr>
              <w:t>250,000 manufacturing jobs in SEZs; USD 500–900M cooperative savings; 420,000–700,000 households lifted above poverty line; formal financial inclusion 70%; cooperative portfolio 92–95% repayment; CPI at 55</w:t>
            </w:r>
          </w:p>
        </w:tc>
      </w:tr>
      <w:tr w:rsidR="00533849" w14:paraId="510DED57" w14:textId="77777777">
        <w:tc>
          <w:tcPr>
            <w:tcW w:w="1400" w:type="dxa"/>
            <w:tcMar>
              <w:top w:w="60" w:type="dxa"/>
              <w:left w:w="80" w:type="dxa"/>
              <w:bottom w:w="60" w:type="dxa"/>
              <w:right w:w="80" w:type="dxa"/>
            </w:tcMar>
          </w:tcPr>
          <w:p w14:paraId="69BF14E4" w14:textId="77777777" w:rsidR="00533849" w:rsidRDefault="00000000">
            <w:r>
              <w:rPr>
                <w:b/>
                <w:bCs/>
                <w:sz w:val="20"/>
                <w:szCs w:val="20"/>
              </w:rPr>
              <w:t>Phase 3 CONSOLIDATION</w:t>
            </w:r>
          </w:p>
        </w:tc>
        <w:tc>
          <w:tcPr>
            <w:tcW w:w="1200" w:type="dxa"/>
            <w:tcMar>
              <w:top w:w="60" w:type="dxa"/>
              <w:left w:w="80" w:type="dxa"/>
              <w:bottom w:w="60" w:type="dxa"/>
              <w:right w:w="80" w:type="dxa"/>
            </w:tcMar>
          </w:tcPr>
          <w:p w14:paraId="62916DC1" w14:textId="77777777" w:rsidR="00533849" w:rsidRDefault="00000000">
            <w:pPr>
              <w:jc w:val="center"/>
            </w:pPr>
            <w:r>
              <w:rPr>
                <w:sz w:val="20"/>
                <w:szCs w:val="20"/>
              </w:rPr>
              <w:t>2038–2045</w:t>
            </w:r>
          </w:p>
        </w:tc>
        <w:tc>
          <w:tcPr>
            <w:tcW w:w="1700" w:type="dxa"/>
            <w:tcMar>
              <w:top w:w="60" w:type="dxa"/>
              <w:left w:w="80" w:type="dxa"/>
              <w:bottom w:w="60" w:type="dxa"/>
              <w:right w:w="80" w:type="dxa"/>
            </w:tcMar>
          </w:tcPr>
          <w:p w14:paraId="002C79C8" w14:textId="77777777" w:rsidR="00533849" w:rsidRDefault="00000000">
            <w:pPr>
              <w:jc w:val="center"/>
            </w:pPr>
            <w:r>
              <w:rPr>
                <w:sz w:val="20"/>
                <w:szCs w:val="20"/>
              </w:rPr>
              <w:t>USD 170–175B</w:t>
            </w:r>
          </w:p>
        </w:tc>
        <w:tc>
          <w:tcPr>
            <w:tcW w:w="2526" w:type="dxa"/>
            <w:tcMar>
              <w:top w:w="60" w:type="dxa"/>
              <w:left w:w="80" w:type="dxa"/>
              <w:bottom w:w="60" w:type="dxa"/>
              <w:right w:w="80" w:type="dxa"/>
            </w:tcMar>
          </w:tcPr>
          <w:p w14:paraId="45489A04" w14:textId="77777777" w:rsidR="00533849" w:rsidRDefault="00000000">
            <w:r>
              <w:rPr>
                <w:sz w:val="20"/>
                <w:szCs w:val="20"/>
              </w:rPr>
              <w:t>Manufacturing 35% of GDP; knowledge economy transition; full AfCFTA exploitation; 45,000 cooperative banking groups; regional cooperative banks holding USD 2.5–5B assets; cooperative insurance covering 1.8M households; 70% household productive credit access at cooperative rates; first Ivorian pharmaceutical patent internationally registered</w:t>
            </w:r>
          </w:p>
        </w:tc>
        <w:tc>
          <w:tcPr>
            <w:tcW w:w="2200" w:type="dxa"/>
            <w:tcMar>
              <w:top w:w="60" w:type="dxa"/>
              <w:left w:w="80" w:type="dxa"/>
              <w:bottom w:w="60" w:type="dxa"/>
              <w:right w:w="80" w:type="dxa"/>
            </w:tcMar>
          </w:tcPr>
          <w:p w14:paraId="0D495350" w14:textId="77777777" w:rsidR="00533849" w:rsidRDefault="00000000">
            <w:r>
              <w:rPr>
                <w:sz w:val="20"/>
                <w:szCs w:val="20"/>
              </w:rPr>
              <w:t>GDP per capita USD 5,500+; youth unemployment &lt;20%; formal financial inclusion 88%; 1.5–2.8 million households lifted above poverty line (cumulative); CPI at 70; cooperative bank assets USD 2.5–5B; university enrolment 40%</w:t>
            </w:r>
          </w:p>
        </w:tc>
      </w:tr>
    </w:tbl>
    <w:p w14:paraId="1E57152C" w14:textId="77777777" w:rsidR="00533849" w:rsidRDefault="00000000">
      <w:pPr>
        <w:spacing w:before="40" w:after="120"/>
      </w:pPr>
      <w:r>
        <w:rPr>
          <w:i/>
          <w:iCs/>
          <w:sz w:val="18"/>
          <w:szCs w:val="18"/>
        </w:rPr>
        <w:t>Sources: Kouadio [11]; World Bank [3]; BCEAO [4]; AfDB [21].</w:t>
      </w:r>
    </w:p>
    <w:p w14:paraId="0DD40869" w14:textId="77777777" w:rsidR="00533849" w:rsidRDefault="00533849"/>
    <w:p w14:paraId="1A536C4E" w14:textId="77777777" w:rsidR="00533849" w:rsidRDefault="00000000">
      <w:pPr>
        <w:spacing w:before="280" w:after="80"/>
      </w:pPr>
      <w:r>
        <w:rPr>
          <w:b/>
          <w:bCs/>
        </w:rPr>
        <w:t>XII. FINANCING ARCHITECTURE: MOBILIZING USD 32–48 BILLION FOR TRANSFORMATION</w:t>
      </w:r>
    </w:p>
    <w:p w14:paraId="0D6E9CBE" w14:textId="77777777" w:rsidR="00533849" w:rsidRDefault="00000000">
      <w:pPr>
        <w:spacing w:before="80" w:after="80"/>
        <w:jc w:val="both"/>
        <w:rPr>
          <w:lang w:val="en-US"/>
        </w:rPr>
      </w:pPr>
      <w:r>
        <w:t xml:space="preserve">Doubling GDP requires commensurate investment. The strategy is self-financing over 20 years — the increased tax revenues from a larger, more formalized economy fund the public investment driving further growth. The critical financing need is front-loaded: the first five years require USD 12–18 billion in public investment and USD 20–30 billion in private and FDI investment. Table </w:t>
      </w:r>
      <w:r>
        <w:rPr>
          <w:lang w:val="en-US"/>
        </w:rPr>
        <w:t>7</w:t>
      </w:r>
      <w:r>
        <w:t xml:space="preserve"> presents the complete financing architecture including the cooperative banking capital mobilization that previous strategy analyses have omitted</w:t>
      </w:r>
      <w:r>
        <w:rPr>
          <w:lang w:val="en-US"/>
        </w:rPr>
        <w:t>, with the addition of bio-economy sector financing.</w:t>
      </w:r>
    </w:p>
    <w:p w14:paraId="6C2EF961" w14:textId="77777777" w:rsidR="00533849" w:rsidRDefault="00000000">
      <w:pPr>
        <w:spacing w:before="180" w:after="60"/>
      </w:pPr>
      <w:r>
        <w:rPr>
          <w:b/>
          <w:bCs/>
          <w:sz w:val="20"/>
          <w:szCs w:val="20"/>
        </w:rPr>
        <w:t>Table 7. Complete financing architecture for Côte d'Ivoire's 2045 strategy — sources, volumes, uses, and mobilization mechanisms</w:t>
      </w:r>
    </w:p>
    <w:tbl>
      <w:tblPr>
        <w:tblW w:w="9026" w:type="dxa"/>
        <w:tblBorders>
          <w:top w:val="single" w:sz="18" w:space="0" w:color="1F3864"/>
          <w:left w:val="single" w:sz="18" w:space="0" w:color="1F3864"/>
          <w:bottom w:val="single" w:sz="18" w:space="0" w:color="1F3864"/>
          <w:right w:val="single" w:sz="18" w:space="0" w:color="1F3864"/>
          <w:insideH w:val="single" w:sz="4" w:space="0" w:color="9DB6CE"/>
          <w:insideV w:val="single" w:sz="4" w:space="0" w:color="9DB6CE"/>
        </w:tblBorders>
        <w:tblCellMar>
          <w:left w:w="10" w:type="dxa"/>
          <w:right w:w="10" w:type="dxa"/>
        </w:tblCellMar>
        <w:tblLook w:val="04A0" w:firstRow="1" w:lastRow="0" w:firstColumn="1" w:lastColumn="0" w:noHBand="0" w:noVBand="1"/>
      </w:tblPr>
      <w:tblGrid>
        <w:gridCol w:w="2715"/>
        <w:gridCol w:w="1509"/>
        <w:gridCol w:w="2067"/>
        <w:gridCol w:w="2735"/>
      </w:tblGrid>
      <w:tr w:rsidR="00533849" w14:paraId="4855DC6E" w14:textId="77777777">
        <w:tc>
          <w:tcPr>
            <w:tcW w:w="2200" w:type="dxa"/>
            <w:shd w:val="clear" w:color="auto" w:fill="D9D9D9"/>
            <w:tcMar>
              <w:top w:w="60" w:type="dxa"/>
              <w:left w:w="80" w:type="dxa"/>
              <w:bottom w:w="60" w:type="dxa"/>
              <w:right w:w="80" w:type="dxa"/>
            </w:tcMar>
          </w:tcPr>
          <w:p w14:paraId="6121F18D" w14:textId="77777777" w:rsidR="00533849" w:rsidRDefault="00000000">
            <w:r>
              <w:rPr>
                <w:b/>
                <w:bCs/>
                <w:sz w:val="20"/>
                <w:szCs w:val="20"/>
              </w:rPr>
              <w:t>Financing Source</w:t>
            </w:r>
          </w:p>
        </w:tc>
        <w:tc>
          <w:tcPr>
            <w:tcW w:w="1600" w:type="dxa"/>
            <w:shd w:val="clear" w:color="auto" w:fill="D9D9D9"/>
            <w:tcMar>
              <w:top w:w="60" w:type="dxa"/>
              <w:left w:w="80" w:type="dxa"/>
              <w:bottom w:w="60" w:type="dxa"/>
              <w:right w:w="80" w:type="dxa"/>
            </w:tcMar>
          </w:tcPr>
          <w:p w14:paraId="6E3C9D0A" w14:textId="77777777" w:rsidR="00533849" w:rsidRDefault="00000000">
            <w:pPr>
              <w:jc w:val="center"/>
            </w:pPr>
            <w:r>
              <w:rPr>
                <w:b/>
                <w:bCs/>
                <w:sz w:val="20"/>
                <w:szCs w:val="20"/>
              </w:rPr>
              <w:t>Volume 2025–2030</w:t>
            </w:r>
          </w:p>
        </w:tc>
        <w:tc>
          <w:tcPr>
            <w:tcW w:w="2200" w:type="dxa"/>
            <w:shd w:val="clear" w:color="auto" w:fill="D9D9D9"/>
            <w:tcMar>
              <w:top w:w="60" w:type="dxa"/>
              <w:left w:w="80" w:type="dxa"/>
              <w:bottom w:w="60" w:type="dxa"/>
              <w:right w:w="80" w:type="dxa"/>
            </w:tcMar>
          </w:tcPr>
          <w:p w14:paraId="26617B46" w14:textId="77777777" w:rsidR="00533849" w:rsidRDefault="00000000">
            <w:r>
              <w:rPr>
                <w:b/>
                <w:bCs/>
                <w:sz w:val="20"/>
                <w:szCs w:val="20"/>
              </w:rPr>
              <w:t>Primary Use</w:t>
            </w:r>
          </w:p>
        </w:tc>
        <w:tc>
          <w:tcPr>
            <w:tcW w:w="3026" w:type="dxa"/>
            <w:shd w:val="clear" w:color="auto" w:fill="D9D9D9"/>
            <w:tcMar>
              <w:top w:w="60" w:type="dxa"/>
              <w:left w:w="80" w:type="dxa"/>
              <w:bottom w:w="60" w:type="dxa"/>
              <w:right w:w="80" w:type="dxa"/>
            </w:tcMar>
          </w:tcPr>
          <w:p w14:paraId="04C302FA" w14:textId="77777777" w:rsidR="00533849" w:rsidRDefault="00000000">
            <w:r>
              <w:rPr>
                <w:b/>
                <w:bCs/>
                <w:sz w:val="20"/>
                <w:szCs w:val="20"/>
              </w:rPr>
              <w:t>Mobilization Mechanism</w:t>
            </w:r>
          </w:p>
        </w:tc>
      </w:tr>
      <w:tr w:rsidR="00533849" w14:paraId="2E3EAE30" w14:textId="77777777">
        <w:tc>
          <w:tcPr>
            <w:tcW w:w="2200" w:type="dxa"/>
            <w:tcMar>
              <w:top w:w="60" w:type="dxa"/>
              <w:left w:w="80" w:type="dxa"/>
              <w:bottom w:w="60" w:type="dxa"/>
              <w:right w:w="80" w:type="dxa"/>
            </w:tcMar>
          </w:tcPr>
          <w:p w14:paraId="20F636DD" w14:textId="77777777" w:rsidR="00533849" w:rsidRDefault="00000000">
            <w:r>
              <w:rPr>
                <w:sz w:val="20"/>
                <w:szCs w:val="20"/>
              </w:rPr>
              <w:t>Domestic tax revenue increase</w:t>
            </w:r>
          </w:p>
        </w:tc>
        <w:tc>
          <w:tcPr>
            <w:tcW w:w="1600" w:type="dxa"/>
            <w:tcMar>
              <w:top w:w="60" w:type="dxa"/>
              <w:left w:w="80" w:type="dxa"/>
              <w:bottom w:w="60" w:type="dxa"/>
              <w:right w:w="80" w:type="dxa"/>
            </w:tcMar>
          </w:tcPr>
          <w:p w14:paraId="20A37A07" w14:textId="77777777" w:rsidR="00533849" w:rsidRDefault="00000000">
            <w:pPr>
              <w:jc w:val="center"/>
            </w:pPr>
            <w:r>
              <w:rPr>
                <w:sz w:val="20"/>
                <w:szCs w:val="20"/>
              </w:rPr>
              <w:t>USD 2–3B/year by 2030</w:t>
            </w:r>
          </w:p>
        </w:tc>
        <w:tc>
          <w:tcPr>
            <w:tcW w:w="2200" w:type="dxa"/>
            <w:tcMar>
              <w:top w:w="60" w:type="dxa"/>
              <w:left w:w="80" w:type="dxa"/>
              <w:bottom w:w="60" w:type="dxa"/>
              <w:right w:w="80" w:type="dxa"/>
            </w:tcMar>
          </w:tcPr>
          <w:p w14:paraId="3A8D2BCB" w14:textId="77777777" w:rsidR="00533849" w:rsidRDefault="00000000">
            <w:r>
              <w:rPr>
                <w:sz w:val="20"/>
                <w:szCs w:val="20"/>
              </w:rPr>
              <w:t>Education, health, roads, governance</w:t>
            </w:r>
          </w:p>
        </w:tc>
        <w:tc>
          <w:tcPr>
            <w:tcW w:w="3026" w:type="dxa"/>
            <w:tcMar>
              <w:top w:w="60" w:type="dxa"/>
              <w:left w:w="80" w:type="dxa"/>
              <w:bottom w:w="60" w:type="dxa"/>
              <w:right w:w="80" w:type="dxa"/>
            </w:tcMar>
          </w:tcPr>
          <w:p w14:paraId="54D5EF00" w14:textId="77777777" w:rsidR="00533849" w:rsidRDefault="00000000">
            <w:r>
              <w:rPr>
                <w:sz w:val="20"/>
                <w:szCs w:val="20"/>
              </w:rPr>
              <w:t>Tax base broadening; ISE; e-invoicing; VAT compliance</w:t>
            </w:r>
          </w:p>
        </w:tc>
      </w:tr>
      <w:tr w:rsidR="00533849" w14:paraId="5CA29070" w14:textId="77777777">
        <w:tc>
          <w:tcPr>
            <w:tcW w:w="2200" w:type="dxa"/>
            <w:tcMar>
              <w:top w:w="60" w:type="dxa"/>
              <w:left w:w="80" w:type="dxa"/>
              <w:bottom w:w="60" w:type="dxa"/>
              <w:right w:w="80" w:type="dxa"/>
            </w:tcMar>
          </w:tcPr>
          <w:p w14:paraId="35AD4373" w14:textId="77777777" w:rsidR="00533849" w:rsidRDefault="00000000">
            <w:r>
              <w:rPr>
                <w:sz w:val="20"/>
                <w:szCs w:val="20"/>
              </w:rPr>
              <w:lastRenderedPageBreak/>
              <w:t>Eurobond / ESG-linked sovereign bonds</w:t>
            </w:r>
          </w:p>
        </w:tc>
        <w:tc>
          <w:tcPr>
            <w:tcW w:w="1600" w:type="dxa"/>
            <w:tcMar>
              <w:top w:w="60" w:type="dxa"/>
              <w:left w:w="80" w:type="dxa"/>
              <w:bottom w:w="60" w:type="dxa"/>
              <w:right w:w="80" w:type="dxa"/>
            </w:tcMar>
          </w:tcPr>
          <w:p w14:paraId="53016EB7" w14:textId="77777777" w:rsidR="00533849" w:rsidRDefault="00000000">
            <w:pPr>
              <w:jc w:val="center"/>
            </w:pPr>
            <w:r>
              <w:rPr>
                <w:sz w:val="20"/>
                <w:szCs w:val="20"/>
              </w:rPr>
              <w:t>USD 3–5B (2025–2030)</w:t>
            </w:r>
          </w:p>
        </w:tc>
        <w:tc>
          <w:tcPr>
            <w:tcW w:w="2200" w:type="dxa"/>
            <w:tcMar>
              <w:top w:w="60" w:type="dxa"/>
              <w:left w:w="80" w:type="dxa"/>
              <w:bottom w:w="60" w:type="dxa"/>
              <w:right w:w="80" w:type="dxa"/>
            </w:tcMar>
          </w:tcPr>
          <w:p w14:paraId="79013772" w14:textId="77777777" w:rsidR="00533849" w:rsidRDefault="00000000">
            <w:r>
              <w:rPr>
                <w:sz w:val="20"/>
                <w:szCs w:val="20"/>
              </w:rPr>
              <w:t>Infrastructure — roads, energy, ports</w:t>
            </w:r>
          </w:p>
        </w:tc>
        <w:tc>
          <w:tcPr>
            <w:tcW w:w="3026" w:type="dxa"/>
            <w:tcMar>
              <w:top w:w="60" w:type="dxa"/>
              <w:left w:w="80" w:type="dxa"/>
              <w:bottom w:w="60" w:type="dxa"/>
              <w:right w:w="80" w:type="dxa"/>
            </w:tcMar>
          </w:tcPr>
          <w:p w14:paraId="3EB90FDE" w14:textId="77777777" w:rsidR="00533849" w:rsidRDefault="00000000">
            <w:r>
              <w:rPr>
                <w:sz w:val="20"/>
                <w:szCs w:val="20"/>
              </w:rPr>
              <w:t>Investment-grade credit rating; green bond framework</w:t>
            </w:r>
          </w:p>
        </w:tc>
      </w:tr>
      <w:tr w:rsidR="00533849" w14:paraId="2D12C90A" w14:textId="77777777">
        <w:tc>
          <w:tcPr>
            <w:tcW w:w="2200" w:type="dxa"/>
            <w:tcMar>
              <w:top w:w="60" w:type="dxa"/>
              <w:left w:w="80" w:type="dxa"/>
              <w:bottom w:w="60" w:type="dxa"/>
              <w:right w:w="80" w:type="dxa"/>
            </w:tcMar>
          </w:tcPr>
          <w:p w14:paraId="638BFBE4" w14:textId="77777777" w:rsidR="00533849" w:rsidRDefault="00000000">
            <w:r>
              <w:rPr>
                <w:sz w:val="20"/>
                <w:szCs w:val="20"/>
              </w:rPr>
              <w:t>AfDB and World Bank programme loans</w:t>
            </w:r>
          </w:p>
        </w:tc>
        <w:tc>
          <w:tcPr>
            <w:tcW w:w="1600" w:type="dxa"/>
            <w:tcMar>
              <w:top w:w="60" w:type="dxa"/>
              <w:left w:w="80" w:type="dxa"/>
              <w:bottom w:w="60" w:type="dxa"/>
              <w:right w:w="80" w:type="dxa"/>
            </w:tcMar>
          </w:tcPr>
          <w:p w14:paraId="0C4B468D" w14:textId="77777777" w:rsidR="00533849" w:rsidRDefault="00000000">
            <w:pPr>
              <w:jc w:val="center"/>
            </w:pPr>
            <w:r>
              <w:rPr>
                <w:sz w:val="20"/>
                <w:szCs w:val="20"/>
              </w:rPr>
              <w:t>USD 4–6B (2025–2030)</w:t>
            </w:r>
          </w:p>
        </w:tc>
        <w:tc>
          <w:tcPr>
            <w:tcW w:w="2200" w:type="dxa"/>
            <w:tcMar>
              <w:top w:w="60" w:type="dxa"/>
              <w:left w:w="80" w:type="dxa"/>
              <w:bottom w:w="60" w:type="dxa"/>
              <w:right w:w="80" w:type="dxa"/>
            </w:tcMar>
          </w:tcPr>
          <w:p w14:paraId="3EDE5834" w14:textId="77777777" w:rsidR="00533849" w:rsidRDefault="00000000">
            <w:r>
              <w:rPr>
                <w:sz w:val="20"/>
                <w:szCs w:val="20"/>
              </w:rPr>
              <w:t>Agricultural productivity, SEZ infrastructure, education</w:t>
            </w:r>
          </w:p>
        </w:tc>
        <w:tc>
          <w:tcPr>
            <w:tcW w:w="3026" w:type="dxa"/>
            <w:tcMar>
              <w:top w:w="60" w:type="dxa"/>
              <w:left w:w="80" w:type="dxa"/>
              <w:bottom w:w="60" w:type="dxa"/>
              <w:right w:w="80" w:type="dxa"/>
            </w:tcMar>
          </w:tcPr>
          <w:p w14:paraId="72EA9994" w14:textId="77777777" w:rsidR="00533849" w:rsidRDefault="00000000">
            <w:r>
              <w:rPr>
                <w:sz w:val="20"/>
                <w:szCs w:val="20"/>
              </w:rPr>
              <w:t>Country Partnership Framework; PIDA corridors</w:t>
            </w:r>
          </w:p>
        </w:tc>
      </w:tr>
      <w:tr w:rsidR="00533849" w14:paraId="43D3C005" w14:textId="77777777">
        <w:tc>
          <w:tcPr>
            <w:tcW w:w="2200" w:type="dxa"/>
            <w:tcMar>
              <w:top w:w="60" w:type="dxa"/>
              <w:left w:w="80" w:type="dxa"/>
              <w:bottom w:w="60" w:type="dxa"/>
              <w:right w:w="80" w:type="dxa"/>
            </w:tcMar>
          </w:tcPr>
          <w:p w14:paraId="44B74B4A" w14:textId="77777777" w:rsidR="00533849" w:rsidRDefault="00000000">
            <w:r>
              <w:rPr>
                <w:sz w:val="20"/>
                <w:szCs w:val="20"/>
              </w:rPr>
              <w:t>MCC Compact II (USA)</w:t>
            </w:r>
          </w:p>
        </w:tc>
        <w:tc>
          <w:tcPr>
            <w:tcW w:w="1600" w:type="dxa"/>
            <w:tcMar>
              <w:top w:w="60" w:type="dxa"/>
              <w:left w:w="80" w:type="dxa"/>
              <w:bottom w:w="60" w:type="dxa"/>
              <w:right w:w="80" w:type="dxa"/>
            </w:tcMar>
          </w:tcPr>
          <w:p w14:paraId="46D03ABC" w14:textId="77777777" w:rsidR="00533849" w:rsidRDefault="00000000">
            <w:pPr>
              <w:jc w:val="center"/>
            </w:pPr>
            <w:r>
              <w:rPr>
                <w:sz w:val="20"/>
                <w:szCs w:val="20"/>
              </w:rPr>
              <w:t>USD 600–900M</w:t>
            </w:r>
          </w:p>
        </w:tc>
        <w:tc>
          <w:tcPr>
            <w:tcW w:w="2200" w:type="dxa"/>
            <w:tcMar>
              <w:top w:w="60" w:type="dxa"/>
              <w:left w:w="80" w:type="dxa"/>
              <w:bottom w:w="60" w:type="dxa"/>
              <w:right w:w="80" w:type="dxa"/>
            </w:tcMar>
          </w:tcPr>
          <w:p w14:paraId="3D6A2ADE" w14:textId="77777777" w:rsidR="00533849" w:rsidRDefault="00000000">
            <w:r>
              <w:rPr>
                <w:sz w:val="20"/>
                <w:szCs w:val="20"/>
              </w:rPr>
              <w:t>Rural connectivity, rural electrification</w:t>
            </w:r>
          </w:p>
        </w:tc>
        <w:tc>
          <w:tcPr>
            <w:tcW w:w="3026" w:type="dxa"/>
            <w:tcMar>
              <w:top w:w="60" w:type="dxa"/>
              <w:left w:w="80" w:type="dxa"/>
              <w:bottom w:w="60" w:type="dxa"/>
              <w:right w:w="80" w:type="dxa"/>
            </w:tcMar>
          </w:tcPr>
          <w:p w14:paraId="2CFB680F" w14:textId="77777777" w:rsidR="00533849" w:rsidRDefault="00000000">
            <w:r>
              <w:rPr>
                <w:sz w:val="20"/>
                <w:szCs w:val="20"/>
              </w:rPr>
              <w:t>MCC bilateral compact based on Compact I performance</w:t>
            </w:r>
          </w:p>
        </w:tc>
      </w:tr>
      <w:tr w:rsidR="00533849" w14:paraId="1AE5D40E" w14:textId="77777777">
        <w:tc>
          <w:tcPr>
            <w:tcW w:w="2200" w:type="dxa"/>
            <w:tcMar>
              <w:top w:w="60" w:type="dxa"/>
              <w:left w:w="80" w:type="dxa"/>
              <w:bottom w:w="60" w:type="dxa"/>
              <w:right w:w="80" w:type="dxa"/>
            </w:tcMar>
          </w:tcPr>
          <w:p w14:paraId="2D7A5EFA" w14:textId="77777777" w:rsidR="00533849" w:rsidRDefault="00000000">
            <w:r>
              <w:rPr>
                <w:sz w:val="20"/>
                <w:szCs w:val="20"/>
              </w:rPr>
              <w:t>IMF EFF/ECF programme</w:t>
            </w:r>
          </w:p>
        </w:tc>
        <w:tc>
          <w:tcPr>
            <w:tcW w:w="1600" w:type="dxa"/>
            <w:tcMar>
              <w:top w:w="60" w:type="dxa"/>
              <w:left w:w="80" w:type="dxa"/>
              <w:bottom w:w="60" w:type="dxa"/>
              <w:right w:w="80" w:type="dxa"/>
            </w:tcMar>
          </w:tcPr>
          <w:p w14:paraId="4A9A6A85" w14:textId="77777777" w:rsidR="00533849" w:rsidRDefault="00000000">
            <w:pPr>
              <w:jc w:val="center"/>
            </w:pPr>
            <w:r>
              <w:rPr>
                <w:sz w:val="20"/>
                <w:szCs w:val="20"/>
              </w:rPr>
              <w:t>USD 800M–1.5B</w:t>
            </w:r>
          </w:p>
        </w:tc>
        <w:tc>
          <w:tcPr>
            <w:tcW w:w="2200" w:type="dxa"/>
            <w:tcMar>
              <w:top w:w="60" w:type="dxa"/>
              <w:left w:w="80" w:type="dxa"/>
              <w:bottom w:w="60" w:type="dxa"/>
              <w:right w:w="80" w:type="dxa"/>
            </w:tcMar>
          </w:tcPr>
          <w:p w14:paraId="20F55805" w14:textId="77777777" w:rsidR="00533849" w:rsidRDefault="00000000">
            <w:r>
              <w:rPr>
                <w:sz w:val="20"/>
                <w:szCs w:val="20"/>
              </w:rPr>
              <w:t>Budget support, governance reform</w:t>
            </w:r>
          </w:p>
        </w:tc>
        <w:tc>
          <w:tcPr>
            <w:tcW w:w="3026" w:type="dxa"/>
            <w:tcMar>
              <w:top w:w="60" w:type="dxa"/>
              <w:left w:w="80" w:type="dxa"/>
              <w:bottom w:w="60" w:type="dxa"/>
              <w:right w:w="80" w:type="dxa"/>
            </w:tcMar>
          </w:tcPr>
          <w:p w14:paraId="7F3E7A46" w14:textId="77777777" w:rsidR="00533849" w:rsidRDefault="00000000">
            <w:r>
              <w:rPr>
                <w:sz w:val="20"/>
                <w:szCs w:val="20"/>
              </w:rPr>
              <w:t>Article IV; reform-linked disbursement</w:t>
            </w:r>
          </w:p>
        </w:tc>
      </w:tr>
      <w:tr w:rsidR="00533849" w14:paraId="641413FB" w14:textId="77777777">
        <w:tc>
          <w:tcPr>
            <w:tcW w:w="2200" w:type="dxa"/>
            <w:tcMar>
              <w:top w:w="60" w:type="dxa"/>
              <w:left w:w="80" w:type="dxa"/>
              <w:bottom w:w="60" w:type="dxa"/>
              <w:right w:w="80" w:type="dxa"/>
            </w:tcMar>
          </w:tcPr>
          <w:p w14:paraId="7E04E40A" w14:textId="77777777" w:rsidR="00533849" w:rsidRDefault="00000000">
            <w:r>
              <w:rPr>
                <w:sz w:val="20"/>
                <w:szCs w:val="20"/>
              </w:rPr>
              <w:t>FDI into SEZs (private sector)</w:t>
            </w:r>
          </w:p>
        </w:tc>
        <w:tc>
          <w:tcPr>
            <w:tcW w:w="1600" w:type="dxa"/>
            <w:tcMar>
              <w:top w:w="60" w:type="dxa"/>
              <w:left w:w="80" w:type="dxa"/>
              <w:bottom w:w="60" w:type="dxa"/>
              <w:right w:w="80" w:type="dxa"/>
            </w:tcMar>
          </w:tcPr>
          <w:p w14:paraId="1CAD545D" w14:textId="77777777" w:rsidR="00533849" w:rsidRDefault="00000000">
            <w:pPr>
              <w:jc w:val="center"/>
            </w:pPr>
            <w:r>
              <w:rPr>
                <w:sz w:val="20"/>
                <w:szCs w:val="20"/>
              </w:rPr>
              <w:t>USD 15–25B (2025–2035)</w:t>
            </w:r>
          </w:p>
        </w:tc>
        <w:tc>
          <w:tcPr>
            <w:tcW w:w="2200" w:type="dxa"/>
            <w:tcMar>
              <w:top w:w="60" w:type="dxa"/>
              <w:left w:w="80" w:type="dxa"/>
              <w:bottom w:w="60" w:type="dxa"/>
              <w:right w:w="80" w:type="dxa"/>
            </w:tcMar>
          </w:tcPr>
          <w:p w14:paraId="408A29A9" w14:textId="77777777" w:rsidR="00533849" w:rsidRDefault="00000000">
            <w:r>
              <w:rPr>
                <w:sz w:val="20"/>
                <w:szCs w:val="20"/>
              </w:rPr>
              <w:t>Manufacturing, agro-processing, digital, pharma</w:t>
            </w:r>
          </w:p>
        </w:tc>
        <w:tc>
          <w:tcPr>
            <w:tcW w:w="3026" w:type="dxa"/>
            <w:tcMar>
              <w:top w:w="60" w:type="dxa"/>
              <w:left w:w="80" w:type="dxa"/>
              <w:bottom w:w="60" w:type="dxa"/>
              <w:right w:w="80" w:type="dxa"/>
            </w:tcMar>
          </w:tcPr>
          <w:p w14:paraId="0F6D02E0" w14:textId="77777777" w:rsidR="00533849" w:rsidRDefault="00000000">
            <w:r>
              <w:rPr>
                <w:sz w:val="20"/>
                <w:szCs w:val="20"/>
              </w:rPr>
              <w:t>SEZ incentive package; one-stop investment; CEPICI reform</w:t>
            </w:r>
          </w:p>
        </w:tc>
      </w:tr>
      <w:tr w:rsidR="00533849" w14:paraId="741F1A54" w14:textId="77777777">
        <w:tc>
          <w:tcPr>
            <w:tcW w:w="2200" w:type="dxa"/>
            <w:tcMar>
              <w:top w:w="60" w:type="dxa"/>
              <w:left w:w="80" w:type="dxa"/>
              <w:bottom w:w="60" w:type="dxa"/>
              <w:right w:w="80" w:type="dxa"/>
            </w:tcMar>
          </w:tcPr>
          <w:p w14:paraId="714F5E65" w14:textId="77777777" w:rsidR="00533849" w:rsidRDefault="00000000">
            <w:r>
              <w:rPr>
                <w:sz w:val="20"/>
                <w:szCs w:val="20"/>
              </w:rPr>
              <w:t>China BRI (targeted, commercially viable)</w:t>
            </w:r>
          </w:p>
        </w:tc>
        <w:tc>
          <w:tcPr>
            <w:tcW w:w="1600" w:type="dxa"/>
            <w:tcMar>
              <w:top w:w="60" w:type="dxa"/>
              <w:left w:w="80" w:type="dxa"/>
              <w:bottom w:w="60" w:type="dxa"/>
              <w:right w:w="80" w:type="dxa"/>
            </w:tcMar>
          </w:tcPr>
          <w:p w14:paraId="0CE53D35" w14:textId="77777777" w:rsidR="00533849" w:rsidRDefault="00000000">
            <w:pPr>
              <w:jc w:val="center"/>
            </w:pPr>
            <w:r>
              <w:rPr>
                <w:sz w:val="20"/>
                <w:szCs w:val="20"/>
              </w:rPr>
              <w:t>USD 2–4B</w:t>
            </w:r>
          </w:p>
        </w:tc>
        <w:tc>
          <w:tcPr>
            <w:tcW w:w="2200" w:type="dxa"/>
            <w:tcMar>
              <w:top w:w="60" w:type="dxa"/>
              <w:left w:w="80" w:type="dxa"/>
              <w:bottom w:w="60" w:type="dxa"/>
              <w:right w:w="80" w:type="dxa"/>
            </w:tcMar>
          </w:tcPr>
          <w:p w14:paraId="5169DF1D" w14:textId="77777777" w:rsidR="00533849" w:rsidRDefault="00000000">
            <w:r>
              <w:rPr>
                <w:sz w:val="20"/>
                <w:szCs w:val="20"/>
              </w:rPr>
              <w:t>Port, rail, energy selected projects</w:t>
            </w:r>
          </w:p>
        </w:tc>
        <w:tc>
          <w:tcPr>
            <w:tcW w:w="3026" w:type="dxa"/>
            <w:tcMar>
              <w:top w:w="60" w:type="dxa"/>
              <w:left w:w="80" w:type="dxa"/>
              <w:bottom w:w="60" w:type="dxa"/>
              <w:right w:w="80" w:type="dxa"/>
            </w:tcMar>
          </w:tcPr>
          <w:p w14:paraId="65A1329A" w14:textId="77777777" w:rsidR="00533849" w:rsidRDefault="00000000">
            <w:r>
              <w:rPr>
                <w:sz w:val="20"/>
                <w:szCs w:val="20"/>
              </w:rPr>
              <w:t>Project-by-project; IMF DSA debt sustainability ceiling</w:t>
            </w:r>
          </w:p>
        </w:tc>
      </w:tr>
      <w:tr w:rsidR="00533849" w14:paraId="04CF78E9" w14:textId="77777777">
        <w:tc>
          <w:tcPr>
            <w:tcW w:w="2200" w:type="dxa"/>
            <w:tcMar>
              <w:top w:w="60" w:type="dxa"/>
              <w:left w:w="80" w:type="dxa"/>
              <w:bottom w:w="60" w:type="dxa"/>
              <w:right w:w="80" w:type="dxa"/>
            </w:tcMar>
          </w:tcPr>
          <w:p w14:paraId="6842074B" w14:textId="77777777" w:rsidR="00533849" w:rsidRDefault="00000000">
            <w:r>
              <w:rPr>
                <w:sz w:val="20"/>
                <w:szCs w:val="20"/>
              </w:rPr>
              <w:t>Gulf sovereign wealth funds (UAE, KSA, Qatar)</w:t>
            </w:r>
          </w:p>
        </w:tc>
        <w:tc>
          <w:tcPr>
            <w:tcW w:w="1600" w:type="dxa"/>
            <w:tcMar>
              <w:top w:w="60" w:type="dxa"/>
              <w:left w:w="80" w:type="dxa"/>
              <w:bottom w:w="60" w:type="dxa"/>
              <w:right w:w="80" w:type="dxa"/>
            </w:tcMar>
          </w:tcPr>
          <w:p w14:paraId="481EAEF9" w14:textId="77777777" w:rsidR="00533849" w:rsidRDefault="00000000">
            <w:pPr>
              <w:jc w:val="center"/>
            </w:pPr>
            <w:r>
              <w:rPr>
                <w:sz w:val="20"/>
                <w:szCs w:val="20"/>
              </w:rPr>
              <w:t>USD 3–6B</w:t>
            </w:r>
          </w:p>
        </w:tc>
        <w:tc>
          <w:tcPr>
            <w:tcW w:w="2200" w:type="dxa"/>
            <w:tcMar>
              <w:top w:w="60" w:type="dxa"/>
              <w:left w:w="80" w:type="dxa"/>
              <w:bottom w:w="60" w:type="dxa"/>
              <w:right w:w="80" w:type="dxa"/>
            </w:tcMar>
          </w:tcPr>
          <w:p w14:paraId="5C2B616B" w14:textId="77777777" w:rsidR="00533849" w:rsidRDefault="00000000">
            <w:r>
              <w:rPr>
                <w:sz w:val="20"/>
                <w:szCs w:val="20"/>
              </w:rPr>
              <w:t>Agricultural logistics, fintech, cold chain</w:t>
            </w:r>
          </w:p>
        </w:tc>
        <w:tc>
          <w:tcPr>
            <w:tcW w:w="3026" w:type="dxa"/>
            <w:tcMar>
              <w:top w:w="60" w:type="dxa"/>
              <w:left w:w="80" w:type="dxa"/>
              <w:bottom w:w="60" w:type="dxa"/>
              <w:right w:w="80" w:type="dxa"/>
            </w:tcMar>
          </w:tcPr>
          <w:p w14:paraId="07453358" w14:textId="77777777" w:rsidR="00533849" w:rsidRDefault="00000000">
            <w:r>
              <w:rPr>
                <w:sz w:val="20"/>
                <w:szCs w:val="20"/>
              </w:rPr>
              <w:t>Bilateral partnership; halal food certification opportunity</w:t>
            </w:r>
          </w:p>
        </w:tc>
      </w:tr>
      <w:tr w:rsidR="00533849" w14:paraId="0421A97E" w14:textId="77777777">
        <w:tc>
          <w:tcPr>
            <w:tcW w:w="2200" w:type="dxa"/>
            <w:tcMar>
              <w:top w:w="60" w:type="dxa"/>
              <w:left w:w="80" w:type="dxa"/>
              <w:bottom w:w="60" w:type="dxa"/>
              <w:right w:w="80" w:type="dxa"/>
            </w:tcMar>
          </w:tcPr>
          <w:p w14:paraId="265E3021" w14:textId="77777777" w:rsidR="00533849" w:rsidRDefault="00000000">
            <w:r>
              <w:rPr>
                <w:sz w:val="20"/>
                <w:szCs w:val="20"/>
              </w:rPr>
              <w:t>Ubuntu Cooperative Banking (domestic mobilization)</w:t>
            </w:r>
          </w:p>
        </w:tc>
        <w:tc>
          <w:tcPr>
            <w:tcW w:w="1600" w:type="dxa"/>
            <w:tcMar>
              <w:top w:w="60" w:type="dxa"/>
              <w:left w:w="80" w:type="dxa"/>
              <w:bottom w:w="60" w:type="dxa"/>
              <w:right w:w="80" w:type="dxa"/>
            </w:tcMar>
          </w:tcPr>
          <w:p w14:paraId="06691F49" w14:textId="77777777" w:rsidR="00533849" w:rsidRDefault="00000000">
            <w:pPr>
              <w:jc w:val="center"/>
            </w:pPr>
            <w:r>
              <w:rPr>
                <w:sz w:val="20"/>
                <w:szCs w:val="20"/>
              </w:rPr>
              <w:t>USD 500M–1.5B cumulative</w:t>
            </w:r>
          </w:p>
        </w:tc>
        <w:tc>
          <w:tcPr>
            <w:tcW w:w="2200" w:type="dxa"/>
            <w:tcMar>
              <w:top w:w="60" w:type="dxa"/>
              <w:left w:w="80" w:type="dxa"/>
              <w:bottom w:w="60" w:type="dxa"/>
              <w:right w:w="80" w:type="dxa"/>
            </w:tcMar>
          </w:tcPr>
          <w:p w14:paraId="09E1D6F7" w14:textId="77777777" w:rsidR="00533849" w:rsidRDefault="00000000">
            <w:r>
              <w:rPr>
                <w:sz w:val="20"/>
                <w:szCs w:val="20"/>
              </w:rPr>
              <w:t>Cooperative equity, reserves, lending capital</w:t>
            </w:r>
          </w:p>
        </w:tc>
        <w:tc>
          <w:tcPr>
            <w:tcW w:w="3026" w:type="dxa"/>
            <w:tcMar>
              <w:top w:w="60" w:type="dxa"/>
              <w:left w:w="80" w:type="dxa"/>
              <w:bottom w:w="60" w:type="dxa"/>
              <w:right w:w="80" w:type="dxa"/>
            </w:tcMar>
          </w:tcPr>
          <w:p w14:paraId="380071FC" w14:textId="77777777" w:rsidR="00533849" w:rsidRDefault="00000000">
            <w:r>
              <w:rPr>
                <w:sz w:val="20"/>
                <w:szCs w:val="20"/>
              </w:rPr>
              <w:t>Member contributions; government matching grants; AfDB cooperative facility</w:t>
            </w:r>
          </w:p>
        </w:tc>
      </w:tr>
      <w:tr w:rsidR="00533849" w14:paraId="772643C7" w14:textId="77777777">
        <w:tc>
          <w:tcPr>
            <w:tcW w:w="2200" w:type="dxa"/>
            <w:tcMar>
              <w:top w:w="60" w:type="dxa"/>
              <w:left w:w="80" w:type="dxa"/>
              <w:bottom w:w="60" w:type="dxa"/>
              <w:right w:w="80" w:type="dxa"/>
            </w:tcMar>
          </w:tcPr>
          <w:p w14:paraId="1A6FEB31" w14:textId="77777777" w:rsidR="00533849" w:rsidRDefault="00000000">
            <w:r>
              <w:rPr>
                <w:sz w:val="20"/>
                <w:szCs w:val="20"/>
              </w:rPr>
              <w:t>Carbon credits and climate finance</w:t>
            </w:r>
          </w:p>
        </w:tc>
        <w:tc>
          <w:tcPr>
            <w:tcW w:w="1600" w:type="dxa"/>
            <w:tcMar>
              <w:top w:w="60" w:type="dxa"/>
              <w:left w:w="80" w:type="dxa"/>
              <w:bottom w:w="60" w:type="dxa"/>
              <w:right w:w="80" w:type="dxa"/>
            </w:tcMar>
          </w:tcPr>
          <w:p w14:paraId="529E74EA" w14:textId="77777777" w:rsidR="00533849" w:rsidRDefault="00000000">
            <w:pPr>
              <w:jc w:val="center"/>
            </w:pPr>
            <w:r>
              <w:rPr>
                <w:sz w:val="20"/>
                <w:szCs w:val="20"/>
              </w:rPr>
              <w:t>USD 500M–1B by 2035</w:t>
            </w:r>
          </w:p>
        </w:tc>
        <w:tc>
          <w:tcPr>
            <w:tcW w:w="2200" w:type="dxa"/>
            <w:tcMar>
              <w:top w:w="60" w:type="dxa"/>
              <w:left w:w="80" w:type="dxa"/>
              <w:bottom w:w="60" w:type="dxa"/>
              <w:right w:w="80" w:type="dxa"/>
            </w:tcMar>
          </w:tcPr>
          <w:p w14:paraId="23F8251A" w14:textId="77777777" w:rsidR="00533849" w:rsidRDefault="00000000">
            <w:r>
              <w:rPr>
                <w:sz w:val="20"/>
                <w:szCs w:val="20"/>
              </w:rPr>
              <w:t>Forest conservation, biochar, circular economy</w:t>
            </w:r>
          </w:p>
        </w:tc>
        <w:tc>
          <w:tcPr>
            <w:tcW w:w="3026" w:type="dxa"/>
            <w:tcMar>
              <w:top w:w="60" w:type="dxa"/>
              <w:left w:w="80" w:type="dxa"/>
              <w:bottom w:w="60" w:type="dxa"/>
              <w:right w:w="80" w:type="dxa"/>
            </w:tcMar>
          </w:tcPr>
          <w:p w14:paraId="01B42619" w14:textId="77777777" w:rsidR="00533849" w:rsidRDefault="00000000">
            <w:r>
              <w:rPr>
                <w:sz w:val="20"/>
                <w:szCs w:val="20"/>
              </w:rPr>
              <w:t>Gold Standard / Verra VCS; Article 6 bilateral agreements; GCF</w:t>
            </w:r>
          </w:p>
        </w:tc>
      </w:tr>
      <w:tr w:rsidR="00533849" w14:paraId="1112289F" w14:textId="77777777">
        <w:trPr>
          <w:trHeight w:val="2182"/>
        </w:trPr>
        <w:tc>
          <w:tcPr>
            <w:tcW w:w="2200" w:type="dxa"/>
            <w:tcMar>
              <w:top w:w="60" w:type="dxa"/>
              <w:left w:w="80" w:type="dxa"/>
              <w:bottom w:w="60" w:type="dxa"/>
              <w:right w:w="80" w:type="dxa"/>
            </w:tcMar>
          </w:tcPr>
          <w:p w14:paraId="12031A11" w14:textId="77777777" w:rsidR="00533849" w:rsidRDefault="00000000">
            <w:r>
              <w:rPr>
                <w:sz w:val="20"/>
                <w:szCs w:val="20"/>
              </w:rPr>
              <w:t>Diaspora bond and remittance channeling</w:t>
            </w:r>
          </w:p>
        </w:tc>
        <w:tc>
          <w:tcPr>
            <w:tcW w:w="1600" w:type="dxa"/>
            <w:tcMar>
              <w:top w:w="60" w:type="dxa"/>
              <w:left w:w="80" w:type="dxa"/>
              <w:bottom w:w="60" w:type="dxa"/>
              <w:right w:w="80" w:type="dxa"/>
            </w:tcMar>
          </w:tcPr>
          <w:p w14:paraId="1C0BB075" w14:textId="77777777" w:rsidR="00533849" w:rsidRDefault="00000000">
            <w:pPr>
              <w:jc w:val="center"/>
            </w:pPr>
            <w:r>
              <w:rPr>
                <w:sz w:val="20"/>
                <w:szCs w:val="20"/>
              </w:rPr>
              <w:t>USD 600–900M/year (existing)</w:t>
            </w:r>
          </w:p>
        </w:tc>
        <w:tc>
          <w:tcPr>
            <w:tcW w:w="2200" w:type="dxa"/>
            <w:tcMar>
              <w:top w:w="60" w:type="dxa"/>
              <w:left w:w="80" w:type="dxa"/>
              <w:bottom w:w="60" w:type="dxa"/>
              <w:right w:w="80" w:type="dxa"/>
            </w:tcMar>
          </w:tcPr>
          <w:p w14:paraId="077D276A" w14:textId="77777777" w:rsidR="00533849" w:rsidRDefault="00000000">
            <w:r>
              <w:rPr>
                <w:sz w:val="20"/>
                <w:szCs w:val="20"/>
              </w:rPr>
              <w:t>Housing, SME investment, education</w:t>
            </w:r>
          </w:p>
        </w:tc>
        <w:tc>
          <w:tcPr>
            <w:tcW w:w="3026" w:type="dxa"/>
            <w:tcMar>
              <w:top w:w="60" w:type="dxa"/>
              <w:left w:w="80" w:type="dxa"/>
              <w:bottom w:w="60" w:type="dxa"/>
              <w:right w:w="80" w:type="dxa"/>
            </w:tcMar>
          </w:tcPr>
          <w:p w14:paraId="675DB5BE" w14:textId="77777777" w:rsidR="00533849" w:rsidRDefault="00000000">
            <w:r>
              <w:rPr>
                <w:sz w:val="20"/>
                <w:szCs w:val="20"/>
              </w:rPr>
              <w:t>Diaspora bond; matched savings; FCFA diaspora certificates</w:t>
            </w:r>
          </w:p>
        </w:tc>
      </w:tr>
      <w:tr w:rsidR="00533849" w14:paraId="674445D5" w14:textId="77777777">
        <w:tc>
          <w:tcPr>
            <w:tcW w:w="2200" w:type="dxa"/>
            <w:tcMar>
              <w:top w:w="60" w:type="dxa"/>
              <w:left w:w="80" w:type="dxa"/>
              <w:bottom w:w="60" w:type="dxa"/>
              <w:right w:w="80" w:type="dxa"/>
            </w:tcMar>
            <w:vAlign w:val="center"/>
          </w:tcPr>
          <w:p w14:paraId="00AD1323" w14:textId="77777777" w:rsidR="00533849" w:rsidRDefault="00000000">
            <w:pPr>
              <w:spacing w:line="150" w:lineRule="atLeast"/>
              <w:rPr>
                <w:sz w:val="20"/>
                <w:szCs w:val="20"/>
              </w:rPr>
            </w:pPr>
            <w:r>
              <w:rPr>
                <w:rFonts w:eastAsia="Segoe UI"/>
                <w:color w:val="0F1115"/>
                <w:sz w:val="20"/>
                <w:szCs w:val="20"/>
                <w:lang w:val="en-US" w:eastAsia="zh-CN" w:bidi="ar"/>
              </w:rPr>
              <w:t>Nutraceutical/pharmacofitology sector investment</w:t>
            </w:r>
          </w:p>
        </w:tc>
        <w:tc>
          <w:tcPr>
            <w:tcW w:w="1600" w:type="dxa"/>
            <w:tcMar>
              <w:top w:w="60" w:type="dxa"/>
              <w:left w:w="80" w:type="dxa"/>
              <w:bottom w:w="60" w:type="dxa"/>
              <w:right w:w="80" w:type="dxa"/>
            </w:tcMar>
            <w:vAlign w:val="center"/>
          </w:tcPr>
          <w:p w14:paraId="0AC3E21C" w14:textId="77777777" w:rsidR="00533849" w:rsidRDefault="00000000">
            <w:pPr>
              <w:spacing w:line="150" w:lineRule="atLeast"/>
              <w:rPr>
                <w:sz w:val="20"/>
                <w:szCs w:val="20"/>
              </w:rPr>
            </w:pPr>
            <w:r>
              <w:rPr>
                <w:rFonts w:eastAsia="Segoe UI"/>
                <w:color w:val="0F1115"/>
                <w:sz w:val="20"/>
                <w:szCs w:val="20"/>
                <w:lang w:val="en-US" w:eastAsia="zh-CN" w:bidi="ar"/>
              </w:rPr>
              <w:t>USD 120–250M (2025–2030)</w:t>
            </w:r>
          </w:p>
        </w:tc>
        <w:tc>
          <w:tcPr>
            <w:tcW w:w="2200" w:type="dxa"/>
            <w:tcMar>
              <w:top w:w="60" w:type="dxa"/>
              <w:left w:w="80" w:type="dxa"/>
              <w:bottom w:w="60" w:type="dxa"/>
              <w:right w:w="80" w:type="dxa"/>
            </w:tcMar>
            <w:vAlign w:val="center"/>
          </w:tcPr>
          <w:p w14:paraId="17C60F16" w14:textId="77777777" w:rsidR="00533849" w:rsidRDefault="00000000">
            <w:pPr>
              <w:spacing w:line="150" w:lineRule="atLeast"/>
              <w:rPr>
                <w:sz w:val="20"/>
                <w:szCs w:val="20"/>
              </w:rPr>
            </w:pPr>
            <w:r>
              <w:rPr>
                <w:rFonts w:eastAsia="Segoe UI"/>
                <w:color w:val="0F1115"/>
                <w:sz w:val="20"/>
                <w:szCs w:val="20"/>
                <w:lang w:val="en-US" w:eastAsia="zh-CN" w:bidi="ar"/>
              </w:rPr>
              <w:t>Research centres; pilot production; quality certification; traditional knowledge protection</w:t>
            </w:r>
          </w:p>
        </w:tc>
        <w:tc>
          <w:tcPr>
            <w:tcW w:w="3026" w:type="dxa"/>
            <w:tcMar>
              <w:top w:w="60" w:type="dxa"/>
              <w:left w:w="80" w:type="dxa"/>
              <w:bottom w:w="60" w:type="dxa"/>
              <w:right w:w="80" w:type="dxa"/>
            </w:tcMar>
            <w:vAlign w:val="center"/>
          </w:tcPr>
          <w:p w14:paraId="243D85D7" w14:textId="77777777" w:rsidR="00533849" w:rsidRDefault="00000000">
            <w:pPr>
              <w:spacing w:line="150" w:lineRule="atLeast"/>
              <w:rPr>
                <w:sz w:val="20"/>
                <w:szCs w:val="20"/>
              </w:rPr>
            </w:pPr>
            <w:r>
              <w:rPr>
                <w:rFonts w:eastAsia="Segoe UI"/>
                <w:color w:val="0F1115"/>
                <w:sz w:val="20"/>
                <w:szCs w:val="20"/>
                <w:lang w:val="en-US" w:eastAsia="zh-CN" w:bidi="ar"/>
              </w:rPr>
              <w:t>Government seed funding; AfDB bio-economy facility; impact VC; cooperative</w:t>
            </w:r>
          </w:p>
        </w:tc>
      </w:tr>
    </w:tbl>
    <w:p w14:paraId="4137F1D4" w14:textId="77777777" w:rsidR="00533849" w:rsidRDefault="00000000">
      <w:pPr>
        <w:rPr>
          <w:i/>
          <w:iCs/>
        </w:rPr>
      </w:pPr>
      <w:r>
        <w:rPr>
          <w:i/>
          <w:iCs/>
        </w:rPr>
        <w:t>Sources: IMF [24]; World Bank [3]; AfDB [21]; BCEAO [4]; authors' calculations for nutraceutical/pharmacofitology sector. DSA = Debt Sustainability Analysis; GCF = Green Climate Fund.</w:t>
      </w:r>
    </w:p>
    <w:p w14:paraId="1A453453" w14:textId="77777777" w:rsidR="00533849" w:rsidRDefault="00000000">
      <w:pPr>
        <w:spacing w:before="280" w:after="80"/>
      </w:pPr>
      <w:r>
        <w:rPr>
          <w:b/>
          <w:bCs/>
        </w:rPr>
        <w:t>XIII. RISK MATRIX: PROBABILITY, IMPACT, AND MITIGATION</w:t>
      </w:r>
    </w:p>
    <w:p w14:paraId="6BF5139D" w14:textId="77777777" w:rsidR="00533849" w:rsidRDefault="00000000">
      <w:pPr>
        <w:spacing w:before="180" w:after="60"/>
      </w:pPr>
      <w:r>
        <w:rPr>
          <w:b/>
          <w:bCs/>
          <w:sz w:val="20"/>
          <w:szCs w:val="20"/>
        </w:rPr>
        <w:t>Table 8. Risk matrix for the Côte d'Ivoire 2045 strategy</w:t>
      </w:r>
    </w:p>
    <w:tbl>
      <w:tblPr>
        <w:tblW w:w="9026" w:type="dxa"/>
        <w:tblBorders>
          <w:top w:val="single" w:sz="18" w:space="0" w:color="1F3864"/>
          <w:left w:val="single" w:sz="18" w:space="0" w:color="1F3864"/>
          <w:bottom w:val="single" w:sz="18" w:space="0" w:color="1F3864"/>
          <w:right w:val="single" w:sz="18" w:space="0" w:color="1F3864"/>
          <w:insideH w:val="single" w:sz="4" w:space="0" w:color="9DB6CE"/>
          <w:insideV w:val="single" w:sz="4" w:space="0" w:color="9DB6CE"/>
        </w:tblBorders>
        <w:tblCellMar>
          <w:left w:w="10" w:type="dxa"/>
          <w:right w:w="10" w:type="dxa"/>
        </w:tblCellMar>
        <w:tblLook w:val="04A0" w:firstRow="1" w:lastRow="0" w:firstColumn="1" w:lastColumn="0" w:noHBand="0" w:noVBand="1"/>
      </w:tblPr>
      <w:tblGrid>
        <w:gridCol w:w="2049"/>
        <w:gridCol w:w="1127"/>
        <w:gridCol w:w="938"/>
        <w:gridCol w:w="4912"/>
      </w:tblGrid>
      <w:tr w:rsidR="00533849" w14:paraId="17BEB27F" w14:textId="77777777">
        <w:tc>
          <w:tcPr>
            <w:tcW w:w="2100" w:type="dxa"/>
            <w:shd w:val="clear" w:color="auto" w:fill="D9D9D9"/>
            <w:tcMar>
              <w:top w:w="60" w:type="dxa"/>
              <w:left w:w="80" w:type="dxa"/>
              <w:bottom w:w="60" w:type="dxa"/>
              <w:right w:w="80" w:type="dxa"/>
            </w:tcMar>
          </w:tcPr>
          <w:p w14:paraId="33FE6878" w14:textId="77777777" w:rsidR="00533849" w:rsidRDefault="00000000">
            <w:r>
              <w:rPr>
                <w:b/>
                <w:bCs/>
                <w:sz w:val="20"/>
                <w:szCs w:val="20"/>
              </w:rPr>
              <w:t>Risk</w:t>
            </w:r>
          </w:p>
        </w:tc>
        <w:tc>
          <w:tcPr>
            <w:tcW w:w="900" w:type="dxa"/>
            <w:shd w:val="clear" w:color="auto" w:fill="D9D9D9"/>
            <w:tcMar>
              <w:top w:w="60" w:type="dxa"/>
              <w:left w:w="80" w:type="dxa"/>
              <w:bottom w:w="60" w:type="dxa"/>
              <w:right w:w="80" w:type="dxa"/>
            </w:tcMar>
          </w:tcPr>
          <w:p w14:paraId="41FA95F1" w14:textId="77777777" w:rsidR="00533849" w:rsidRDefault="00000000">
            <w:pPr>
              <w:jc w:val="center"/>
            </w:pPr>
            <w:r>
              <w:rPr>
                <w:b/>
                <w:bCs/>
                <w:sz w:val="20"/>
                <w:szCs w:val="20"/>
              </w:rPr>
              <w:t>Probability</w:t>
            </w:r>
          </w:p>
        </w:tc>
        <w:tc>
          <w:tcPr>
            <w:tcW w:w="900" w:type="dxa"/>
            <w:shd w:val="clear" w:color="auto" w:fill="D9D9D9"/>
            <w:tcMar>
              <w:top w:w="60" w:type="dxa"/>
              <w:left w:w="80" w:type="dxa"/>
              <w:bottom w:w="60" w:type="dxa"/>
              <w:right w:w="80" w:type="dxa"/>
            </w:tcMar>
          </w:tcPr>
          <w:p w14:paraId="455709EE" w14:textId="77777777" w:rsidR="00533849" w:rsidRDefault="00000000">
            <w:pPr>
              <w:jc w:val="center"/>
            </w:pPr>
            <w:r>
              <w:rPr>
                <w:b/>
                <w:bCs/>
                <w:sz w:val="20"/>
                <w:szCs w:val="20"/>
              </w:rPr>
              <w:t>Impact</w:t>
            </w:r>
          </w:p>
        </w:tc>
        <w:tc>
          <w:tcPr>
            <w:tcW w:w="5126" w:type="dxa"/>
            <w:shd w:val="clear" w:color="auto" w:fill="D9D9D9"/>
            <w:tcMar>
              <w:top w:w="60" w:type="dxa"/>
              <w:left w:w="80" w:type="dxa"/>
              <w:bottom w:w="60" w:type="dxa"/>
              <w:right w:w="80" w:type="dxa"/>
            </w:tcMar>
          </w:tcPr>
          <w:p w14:paraId="3724BEF6" w14:textId="77777777" w:rsidR="00533849" w:rsidRDefault="00000000">
            <w:r>
              <w:rPr>
                <w:b/>
                <w:bCs/>
                <w:sz w:val="20"/>
                <w:szCs w:val="20"/>
              </w:rPr>
              <w:t>Mitigation Architecture</w:t>
            </w:r>
          </w:p>
        </w:tc>
      </w:tr>
      <w:tr w:rsidR="00533849" w14:paraId="09CAAB74" w14:textId="77777777">
        <w:tc>
          <w:tcPr>
            <w:tcW w:w="2100" w:type="dxa"/>
            <w:tcMar>
              <w:top w:w="60" w:type="dxa"/>
              <w:left w:w="80" w:type="dxa"/>
              <w:bottom w:w="60" w:type="dxa"/>
              <w:right w:w="80" w:type="dxa"/>
            </w:tcMar>
          </w:tcPr>
          <w:p w14:paraId="09D25E6C" w14:textId="77777777" w:rsidR="00533849" w:rsidRDefault="00000000">
            <w:r>
              <w:rPr>
                <w:sz w:val="20"/>
                <w:szCs w:val="20"/>
              </w:rPr>
              <w:t>Political instability / military coup</w:t>
            </w:r>
          </w:p>
        </w:tc>
        <w:tc>
          <w:tcPr>
            <w:tcW w:w="900" w:type="dxa"/>
            <w:tcMar>
              <w:top w:w="60" w:type="dxa"/>
              <w:left w:w="80" w:type="dxa"/>
              <w:bottom w:w="60" w:type="dxa"/>
              <w:right w:w="80" w:type="dxa"/>
            </w:tcMar>
          </w:tcPr>
          <w:p w14:paraId="667D161F" w14:textId="77777777" w:rsidR="00533849" w:rsidRDefault="00000000">
            <w:pPr>
              <w:jc w:val="center"/>
            </w:pPr>
            <w:r>
              <w:rPr>
                <w:sz w:val="20"/>
                <w:szCs w:val="20"/>
              </w:rPr>
              <w:t>Medium</w:t>
            </w:r>
          </w:p>
        </w:tc>
        <w:tc>
          <w:tcPr>
            <w:tcW w:w="900" w:type="dxa"/>
            <w:tcMar>
              <w:top w:w="60" w:type="dxa"/>
              <w:left w:w="80" w:type="dxa"/>
              <w:bottom w:w="60" w:type="dxa"/>
              <w:right w:w="80" w:type="dxa"/>
            </w:tcMar>
          </w:tcPr>
          <w:p w14:paraId="67C688A3" w14:textId="77777777" w:rsidR="00533849" w:rsidRDefault="00000000">
            <w:pPr>
              <w:jc w:val="center"/>
            </w:pPr>
            <w:r>
              <w:rPr>
                <w:sz w:val="20"/>
                <w:szCs w:val="20"/>
              </w:rPr>
              <w:t>Critical</w:t>
            </w:r>
          </w:p>
        </w:tc>
        <w:tc>
          <w:tcPr>
            <w:tcW w:w="5126" w:type="dxa"/>
            <w:tcMar>
              <w:top w:w="60" w:type="dxa"/>
              <w:left w:w="80" w:type="dxa"/>
              <w:bottom w:w="60" w:type="dxa"/>
              <w:right w:w="80" w:type="dxa"/>
            </w:tcMar>
          </w:tcPr>
          <w:p w14:paraId="4674CC33" w14:textId="77777777" w:rsidR="00533849" w:rsidRDefault="00000000">
            <w:r>
              <w:rPr>
                <w:sz w:val="20"/>
                <w:szCs w:val="20"/>
              </w:rPr>
              <w:t>Constitutional term limits; independent judiciary; military salary reform; AU Early Warning engagement; civic education embedded in school curriculum from primary level</w:t>
            </w:r>
          </w:p>
        </w:tc>
      </w:tr>
      <w:tr w:rsidR="00533849" w14:paraId="7C417CB1" w14:textId="77777777">
        <w:tc>
          <w:tcPr>
            <w:tcW w:w="2100" w:type="dxa"/>
            <w:tcMar>
              <w:top w:w="60" w:type="dxa"/>
              <w:left w:w="80" w:type="dxa"/>
              <w:bottom w:w="60" w:type="dxa"/>
              <w:right w:w="80" w:type="dxa"/>
            </w:tcMar>
          </w:tcPr>
          <w:p w14:paraId="3F203C56" w14:textId="77777777" w:rsidR="00533849" w:rsidRDefault="00000000">
            <w:r>
              <w:rPr>
                <w:sz w:val="20"/>
                <w:szCs w:val="20"/>
              </w:rPr>
              <w:lastRenderedPageBreak/>
              <w:t>Commodity price collapse (cocoa, cashew)</w:t>
            </w:r>
          </w:p>
        </w:tc>
        <w:tc>
          <w:tcPr>
            <w:tcW w:w="900" w:type="dxa"/>
            <w:tcMar>
              <w:top w:w="60" w:type="dxa"/>
              <w:left w:w="80" w:type="dxa"/>
              <w:bottom w:w="60" w:type="dxa"/>
              <w:right w:w="80" w:type="dxa"/>
            </w:tcMar>
          </w:tcPr>
          <w:p w14:paraId="52B775C0" w14:textId="77777777" w:rsidR="00533849" w:rsidRDefault="00000000">
            <w:pPr>
              <w:jc w:val="center"/>
            </w:pPr>
            <w:r>
              <w:rPr>
                <w:sz w:val="20"/>
                <w:szCs w:val="20"/>
              </w:rPr>
              <w:t>High (cyclical)</w:t>
            </w:r>
          </w:p>
        </w:tc>
        <w:tc>
          <w:tcPr>
            <w:tcW w:w="900" w:type="dxa"/>
            <w:tcMar>
              <w:top w:w="60" w:type="dxa"/>
              <w:left w:w="80" w:type="dxa"/>
              <w:bottom w:w="60" w:type="dxa"/>
              <w:right w:w="80" w:type="dxa"/>
            </w:tcMar>
          </w:tcPr>
          <w:p w14:paraId="632D1DAA" w14:textId="77777777" w:rsidR="00533849" w:rsidRDefault="00000000">
            <w:pPr>
              <w:jc w:val="center"/>
            </w:pPr>
            <w:r>
              <w:rPr>
                <w:sz w:val="20"/>
                <w:szCs w:val="20"/>
              </w:rPr>
              <w:t>High</w:t>
            </w:r>
          </w:p>
        </w:tc>
        <w:tc>
          <w:tcPr>
            <w:tcW w:w="5126" w:type="dxa"/>
            <w:tcMar>
              <w:top w:w="60" w:type="dxa"/>
              <w:left w:w="80" w:type="dxa"/>
              <w:bottom w:w="60" w:type="dxa"/>
              <w:right w:w="80" w:type="dxa"/>
            </w:tcMar>
          </w:tcPr>
          <w:p w14:paraId="54D7F792" w14:textId="77777777" w:rsidR="00533849" w:rsidRDefault="00000000">
            <w:r>
              <w:rPr>
                <w:sz w:val="20"/>
                <w:szCs w:val="20"/>
              </w:rPr>
              <w:t>Petroleum Revenue Stabilisation Fund; export diversification through processing; circular economy revenue streams; cooperative bank counter-cyclical lending capacity</w:t>
            </w:r>
          </w:p>
        </w:tc>
      </w:tr>
      <w:tr w:rsidR="00533849" w14:paraId="6661D4E2" w14:textId="77777777">
        <w:tc>
          <w:tcPr>
            <w:tcW w:w="2100" w:type="dxa"/>
            <w:tcMar>
              <w:top w:w="60" w:type="dxa"/>
              <w:left w:w="80" w:type="dxa"/>
              <w:bottom w:w="60" w:type="dxa"/>
              <w:right w:w="80" w:type="dxa"/>
            </w:tcMar>
          </w:tcPr>
          <w:p w14:paraId="77599EA3" w14:textId="77777777" w:rsidR="00533849" w:rsidRDefault="00000000">
            <w:r>
              <w:rPr>
                <w:sz w:val="20"/>
                <w:szCs w:val="20"/>
              </w:rPr>
              <w:t>Climate change — drought, irregular rainfall</w:t>
            </w:r>
          </w:p>
        </w:tc>
        <w:tc>
          <w:tcPr>
            <w:tcW w:w="900" w:type="dxa"/>
            <w:tcMar>
              <w:top w:w="60" w:type="dxa"/>
              <w:left w:w="80" w:type="dxa"/>
              <w:bottom w:w="60" w:type="dxa"/>
              <w:right w:w="80" w:type="dxa"/>
            </w:tcMar>
          </w:tcPr>
          <w:p w14:paraId="4427DBA9" w14:textId="77777777" w:rsidR="00533849" w:rsidRDefault="00000000">
            <w:pPr>
              <w:jc w:val="center"/>
            </w:pPr>
            <w:r>
              <w:rPr>
                <w:sz w:val="20"/>
                <w:szCs w:val="20"/>
              </w:rPr>
              <w:t>High (inevitable)</w:t>
            </w:r>
          </w:p>
        </w:tc>
        <w:tc>
          <w:tcPr>
            <w:tcW w:w="900" w:type="dxa"/>
            <w:tcMar>
              <w:top w:w="60" w:type="dxa"/>
              <w:left w:w="80" w:type="dxa"/>
              <w:bottom w:w="60" w:type="dxa"/>
              <w:right w:w="80" w:type="dxa"/>
            </w:tcMar>
          </w:tcPr>
          <w:p w14:paraId="4822B364" w14:textId="77777777" w:rsidR="00533849" w:rsidRDefault="00000000">
            <w:pPr>
              <w:jc w:val="center"/>
            </w:pPr>
            <w:r>
              <w:rPr>
                <w:sz w:val="20"/>
                <w:szCs w:val="20"/>
              </w:rPr>
              <w:t>High</w:t>
            </w:r>
          </w:p>
        </w:tc>
        <w:tc>
          <w:tcPr>
            <w:tcW w:w="5126" w:type="dxa"/>
            <w:tcMar>
              <w:top w:w="60" w:type="dxa"/>
              <w:left w:w="80" w:type="dxa"/>
              <w:bottom w:w="60" w:type="dxa"/>
              <w:right w:w="80" w:type="dxa"/>
            </w:tcMar>
          </w:tcPr>
          <w:p w14:paraId="7648EABA" w14:textId="77777777" w:rsidR="00533849" w:rsidRDefault="00000000">
            <w:r>
              <w:rPr>
                <w:sz w:val="20"/>
                <w:szCs w:val="20"/>
              </w:rPr>
              <w:t>Irrigation investment; drought-resistant CNRA varieties; cooperative crop insurance; biochar soil amendment for water retention; reforestation programme</w:t>
            </w:r>
          </w:p>
        </w:tc>
      </w:tr>
      <w:tr w:rsidR="00533849" w14:paraId="244744C6" w14:textId="77777777">
        <w:tc>
          <w:tcPr>
            <w:tcW w:w="2100" w:type="dxa"/>
            <w:tcMar>
              <w:top w:w="60" w:type="dxa"/>
              <w:left w:w="80" w:type="dxa"/>
              <w:bottom w:w="60" w:type="dxa"/>
              <w:right w:w="80" w:type="dxa"/>
            </w:tcMar>
          </w:tcPr>
          <w:p w14:paraId="5230D0EB" w14:textId="77777777" w:rsidR="00533849" w:rsidRDefault="00000000">
            <w:r>
              <w:rPr>
                <w:sz w:val="20"/>
                <w:szCs w:val="20"/>
              </w:rPr>
              <w:t>EUDR compliance failure — loss of EU cocoa market</w:t>
            </w:r>
          </w:p>
        </w:tc>
        <w:tc>
          <w:tcPr>
            <w:tcW w:w="900" w:type="dxa"/>
            <w:tcMar>
              <w:top w:w="60" w:type="dxa"/>
              <w:left w:w="80" w:type="dxa"/>
              <w:bottom w:w="60" w:type="dxa"/>
              <w:right w:w="80" w:type="dxa"/>
            </w:tcMar>
          </w:tcPr>
          <w:p w14:paraId="35CBBA03" w14:textId="77777777" w:rsidR="00533849" w:rsidRDefault="00000000">
            <w:pPr>
              <w:jc w:val="center"/>
            </w:pPr>
            <w:r>
              <w:rPr>
                <w:sz w:val="20"/>
                <w:szCs w:val="20"/>
              </w:rPr>
              <w:t>Medium</w:t>
            </w:r>
          </w:p>
        </w:tc>
        <w:tc>
          <w:tcPr>
            <w:tcW w:w="900" w:type="dxa"/>
            <w:tcMar>
              <w:top w:w="60" w:type="dxa"/>
              <w:left w:w="80" w:type="dxa"/>
              <w:bottom w:w="60" w:type="dxa"/>
              <w:right w:w="80" w:type="dxa"/>
            </w:tcMar>
          </w:tcPr>
          <w:p w14:paraId="63ABDB7B" w14:textId="77777777" w:rsidR="00533849" w:rsidRDefault="00000000">
            <w:pPr>
              <w:jc w:val="center"/>
            </w:pPr>
            <w:r>
              <w:rPr>
                <w:sz w:val="20"/>
                <w:szCs w:val="20"/>
              </w:rPr>
              <w:t>Very High</w:t>
            </w:r>
          </w:p>
        </w:tc>
        <w:tc>
          <w:tcPr>
            <w:tcW w:w="5126" w:type="dxa"/>
            <w:tcMar>
              <w:top w:w="60" w:type="dxa"/>
              <w:left w:w="80" w:type="dxa"/>
              <w:bottom w:w="60" w:type="dxa"/>
              <w:right w:w="80" w:type="dxa"/>
            </w:tcMar>
          </w:tcPr>
          <w:p w14:paraId="530FE815" w14:textId="77777777" w:rsidR="00533849" w:rsidRDefault="00000000">
            <w:r>
              <w:rPr>
                <w:sz w:val="20"/>
                <w:szCs w:val="20"/>
              </w:rPr>
              <w:t>100% GPS polygon traceability by 2026; domestic CCC certification capacity; satellite forest monitoring; cooperative governance as EUDR compliance architecture</w:t>
            </w:r>
          </w:p>
        </w:tc>
      </w:tr>
      <w:tr w:rsidR="00533849" w14:paraId="2903D678" w14:textId="77777777">
        <w:tc>
          <w:tcPr>
            <w:tcW w:w="2100" w:type="dxa"/>
            <w:tcMar>
              <w:top w:w="60" w:type="dxa"/>
              <w:left w:w="80" w:type="dxa"/>
              <w:bottom w:w="60" w:type="dxa"/>
              <w:right w:w="80" w:type="dxa"/>
            </w:tcMar>
          </w:tcPr>
          <w:p w14:paraId="5D261CEB" w14:textId="77777777" w:rsidR="00533849" w:rsidRDefault="00000000">
            <w:r>
              <w:rPr>
                <w:sz w:val="20"/>
                <w:szCs w:val="20"/>
              </w:rPr>
              <w:t>Debt distress from infrastructure borrowing</w:t>
            </w:r>
          </w:p>
        </w:tc>
        <w:tc>
          <w:tcPr>
            <w:tcW w:w="900" w:type="dxa"/>
            <w:tcMar>
              <w:top w:w="60" w:type="dxa"/>
              <w:left w:w="80" w:type="dxa"/>
              <w:bottom w:w="60" w:type="dxa"/>
              <w:right w:w="80" w:type="dxa"/>
            </w:tcMar>
          </w:tcPr>
          <w:p w14:paraId="1A305E08" w14:textId="77777777" w:rsidR="00533849" w:rsidRDefault="00000000">
            <w:pPr>
              <w:jc w:val="center"/>
            </w:pPr>
            <w:r>
              <w:rPr>
                <w:sz w:val="20"/>
                <w:szCs w:val="20"/>
              </w:rPr>
              <w:t>Medium</w:t>
            </w:r>
          </w:p>
        </w:tc>
        <w:tc>
          <w:tcPr>
            <w:tcW w:w="900" w:type="dxa"/>
            <w:tcMar>
              <w:top w:w="60" w:type="dxa"/>
              <w:left w:w="80" w:type="dxa"/>
              <w:bottom w:w="60" w:type="dxa"/>
              <w:right w:w="80" w:type="dxa"/>
            </w:tcMar>
          </w:tcPr>
          <w:p w14:paraId="4C9419A5" w14:textId="77777777" w:rsidR="00533849" w:rsidRDefault="00000000">
            <w:pPr>
              <w:jc w:val="center"/>
            </w:pPr>
            <w:r>
              <w:rPr>
                <w:sz w:val="20"/>
                <w:szCs w:val="20"/>
              </w:rPr>
              <w:t>High</w:t>
            </w:r>
          </w:p>
        </w:tc>
        <w:tc>
          <w:tcPr>
            <w:tcW w:w="5126" w:type="dxa"/>
            <w:tcMar>
              <w:top w:w="60" w:type="dxa"/>
              <w:left w:w="80" w:type="dxa"/>
              <w:bottom w:w="60" w:type="dxa"/>
              <w:right w:w="80" w:type="dxa"/>
            </w:tcMar>
          </w:tcPr>
          <w:p w14:paraId="68A8A661" w14:textId="77777777" w:rsidR="00533849" w:rsidRDefault="00000000">
            <w:r>
              <w:rPr>
                <w:sz w:val="20"/>
                <w:szCs w:val="20"/>
              </w:rPr>
              <w:t>Strict IMF DSA compliance; restrict external borrowing to revenue-generating projects; prioritize domestic revenue increase before new foreign borrowing</w:t>
            </w:r>
          </w:p>
        </w:tc>
      </w:tr>
      <w:tr w:rsidR="00533849" w14:paraId="1ABDFED6" w14:textId="77777777">
        <w:tc>
          <w:tcPr>
            <w:tcW w:w="2100" w:type="dxa"/>
            <w:tcMar>
              <w:top w:w="60" w:type="dxa"/>
              <w:left w:w="80" w:type="dxa"/>
              <w:bottom w:w="60" w:type="dxa"/>
              <w:right w:w="80" w:type="dxa"/>
            </w:tcMar>
          </w:tcPr>
          <w:p w14:paraId="13477D68" w14:textId="77777777" w:rsidR="00533849" w:rsidRDefault="00000000">
            <w:r>
              <w:rPr>
                <w:sz w:val="20"/>
                <w:szCs w:val="20"/>
              </w:rPr>
              <w:t>Cooperative banking governance failure</w:t>
            </w:r>
          </w:p>
        </w:tc>
        <w:tc>
          <w:tcPr>
            <w:tcW w:w="900" w:type="dxa"/>
            <w:tcMar>
              <w:top w:w="60" w:type="dxa"/>
              <w:left w:w="80" w:type="dxa"/>
              <w:bottom w:w="60" w:type="dxa"/>
              <w:right w:w="80" w:type="dxa"/>
            </w:tcMar>
          </w:tcPr>
          <w:p w14:paraId="38A2C105" w14:textId="77777777" w:rsidR="00533849" w:rsidRDefault="00000000">
            <w:pPr>
              <w:jc w:val="center"/>
            </w:pPr>
            <w:r>
              <w:rPr>
                <w:sz w:val="20"/>
                <w:szCs w:val="20"/>
              </w:rPr>
              <w:t>Medium</w:t>
            </w:r>
          </w:p>
        </w:tc>
        <w:tc>
          <w:tcPr>
            <w:tcW w:w="900" w:type="dxa"/>
            <w:tcMar>
              <w:top w:w="60" w:type="dxa"/>
              <w:left w:w="80" w:type="dxa"/>
              <w:bottom w:w="60" w:type="dxa"/>
              <w:right w:w="80" w:type="dxa"/>
            </w:tcMar>
          </w:tcPr>
          <w:p w14:paraId="56D3A62C" w14:textId="77777777" w:rsidR="00533849" w:rsidRDefault="00000000">
            <w:pPr>
              <w:jc w:val="center"/>
            </w:pPr>
            <w:r>
              <w:rPr>
                <w:sz w:val="20"/>
                <w:szCs w:val="20"/>
              </w:rPr>
              <w:t>High</w:t>
            </w:r>
          </w:p>
        </w:tc>
        <w:tc>
          <w:tcPr>
            <w:tcW w:w="5126" w:type="dxa"/>
            <w:tcMar>
              <w:top w:w="60" w:type="dxa"/>
              <w:left w:w="80" w:type="dxa"/>
              <w:bottom w:w="60" w:type="dxa"/>
              <w:right w:w="80" w:type="dxa"/>
            </w:tcMar>
          </w:tcPr>
          <w:p w14:paraId="109AB928" w14:textId="77777777" w:rsidR="00533849" w:rsidRDefault="00000000">
            <w:r>
              <w:rPr>
                <w:sz w:val="20"/>
                <w:szCs w:val="20"/>
              </w:rPr>
              <w:t>NALM trauma-informed governance design; mandatory annual external audit; cooperative regulatory sandbox; community blockchain transparency dashboard; BCEAO supervisory framework</w:t>
            </w:r>
          </w:p>
        </w:tc>
      </w:tr>
      <w:tr w:rsidR="00533849" w14:paraId="0933661C" w14:textId="77777777">
        <w:tc>
          <w:tcPr>
            <w:tcW w:w="2100" w:type="dxa"/>
            <w:tcMar>
              <w:top w:w="60" w:type="dxa"/>
              <w:left w:w="80" w:type="dxa"/>
              <w:bottom w:w="60" w:type="dxa"/>
              <w:right w:w="80" w:type="dxa"/>
            </w:tcMar>
          </w:tcPr>
          <w:p w14:paraId="05E62047" w14:textId="77777777" w:rsidR="00533849" w:rsidRDefault="00000000">
            <w:r>
              <w:rPr>
                <w:sz w:val="20"/>
                <w:szCs w:val="20"/>
              </w:rPr>
              <w:t>Brain drain of educated youth</w:t>
            </w:r>
          </w:p>
        </w:tc>
        <w:tc>
          <w:tcPr>
            <w:tcW w:w="900" w:type="dxa"/>
            <w:tcMar>
              <w:top w:w="60" w:type="dxa"/>
              <w:left w:w="80" w:type="dxa"/>
              <w:bottom w:w="60" w:type="dxa"/>
              <w:right w:w="80" w:type="dxa"/>
            </w:tcMar>
          </w:tcPr>
          <w:p w14:paraId="6870F0AC" w14:textId="77777777" w:rsidR="00533849" w:rsidRDefault="00000000">
            <w:pPr>
              <w:jc w:val="center"/>
            </w:pPr>
            <w:r>
              <w:rPr>
                <w:sz w:val="20"/>
                <w:szCs w:val="20"/>
              </w:rPr>
              <w:t>High (current)</w:t>
            </w:r>
          </w:p>
        </w:tc>
        <w:tc>
          <w:tcPr>
            <w:tcW w:w="900" w:type="dxa"/>
            <w:tcMar>
              <w:top w:w="60" w:type="dxa"/>
              <w:left w:w="80" w:type="dxa"/>
              <w:bottom w:w="60" w:type="dxa"/>
              <w:right w:w="80" w:type="dxa"/>
            </w:tcMar>
          </w:tcPr>
          <w:p w14:paraId="4FCDEF1E" w14:textId="77777777" w:rsidR="00533849" w:rsidRDefault="00000000">
            <w:pPr>
              <w:jc w:val="center"/>
            </w:pPr>
            <w:r>
              <w:rPr>
                <w:sz w:val="20"/>
                <w:szCs w:val="20"/>
              </w:rPr>
              <w:t>High</w:t>
            </w:r>
          </w:p>
        </w:tc>
        <w:tc>
          <w:tcPr>
            <w:tcW w:w="5126" w:type="dxa"/>
            <w:tcMar>
              <w:top w:w="60" w:type="dxa"/>
              <w:left w:w="80" w:type="dxa"/>
              <w:bottom w:w="60" w:type="dxa"/>
              <w:right w:w="80" w:type="dxa"/>
            </w:tcMar>
          </w:tcPr>
          <w:p w14:paraId="2A5B3CAC" w14:textId="77777777" w:rsidR="00533849" w:rsidRDefault="00000000">
            <w:r>
              <w:rPr>
                <w:sz w:val="20"/>
                <w:szCs w:val="20"/>
              </w:rPr>
              <w:t>Competitive public sector salaries; diaspora return programme; tech sector employment; cooperative dividend ownership creating genuine economic stake in country</w:t>
            </w:r>
          </w:p>
        </w:tc>
      </w:tr>
      <w:tr w:rsidR="00533849" w14:paraId="5FC6809C" w14:textId="77777777">
        <w:tc>
          <w:tcPr>
            <w:tcW w:w="2100" w:type="dxa"/>
            <w:tcMar>
              <w:top w:w="60" w:type="dxa"/>
              <w:left w:w="80" w:type="dxa"/>
              <w:bottom w:w="60" w:type="dxa"/>
              <w:right w:w="80" w:type="dxa"/>
            </w:tcMar>
          </w:tcPr>
          <w:p w14:paraId="13E0E890" w14:textId="77777777" w:rsidR="00533849" w:rsidRDefault="00000000">
            <w:r>
              <w:rPr>
                <w:sz w:val="20"/>
                <w:szCs w:val="20"/>
              </w:rPr>
              <w:t>Regional security spillover (Sahel instability)</w:t>
            </w:r>
          </w:p>
        </w:tc>
        <w:tc>
          <w:tcPr>
            <w:tcW w:w="900" w:type="dxa"/>
            <w:tcMar>
              <w:top w:w="60" w:type="dxa"/>
              <w:left w:w="80" w:type="dxa"/>
              <w:bottom w:w="60" w:type="dxa"/>
              <w:right w:w="80" w:type="dxa"/>
            </w:tcMar>
          </w:tcPr>
          <w:p w14:paraId="36468C1E" w14:textId="77777777" w:rsidR="00533849" w:rsidRDefault="00000000">
            <w:pPr>
              <w:jc w:val="center"/>
            </w:pPr>
            <w:r>
              <w:rPr>
                <w:sz w:val="20"/>
                <w:szCs w:val="20"/>
              </w:rPr>
              <w:t>High</w:t>
            </w:r>
          </w:p>
        </w:tc>
        <w:tc>
          <w:tcPr>
            <w:tcW w:w="900" w:type="dxa"/>
            <w:tcMar>
              <w:top w:w="60" w:type="dxa"/>
              <w:left w:w="80" w:type="dxa"/>
              <w:bottom w:w="60" w:type="dxa"/>
              <w:right w:w="80" w:type="dxa"/>
            </w:tcMar>
          </w:tcPr>
          <w:p w14:paraId="4B7A3064" w14:textId="77777777" w:rsidR="00533849" w:rsidRDefault="00000000">
            <w:pPr>
              <w:jc w:val="center"/>
            </w:pPr>
            <w:r>
              <w:rPr>
                <w:sz w:val="20"/>
                <w:szCs w:val="20"/>
              </w:rPr>
              <w:t>Medium–High</w:t>
            </w:r>
          </w:p>
        </w:tc>
        <w:tc>
          <w:tcPr>
            <w:tcW w:w="5126" w:type="dxa"/>
            <w:tcMar>
              <w:top w:w="60" w:type="dxa"/>
              <w:left w:w="80" w:type="dxa"/>
              <w:bottom w:w="60" w:type="dxa"/>
              <w:right w:w="80" w:type="dxa"/>
            </w:tcMar>
          </w:tcPr>
          <w:p w14:paraId="299F4FD6" w14:textId="77777777" w:rsidR="00533849" w:rsidRDefault="00000000">
            <w:r>
              <w:rPr>
                <w:sz w:val="20"/>
                <w:szCs w:val="20"/>
              </w:rPr>
              <w:t>Northern zone investment reducing youth economic grievance; cooperative banking in north creating alternative economic identity; defence cooperation with France and USA</w:t>
            </w:r>
          </w:p>
        </w:tc>
      </w:tr>
      <w:tr w:rsidR="00533849" w14:paraId="632FA65E" w14:textId="77777777">
        <w:tc>
          <w:tcPr>
            <w:tcW w:w="2100" w:type="dxa"/>
            <w:tcMar>
              <w:top w:w="60" w:type="dxa"/>
              <w:left w:w="80" w:type="dxa"/>
              <w:bottom w:w="60" w:type="dxa"/>
              <w:right w:w="80" w:type="dxa"/>
            </w:tcMar>
          </w:tcPr>
          <w:p w14:paraId="5D40BF88" w14:textId="77777777" w:rsidR="00533849" w:rsidRDefault="00000000">
            <w:r>
              <w:rPr>
                <w:sz w:val="20"/>
                <w:szCs w:val="20"/>
              </w:rPr>
              <w:t>Elite capture of cooperative banking</w:t>
            </w:r>
          </w:p>
        </w:tc>
        <w:tc>
          <w:tcPr>
            <w:tcW w:w="900" w:type="dxa"/>
            <w:tcMar>
              <w:top w:w="60" w:type="dxa"/>
              <w:left w:w="80" w:type="dxa"/>
              <w:bottom w:w="60" w:type="dxa"/>
              <w:right w:w="80" w:type="dxa"/>
            </w:tcMar>
          </w:tcPr>
          <w:p w14:paraId="18009C9A" w14:textId="77777777" w:rsidR="00533849" w:rsidRDefault="00000000">
            <w:pPr>
              <w:jc w:val="center"/>
            </w:pPr>
            <w:r>
              <w:rPr>
                <w:sz w:val="20"/>
                <w:szCs w:val="20"/>
              </w:rPr>
              <w:t>Medium–High</w:t>
            </w:r>
          </w:p>
        </w:tc>
        <w:tc>
          <w:tcPr>
            <w:tcW w:w="900" w:type="dxa"/>
            <w:tcMar>
              <w:top w:w="60" w:type="dxa"/>
              <w:left w:w="80" w:type="dxa"/>
              <w:bottom w:w="60" w:type="dxa"/>
              <w:right w:w="80" w:type="dxa"/>
            </w:tcMar>
          </w:tcPr>
          <w:p w14:paraId="6A846B67" w14:textId="77777777" w:rsidR="00533849" w:rsidRDefault="00000000">
            <w:pPr>
              <w:jc w:val="center"/>
            </w:pPr>
            <w:r>
              <w:rPr>
                <w:sz w:val="20"/>
                <w:szCs w:val="20"/>
              </w:rPr>
              <w:t>High</w:t>
            </w:r>
          </w:p>
        </w:tc>
        <w:tc>
          <w:tcPr>
            <w:tcW w:w="5126" w:type="dxa"/>
            <w:tcMar>
              <w:top w:w="60" w:type="dxa"/>
              <w:left w:w="80" w:type="dxa"/>
              <w:bottom w:w="60" w:type="dxa"/>
              <w:right w:w="80" w:type="dxa"/>
            </w:tcMar>
          </w:tcPr>
          <w:p w14:paraId="751935BE" w14:textId="77777777" w:rsidR="00533849" w:rsidRDefault="00000000">
            <w:r>
              <w:rPr>
                <w:sz w:val="20"/>
                <w:szCs w:val="20"/>
              </w:rPr>
              <w:t>Ubuntu governance design (primary group autonomy non-negotiable); progressive member ownership rules; NALM transparency architecture; BCEAO proportionate regulation</w:t>
            </w:r>
          </w:p>
        </w:tc>
      </w:tr>
      <w:tr w:rsidR="00533849" w14:paraId="2620613C" w14:textId="77777777">
        <w:tc>
          <w:tcPr>
            <w:tcW w:w="2100" w:type="dxa"/>
            <w:tcMar>
              <w:top w:w="60" w:type="dxa"/>
              <w:left w:w="80" w:type="dxa"/>
              <w:bottom w:w="60" w:type="dxa"/>
              <w:right w:w="80" w:type="dxa"/>
            </w:tcMar>
          </w:tcPr>
          <w:p w14:paraId="360E572A" w14:textId="77777777" w:rsidR="00533849" w:rsidRDefault="00000000">
            <w:r>
              <w:rPr>
                <w:sz w:val="20"/>
                <w:szCs w:val="20"/>
              </w:rPr>
              <w:t>Resistance to reform from vested interests</w:t>
            </w:r>
          </w:p>
        </w:tc>
        <w:tc>
          <w:tcPr>
            <w:tcW w:w="900" w:type="dxa"/>
            <w:tcMar>
              <w:top w:w="60" w:type="dxa"/>
              <w:left w:w="80" w:type="dxa"/>
              <w:bottom w:w="60" w:type="dxa"/>
              <w:right w:w="80" w:type="dxa"/>
            </w:tcMar>
          </w:tcPr>
          <w:p w14:paraId="5F32B920" w14:textId="77777777" w:rsidR="00533849" w:rsidRDefault="00000000">
            <w:pPr>
              <w:jc w:val="center"/>
            </w:pPr>
            <w:r>
              <w:rPr>
                <w:sz w:val="20"/>
                <w:szCs w:val="20"/>
              </w:rPr>
              <w:t>Very High</w:t>
            </w:r>
          </w:p>
        </w:tc>
        <w:tc>
          <w:tcPr>
            <w:tcW w:w="900" w:type="dxa"/>
            <w:tcMar>
              <w:top w:w="60" w:type="dxa"/>
              <w:left w:w="80" w:type="dxa"/>
              <w:bottom w:w="60" w:type="dxa"/>
              <w:right w:w="80" w:type="dxa"/>
            </w:tcMar>
          </w:tcPr>
          <w:p w14:paraId="37F4FCC8" w14:textId="77777777" w:rsidR="00533849" w:rsidRDefault="00000000">
            <w:pPr>
              <w:jc w:val="center"/>
            </w:pPr>
            <w:r>
              <w:rPr>
                <w:sz w:val="20"/>
                <w:szCs w:val="20"/>
              </w:rPr>
              <w:t>High</w:t>
            </w:r>
          </w:p>
        </w:tc>
        <w:tc>
          <w:tcPr>
            <w:tcW w:w="5126" w:type="dxa"/>
            <w:tcMar>
              <w:top w:w="60" w:type="dxa"/>
              <w:left w:w="80" w:type="dxa"/>
              <w:bottom w:w="60" w:type="dxa"/>
              <w:right w:w="80" w:type="dxa"/>
            </w:tcMar>
          </w:tcPr>
          <w:p w14:paraId="4C925DAC" w14:textId="77777777" w:rsidR="00533849" w:rsidRDefault="00000000">
            <w:r>
              <w:rPr>
                <w:sz w:val="20"/>
                <w:szCs w:val="20"/>
              </w:rPr>
              <w:t>Presidential championship of reform narrative; communications strategy; reform sequencing building popular constituencies; IMF/WB international accountability conditions</w:t>
            </w:r>
          </w:p>
        </w:tc>
      </w:tr>
    </w:tbl>
    <w:p w14:paraId="433EF4CB" w14:textId="77777777" w:rsidR="00533849" w:rsidRDefault="00000000">
      <w:pPr>
        <w:spacing w:before="40" w:after="120"/>
      </w:pPr>
      <w:r>
        <w:rPr>
          <w:i/>
          <w:iCs/>
          <w:sz w:val="18"/>
          <w:szCs w:val="18"/>
        </w:rPr>
        <w:t>Sources: IMF [24]; World Bank [3]; Transparency International [10].</w:t>
      </w:r>
    </w:p>
    <w:p w14:paraId="6141D9D9" w14:textId="77777777" w:rsidR="00533849" w:rsidRDefault="00533849"/>
    <w:p w14:paraId="364F4C53" w14:textId="77777777" w:rsidR="00533849" w:rsidRDefault="00000000">
      <w:pPr>
        <w:spacing w:before="280" w:after="80"/>
      </w:pPr>
      <w:r>
        <w:rPr>
          <w:b/>
          <w:bCs/>
        </w:rPr>
        <w:t>XIV. CONCLUSION: A NATION THAT CHOOSES ITS FUTURE</w:t>
      </w:r>
    </w:p>
    <w:p w14:paraId="1B2FD49C" w14:textId="77777777" w:rsidR="00533849" w:rsidRDefault="00000000">
      <w:pPr>
        <w:spacing w:before="80" w:after="80"/>
        <w:jc w:val="both"/>
      </w:pPr>
      <w:r>
        <w:t>Côte d'Ivoire in 2025 stands at a historical inflection point comparable to where South Korea stood in 1965, Singapore in 1970, or Vietnam in 2000. It has what those countries had: a young and growing population, a coastline with a functioning deep-water port, agricultural resources of global significance, a political system capable of multi-year planning, and a diaspora of educated professionals who would return if conditions warranted. What those countries had that Côte d'Ivoire must still build is not GDP growth — it already has that — but the structural transformation that converts aggregate growth into household-level prosperity, productive employment, and institutional trust.</w:t>
      </w:r>
    </w:p>
    <w:p w14:paraId="14FC30F4" w14:textId="77777777" w:rsidR="00533849" w:rsidRDefault="00000000">
      <w:pPr>
        <w:spacing w:before="80" w:after="80"/>
        <w:jc w:val="both"/>
      </w:pPr>
      <w:r>
        <w:t xml:space="preserve">This article has proposed a nine-pillar national development framework. Eight pillars — agricultural transformation, industrialization, technology, education, governance, tax reform, infrastructure, and international partnerships — are systematically developed from the source strategy with deepened analysis, comparative grounding, and quantified targets. The ninth pillar — Ubuntu Cooperative Banking and Financial Sector Architecture — is the analytical contribution of this article, synthesizing the NAE theoretical framework with three decades of </w:t>
      </w:r>
      <w:r>
        <w:lastRenderedPageBreak/>
        <w:t>African banking practice to argue that no GDP doubling strategy can translate into household prosperity without the financial institutions that mobilize domestic savings, extend productive credit at cooperative rates, provide culturally grounded insurance, and rebuild the institutional trust that sixty years of financial exclusion have systematically destroyed.</w:t>
      </w:r>
    </w:p>
    <w:p w14:paraId="29EEB0AC" w14:textId="77777777" w:rsidR="00533849" w:rsidRDefault="00000000">
      <w:pPr>
        <w:spacing w:before="80" w:after="80"/>
        <w:jc w:val="both"/>
      </w:pPr>
      <w:r>
        <w:t>The tenth dimension developed in this article — the nutraceutical and pharmacofitology sector — represents not merely an additional revenue stream but a civilizational transformation with profound implications for African development economics. The validation and commercialization of Africa's pharmacological heritage, grounded in indigenous knowledge systems and enabled by modern analytical science, fundamentally challenges the colonial epistemic architecture that has systematically delegitimized African knowledge across domains from finance to medicine. When the Cryptolepis sanguinolenta that Ivorian traditional healers have used for malaria for centuries becomes a standardized antiplasmodial product earning foreign exchange, the economic transformation is matched by an epistemic transformation that cannot be quantified but is no less consequential. When the tontine that has mobilized community savings for generations becomes the governance structure for a national cooperative banking network, the financial inclusion is matched by an institutional transformation that rebuilds trust in formal systems through the neurobiologically grounded mechanisms of face-to-face accountability and communal benefit-sharing.</w:t>
      </w:r>
    </w:p>
    <w:p w14:paraId="44FC7A85" w14:textId="77777777" w:rsidR="00533849" w:rsidRDefault="00000000">
      <w:pPr>
        <w:spacing w:before="80" w:after="80"/>
        <w:jc w:val="both"/>
        <w:rPr>
          <w:lang w:val="en-US"/>
        </w:rPr>
      </w:pPr>
      <w:r>
        <w:t>The quantitative projections under the nine-pillar integrated scenario are compelling: 115,000+ additional formal jobs annually by 2035; 1.5–2.8 million households lifted above the poverty line by the tenth year of implementation under the optimistic cooperative banking scenario (420,000–700,000 households under the moderate scenario by year six); a tax-to-GDP ratio rising from 14% to 22%, generating an additional USD 5–6 billion in domestic public revenue; and USD 2.5–5 billion in cooperative banking assets by 2035, mobilizing domestic savings previously circulating in informal systems outside productive investment channels.</w:t>
      </w:r>
      <w:r>
        <w:rPr>
          <w:lang w:val="en-US"/>
        </w:rPr>
        <w:t xml:space="preserve"> The nutraceutical and pharmacofitology sector, under the scenarios developed in Section 4.4, would add USD 0.8–1.25 billion annually by 2045 — representing 0.5–0.7% of projected GDP — while creating 25,000–45,000 direct jobs in research, production, quality control, and traditional knowledge governance, and indirectly supporting 50,000–80,000 additional livelihoods through supply chains and cooperative-based community benefit-sharing mechanisms.</w:t>
      </w:r>
    </w:p>
    <w:p w14:paraId="24F51776" w14:textId="77777777" w:rsidR="00533849" w:rsidRDefault="00000000">
      <w:pPr>
        <w:spacing w:before="80" w:after="80"/>
        <w:jc w:val="both"/>
      </w:pPr>
      <w:r>
        <w:t>Dr. Gervais Atta, drawing on three decades at the intersection of African banking, international finance, and development policy, frames the central strategic choice with precision: African finance has spent sixty years building institutions for the 15–20% of the population it can profitably serve with standard commercial banking products. Ubuntu cooperative banking builds institutions for the 80–85% — and in doing so creates the domestic demand, the productive investment, the institutional trust, and the political legitimacy that makes the entire growth architecture viable. Financial inclusion is not a welfare objective appended to a growth strategy; it is the demand-side foundation without which supply-side growth creates GDP statistics rather than national prosperity.</w:t>
      </w:r>
    </w:p>
    <w:p w14:paraId="6991C6DB" w14:textId="77777777" w:rsidR="00533849" w:rsidRDefault="00000000">
      <w:pPr>
        <w:spacing w:before="80" w:after="80"/>
        <w:jc w:val="both"/>
      </w:pPr>
      <w:r>
        <w:t xml:space="preserve">The mango trees are there. The cocoa trees are there. The students are there. The tontine members who have demonstrated for generations that African communities can organize sophisticated, high-performing financial systems without formal institutions — they are there. </w:t>
      </w:r>
    </w:p>
    <w:p w14:paraId="1886BA38" w14:textId="77777777" w:rsidR="00533849" w:rsidRDefault="00000000">
      <w:pPr>
        <w:spacing w:before="80" w:after="80"/>
        <w:jc w:val="both"/>
      </w:pPr>
      <w:r>
        <w:t>The traditional healers whose knowledge has sustained communities for millennia are there; the plant species whose bioactive compounds are awaiting scientific validation are there; the pharmacopoeia that disproves colonial claims of African knowledge inferiority is there. </w:t>
      </w:r>
    </w:p>
    <w:p w14:paraId="03A2B716" w14:textId="77777777" w:rsidR="00533849" w:rsidRDefault="00000000">
      <w:pPr>
        <w:spacing w:before="80" w:after="80"/>
        <w:jc w:val="both"/>
      </w:pPr>
      <w:r>
        <w:t xml:space="preserve">The question is whether Côte d'Ivoire will build the formal institutions worthy of the communities they serve, and whether the political will exists to implement a strategy that </w:t>
      </w:r>
      <w:r>
        <w:lastRenderedPageBreak/>
        <w:t>requires governing for 30 million Ivorians rather than the 5 million already served by the current economic architecture.</w:t>
      </w:r>
    </w:p>
    <w:p w14:paraId="14567813" w14:textId="77777777" w:rsidR="00533849" w:rsidRDefault="00000000">
      <w:pPr>
        <w:spacing w:before="80" w:after="80"/>
        <w:jc w:val="both"/>
      </w:pPr>
      <w:r>
        <w:t>Côte d'Ivoire does not need to discover oil, win a lottery, or wait for a miracle. It needs to process what it already grows, educate the children it is already producing, collect the taxes already owed, extend credit through the cooperative structures its communities already use, validate and commercialize the pharmacological knowledge its communities already possess</w:t>
      </w:r>
      <w:r>
        <w:rPr>
          <w:lang w:val="en-US"/>
        </w:rPr>
        <w:t xml:space="preserve">, </w:t>
      </w:r>
      <w:r>
        <w:t>and enforce the laws already written. The tools are here. The strategy is coherent, financed, and comparatively validated. What is required is the collective national decision to build it — and the institutional wisdom to build it in a way that the 30 million deserve.</w:t>
      </w:r>
    </w:p>
    <w:p w14:paraId="54492367" w14:textId="77777777" w:rsidR="00533849" w:rsidRDefault="00533849"/>
    <w:p w14:paraId="14E01098" w14:textId="77777777" w:rsidR="00533849" w:rsidRDefault="00000000">
      <w:pPr>
        <w:spacing w:before="280" w:after="80"/>
      </w:pPr>
      <w:r>
        <w:rPr>
          <w:b/>
          <w:bCs/>
        </w:rPr>
        <w:t>ACKNOWLEDGEMENTS</w:t>
      </w:r>
    </w:p>
    <w:p w14:paraId="72E95974" w14:textId="77777777" w:rsidR="00533849" w:rsidRDefault="00000000">
      <w:pPr>
        <w:spacing w:before="80" w:after="80"/>
        <w:jc w:val="both"/>
      </w:pPr>
      <w:r>
        <w:t>Dr. Gervais Atta contributed the banking and financial sector analysis in Sections VIII–IX, drawing on three decades of executive experience across SADC and ECOWAS financial markets. Dr. Yapo Guillaume Aboua contributed the pharmaceutical manufacturing analysis in Section 4.2, drawing on his biomedical and pharmaceutical sciences expertise at the School of Biomedical Sciences, Walter Sisulu University. This article is submitted in partial fulfilment of the Ph.D. publication requirements of Africa Research University. The authors declare no conflict of interest. This research received no specific external funding.</w:t>
      </w:r>
    </w:p>
    <w:p w14:paraId="7D19A6DB" w14:textId="77777777" w:rsidR="00533849" w:rsidRDefault="00533849"/>
    <w:p w14:paraId="5C23192A" w14:textId="77777777" w:rsidR="00533849" w:rsidRDefault="00000000">
      <w:pPr>
        <w:spacing w:before="280" w:after="80"/>
      </w:pPr>
      <w:r>
        <w:rPr>
          <w:b/>
          <w:bCs/>
        </w:rPr>
        <w:t>REFERENCES</w:t>
      </w:r>
    </w:p>
    <w:p w14:paraId="498958F8"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[1] Rodrik, D. (2016). Premature deindustrialization. Journal of Economic Growth, 21(1), 1–33. </w:t>
      </w:r>
      <w:hyperlink r:id="rId7" w:tgtFrame="https://chat.deepseek.com/a/chat/s/_blank" w:history="1">
        <w:r>
          <w:rPr>
            <w:rStyle w:val="Hyperlink"/>
            <w:rFonts w:eastAsia="Segoe UI"/>
            <w:color w:val="3964FE"/>
            <w:u w:val="none"/>
            <w:shd w:val="clear" w:color="auto" w:fill="FFFFFF"/>
          </w:rPr>
          <w:t>https://doi.org/10.1007/s10887-015-9122-3</w:t>
        </w:r>
      </w:hyperlink>
    </w:p>
    <w:p w14:paraId="3526ED79"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[2] Acemoglu, D., &amp; Robinson, J. A. (2012). Why nations fail: The origins of power, prosperity, and poverty. Crown Publishers.</w:t>
      </w:r>
    </w:p>
    <w:p w14:paraId="31710A75"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[3] World Bank. (2024). Côte d'Ivoire systematic country diagnostic 2024. Washington, D.C.: World Bank Group.</w:t>
      </w:r>
    </w:p>
    <w:p w14:paraId="58AAF9A1"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[4] BCEAO (Banque Centrale des États de l'Afrique de l'Ouest). (2023). Rapport annuel sur l'inclusion financière et les services financiers numériques en zone UEMOA. Dakar: BCEAO.</w:t>
      </w:r>
    </w:p>
    <w:p w14:paraId="32376823"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[5] FIRCA (Fonds Interprofessionnel pour la Recherche et le Conseil Agricoles). (2022). État des lieux des filières agricoles de Côte d'Ivoire: Production, transformation et commercialisation. Abidjan: FIRCA.</w:t>
      </w:r>
    </w:p>
    <w:p w14:paraId="12A2C79B"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[6] Beck, T., Levine, R., &amp; Loayza, N. (2000). Finance and the sources of growth. Journal of Financial Economics, 58(1–2), 261–300. </w:t>
      </w:r>
      <w:hyperlink r:id="rId8" w:tgtFrame="https://chat.deepseek.com/a/chat/s/_blank" w:history="1">
        <w:r>
          <w:rPr>
            <w:rStyle w:val="Hyperlink"/>
            <w:rFonts w:eastAsia="Segoe UI"/>
            <w:color w:val="3964FE"/>
            <w:u w:val="none"/>
            <w:shd w:val="clear" w:color="auto" w:fill="FFFFFF"/>
          </w:rPr>
          <w:t>https://doi.org/10.1016/S0304-405X(00)00072-6</w:t>
        </w:r>
      </w:hyperlink>
    </w:p>
    <w:p w14:paraId="09D04454"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[7] Honohan, P., &amp; Beck, T. (2007). Making finance work for Africa. World Bank. </w:t>
      </w:r>
      <w:hyperlink r:id="rId9" w:tgtFrame="https://chat.deepseek.com/a/chat/s/_blank" w:history="1">
        <w:r>
          <w:rPr>
            <w:rStyle w:val="Hyperlink"/>
            <w:rFonts w:eastAsia="Segoe UI"/>
            <w:color w:val="3964FE"/>
            <w:u w:val="none"/>
            <w:shd w:val="clear" w:color="auto" w:fill="FFFFFF"/>
          </w:rPr>
          <w:t>https://doi.org/10.1596/978-0-8213-6909-8</w:t>
        </w:r>
      </w:hyperlink>
    </w:p>
    <w:p w14:paraId="15D9F4C7"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[8] Kouadio, J.-F. (2026a). The Neuro-Anthropological Leadership Model (NALM): A paradigm shift in development economics. International Journal of Research and Innovation in Social Science, 10(3), 5691–5699. </w:t>
      </w:r>
      <w:hyperlink r:id="rId10" w:tgtFrame="https://chat.deepseek.com/a/chat/s/_blank" w:history="1">
        <w:r>
          <w:rPr>
            <w:rStyle w:val="Hyperlink"/>
            <w:rFonts w:eastAsia="Segoe UI"/>
            <w:color w:val="3964FE"/>
            <w:u w:val="none"/>
            <w:shd w:val="clear" w:color="auto" w:fill="FFFFFF"/>
          </w:rPr>
          <w:t>https://doi.org/10.47772/IJRISS.2026.100300407</w:t>
        </w:r>
      </w:hyperlink>
    </w:p>
    <w:p w14:paraId="65903ADA"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[9] Habib, M., &amp; Zurawicki, L. (2002). Corruption and foreign direct investment. Journal of International Business Studies, 33(2), 291–307. </w:t>
      </w:r>
      <w:hyperlink r:id="rId11" w:tgtFrame="https://chat.deepseek.com/a/chat/s/_blank" w:history="1">
        <w:r>
          <w:rPr>
            <w:rStyle w:val="Hyperlink"/>
            <w:rFonts w:eastAsia="Segoe UI"/>
            <w:color w:val="3964FE"/>
            <w:u w:val="none"/>
            <w:shd w:val="clear" w:color="auto" w:fill="FFFFFF"/>
          </w:rPr>
          <w:t>https://doi.org/10.1057/palgrave.jibs.8491017</w:t>
        </w:r>
      </w:hyperlink>
    </w:p>
    <w:p w14:paraId="692E9EC0"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[10] Transparency International. (2024). Corruption perceptions index 2023. Berlin: Transparency International. </w:t>
      </w:r>
      <w:hyperlink r:id="rId12" w:tgtFrame="https://chat.deepseek.com/a/chat/s/_blank" w:history="1">
        <w:r>
          <w:rPr>
            <w:rStyle w:val="Hyperlink"/>
            <w:rFonts w:eastAsia="Segoe UI"/>
            <w:color w:val="3964FE"/>
            <w:u w:val="none"/>
            <w:shd w:val="clear" w:color="auto" w:fill="FFFFFF"/>
          </w:rPr>
          <w:t>https://www.transparency.org/en/cpi/2023</w:t>
        </w:r>
      </w:hyperlink>
    </w:p>
    <w:p w14:paraId="3C8D189F"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lastRenderedPageBreak/>
        <w:t>[11] Kouadio, J.-F. (2025). Côte d'Ivoire 2045: A national strategy to double GDP. Strategic Development Series, Report No. 7. Unpublished strategy report.</w:t>
      </w:r>
    </w:p>
    <w:p w14:paraId="0BF662AF"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[12] European Commission. (2023). EU Deforestation Regulation (EUDR): Guidance for operators and traders. Brussels: DG ENV.</w:t>
      </w:r>
    </w:p>
    <w:p w14:paraId="06347BAA"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[13] CNRA (Centre National de Recherche Agronomique). (2021). Rapport annuel sur l'amélioration variétale et les rendements agricoles en Côte d'Ivoire. Bouaké: CNRA.</w:t>
      </w:r>
    </w:p>
    <w:p w14:paraId="2678E30E"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[14] World Bank. (2023). Vietnam development report 2023: Unlocking growth. Washington, D.C.: World Bank Group.</w:t>
      </w:r>
    </w:p>
    <w:p w14:paraId="06AB4FB4"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[15] African Union. (2022). Africa pharmaceutical manufacturing: Roadmap to 60% local production by 2040. Addis Ababa: AU Publications.</w:t>
      </w:r>
    </w:p>
    <w:p w14:paraId="751D6808"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[16] Amsden, A. H. (1989). Asia's next giant: South Korea and late industrialization. Oxford University Press.</w:t>
      </w:r>
    </w:p>
    <w:p w14:paraId="042CEB3A"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[17] Rwanda Development Board. (2023). Rwanda economic development and poverty reduction strategy: Annual report 2022/23. Kigali: RDB.</w:t>
      </w:r>
    </w:p>
    <w:p w14:paraId="4A48CE56"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[18] Mergel, I., Edelmann, N., &amp; Haug, N. (2019). Defining digital transformation: Results from expert interviews. Government Information Quarterly, 36(4), 101385. </w:t>
      </w:r>
      <w:hyperlink r:id="rId13" w:tgtFrame="https://chat.deepseek.com/a/chat/s/_blank" w:history="1">
        <w:r>
          <w:rPr>
            <w:rStyle w:val="Hyperlink"/>
            <w:rFonts w:eastAsia="Segoe UI"/>
            <w:color w:val="3964FE"/>
            <w:u w:val="none"/>
            <w:shd w:val="clear" w:color="auto" w:fill="FFFFFF"/>
          </w:rPr>
          <w:t>https://doi.org/10.1016/j.giq.2019.06.002</w:t>
        </w:r>
      </w:hyperlink>
    </w:p>
    <w:p w14:paraId="662090E8"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[19] MENET-FP (Ministère de l'Éducation Nationale). (2023). Rapport annuel sur l'état de l'éducation en Côte d'Ivoire 2023. Abidjan: MENET-FP.</w:t>
      </w:r>
    </w:p>
    <w:p w14:paraId="0A64020E"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[20] Euler, D. (2013). Germany's dual vocational training system: A model for other countries? Gütersloh: Bertelsmann Stiftung.</w:t>
      </w:r>
    </w:p>
    <w:p w14:paraId="39AF8A89"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[21] African Development Bank. (2024). African economic outlook 2024: Driving Africa's transformation. Abidjan: AfDB.</w:t>
      </w:r>
    </w:p>
    <w:p w14:paraId="1E626D22"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[22] République de Côte d'Ivoire. (2021). Plan National de Développement 2021–2025. Abidjan: Ministère du Plan et du Développement.</w:t>
      </w:r>
    </w:p>
    <w:p w14:paraId="41017024"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[23] Besley, T., &amp; Ghatak, M. (2009). Property rights and economic development. In D. Rodrik &amp; M. Rosenzweig (Eds.), Handbook of development economics (Vol. 5, pp. 4525–4595). North-Holland.</w:t>
      </w:r>
    </w:p>
    <w:p w14:paraId="6F37F728"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[24] IMF. (2023). Côte d'Ivoire: Article IV consultation 2023 — staff report. Washington, D.C.: International Monetary Fund.</w:t>
      </w:r>
    </w:p>
    <w:p w14:paraId="5111B0D1"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[25] ANARE-CI. (2022). Rapport annuel sur le secteur de l'électricité en Côte d'Ivoire. Abidjan: ANARE-CI.</w:t>
      </w:r>
    </w:p>
    <w:p w14:paraId="2EB9225C"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[26] African Union. (2021). African Continental Free Trade Area: Implementation strategy and roadmap. Addis Ababa: AU Publications.</w:t>
      </w:r>
    </w:p>
    <w:p w14:paraId="0F67F47F"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[27] UNCTAD. (2023). World investment report 2023: Investing in sustainable energy for all. Geneva: UNCTAD.</w:t>
      </w:r>
    </w:p>
    <w:p w14:paraId="221B7425"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[28] Levine, R. (2005). Finance and growth: Theory and evidence. In P. Aghion &amp; S. Durlauf (Eds.), Handbook of economic growth (Vol. 1A, pp. 865–934). Elsevier. </w:t>
      </w:r>
      <w:hyperlink r:id="rId14" w:tgtFrame="https://chat.deepseek.com/a/chat/s/_blank" w:history="1">
        <w:r>
          <w:rPr>
            <w:rStyle w:val="Hyperlink"/>
            <w:rFonts w:eastAsia="Segoe UI"/>
            <w:color w:val="3964FE"/>
            <w:u w:val="none"/>
            <w:shd w:val="clear" w:color="auto" w:fill="FFFFFF"/>
          </w:rPr>
          <w:t>https://doi.org/10.1016/S1574-0684(05)01012-9</w:t>
        </w:r>
      </w:hyperlink>
    </w:p>
    <w:p w14:paraId="12437846"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[29] Roth, J. (2001). Informal micro-finance schemes: The case of funeral insurance in South Africa. ILO Social Finance Unit Working Paper No. 22.</w:t>
      </w:r>
    </w:p>
    <w:p w14:paraId="4169DE2F"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 xml:space="preserve">[30] Kouadio, J.-F., &amp; Atta, G. (2026c). Rebuilding trust in African finance: A Neuro-Anthropological Leadership Model for banking and insurance sector </w:t>
      </w:r>
      <w:r>
        <w:rPr>
          <w:rFonts w:eastAsia="Segoe UI"/>
          <w:color w:val="0F1115"/>
          <w:shd w:val="clear" w:color="auto" w:fill="FFFFFF"/>
        </w:rPr>
        <w:lastRenderedPageBreak/>
        <w:t>transformation. International Journal of Research and Innovation in Social Science (forthcoming).</w:t>
      </w:r>
    </w:p>
    <w:p w14:paraId="157D993A"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[31] Austin, G., &amp; Broadberry, S. (2014). The historical roots of under-development in sub-Saharan Africa. European Review of Economic History, 18(4), 387–409. </w:t>
      </w:r>
      <w:hyperlink r:id="rId15" w:tgtFrame="https://chat.deepseek.com/a/chat/s/_blank" w:history="1">
        <w:r>
          <w:rPr>
            <w:rStyle w:val="Hyperlink"/>
            <w:rFonts w:eastAsia="Segoe UI"/>
            <w:color w:val="3964FE"/>
            <w:u w:val="none"/>
            <w:shd w:val="clear" w:color="auto" w:fill="FFFFFF"/>
          </w:rPr>
          <w:t>https://doi.org/10.1093/ereh/heu019</w:t>
        </w:r>
      </w:hyperlink>
    </w:p>
    <w:p w14:paraId="0E6C0BFB"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[32] Brownbridge, M., &amp; Harvey, C. (1998). Banking in Africa: The impact of financial sector reform since independence. James Currey.</w:t>
      </w:r>
    </w:p>
    <w:p w14:paraId="621461B7"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[33] Beck, T., Demirgüç-Kunt, A., &amp; Levine, R. (2011). Bank concentration and fragility: Impact and mechanics. In M. Carey &amp; R. Stulz (Eds.), The risks of financial institutions (pp. 193–231). University of Chicago Press.</w:t>
      </w:r>
    </w:p>
    <w:p w14:paraId="42F598E6"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[34] Suri, T., &amp; Jack, W. (2016). The long-run poverty and gender impacts of mobile money. Science, 354(6317), 1288–1292. </w:t>
      </w:r>
      <w:hyperlink r:id="rId16" w:tgtFrame="https://chat.deepseek.com/a/chat/s/_blank" w:history="1">
        <w:r>
          <w:rPr>
            <w:rStyle w:val="Hyperlink"/>
            <w:rFonts w:eastAsia="Segoe UI"/>
            <w:color w:val="3964FE"/>
            <w:u w:val="none"/>
            <w:shd w:val="clear" w:color="auto" w:fill="FFFFFF"/>
          </w:rPr>
          <w:t>https://doi.org/10.1126/science.aah5309</w:t>
        </w:r>
      </w:hyperlink>
    </w:p>
    <w:p w14:paraId="62F78D37"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[35] Jack, W., &amp; Suri, T. (2011). Mobile money: The economics of M-Pesa. NBER Working Paper No. 16721. </w:t>
      </w:r>
      <w:hyperlink r:id="rId17" w:tgtFrame="https://chat.deepseek.com/a/chat/s/_blank" w:history="1">
        <w:r>
          <w:rPr>
            <w:rStyle w:val="Hyperlink"/>
            <w:rFonts w:eastAsia="Segoe UI"/>
            <w:color w:val="3964FE"/>
            <w:u w:val="none"/>
            <w:shd w:val="clear" w:color="auto" w:fill="FFFFFF"/>
          </w:rPr>
          <w:t>https://doi.org/10.3386/w16721</w:t>
        </w:r>
      </w:hyperlink>
    </w:p>
    <w:p w14:paraId="4DF152C4"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[36] Mullainathan, S., &amp; Shafir, E. (2013). Scarcity: Why having too little means so much. Henry Holt.</w:t>
      </w:r>
    </w:p>
    <w:p w14:paraId="3E011699"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[37] Tomasello, M. (2016). A natural history of human morality. Harvard University Press.</w:t>
      </w:r>
    </w:p>
    <w:p w14:paraId="4ACCCCEA"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[38] Genesis Analytics. (2020). The state of the stokvel industry in South Africa. Johannesburg: Genesis Analytics.</w:t>
      </w:r>
    </w:p>
    <w:p w14:paraId="2DDE04FA"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[39] Armendáriz, B., &amp; Morduch, J. (2010). The economics of microfinance (2nd ed.). MIT Press.</w:t>
      </w:r>
    </w:p>
    <w:p w14:paraId="3971A7BD"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[40] Bonin, J. P., Jones, D. C., &amp; Putterman, L. (1993). Theoretical and empirical studies of producer cooperatives: Will ever the twain meet? Journal of Economic Literature, 31(3), 1290–1320.</w:t>
      </w:r>
    </w:p>
    <w:p w14:paraId="583CCAFC"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[41] National Bank of Ethiopia. (2022). Annual report 2021/22: Microfinance sector performance. Addis Ababa: NBE.</w:t>
      </w:r>
    </w:p>
    <w:p w14:paraId="2F4410C5"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[42] SASRA (Sacco Societies Regulatory Authority). (2022). SACCO supervision annual report 2022. Nairobi: Government of Kenya.</w:t>
      </w:r>
    </w:p>
    <w:p w14:paraId="61442CA2"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[43] FIRCA. (2019). Étude sur le financement des filières agricoles par les coopératives: Potentiel et contraintes en Côte d'Ivoire. Abidjan: FIRCA.</w:t>
      </w:r>
    </w:p>
    <w:p w14:paraId="0F711F3E"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[44] Kabeer, N. (2005). Is microfinance a "magic bullet" for women's empowerment? Analysis of findings from South Asia. Economic and Political Weekly, 40(44/45), 4709–4718.</w:t>
      </w:r>
    </w:p>
    <w:p w14:paraId="01C83F94"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[45] Swain, R. B., &amp; Wallentin, F. Y. (2012). Factors empowering women in Indian self-help group programmes. International Review of Applied Economics, 26(4), 425–444. </w:t>
      </w:r>
      <w:hyperlink r:id="rId18" w:tgtFrame="https://chat.deepseek.com/a/chat/s/_blank" w:history="1">
        <w:r>
          <w:rPr>
            <w:rStyle w:val="Hyperlink"/>
            <w:rFonts w:eastAsia="Segoe UI"/>
            <w:color w:val="3964FE"/>
            <w:u w:val="none"/>
            <w:shd w:val="clear" w:color="auto" w:fill="FFFFFF"/>
          </w:rPr>
          <w:t>https://doi.org/10.1080/02692171.2011.619972</w:t>
        </w:r>
      </w:hyperlink>
    </w:p>
    <w:p w14:paraId="7A3BD120"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[46] World Bank. (2022). Women, business and the law 2022. Washington, D.C.: World Bank Group.</w:t>
      </w:r>
    </w:p>
    <w:p w14:paraId="63D2B9F4"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[47] Binagwaho, A., Farmer, P. E., Nsanzimana, S., Karema, C., Gasana, M., de Dieu Ngirabega, J., Ngabo, F., Wagner, C. M., Nutt, C. T., Nyatanyi, T., Gatera, M., &amp; Kayumba, J. (2014). Rwanda 20 years on: Investing in life. The Lancet, 384(9940), 371–375. </w:t>
      </w:r>
      <w:hyperlink r:id="rId19" w:tgtFrame="https://chat.deepseek.com/a/chat/s/_blank" w:history="1">
        <w:r>
          <w:rPr>
            <w:rStyle w:val="Hyperlink"/>
            <w:rFonts w:eastAsia="Segoe UI"/>
            <w:color w:val="3964FE"/>
            <w:u w:val="none"/>
            <w:shd w:val="clear" w:color="auto" w:fill="FFFFFF"/>
          </w:rPr>
          <w:t>https://doi.org/10.1016/S0140-6736(14)60574-2</w:t>
        </w:r>
      </w:hyperlink>
    </w:p>
    <w:p w14:paraId="2634A3D4"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[48] Haushofer, J., &amp; Fehr, E. (2014). On the psychology of poverty. Science, 344(6186), 862–867. </w:t>
      </w:r>
      <w:hyperlink r:id="rId20" w:tgtFrame="https://chat.deepseek.com/a/chat/s/_blank" w:history="1">
        <w:r>
          <w:rPr>
            <w:rStyle w:val="Hyperlink"/>
            <w:rFonts w:eastAsia="Segoe UI"/>
            <w:color w:val="3964FE"/>
            <w:u w:val="none"/>
            <w:shd w:val="clear" w:color="auto" w:fill="FFFFFF"/>
          </w:rPr>
          <w:t>https://doi.org/10.1126/science.1232491</w:t>
        </w:r>
      </w:hyperlink>
    </w:p>
    <w:p w14:paraId="4C7DBBDB"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lastRenderedPageBreak/>
        <w:t>[49] Mani, A., Mullainathan, S., Shafir, E., &amp; Zhao, J. (2013). Poverty impedes cognitive function. Science, 341(6149), 976–980. </w:t>
      </w:r>
      <w:hyperlink r:id="rId21" w:tgtFrame="https://chat.deepseek.com/a/chat/s/_blank" w:history="1">
        <w:r>
          <w:rPr>
            <w:rStyle w:val="Hyperlink"/>
            <w:rFonts w:eastAsia="Segoe UI"/>
            <w:color w:val="3964FE"/>
            <w:u w:val="none"/>
            <w:shd w:val="clear" w:color="auto" w:fill="FFFFFF"/>
          </w:rPr>
          <w:t>https://doi.org/10.1126/science.1238041</w:t>
        </w:r>
      </w:hyperlink>
    </w:p>
    <w:p w14:paraId="0E9C911C"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[50] Kolb, B., &amp; Whishaw, I. Q. (2015). Fundamentals of human neuropsychology (7th ed.). Worth Publishers.</w:t>
      </w:r>
    </w:p>
    <w:p w14:paraId="27779CC4"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[51] IMF. (2024). Regional economic outlook sub-Saharan Africa: A tepid and pricey recovery. Washington, D.C.: International Monetary Fund.</w:t>
      </w:r>
    </w:p>
    <w:p w14:paraId="32C5CA85"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[52] Koné, M., Koné, D., &amp; Kamanzi, A. (2016). Ethnobotanical survey of medicinal plants used in the treatment of malaria in Côte d'Ivoire. Journal of Ethnopharmacology, 189, 127–140. </w:t>
      </w:r>
      <w:hyperlink r:id="rId22" w:tgtFrame="https://chat.deepseek.com/a/chat/s/_blank" w:history="1">
        <w:r>
          <w:rPr>
            <w:rStyle w:val="Hyperlink"/>
            <w:rFonts w:eastAsia="Segoe UI"/>
            <w:color w:val="3964FE"/>
            <w:u w:val="none"/>
            <w:shd w:val="clear" w:color="auto" w:fill="FFFFFF"/>
          </w:rPr>
          <w:t>https://doi.org/10.1016/j.jep.2016.05.015</w:t>
        </w:r>
      </w:hyperlink>
    </w:p>
    <w:p w14:paraId="68F71672"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[53] Adjanohoun, E. J., Ahyi, A. M. R., Ake Assi, L., et al. (1991). Contribution to ethnobotanical and floristic studies in Côte d'Ivoire. Paris: ACCT.</w:t>
      </w:r>
    </w:p>
    <w:p w14:paraId="6A251437"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[54] World Health Organization. (2022). WHO global report on traditional and complementary medicine 2022. Geneva: WHO.</w:t>
      </w:r>
    </w:p>
    <w:p w14:paraId="2B85650A"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[55] Grand View Research. (2023). Nutraceuticals market size, share &amp; trends analysis report, 2023–2030. San Francisco: Grand View Research.</w:t>
      </w:r>
    </w:p>
    <w:p w14:paraId="3781E90E"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[56] Mordor Intelligence. (2023). Herbal medicine market — Growth, trends, and forecast (2023–2030). Hyderabad: Mordor Intelligence.</w:t>
      </w:r>
    </w:p>
    <w:p w14:paraId="0DD68F50"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[57] Comaroff, J. (1993). The diseased heart of Africa: Medicine, colonialism, and the black body. In S. Lindenbaum &amp; M. Lock (Eds.), Knowledge, power, and practice: The anthropology of medicine and everyday life (pp. 305–329). University of California Press.</w:t>
      </w:r>
    </w:p>
    <w:p w14:paraId="7B449FA4"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[58] Vaughan, M. (1991). Curing their ills: Colonial power and African illness. Stanford University Press.</w:t>
      </w:r>
    </w:p>
    <w:p w14:paraId="12AD3D88"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[59] National Assembly of Côte d'Ivoire. (1995). Law No. 95-08 on the practice of traditional medicine in Côte d'Ivoire. Abidjan: Journal Officiel.</w:t>
      </w:r>
    </w:p>
    <w:p w14:paraId="1B1E5410"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[60] Pandey, M., Verma, R. K., &amp; Saraf, S. A. (2010). Nutraceuticals: New era of medicine and health. Asian Journal of Pharmaceutical and Clinical Research, 3(1), 11–15.</w:t>
      </w:r>
    </w:p>
    <w:p w14:paraId="758BB27D"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[61] Grassi, D., Desideri, G., &amp; Ferri, C. (2013). Cocoa flavanols and the cardiovascular system. British Journal of Clinical Pharmacology, 75(5), 1203–1212. </w:t>
      </w:r>
      <w:hyperlink r:id="rId23" w:tgtFrame="https://chat.deepseek.com/a/chat/s/_blank" w:history="1">
        <w:r>
          <w:rPr>
            <w:rStyle w:val="Hyperlink"/>
            <w:rFonts w:eastAsia="Segoe UI"/>
            <w:color w:val="3964FE"/>
            <w:u w:val="none"/>
            <w:shd w:val="clear" w:color="auto" w:fill="FFFFFF"/>
          </w:rPr>
          <w:t>https://doi.org/10.1111/j.1365-2125.2012.04260.x</w:t>
        </w:r>
      </w:hyperlink>
    </w:p>
    <w:p w14:paraId="0B4B6CF5"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[62] Ellam, S., &amp; Williamson, G. (2013). Cocoa and human health. Annual Review of Nutrition, 33, 105–128. </w:t>
      </w:r>
      <w:hyperlink r:id="rId24" w:tgtFrame="https://chat.deepseek.com/a/chat/s/_blank" w:history="1">
        <w:r>
          <w:rPr>
            <w:rStyle w:val="Hyperlink"/>
            <w:rFonts w:eastAsia="Segoe UI"/>
            <w:color w:val="3964FE"/>
            <w:u w:val="none"/>
            <w:shd w:val="clear" w:color="auto" w:fill="FFFFFF"/>
          </w:rPr>
          <w:t>https://doi.org/10.1146/annurev-nutr-071811-150642</w:t>
        </w:r>
      </w:hyperlink>
    </w:p>
    <w:p w14:paraId="679FBD1B"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[63] OECD/FAO. (2023). Agricultural outlook 2023–2032. Paris: OECD Publishing. </w:t>
      </w:r>
      <w:hyperlink r:id="rId25" w:tgtFrame="https://chat.deepseek.com/a/chat/s/_blank" w:history="1">
        <w:r>
          <w:rPr>
            <w:rStyle w:val="Hyperlink"/>
            <w:rFonts w:eastAsia="Segoe UI"/>
            <w:color w:val="3964FE"/>
            <w:u w:val="none"/>
            <w:shd w:val="clear" w:color="auto" w:fill="FFFFFF"/>
          </w:rPr>
          <w:t>https://doi.org/10.1787/19991142</w:t>
        </w:r>
      </w:hyperlink>
    </w:p>
    <w:p w14:paraId="7626A74C"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[64] Trevisan, M. T. S., Pfundstein, B., Haubner, R., Wurtele, G., Spiegelhalder, B., Bartsch, H., &amp; Owen, R. W. (2006). Characterization of alkyl phenols in cashew (Anacardium occidentale) products and assay of their antioxidant capacity. Food and Chemical Toxicology, 44(2), 188–197. </w:t>
      </w:r>
      <w:hyperlink r:id="rId26" w:tgtFrame="https://chat.deepseek.com/a/chat/s/_blank" w:history="1">
        <w:r>
          <w:rPr>
            <w:rStyle w:val="Hyperlink"/>
            <w:rFonts w:eastAsia="Segoe UI"/>
            <w:color w:val="3964FE"/>
            <w:u w:val="none"/>
            <w:shd w:val="clear" w:color="auto" w:fill="FFFFFF"/>
          </w:rPr>
          <w:t>https://doi.org/10.1016/j.fct.2005.06.012</w:t>
        </w:r>
      </w:hyperlink>
    </w:p>
    <w:p w14:paraId="43ECFD6E"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[65] Patel, M. V., &amp; Patel, K. G. (2022). Cashew nut shell liquid (CNSL): A versatile biorenewable feedstock for industrial applications. Industrial Crops and Products, 178, 114583. </w:t>
      </w:r>
      <w:hyperlink r:id="rId27" w:tgtFrame="https://chat.deepseek.com/a/chat/s/_blank" w:history="1">
        <w:r>
          <w:rPr>
            <w:rStyle w:val="Hyperlink"/>
            <w:rFonts w:eastAsia="Segoe UI"/>
            <w:color w:val="3964FE"/>
            <w:u w:val="none"/>
            <w:shd w:val="clear" w:color="auto" w:fill="FFFFFF"/>
          </w:rPr>
          <w:t>https://doi.org/10.1016/j.indcrop.2022.114583</w:t>
        </w:r>
      </w:hyperlink>
    </w:p>
    <w:p w14:paraId="75C3314F"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[66] FAO. (2024). Cashew market outlook 2024. Rome: Food and Agriculture Organization.</w:t>
      </w:r>
    </w:p>
    <w:p w14:paraId="5C47A76C"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[67] Imran, M., Arshad, M. S., Butt, M. S., Kwon, J. H., Arshad, M. U., &amp; Sultan, M. T. (2017). Mangiferin: A natural miracle bioactive compound against lifestyle related disorders. Lipids in Health and Disease, 16(1), 84. </w:t>
      </w:r>
      <w:hyperlink r:id="rId28" w:tgtFrame="https://chat.deepseek.com/a/chat/s/_blank" w:history="1">
        <w:r>
          <w:rPr>
            <w:rStyle w:val="Hyperlink"/>
            <w:rFonts w:eastAsia="Segoe UI"/>
            <w:color w:val="3964FE"/>
            <w:u w:val="none"/>
            <w:shd w:val="clear" w:color="auto" w:fill="FFFFFF"/>
          </w:rPr>
          <w:t>https://doi.org/10.1186/s12944-017-0449-y</w:t>
        </w:r>
      </w:hyperlink>
    </w:p>
    <w:p w14:paraId="43EEC0A9"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lastRenderedPageBreak/>
        <w:t>[68] Gold-Smith, F., Fernandez, A., &amp; Bishop, K. (2018). Mangiferin and cancer: Mechanisms of action. Nutrients, 10(8), 1064. </w:t>
      </w:r>
      <w:hyperlink r:id="rId29" w:tgtFrame="https://chat.deepseek.com/a/chat/s/_blank" w:history="1">
        <w:r>
          <w:rPr>
            <w:rStyle w:val="Hyperlink"/>
            <w:rFonts w:eastAsia="Segoe UI"/>
            <w:color w:val="3964FE"/>
            <w:u w:val="none"/>
            <w:shd w:val="clear" w:color="auto" w:fill="FFFFFF"/>
          </w:rPr>
          <w:t>https://doi.org/10.3390/nu10081064</w:t>
        </w:r>
      </w:hyperlink>
    </w:p>
    <w:p w14:paraId="3961F8D9"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[69] Heinrich, M., &amp; Gibbons, S. (2001). Ethnopharmacology in drug discovery: An analysis of its role and potential contribution. Journal of Pharmacy and Pharmacology, 53(4), 425–432. </w:t>
      </w:r>
      <w:hyperlink r:id="rId30" w:tgtFrame="https://chat.deepseek.com/a/chat/s/_blank" w:history="1">
        <w:r>
          <w:rPr>
            <w:rStyle w:val="Hyperlink"/>
            <w:rFonts w:eastAsia="Segoe UI"/>
            <w:color w:val="3964FE"/>
            <w:u w:val="none"/>
            <w:shd w:val="clear" w:color="auto" w:fill="FFFFFF"/>
          </w:rPr>
          <w:t>https://doi.org/10.1211/0022357011775712</w:t>
        </w:r>
      </w:hyperlink>
    </w:p>
    <w:p w14:paraId="7E94746B"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[70] Fabricant, D. S., &amp; Farnsworth, N. R. (2001). The value of plants used in traditional medicine for drug discovery. Environmental Health Perspectives, 109(Suppl 1), 69–75. </w:t>
      </w:r>
      <w:hyperlink r:id="rId31" w:tgtFrame="https://chat.deepseek.com/a/chat/s/_blank" w:history="1">
        <w:r>
          <w:rPr>
            <w:rStyle w:val="Hyperlink"/>
            <w:rFonts w:eastAsia="Segoe UI"/>
            <w:color w:val="3964FE"/>
            <w:u w:val="none"/>
            <w:shd w:val="clear" w:color="auto" w:fill="FFFFFF"/>
          </w:rPr>
          <w:t>https://doi.org/10.1289/ehp.01109s169</w:t>
        </w:r>
      </w:hyperlink>
    </w:p>
    <w:p w14:paraId="20433A0A"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[71] Zirihi, G. N., Mambu, L., Guédé-Guina, F., Bodo, B., &amp; Grellier, P. (2005). In vitro antiplasmodial activity and cytotoxicity of 33 West African plants used for treatment of malaria. Journal of Ethnopharmacology, 98(3), 281–285. </w:t>
      </w:r>
      <w:hyperlink r:id="rId32" w:tgtFrame="https://chat.deepseek.com/a/chat/s/_blank" w:history="1">
        <w:r>
          <w:rPr>
            <w:rStyle w:val="Hyperlink"/>
            <w:rFonts w:eastAsia="Segoe UI"/>
            <w:color w:val="3964FE"/>
            <w:u w:val="none"/>
            <w:shd w:val="clear" w:color="auto" w:fill="FFFFFF"/>
          </w:rPr>
          <w:t>https://doi.org/10.1016/j.jep.2005.01.004</w:t>
        </w:r>
      </w:hyperlink>
    </w:p>
    <w:p w14:paraId="4E164D33"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[72] Djakouré, A. M. (2021). Pharmacopée traditionnelle de Côte d'Ivoire: Inventaire des espèces médicinales et leurs usages. Abidjan: CNRA Publications.</w:t>
      </w:r>
    </w:p>
    <w:p w14:paraId="489C86E0"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[73] United Nations. (2014). Nagoya Protocol on Access to Genetic Resources and the Fair and Equitable Sharing of Benefits Arising from their Utilization. Montreal: Secretariat of the Convention on Biological Diversity.</w:t>
      </w:r>
    </w:p>
    <w:p w14:paraId="37EF280D"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[74] WHO. (2007). WHO guidelines on good manufacturing practices for herbal medicines. Geneva: World Health Organization.</w:t>
      </w:r>
    </w:p>
    <w:p w14:paraId="6CE04B0B"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[75] WHO. (2005). National policy on traditional medicine and regulation of herbal medicines. Geneva: World Health Organization.</w:t>
      </w:r>
    </w:p>
    <w:p w14:paraId="73ABDA68"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[76] Janzen, J. M. (1995). The quest for therapy in lower Zaire. University of California Press. (Original work published 1978)</w:t>
      </w:r>
    </w:p>
    <w:p w14:paraId="22E6B9E6"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[77] Aza, B. L. M., &amp; Tano, K. N. (2018). Perceptions and use of traditional medicine in Côte d'Ivoire. African Journal of Traditional, Complementary and Alternative Medicines, 15(2), 64–73. </w:t>
      </w:r>
      <w:hyperlink r:id="rId33" w:tgtFrame="https://chat.deepseek.com/a/chat/s/_blank" w:history="1">
        <w:r>
          <w:rPr>
            <w:rStyle w:val="Hyperlink"/>
            <w:rFonts w:eastAsia="Segoe UI"/>
            <w:color w:val="3964FE"/>
            <w:u w:val="none"/>
            <w:shd w:val="clear" w:color="auto" w:fill="FFFFFF"/>
          </w:rPr>
          <w:t>https://doi.org/10.21010/ajtcam.v15i2.7</w:t>
        </w:r>
      </w:hyperlink>
    </w:p>
    <w:p w14:paraId="0876789C"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[78] Yapi, R. B., et al. (2020). Traditional medicine utilisation and its determinants in urban and rural settings in Côte d'Ivoire. BMC Complementary Medicine and Therapies, 20(1), 214. </w:t>
      </w:r>
      <w:hyperlink r:id="rId34" w:tgtFrame="https://chat.deepseek.com/a/chat/s/_blank" w:history="1">
        <w:r>
          <w:rPr>
            <w:rStyle w:val="Hyperlink"/>
            <w:rFonts w:eastAsia="Segoe UI"/>
            <w:color w:val="3964FE"/>
            <w:u w:val="none"/>
            <w:shd w:val="clear" w:color="auto" w:fill="FFFFFF"/>
          </w:rPr>
          <w:t>https://doi.org/10.1186/s12906-020-03000-2</w:t>
        </w:r>
      </w:hyperlink>
    </w:p>
    <w:p w14:paraId="43FDBA29" w14:textId="77777777" w:rsidR="00533849" w:rsidRDefault="00000000">
      <w:pPr>
        <w:pStyle w:val="NormalWeb"/>
        <w:shd w:val="clear" w:color="auto" w:fill="FFFFFF"/>
        <w:spacing w:before="96" w:after="96"/>
        <w:jc w:val="both"/>
        <w:rPr>
          <w:rFonts w:eastAsia="Segoe UI"/>
          <w:color w:val="3964FE"/>
          <w:bdr w:val="single" w:sz="6" w:space="0" w:color="auto"/>
          <w:shd w:val="clear" w:color="auto" w:fill="FFFFFF"/>
        </w:rPr>
      </w:pPr>
      <w:r>
        <w:rPr>
          <w:rFonts w:eastAsia="Segoe UI"/>
          <w:color w:val="0F1115"/>
          <w:shd w:val="clear" w:color="auto" w:fill="FFFFFF"/>
        </w:rPr>
        <w:t>[79] Cimanga, K., De Bruyne, T., Lasure, A., Van Poel, B., Pieters, L., Claeys, M., &amp; Vlietinck, A. J. (1996). In vitro antiplasmodial activity of Cryptolepis sanguinolenta. Planta Medica, 62(1), 22–26. </w:t>
      </w:r>
      <w:hyperlink r:id="rId35" w:tgtFrame="https://chat.deepseek.com/a/chat/s/_blank" w:history="1">
        <w:r>
          <w:rPr>
            <w:rStyle w:val="Hyperlink"/>
            <w:rFonts w:eastAsia="Segoe UI"/>
            <w:color w:val="3964FE"/>
            <w:u w:val="none"/>
            <w:shd w:val="clear" w:color="auto" w:fill="FFFFFF"/>
          </w:rPr>
          <w:t>https://doi.org/10.1055/s-2006-957793</w:t>
        </w:r>
      </w:hyperlink>
    </w:p>
    <w:p w14:paraId="77DB874A"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[80] Mohammed, A., Ibrahim, M. A., &amp; Islam, M. S. (2014). African medicinal plants with antidiabetic potentials: a review. Planta Medica, 80(05), 354-377. http://dx.doi.org/10.1055/s-0033-1360335</w:t>
      </w:r>
    </w:p>
    <w:p w14:paraId="3BE21E44"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[81] Adesina, S. K. (2019). The Nigerian Zanthoxylum: Chemical and biological values. African Journal of Traditional, Complementary and Alternative Medicines, 16(2), 1–15.</w:t>
      </w:r>
      <w:r>
        <w:rPr>
          <w:rFonts w:eastAsia="Segoe UI"/>
          <w:color w:val="0F1115"/>
          <w:shd w:val="clear" w:color="auto" w:fill="FFFFFF"/>
          <w:lang w:val="en-US"/>
        </w:rPr>
        <w:t xml:space="preserve"> </w:t>
      </w:r>
      <w:r>
        <w:rPr>
          <w:rFonts w:eastAsia="Segoe UI"/>
          <w:color w:val="0F1115"/>
          <w:shd w:val="clear" w:color="auto" w:fill="FFFFFF"/>
        </w:rPr>
        <w:t>http://dx.doi.org 10.4314/ajtcam.v2i3.31128</w:t>
      </w:r>
    </w:p>
    <w:p w14:paraId="6CAFDE42"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[82] Asase, A., &amp; Aboagye, A. K. (2020). Ethnopharmacological use of plants by traditional healers in Ghana. Journal of Ethnobiology and Ethnomedicine, 16(1), 1–18.http://dx.doi.org/</w:t>
      </w:r>
    </w:p>
    <w:p w14:paraId="31EE75BA" w14:textId="77777777" w:rsidR="00533849" w:rsidRDefault="00000000">
      <w:pPr>
        <w:pStyle w:val="NormalWeb"/>
        <w:shd w:val="clear" w:color="auto" w:fill="FFFFFF"/>
        <w:spacing w:before="96" w:after="96"/>
        <w:jc w:val="both"/>
        <w:rPr>
          <w:rFonts w:eastAsia="Segoe UI"/>
          <w:color w:val="0F1115"/>
          <w:lang w:val="en-US"/>
        </w:rPr>
      </w:pPr>
      <w:r>
        <w:rPr>
          <w:rFonts w:eastAsia="Segoe UI"/>
          <w:color w:val="0F1115"/>
          <w:shd w:val="clear" w:color="auto" w:fill="FFFFFF"/>
        </w:rPr>
        <w:t>[83] Boadu, A. A., &amp; Asase, A. (2017). Documentation of herbal medicines used for the treatment and management of malaria in Ghana. Journal of Ethnopharmacology, 203, 57–68.</w:t>
      </w:r>
      <w:r>
        <w:rPr>
          <w:rFonts w:eastAsia="Segoe UI"/>
          <w:color w:val="0F1115"/>
          <w:shd w:val="clear" w:color="auto" w:fill="FFFFFF"/>
          <w:lang w:val="en-US"/>
        </w:rPr>
        <w:t xml:space="preserve"> </w:t>
      </w:r>
      <w:r>
        <w:rPr>
          <w:rFonts w:eastAsia="Segoe UI"/>
          <w:color w:val="0F1115"/>
          <w:shd w:val="clear" w:color="auto" w:fill="FFFFFF"/>
        </w:rPr>
        <w:t>http://dx.doi.org/10.1155/2017/3043061</w:t>
      </w:r>
    </w:p>
    <w:p w14:paraId="24271BD7" w14:textId="77777777" w:rsidR="00533849" w:rsidRDefault="00000000">
      <w:pPr>
        <w:pStyle w:val="NormalWeb"/>
        <w:shd w:val="clear" w:color="auto" w:fill="FFFFFF"/>
        <w:spacing w:before="96" w:after="96"/>
        <w:jc w:val="both"/>
        <w:rPr>
          <w:rFonts w:eastAsia="Segoe UI"/>
          <w:color w:val="0F1115"/>
          <w:lang w:val="en-US"/>
        </w:rPr>
      </w:pPr>
      <w:r>
        <w:rPr>
          <w:rFonts w:eastAsia="Segoe UI"/>
          <w:color w:val="0F1115"/>
          <w:shd w:val="clear" w:color="auto" w:fill="FFFFFF"/>
        </w:rPr>
        <w:t>[84] Gurib-Fakim, A. (2010). Biodiversity and the African bio-economy. Current Opinion in Biotechnology, 21(2), 211–215.</w:t>
      </w:r>
      <w:r>
        <w:rPr>
          <w:rFonts w:eastAsia="Segoe UI"/>
          <w:color w:val="0F1115"/>
          <w:shd w:val="clear" w:color="auto" w:fill="FFFFFF"/>
          <w:lang w:val="en-US"/>
        </w:rPr>
        <w:t xml:space="preserve"> </w:t>
      </w:r>
      <w:r>
        <w:rPr>
          <w:rFonts w:eastAsia="Segoe UI"/>
          <w:color w:val="0F1115"/>
          <w:shd w:val="clear" w:color="auto" w:fill="FFFFFF"/>
        </w:rPr>
        <w:t>http://dx.doi.org/10.1016/j.copbio.2010.01.003</w:t>
      </w:r>
    </w:p>
    <w:p w14:paraId="0B63D496" w14:textId="77777777" w:rsidR="00533849" w:rsidRDefault="00000000">
      <w:pPr>
        <w:pStyle w:val="NormalWeb"/>
        <w:shd w:val="clear" w:color="auto" w:fill="FFFFFF"/>
        <w:spacing w:before="96" w:after="96"/>
        <w:jc w:val="both"/>
        <w:rPr>
          <w:rFonts w:eastAsia="Segoe UI"/>
          <w:color w:val="0F1115"/>
          <w:lang w:val="en-US"/>
        </w:rPr>
      </w:pPr>
      <w:r>
        <w:rPr>
          <w:rFonts w:eastAsia="Segoe UI"/>
          <w:color w:val="0F1115"/>
          <w:shd w:val="clear" w:color="auto" w:fill="FFFFFF"/>
        </w:rPr>
        <w:lastRenderedPageBreak/>
        <w:t>[85] Hostettmann, K., &amp; Marston, A. (2018). Chemistry and pharmacology of African medicinal plants. London: Royal Society of Chemistry.</w:t>
      </w:r>
      <w:r>
        <w:rPr>
          <w:rFonts w:eastAsia="Segoe UI"/>
          <w:color w:val="0F1115"/>
          <w:shd w:val="clear" w:color="auto" w:fill="FFFFFF"/>
          <w:lang w:val="en-US"/>
        </w:rPr>
        <w:t xml:space="preserve"> ISBN: 978-1-78801-143-3.</w:t>
      </w:r>
    </w:p>
    <w:p w14:paraId="0FDF2AEE" w14:textId="77777777" w:rsidR="00533849" w:rsidRDefault="00000000">
      <w:pPr>
        <w:pStyle w:val="NormalWeb"/>
        <w:shd w:val="clear" w:color="auto" w:fill="FFFFFF"/>
        <w:spacing w:before="96" w:after="96"/>
        <w:jc w:val="both"/>
        <w:rPr>
          <w:rFonts w:eastAsia="Segoe UI"/>
          <w:color w:val="0F1115"/>
          <w:lang w:val="en-US"/>
        </w:rPr>
      </w:pPr>
      <w:r>
        <w:rPr>
          <w:rFonts w:eastAsia="Segoe UI"/>
          <w:color w:val="0F1115"/>
          <w:shd w:val="clear" w:color="auto" w:fill="FFFFFF"/>
        </w:rPr>
        <w:t>[86] Kunyanga, C. N., Imungi, J. K., Okoth, M. W., Biesalski, H. K., &amp; Vadivel, V. (2011). Antioxidant and type 2 diabetes related functional properties of selected African traditional foods. International Journal of Food Sciences and Nutrition, 62(5), 515–525.</w:t>
      </w:r>
      <w:r>
        <w:rPr>
          <w:rFonts w:eastAsia="Segoe UI"/>
          <w:color w:val="0F1115"/>
          <w:shd w:val="clear" w:color="auto" w:fill="FFFFFF"/>
          <w:lang w:val="en-US"/>
        </w:rPr>
        <w:t xml:space="preserve"> </w:t>
      </w:r>
      <w:r>
        <w:rPr>
          <w:rFonts w:eastAsia="Segoe UI"/>
          <w:color w:val="0F1115"/>
          <w:shd w:val="clear" w:color="auto" w:fill="FFFFFF"/>
        </w:rPr>
        <w:t>http://dx.doi.org/10.3109/09637486.2011.557444</w:t>
      </w:r>
    </w:p>
    <w:p w14:paraId="7F7E94EB" w14:textId="77777777" w:rsidR="00533849" w:rsidRDefault="00000000">
      <w:pPr>
        <w:pStyle w:val="NormalWeb"/>
        <w:shd w:val="clear" w:color="auto" w:fill="FFFFFF"/>
        <w:spacing w:before="96" w:after="96"/>
        <w:jc w:val="both"/>
        <w:rPr>
          <w:rFonts w:eastAsia="Segoe UI"/>
          <w:color w:val="0F1115"/>
          <w:lang w:val="en-US"/>
        </w:rPr>
      </w:pPr>
      <w:r>
        <w:rPr>
          <w:rFonts w:eastAsia="Segoe UI"/>
          <w:color w:val="0F1115"/>
          <w:shd w:val="clear" w:color="auto" w:fill="FFFFFF"/>
        </w:rPr>
        <w:t>[87] Mahomoodally, M. F. (2013). Traditional medicines in Africa: An appraisal of ten potent African medicinal plants. Evidence-Based Complementary and Alternative Medicine, 2013, 617459.</w:t>
      </w:r>
      <w:r>
        <w:rPr>
          <w:rFonts w:eastAsia="Segoe UI"/>
          <w:color w:val="0F1115"/>
          <w:shd w:val="clear" w:color="auto" w:fill="FFFFFF"/>
          <w:lang w:val="en-US"/>
        </w:rPr>
        <w:t xml:space="preserve"> </w:t>
      </w:r>
      <w:r>
        <w:rPr>
          <w:rFonts w:eastAsia="Segoe UI"/>
          <w:color w:val="0F1115"/>
          <w:shd w:val="clear" w:color="auto" w:fill="FFFFFF"/>
        </w:rPr>
        <w:t>http://dx.doi.org/10.1155/2013/617459</w:t>
      </w:r>
    </w:p>
    <w:p w14:paraId="3623FEDF" w14:textId="77777777" w:rsidR="00533849" w:rsidRDefault="00000000">
      <w:pPr>
        <w:pStyle w:val="NormalWeb"/>
        <w:shd w:val="clear" w:color="auto" w:fill="FFFFFF"/>
        <w:spacing w:before="96" w:after="96"/>
        <w:jc w:val="both"/>
        <w:rPr>
          <w:rFonts w:eastAsia="Segoe UI"/>
          <w:color w:val="0F1115"/>
          <w:lang w:val="en-US"/>
        </w:rPr>
      </w:pPr>
      <w:r>
        <w:rPr>
          <w:rFonts w:eastAsia="Segoe UI"/>
          <w:color w:val="0F1115"/>
          <w:shd w:val="clear" w:color="auto" w:fill="FFFFFF"/>
        </w:rPr>
        <w:t>[88] Mwangi, J. W., &amp; Mwangi, E. N. (2020). Standardization and quality control of African traditional medicines. Phytomedicine, 74, 153280.</w:t>
      </w:r>
      <w:r>
        <w:rPr>
          <w:rFonts w:eastAsia="Segoe UI"/>
          <w:color w:val="0F1115"/>
          <w:shd w:val="clear" w:color="auto" w:fill="FFFFFF"/>
          <w:lang w:val="en-US"/>
        </w:rPr>
        <w:t xml:space="preserve"> </w:t>
      </w:r>
      <w:r>
        <w:rPr>
          <w:rFonts w:eastAsia="Segoe UI"/>
          <w:color w:val="0F1115"/>
          <w:shd w:val="clear" w:color="auto" w:fill="FFFFFF"/>
        </w:rPr>
        <w:t>http://dx.doi.org/10.1016/j.phymed.2020.153280</w:t>
      </w:r>
    </w:p>
    <w:p w14:paraId="1DF58276"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[89] Ndhlala, A. R., &amp; Van Staden, J. (2012). Antimicrobial activity of South African medicinal plants. South African Journal of Botany, 78, 318–326.http://dx.doi.org/10.1016/j.sajb.2012.02.003</w:t>
      </w:r>
    </w:p>
    <w:p w14:paraId="6E9AAD59" w14:textId="77777777" w:rsidR="00533849" w:rsidRDefault="00000000">
      <w:pPr>
        <w:pStyle w:val="NormalWeb"/>
        <w:shd w:val="clear" w:color="auto" w:fill="FFFFFF"/>
        <w:spacing w:before="96" w:after="96"/>
        <w:jc w:val="both"/>
        <w:rPr>
          <w:rFonts w:eastAsia="Segoe UI"/>
          <w:color w:val="0F1115"/>
          <w:lang w:val="en-US"/>
        </w:rPr>
      </w:pPr>
      <w:r>
        <w:rPr>
          <w:rFonts w:eastAsia="Segoe UI"/>
          <w:color w:val="0F1115"/>
          <w:shd w:val="clear" w:color="auto" w:fill="FFFFFF"/>
        </w:rPr>
        <w:t>[90] Okigbo, R. N., Anaduaka, E. G., &amp; Ebere, C. C. (2018). Medicinal plants used for the treatment of various diseases in Nigeria: A review. Asian Journal of Plant Sciences, 17(1), 1–15.</w:t>
      </w:r>
      <w:r>
        <w:rPr>
          <w:rFonts w:eastAsia="Segoe UI"/>
          <w:color w:val="0F1115"/>
          <w:shd w:val="clear" w:color="auto" w:fill="FFFFFF"/>
          <w:lang w:val="en-US"/>
        </w:rPr>
        <w:t xml:space="preserve"> </w:t>
      </w:r>
      <w:r>
        <w:rPr>
          <w:rFonts w:eastAsia="Segoe UI"/>
          <w:color w:val="0F1115"/>
          <w:shd w:val="clear" w:color="auto" w:fill="FFFFFF"/>
        </w:rPr>
        <w:t>http://dx.doi.org/·  10.3923/ajps.2018.1.15</w:t>
      </w:r>
    </w:p>
    <w:p w14:paraId="3EF93049" w14:textId="77777777" w:rsidR="00533849" w:rsidRDefault="00000000">
      <w:pPr>
        <w:pStyle w:val="NormalWeb"/>
        <w:shd w:val="clear" w:color="auto" w:fill="FFFFFF"/>
        <w:spacing w:before="96" w:after="96"/>
        <w:jc w:val="both"/>
        <w:rPr>
          <w:rFonts w:eastAsia="Segoe UI"/>
          <w:color w:val="0F1115"/>
          <w:lang w:val="en-US"/>
        </w:rPr>
      </w:pPr>
      <w:r>
        <w:rPr>
          <w:rFonts w:eastAsia="Segoe UI"/>
          <w:color w:val="0F1115"/>
          <w:shd w:val="clear" w:color="auto" w:fill="FFFFFF"/>
        </w:rPr>
        <w:t>[91] Sofowora, A., Ogunbodede, E., &amp; Onayade, A. (2013). The role and place of medicinal plants in the strategies for disease prevention. African Journal of Traditional, Complementary and Alternative Medicines, 10(5), 210–229.</w:t>
      </w:r>
      <w:r>
        <w:rPr>
          <w:rFonts w:eastAsia="Segoe UI"/>
          <w:color w:val="0F1115"/>
          <w:shd w:val="clear" w:color="auto" w:fill="FFFFFF"/>
          <w:lang w:val="en-US"/>
        </w:rPr>
        <w:t xml:space="preserve"> </w:t>
      </w:r>
      <w:r>
        <w:rPr>
          <w:rFonts w:eastAsia="Segoe UI"/>
          <w:color w:val="0F1115"/>
          <w:shd w:val="clear" w:color="auto" w:fill="FFFFFF"/>
        </w:rPr>
        <w:t>http://dx.doi.org/10.4314/ajtcam.v10i5.1</w:t>
      </w:r>
    </w:p>
    <w:p w14:paraId="78BE2B38" w14:textId="77777777" w:rsidR="00533849" w:rsidRDefault="00000000">
      <w:pPr>
        <w:pStyle w:val="NormalWeb"/>
        <w:shd w:val="clear" w:color="auto" w:fill="FFFFFF"/>
        <w:spacing w:before="96" w:after="96"/>
        <w:jc w:val="both"/>
        <w:rPr>
          <w:rFonts w:eastAsia="Segoe UI"/>
          <w:color w:val="0F1115"/>
          <w:shd w:val="clear" w:color="auto" w:fill="FFFFFF"/>
        </w:rPr>
      </w:pPr>
      <w:r>
        <w:rPr>
          <w:rFonts w:eastAsia="Segoe UI"/>
          <w:color w:val="0F1115"/>
          <w:shd w:val="clear" w:color="auto" w:fill="FFFFFF"/>
        </w:rPr>
        <w:t>[92] Van Wyk, B.-E., &amp; Wink, M. (2018). Medicinal plants of the world (2nd ed.). Pretoria: Briza Publications.ISBN: 978-1-920217-74-7.</w:t>
      </w:r>
    </w:p>
    <w:p w14:paraId="328D0738"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[93] WHO Regional Office for Africa. (2023). Regional framework for the implementation of the WHO traditional medicine strategy 2023–2030. Brazzaville: WHO AFRO.</w:t>
      </w:r>
    </w:p>
    <w:p w14:paraId="675ABD31" w14:textId="77777777" w:rsidR="00533849" w:rsidRDefault="00000000">
      <w:pPr>
        <w:pStyle w:val="NormalWeb"/>
        <w:shd w:val="clear" w:color="auto" w:fill="FFFFFF"/>
        <w:spacing w:before="96" w:after="96"/>
        <w:jc w:val="both"/>
        <w:rPr>
          <w:rFonts w:eastAsia="Segoe UI"/>
          <w:color w:val="0F1115"/>
        </w:rPr>
      </w:pPr>
      <w:r>
        <w:rPr>
          <w:rFonts w:eastAsia="Segoe UI"/>
          <w:color w:val="0F1115"/>
          <w:shd w:val="clear" w:color="auto" w:fill="FFFFFF"/>
        </w:rPr>
        <w:t>[94] World Intellectual Property Organization. (2022). Intellectual property and traditional knowledge in Africa. Geneva: WIPO.</w:t>
      </w:r>
    </w:p>
    <w:p w14:paraId="1F18F671" w14:textId="77777777" w:rsidR="00533849" w:rsidRDefault="00000000">
      <w:pPr>
        <w:pStyle w:val="NormalWeb"/>
        <w:shd w:val="clear" w:color="auto" w:fill="FFFFFF"/>
        <w:spacing w:before="96"/>
        <w:jc w:val="both"/>
        <w:rPr>
          <w:rFonts w:eastAsia="Segoe UI"/>
          <w:color w:val="0F1115"/>
        </w:rPr>
      </w:pPr>
      <w:r>
        <w:rPr>
          <w:rFonts w:eastAsia="Segoe UI"/>
          <w:color w:val="0F1115"/>
          <w:shd w:val="clear" w:color="auto" w:fill="FFFFFF"/>
        </w:rPr>
        <w:t>[95] Yirga, G., &amp; Teferi, H. (2022). Plant biodiversity and traditional medicine in sub-Saharan Africa: Challenges and opportunities. Biodiversity and Conservation, 31(4), 1025–1045.</w:t>
      </w:r>
      <w:r>
        <w:rPr>
          <w:rFonts w:eastAsia="Segoe UI"/>
          <w:color w:val="0F1115"/>
          <w:shd w:val="clear" w:color="auto" w:fill="FFFFFF"/>
          <w:lang w:val="en-US"/>
        </w:rPr>
        <w:t xml:space="preserve"> </w:t>
      </w:r>
      <w:r>
        <w:rPr>
          <w:rFonts w:eastAsia="Segoe UI"/>
          <w:color w:val="0F1115"/>
          <w:shd w:val="clear" w:color="auto" w:fill="FFFFFF"/>
        </w:rPr>
        <w:t>http://dx.doi.org/10.1007/s10531-022-02374-1</w:t>
      </w:r>
    </w:p>
    <w:p w14:paraId="1BB30746" w14:textId="77777777" w:rsidR="00533849" w:rsidRDefault="00533849">
      <w:pPr>
        <w:pStyle w:val="NormalWeb"/>
        <w:shd w:val="clear" w:color="auto" w:fill="FFFFFF"/>
        <w:spacing w:before="96" w:after="96"/>
        <w:jc w:val="both"/>
        <w:rPr>
          <w:rFonts w:eastAsia="Segoe UI"/>
          <w:color w:val="3964FE"/>
          <w:bdr w:val="single" w:sz="6" w:space="0" w:color="auto"/>
          <w:shd w:val="clear" w:color="auto" w:fill="FFFFFF"/>
        </w:rPr>
      </w:pPr>
    </w:p>
    <w:p w14:paraId="3E2AC113" w14:textId="77777777" w:rsidR="00533849" w:rsidRDefault="00533849"/>
    <w:sectPr w:rsidR="00533849">
      <w:footerReference w:type="default" r:id="rId3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36DC" w14:textId="77777777" w:rsidR="00275536" w:rsidRDefault="00275536">
      <w:r>
        <w:separator/>
      </w:r>
    </w:p>
  </w:endnote>
  <w:endnote w:type="continuationSeparator" w:id="0">
    <w:p w14:paraId="5721F9F6" w14:textId="77777777" w:rsidR="00275536" w:rsidRDefault="0027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C5B2" w14:textId="77777777" w:rsidR="00533849" w:rsidRDefault="00000000">
    <w:pPr>
      <w:pStyle w:val="Footer"/>
    </w:pPr>
    <w:r>
      <w:rPr>
        <w:noProof/>
      </w:rPr>
      <mc:AlternateContent>
        <mc:Choice Requires="wps">
          <w:drawing>
            <wp:anchor distT="0" distB="0" distL="114300" distR="114300" simplePos="0" relativeHeight="251659264" behindDoc="0" locked="0" layoutInCell="1" allowOverlap="1" wp14:anchorId="4A4B5223" wp14:editId="469AE507">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10EFE" w14:textId="77777777" w:rsidR="00533849"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Fwt5fogAgAAYAQAAA4AAABkcnMvZTJvRG9jLnhtbK1UTYvbMBC9F/of hO6NnZQuwcRZ0g0phdBdyJaeFVmOBfpCUmKnv75P/sgu2x720Iszmhm9mfdmlNV9pxW5CB+kNSWd z3JKhOG2kuZU0p/Pu09LSkJkpmLKGlHSqwj0fv3xw6p1hVjYxqpKeAIQE4rWlbSJ0RVZFngjNAsz 64RBsLZes4ijP2WVZy3QtcoWeX6XtdZXzlsuQoB3OwTpiOjfA2jrWnKxtfyshYkDqheKRVAKjXSB rvtu61rw+FjXQUSiSgqmsf+iCOxj+mbrFStOnrlG8rEF9p4W3nDSTBoUvUFtWWTk7OVfUFpyb4Ot 44xbnQ1EekXAYp6/0ebQMCd6LpA6uJvo4f/B8h+XJ09khU2gxDCNgT+LLpKvtiPzpE7rQoGkg0Na 7OBOmaM/wJlId7XX6Rd0COLQ9nrTNoHxdGm5WC5zhDhi0wE42ct150P8JqwmySipx/B6TdllH+KQ OqWkasbupFLws0IZ0pb07vOXvL9wiwBcGdRIJIZmkxW7YzcyONrqCmLeDosRHN9JFN+zEJ+Yxyag YbyV+IhPrSyK2NGipLH+97/8KR8DQpSSFptVUoOHRIn6bjA4AMbJ8JNxnAxz1g8Wq4phoJfexAUf 1WTW3upfeECbVAMhZjgqlTRO5kMcthsPkIvNpk86Oy9PzXABa+dY3JuD46lMUi+4zTlCzF7jJNCg yqgbFq+f0vhI0ma/PvdZL38M6z9QSwMECgAAAAAAh07iQAAAAAAAAAAAAAAAAAYAAABfcmVscy9Q SwMEFAAAAAgAh07iQIoUZjzRAAAAlAEAAAsAAABfcmVscy8ucmVsc6WQwWrDMAyG74O9g9F9cZrD GKNOL6PQa+kewNiKYxpbRjLZ+vbzDoNl9LajfqHvE//+8JkWtSJLpGxg1/WgMDvyMQcD75fj0wso qTZ7u1BGAzcUOIyPD/szLra2I5ljEdUoWQzMtZZXrcXNmKx0VDC3zUScbG0jB12su9qAeuj7Z82/ GTBumOrkDfDJD6Aut9LMf9gpOiahqXaOkqZpiu4eVQe2ZY7uyDbhG7lGsxywGvAsGgdqWdd+BH1f v/un3tNHPuO61X6HjOuPV2+6HL8AUEsDBBQAAAAIAIdO4kB+5uUg9wAAAOEBAAATAAAAW0NvbnRl bnRfVHlwZXNdLnhtbJWRQU7DMBBF90jcwfIWJU67QAgl6YK0S0CoHGBkTxKLZGx5TGhvj5O2G0SR WNoz/78nu9wcxkFMGNg6quQqL6RA0s5Y6ir5vt9lD1JwBDIwOMJKHpHlpr69KfdHjyxSmriSfYz+ USnWPY7AufNIadK6MEJMx9ApD/oDOlTrorhX2lFEilmcO2RdNtjC5xDF9pCuTyYBB5bi6bQ4syoJ 3g9WQ0ymaiLzg5KdCXlKLjvcW893SUOqXwnz5DrgnHtJTxOsQfEKIT7DmDSUCayM+6KAU/53yWw5 cuba1mrMm8BNir3hdLG61o5r1zj93/Ltkrp0q+WD6m9QSwECFAAUAAAACACHTuJAfublIPcAAADh AQAAEwAAAAAAAAABACAAAACJBAAAW0NvbnRlbnRfVHlwZXNdLnhtbFBLAQIUAAoAAAAAAIdO4kAA AAAAAAAAAAAAAAAGAAAAAAAAAAAAEAAAAGsDAABfcmVscy9QSwECFAAUAAAACACHTuJAihRmPNEA AACUAQAACwAAAAAAAAABACAAAACPAwAAX3JlbHMvLnJlbHNQSwECFAAKAAAAAACHTuJAAAAAAAAA AAAAAAAABAAAAAAAAAAAABAAAAAAAAAAZHJzL1BLAQIUABQAAAAIAIdO4kCzSVju0AAAAAUBAAAP AAAAAAAAAAEAIAAAACIAAABkcnMvZG93bnJldi54bWxQSwECFAAUAAAACACHTuJAXC3l+iACAABg BAAADgAAAAAAAAABACAAAAAfAQAAZHJzL2Uyb0RvYy54bWxQSwUGAAAAAAYABgBZAQAAsQUAAAAA ">
              <v:fill on="f" focussize="0,0"/>
              <v:stroke on="f" weight="0.5pt"/>
              <v:imagedata o:title=""/>
              <o:lock v:ext="edit" aspectratio="f"/>
              <v:textbox inset="0mm,0mm,0mm,0mm" style="mso-fit-shape-to-text:t;">
                <w:txbxContent>
                  <w:p w14:paraId="51AC014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AAECC" w14:textId="77777777" w:rsidR="00275536" w:rsidRDefault="00275536">
      <w:r>
        <w:separator/>
      </w:r>
    </w:p>
  </w:footnote>
  <w:footnote w:type="continuationSeparator" w:id="0">
    <w:p w14:paraId="05D5BD17" w14:textId="77777777" w:rsidR="00275536" w:rsidRDefault="00275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72A27"/>
    <w:rsid w:val="00275536"/>
    <w:rsid w:val="002C15A0"/>
    <w:rsid w:val="00321C69"/>
    <w:rsid w:val="003D0CBE"/>
    <w:rsid w:val="004D7EC3"/>
    <w:rsid w:val="005167D8"/>
    <w:rsid w:val="00533849"/>
    <w:rsid w:val="005A1993"/>
    <w:rsid w:val="00841DE8"/>
    <w:rsid w:val="00AC017A"/>
    <w:rsid w:val="00C00EB1"/>
    <w:rsid w:val="00C70729"/>
    <w:rsid w:val="1C9E0570"/>
    <w:rsid w:val="1E730F02"/>
    <w:rsid w:val="213D4C18"/>
    <w:rsid w:val="2B5B0C2C"/>
    <w:rsid w:val="457374F6"/>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D29A60"/>
  <w15:docId w15:val="{A7066620-6F28-FC48-BF5C-721DB7D7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uiPriority w:val="9"/>
    <w:qFormat/>
    <w:pPr>
      <w:outlineLvl w:val="0"/>
    </w:pPr>
    <w:rPr>
      <w:rFonts w:eastAsia="Times New Roman"/>
      <w:color w:val="2E74B5"/>
      <w:sz w:val="32"/>
      <w:szCs w:val="32"/>
    </w:rPr>
  </w:style>
  <w:style w:type="paragraph" w:styleId="Heading2">
    <w:name w:val="heading 2"/>
    <w:uiPriority w:val="9"/>
    <w:semiHidden/>
    <w:unhideWhenUsed/>
    <w:qFormat/>
    <w:pPr>
      <w:outlineLvl w:val="1"/>
    </w:pPr>
    <w:rPr>
      <w:rFonts w:eastAsia="Times New Roman"/>
      <w:color w:val="2E74B5"/>
      <w:sz w:val="26"/>
      <w:szCs w:val="26"/>
    </w:rPr>
  </w:style>
  <w:style w:type="paragraph" w:styleId="Heading3">
    <w:name w:val="heading 3"/>
    <w:uiPriority w:val="9"/>
    <w:semiHidden/>
    <w:unhideWhenUsed/>
    <w:qFormat/>
    <w:pPr>
      <w:outlineLvl w:val="2"/>
    </w:pPr>
    <w:rPr>
      <w:rFonts w:eastAsia="Times New Roman"/>
      <w:color w:val="1F4D78"/>
      <w:sz w:val="24"/>
      <w:szCs w:val="24"/>
    </w:rPr>
  </w:style>
  <w:style w:type="paragraph" w:styleId="Heading4">
    <w:name w:val="heading 4"/>
    <w:uiPriority w:val="9"/>
    <w:semiHidden/>
    <w:unhideWhenUsed/>
    <w:qFormat/>
    <w:pPr>
      <w:outlineLvl w:val="3"/>
    </w:pPr>
    <w:rPr>
      <w:rFonts w:eastAsia="Times New Roman"/>
      <w:i/>
      <w:iCs/>
      <w:color w:val="2E74B5"/>
      <w:sz w:val="24"/>
      <w:szCs w:val="24"/>
    </w:rPr>
  </w:style>
  <w:style w:type="paragraph" w:styleId="Heading5">
    <w:name w:val="heading 5"/>
    <w:uiPriority w:val="9"/>
    <w:semiHidden/>
    <w:unhideWhenUsed/>
    <w:qFormat/>
    <w:pPr>
      <w:outlineLvl w:val="4"/>
    </w:pPr>
    <w:rPr>
      <w:rFonts w:eastAsia="Times New Roman"/>
      <w:color w:val="2E74B5"/>
      <w:sz w:val="24"/>
      <w:szCs w:val="24"/>
    </w:rPr>
  </w:style>
  <w:style w:type="paragraph" w:styleId="Heading6">
    <w:name w:val="heading 6"/>
    <w:uiPriority w:val="9"/>
    <w:semiHidden/>
    <w:unhideWhenUsed/>
    <w:qFormat/>
    <w:pPr>
      <w:outlineLvl w:val="5"/>
    </w:pPr>
    <w:rPr>
      <w:rFonts w:eastAsia="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qFormat/>
    <w:rPr>
      <w:rFonts w:eastAsia="Times New Roman"/>
    </w:rPr>
  </w:style>
  <w:style w:type="paragraph" w:styleId="Footer">
    <w:name w:val="footer"/>
    <w:basedOn w:val="Normal"/>
    <w:uiPriority w:val="99"/>
    <w:semiHidden/>
    <w:unhideWhenUsed/>
    <w:pPr>
      <w:tabs>
        <w:tab w:val="center" w:pos="4153"/>
        <w:tab w:val="right" w:pos="8306"/>
      </w:tabs>
      <w:snapToGrid w:val="0"/>
    </w:pPr>
    <w:rPr>
      <w:sz w:val="18"/>
      <w:szCs w:val="18"/>
    </w:rPr>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qFormat/>
    <w:rPr>
      <w:rFonts w:eastAsia="Times New Roman"/>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Hyperlink">
    <w:name w:val="Hyperlink"/>
    <w:uiPriority w:val="99"/>
    <w:unhideWhenUsed/>
    <w:rPr>
      <w:color w:val="0563C1"/>
      <w:u w:val="single"/>
    </w:rPr>
  </w:style>
  <w:style w:type="paragraph" w:styleId="NormalWeb">
    <w:name w:val="Normal (Web)"/>
    <w:basedOn w:val="Normal"/>
    <w:uiPriority w:val="99"/>
    <w:semiHidden/>
    <w:unhideWhenUsed/>
  </w:style>
  <w:style w:type="character" w:styleId="Strong">
    <w:name w:val="Strong"/>
    <w:basedOn w:val="DefaultParagraphFont"/>
    <w:uiPriority w:val="22"/>
    <w:qFormat/>
    <w:rPr>
      <w:b/>
      <w:bCs/>
    </w:rPr>
  </w:style>
  <w:style w:type="paragraph" w:styleId="Title">
    <w:name w:val="Title"/>
    <w:uiPriority w:val="10"/>
    <w:qFormat/>
    <w:rPr>
      <w:rFonts w:eastAsia="Times New Roman"/>
      <w:sz w:val="56"/>
      <w:szCs w:val="56"/>
    </w:rPr>
  </w:style>
  <w:style w:type="paragraph" w:customStyle="1" w:styleId="Strong1">
    <w:name w:val="Strong1"/>
    <w:qFormat/>
    <w:rPr>
      <w:rFonts w:eastAsia="Times New Roman"/>
      <w:b/>
      <w:bCs/>
      <w:sz w:val="24"/>
      <w:szCs w:val="24"/>
    </w:rPr>
  </w:style>
  <w:style w:type="paragraph" w:styleId="ListParagraph">
    <w:name w:val="List Paragraph"/>
    <w:qFormat/>
    <w:rPr>
      <w:rFonts w:eastAsia="Times New Roman"/>
      <w:sz w:val="24"/>
      <w:szCs w:val="24"/>
    </w:rPr>
  </w:style>
  <w:style w:type="character" w:customStyle="1" w:styleId="FootnoteTextChar">
    <w:name w:val="Footnote Text Char"/>
    <w:link w:val="FootnoteText"/>
    <w:uiPriority w:val="99"/>
    <w:semiHidden/>
    <w:unhideWhenUsed/>
    <w:rPr>
      <w:sz w:val="20"/>
      <w:szCs w:val="20"/>
    </w:rPr>
  </w:style>
  <w:style w:type="character" w:customStyle="1" w:styleId="EndnoteTextChar">
    <w:name w:val="Endnote Text Char"/>
    <w:link w:val="EndnoteText"/>
    <w:uiPriority w:val="99"/>
    <w:semiHidden/>
    <w:unhideWhenUsed/>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016/j.giq.2019.06.002" TargetMode="External"/><Relationship Id="rId18" Type="http://schemas.openxmlformats.org/officeDocument/2006/relationships/hyperlink" Target="https://doi.org/10.1080/02692171.2011.619972" TargetMode="External"/><Relationship Id="rId26" Type="http://schemas.openxmlformats.org/officeDocument/2006/relationships/hyperlink" Target="https://doi.org/10.1016/j.fct.2005.06.012" TargetMode="External"/><Relationship Id="rId21" Type="http://schemas.openxmlformats.org/officeDocument/2006/relationships/hyperlink" Target="https://doi.org/10.1126/science.1238041" TargetMode="External"/><Relationship Id="rId34" Type="http://schemas.openxmlformats.org/officeDocument/2006/relationships/hyperlink" Target="https://doi.org/10.1186/s12906-020-03000-2" TargetMode="External"/><Relationship Id="rId7" Type="http://schemas.openxmlformats.org/officeDocument/2006/relationships/hyperlink" Target="https://doi.org/10.1007/s10887-015-9122-3" TargetMode="External"/><Relationship Id="rId12" Type="http://schemas.openxmlformats.org/officeDocument/2006/relationships/hyperlink" Target="https://www.transparency.org/en/cpi/2023" TargetMode="External"/><Relationship Id="rId17" Type="http://schemas.openxmlformats.org/officeDocument/2006/relationships/hyperlink" Target="https://doi.org/10.3386/w16721" TargetMode="External"/><Relationship Id="rId25" Type="http://schemas.openxmlformats.org/officeDocument/2006/relationships/hyperlink" Target="https://doi.org/10.1787/19991142" TargetMode="External"/><Relationship Id="rId33" Type="http://schemas.openxmlformats.org/officeDocument/2006/relationships/hyperlink" Target="https://doi.org/10.21010/ajtcam.v15i2.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26/science.aah5309" TargetMode="External"/><Relationship Id="rId20" Type="http://schemas.openxmlformats.org/officeDocument/2006/relationships/hyperlink" Target="https://doi.org/10.1126/science.1232491" TargetMode="External"/><Relationship Id="rId29" Type="http://schemas.openxmlformats.org/officeDocument/2006/relationships/hyperlink" Target="https://doi.org/10.3390/nu1008106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57/palgrave.jibs.8491017" TargetMode="External"/><Relationship Id="rId24" Type="http://schemas.openxmlformats.org/officeDocument/2006/relationships/hyperlink" Target="https://doi.org/10.1146/annurev-nutr-071811-150642" TargetMode="External"/><Relationship Id="rId32" Type="http://schemas.openxmlformats.org/officeDocument/2006/relationships/hyperlink" Target="https://doi.org/10.1016/j.jep.2005.01.00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3/ereh/heu019" TargetMode="External"/><Relationship Id="rId23" Type="http://schemas.openxmlformats.org/officeDocument/2006/relationships/hyperlink" Target="https://doi.org/10.1111/j.1365-2125.2012.04260.x" TargetMode="External"/><Relationship Id="rId28" Type="http://schemas.openxmlformats.org/officeDocument/2006/relationships/hyperlink" Target="https://doi.org/10.1186/s12944-017-0449-y" TargetMode="External"/><Relationship Id="rId36" Type="http://schemas.openxmlformats.org/officeDocument/2006/relationships/footer" Target="footer1.xml"/><Relationship Id="rId10" Type="http://schemas.openxmlformats.org/officeDocument/2006/relationships/hyperlink" Target="https://doi.org/10.47772/IJRISS.2026.100300407" TargetMode="External"/><Relationship Id="rId19" Type="http://schemas.openxmlformats.org/officeDocument/2006/relationships/hyperlink" Target="https://doi.org/10.1016/S0140-6736(14)60574-2" TargetMode="External"/><Relationship Id="rId31" Type="http://schemas.openxmlformats.org/officeDocument/2006/relationships/hyperlink" Target="https://doi.org/10.1289/ehp.01109s169" TargetMode="External"/><Relationship Id="rId4" Type="http://schemas.openxmlformats.org/officeDocument/2006/relationships/webSettings" Target="webSettings.xml"/><Relationship Id="rId9" Type="http://schemas.openxmlformats.org/officeDocument/2006/relationships/hyperlink" Target="https://doi.org/10.1596/978-0-8213-6909-8" TargetMode="External"/><Relationship Id="rId14" Type="http://schemas.openxmlformats.org/officeDocument/2006/relationships/hyperlink" Target="https://doi.org/10.1016/S1574-0684(05)01012-9" TargetMode="External"/><Relationship Id="rId22" Type="http://schemas.openxmlformats.org/officeDocument/2006/relationships/hyperlink" Target="https://doi.org/10.1016/j.jep.2016.05.015" TargetMode="External"/><Relationship Id="rId27" Type="http://schemas.openxmlformats.org/officeDocument/2006/relationships/hyperlink" Target="https://doi.org/10.1016/j.indcrop.2022.114583" TargetMode="External"/><Relationship Id="rId30" Type="http://schemas.openxmlformats.org/officeDocument/2006/relationships/hyperlink" Target="https://doi.org/10.1211/0022357011775712" TargetMode="External"/><Relationship Id="rId35" Type="http://schemas.openxmlformats.org/officeDocument/2006/relationships/hyperlink" Target="https://doi.org/10.1055/s-2006-957793" TargetMode="External"/><Relationship Id="rId8" Type="http://schemas.openxmlformats.org/officeDocument/2006/relationships/hyperlink" Target="https://doi.org/10.1016/S0304-405X(00)00072-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16165</Words>
  <Characters>92143</Characters>
  <Application>Microsoft Office Word</Application>
  <DocSecurity>0</DocSecurity>
  <Lines>767</Lines>
  <Paragraphs>216</Paragraphs>
  <ScaleCrop>false</ScaleCrop>
  <Company/>
  <LinksUpToDate>false</LinksUpToDate>
  <CharactersWithSpaces>108092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JFK Kouadio</cp:lastModifiedBy>
  <cp:revision>4</cp:revision>
  <dcterms:created xsi:type="dcterms:W3CDTF">2026-06-24T11:19:00Z</dcterms:created>
  <dcterms:modified xsi:type="dcterms:W3CDTF">2026-06-26T15:41:00Z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6BC731743615457588E1BF524591B941_13</vt:lpwstr>
  </property>
  <property fmtid="{D5CDD505-2E9C-101B-9397-08002B2CF9AE}" pid="4" name="KSOTemplateDocerSaveRecord">
    <vt:lpwstr>eyJoZGlkIjoiMzdlZWUyOGQzM2RiNDY5ODA3MmYyMGM2NmJiOWJjM2EiLCJ1c2VySWQiOiIzNzI4NDMzNzA2MDk3In0=</vt:lpwstr>
  </property>
</Properties>
</file>