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898" w:rsidRDefault="00440CCB" w:rsidP="00AC11DE">
      <w:pPr>
        <w:spacing w:after="240" w:line="240" w:lineRule="auto"/>
        <w:ind w:left="0" w:right="0" w:firstLine="0"/>
        <w:jc w:val="center"/>
      </w:pPr>
      <w:bookmarkStart w:id="0" w:name="OLE_LINK57"/>
      <w:r>
        <w:rPr>
          <w:b/>
          <w:sz w:val="36"/>
        </w:rPr>
        <w:t xml:space="preserve">Evaluating </w:t>
      </w:r>
      <w:r w:rsidR="00AC11DE">
        <w:rPr>
          <w:b/>
          <w:sz w:val="36"/>
        </w:rPr>
        <w:t xml:space="preserve">the </w:t>
      </w:r>
      <w:r>
        <w:rPr>
          <w:b/>
          <w:sz w:val="36"/>
        </w:rPr>
        <w:t xml:space="preserve">Effectiveness </w:t>
      </w:r>
      <w:r w:rsidR="00AC11DE">
        <w:rPr>
          <w:b/>
          <w:sz w:val="36"/>
        </w:rPr>
        <w:t xml:space="preserve">of </w:t>
      </w:r>
      <w:r>
        <w:rPr>
          <w:b/>
          <w:sz w:val="36"/>
        </w:rPr>
        <w:t xml:space="preserve">Institutional AI Ethics Policies </w:t>
      </w:r>
      <w:r w:rsidR="00AC11DE">
        <w:rPr>
          <w:b/>
          <w:sz w:val="36"/>
        </w:rPr>
        <w:t xml:space="preserve">in </w:t>
      </w:r>
      <w:r>
        <w:rPr>
          <w:b/>
          <w:sz w:val="36"/>
        </w:rPr>
        <w:t>Promoting Academic Integrity</w:t>
      </w:r>
      <w:r w:rsidR="00AC11DE">
        <w:rPr>
          <w:b/>
          <w:sz w:val="36"/>
        </w:rPr>
        <w:t xml:space="preserve">: </w:t>
      </w:r>
      <w:r>
        <w:rPr>
          <w:b/>
          <w:sz w:val="36"/>
        </w:rPr>
        <w:t>A Conceptual Framework</w:t>
      </w:r>
    </w:p>
    <w:p w:rsidR="000A7898" w:rsidRDefault="00AC11DE" w:rsidP="00AC11DE">
      <w:pPr>
        <w:spacing w:after="240" w:line="240" w:lineRule="auto"/>
        <w:ind w:left="0" w:right="0" w:firstLine="0"/>
        <w:jc w:val="center"/>
      </w:pPr>
      <w:bookmarkStart w:id="1" w:name="OLE_LINK58"/>
      <w:bookmarkEnd w:id="0"/>
      <w:r>
        <w:rPr>
          <w:b/>
        </w:rPr>
        <w:t xml:space="preserve">Yap </w:t>
      </w:r>
      <w:proofErr w:type="spellStart"/>
      <w:r>
        <w:rPr>
          <w:b/>
        </w:rPr>
        <w:t>Pek</w:t>
      </w:r>
      <w:proofErr w:type="spellEnd"/>
      <w:r>
        <w:rPr>
          <w:b/>
        </w:rPr>
        <w:t xml:space="preserve"> Jiuan</w:t>
      </w:r>
      <w:r>
        <w:rPr>
          <w:b/>
          <w:vertAlign w:val="superscript"/>
        </w:rPr>
        <w:t>1</w:t>
      </w:r>
      <w:bookmarkEnd w:id="1"/>
      <w:r>
        <w:rPr>
          <w:b/>
        </w:rPr>
        <w:t xml:space="preserve">, </w:t>
      </w:r>
      <w:proofErr w:type="spellStart"/>
      <w:r>
        <w:rPr>
          <w:b/>
        </w:rPr>
        <w:t>Haslina</w:t>
      </w:r>
      <w:proofErr w:type="spellEnd"/>
      <w:r>
        <w:rPr>
          <w:b/>
        </w:rPr>
        <w:t xml:space="preserve"> Abdullah</w:t>
      </w:r>
      <w:r>
        <w:rPr>
          <w:b/>
          <w:vertAlign w:val="superscript"/>
        </w:rPr>
        <w:t>2</w:t>
      </w:r>
      <w:r>
        <w:rPr>
          <w:b/>
        </w:rPr>
        <w:t xml:space="preserve">, </w:t>
      </w:r>
      <w:proofErr w:type="spellStart"/>
      <w:r>
        <w:rPr>
          <w:b/>
        </w:rPr>
        <w:t>Nooraida</w:t>
      </w:r>
      <w:proofErr w:type="spellEnd"/>
      <w:r>
        <w:rPr>
          <w:b/>
        </w:rPr>
        <w:t xml:space="preserve"> Ayub</w:t>
      </w:r>
      <w:r>
        <w:rPr>
          <w:b/>
          <w:vertAlign w:val="superscript"/>
        </w:rPr>
        <w:t>3</w:t>
      </w:r>
    </w:p>
    <w:p w:rsidR="000A7898" w:rsidRDefault="00440CCB" w:rsidP="00AC11DE">
      <w:pPr>
        <w:spacing w:after="240" w:line="240" w:lineRule="auto"/>
        <w:ind w:left="0" w:right="0"/>
        <w:jc w:val="center"/>
      </w:pPr>
      <w:r>
        <w:rPr>
          <w:b/>
        </w:rPr>
        <w:t xml:space="preserve">Faculty of </w:t>
      </w:r>
      <w:r>
        <w:rPr>
          <w:b/>
        </w:rPr>
        <w:t>Business, UNITAR University College Kuala Lumpur, Malaysia</w:t>
      </w:r>
    </w:p>
    <w:p w:rsidR="00B85B9E" w:rsidRPr="00022D6C" w:rsidRDefault="00B85B9E" w:rsidP="00B85B9E">
      <w:pPr>
        <w:pStyle w:val="NoSpacing"/>
        <w:spacing w:after="240"/>
        <w:jc w:val="center"/>
        <w:rPr>
          <w:rFonts w:ascii="Times New Roman" w:hAnsi="Times New Roman" w:cs="Times New Roman"/>
          <w:b/>
          <w:bCs/>
          <w:color w:val="007BB8"/>
          <w:sz w:val="24"/>
          <w:szCs w:val="24"/>
          <w:u w:val="single"/>
        </w:rPr>
      </w:pPr>
      <w:r w:rsidRPr="00022D6C">
        <w:rPr>
          <w:rFonts w:ascii="Times New Roman" w:hAnsi="Times New Roman" w:cs="Times New Roman"/>
          <w:b/>
          <w:bCs/>
          <w:sz w:val="24"/>
          <w:szCs w:val="24"/>
        </w:rPr>
        <w:t xml:space="preserve">DOI: </w:t>
      </w:r>
      <w:hyperlink r:id="rId7" w:history="1">
        <w:r>
          <w:rPr>
            <w:rStyle w:val="Hyperlink"/>
            <w:rFonts w:ascii="Times New Roman" w:hAnsi="Times New Roman" w:cs="Times New Roman"/>
            <w:b/>
            <w:bCs/>
            <w:sz w:val="24"/>
            <w:szCs w:val="24"/>
          </w:rPr>
          <w:t>https://dx.doi.org/10.47772/IJRISS.2026.10100383</w:t>
        </w:r>
      </w:hyperlink>
    </w:p>
    <w:p w:rsidR="00B85B9E" w:rsidRPr="00022D6C" w:rsidRDefault="00B85B9E" w:rsidP="00B85B9E">
      <w:pPr>
        <w:spacing w:after="240" w:line="249" w:lineRule="auto"/>
        <w:ind w:left="0" w:right="3"/>
        <w:jc w:val="center"/>
        <w:rPr>
          <w:b/>
          <w:lang w:val="en-GB"/>
        </w:rPr>
      </w:pPr>
      <w:r w:rsidRPr="00022D6C">
        <w:rPr>
          <w:b/>
          <w:lang w:val="en-GB"/>
        </w:rPr>
        <w:t xml:space="preserve">Received: </w:t>
      </w:r>
      <w:r>
        <w:rPr>
          <w:b/>
          <w:lang w:val="en-GB"/>
        </w:rPr>
        <w:t>23</w:t>
      </w:r>
      <w:r w:rsidRPr="00022D6C">
        <w:rPr>
          <w:b/>
          <w:lang w:val="en-GB"/>
        </w:rPr>
        <w:t xml:space="preserve"> January 2026; Accepted: </w:t>
      </w:r>
      <w:r>
        <w:rPr>
          <w:b/>
          <w:lang w:val="en-GB"/>
        </w:rPr>
        <w:t>29</w:t>
      </w:r>
      <w:r w:rsidRPr="00022D6C">
        <w:rPr>
          <w:b/>
          <w:lang w:val="en-GB"/>
        </w:rPr>
        <w:t xml:space="preserve"> January 2026; Published: 07 February 2026</w:t>
      </w:r>
    </w:p>
    <w:p w:rsidR="000A7898" w:rsidRDefault="00440CCB" w:rsidP="00AC11DE">
      <w:pPr>
        <w:pStyle w:val="Heading1"/>
        <w:spacing w:after="240" w:line="240" w:lineRule="auto"/>
        <w:ind w:left="0"/>
        <w:jc w:val="both"/>
      </w:pPr>
      <w:r>
        <w:t>ABSTRACT</w:t>
      </w:r>
      <w:r>
        <w:rPr>
          <w:sz w:val="24"/>
        </w:rPr>
        <w:t xml:space="preserve"> </w:t>
      </w:r>
    </w:p>
    <w:p w:rsidR="000A7898" w:rsidRDefault="00440CCB" w:rsidP="00AC11DE">
      <w:pPr>
        <w:spacing w:after="240" w:line="240" w:lineRule="auto"/>
        <w:ind w:left="0" w:right="0"/>
      </w:pPr>
      <w:r>
        <w:t>The rapid adoption of generative artificial intelligence (AI) in higher e</w:t>
      </w:r>
      <w:r>
        <w:t>ducation has transformed teaching, learning, and assessment practices, while intensifying concerns about academic integrity. Although many universities have introduced institutional AI ethics policies to promote responsible AI use, there remains limited ev</w:t>
      </w:r>
      <w:r>
        <w:t>idence regarding the effectiveness of these policies in shaping students’ academic integrity behaviours. Existing studies predominantly focus on students’ ethical awareness and perceptions within single institutions and cross-sectional contexts, offering i</w:t>
      </w:r>
      <w:r>
        <w:t xml:space="preserve">nsufficient insight into the long-term behavioural impact of institutional governance mechanisms. </w:t>
      </w:r>
    </w:p>
    <w:p w:rsidR="000A7898" w:rsidRDefault="00440CCB" w:rsidP="00AC11DE">
      <w:pPr>
        <w:spacing w:after="240" w:line="240" w:lineRule="auto"/>
        <w:ind w:left="0" w:right="0"/>
      </w:pPr>
      <w:r>
        <w:t>This paper develops a conceptual framework for evaluating the effectiveness of institutional AI ethics policies in promoting academic integrity in higher edu</w:t>
      </w:r>
      <w:r>
        <w:t>cation. Drawing on the Theory of Planned Behaviour and Institutional Governance Theory, AI ethics policies are conceptualized as a multidimensional construct comprising policy clarity, AI ethics training, and enforcement mechanisms. Methodologically, the p</w:t>
      </w:r>
      <w:r>
        <w:t>aper adopts a conceptual and analytical approach, integrating established theoretical perspectives with illustrative examples from Malaysian public and private universities, situated within national quality assurance expectations articulated by the Malaysi</w:t>
      </w:r>
      <w:r>
        <w:t xml:space="preserve">an Qualifications Agency (MQA, 2023) and UNESCO (2023). </w:t>
      </w:r>
    </w:p>
    <w:p w:rsidR="000A7898" w:rsidRDefault="00440CCB" w:rsidP="00AC11DE">
      <w:pPr>
        <w:spacing w:after="240" w:line="240" w:lineRule="auto"/>
        <w:ind w:left="0" w:right="0"/>
      </w:pPr>
      <w:r>
        <w:t xml:space="preserve">The proposed framework identifies how policy clarity and training enhance students’ ethical awareness and normative beliefs, while enforcement mechanisms strengthen perceived behavioural control and </w:t>
      </w:r>
      <w:r>
        <w:t>accountability. Collectively, these dimensions mediate the relationship between institutional AI ethics policies and academic integrity outcomes, including ethical AI use and reduced AI-related misconduct. Illustrative cases demonstrate that institutions i</w:t>
      </w:r>
      <w:r>
        <w:t xml:space="preserve">mplementing coordinated and consistently enforced policy components are better positioned to influence student behaviour meaningfully. By examining this gap, the framework aims to support higher education institutions in enhancing ethical AI use. </w:t>
      </w:r>
    </w:p>
    <w:p w:rsidR="000A7898" w:rsidRDefault="00440CCB" w:rsidP="00AC11DE">
      <w:pPr>
        <w:spacing w:after="240" w:line="240" w:lineRule="auto"/>
        <w:ind w:left="0" w:right="0"/>
      </w:pPr>
      <w:r w:rsidRPr="00AC11DE">
        <w:rPr>
          <w:b/>
          <w:bCs/>
        </w:rPr>
        <w:t>Keywords</w:t>
      </w:r>
      <w:r w:rsidRPr="00AC11DE">
        <w:rPr>
          <w:b/>
          <w:bCs/>
        </w:rPr>
        <w:t>:</w:t>
      </w:r>
      <w:r>
        <w:t xml:space="preserve"> </w:t>
      </w:r>
      <w:bookmarkStart w:id="2" w:name="OLE_LINK59"/>
      <w:r>
        <w:t xml:space="preserve">academic integrity, AI ethics policy, higher education governance, generative artificial intelligence, quality assurance </w:t>
      </w:r>
    </w:p>
    <w:bookmarkEnd w:id="2"/>
    <w:p w:rsidR="000A7898" w:rsidRDefault="00440CCB" w:rsidP="00AC11DE">
      <w:pPr>
        <w:pStyle w:val="Heading1"/>
        <w:spacing w:after="240" w:line="240" w:lineRule="auto"/>
        <w:ind w:left="0"/>
        <w:jc w:val="both"/>
      </w:pPr>
      <w:r>
        <w:t>INTRODUCTION</w:t>
      </w:r>
      <w:r>
        <w:rPr>
          <w:sz w:val="24"/>
        </w:rPr>
        <w:t xml:space="preserve"> </w:t>
      </w:r>
    </w:p>
    <w:p w:rsidR="000A7898" w:rsidRDefault="00440CCB" w:rsidP="00AC11DE">
      <w:pPr>
        <w:spacing w:after="240" w:line="240" w:lineRule="auto"/>
        <w:ind w:left="0" w:right="0"/>
      </w:pPr>
      <w:r>
        <w:t>Artificial intelligence (AI) is changing the way colleges and universities teach, learn, and grade (Evangelista, 2025;</w:t>
      </w:r>
      <w:r>
        <w:t xml:space="preserve"> UNESCO, 2023). While AI brings advantages to the classroom, it also raises questions about academic honesty, ethics, and whether students complete their own work (Marín et al., 2025; Bittle &amp; El-Gayar, 2025). To address these concerns, many institutions h</w:t>
      </w:r>
      <w:r>
        <w:t xml:space="preserve">ave implemented AI ethics policies to promote responsible AI use (Li et al., 2025; UNESCO, 2023). </w:t>
      </w:r>
    </w:p>
    <w:p w:rsidR="000A7898" w:rsidRDefault="00440CCB" w:rsidP="00AC11DE">
      <w:pPr>
        <w:spacing w:after="240" w:line="240" w:lineRule="auto"/>
        <w:ind w:left="0" w:right="0"/>
      </w:pPr>
      <w:r>
        <w:t>Most research on AI and academic integrity focuses on students’ perceptions and ethical awareness, including their attitudes toward ethical behaviour (bin Mo</w:t>
      </w:r>
      <w:r>
        <w:t>hd Khidir et al., 2025; Bittle &amp; El-Gayar, 2025). Typically, these studies are confined to single universities and rely on cross-sectional data (Bittle &amp; El-Gayar, 2025). While these studies provide insight into student perspectives, they do not fully reve</w:t>
      </w:r>
      <w:r>
        <w:t>al whether institutional AI ethics policies influence student behaviour over time (</w:t>
      </w:r>
      <w:proofErr w:type="spellStart"/>
      <w:r>
        <w:t>Bittle</w:t>
      </w:r>
      <w:proofErr w:type="spellEnd"/>
      <w:r>
        <w:t xml:space="preserve"> &amp; </w:t>
      </w:r>
      <w:proofErr w:type="spellStart"/>
      <w:r>
        <w:t>ElGayar</w:t>
      </w:r>
      <w:proofErr w:type="spellEnd"/>
      <w:r>
        <w:t>, 2025). Furthermore, there is limited empirical evidence regarding which components of these policies—policy clarity, ethics training, or enforcement mechan</w:t>
      </w:r>
      <w:r>
        <w:t xml:space="preserve">isms—effectively guide responsible AI use across different universities (Marín et al., 2025; Bittle &amp; El-Gayar, 2025). </w:t>
      </w:r>
    </w:p>
    <w:p w:rsidR="000A7898" w:rsidRDefault="00440CCB" w:rsidP="00AC11DE">
      <w:pPr>
        <w:spacing w:after="240" w:line="240" w:lineRule="auto"/>
        <w:ind w:left="0" w:right="0"/>
      </w:pPr>
      <w:r>
        <w:lastRenderedPageBreak/>
        <w:t>Currently, longitudinal, multi-institutional research examining the effectiveness of AI ethics policies in higher education is lacking (Bittle &amp; El-Gayar, 2025). In the absence of empirical evidence, institutions may implement policies that appear comprehe</w:t>
      </w:r>
      <w:r>
        <w:t>nsive on paper but do not produce meaningful improvements in student behaviour (UNESCO, 2023). Rigorous research is therefore required to identify policy components and practices that genuinely promote ethical AI use and uphold academic integrity (Bittle &amp;</w:t>
      </w:r>
      <w:r>
        <w:t xml:space="preserve"> El-Gayar, 2025). </w:t>
      </w:r>
    </w:p>
    <w:p w:rsidR="000A7898" w:rsidRDefault="00440CCB" w:rsidP="00AC11DE">
      <w:pPr>
        <w:pStyle w:val="Heading2"/>
        <w:spacing w:after="240" w:line="240" w:lineRule="auto"/>
        <w:ind w:left="0"/>
        <w:jc w:val="both"/>
      </w:pPr>
      <w:r>
        <w:t xml:space="preserve">Conceptual Framework Explanation </w:t>
      </w:r>
    </w:p>
    <w:p w:rsidR="000A7898" w:rsidRDefault="00440CCB" w:rsidP="00AC11DE">
      <w:pPr>
        <w:spacing w:after="240" w:line="240" w:lineRule="auto"/>
        <w:ind w:left="0" w:right="0"/>
      </w:pPr>
      <w:r>
        <w:t>This paper lays out a framework to look at how university AI ethics policies shape the way students approach academic integrity. It is built on the Theory of Planned Behaviour (TPB) and Institutional Theory, which explain how official rules and policies in</w:t>
      </w:r>
      <w:r>
        <w:t>fluence behaviour, particularly in large organizations such as universities. In Malaysia, the Malaysian Qualifications Agency (MQA) takes the lead in ensuring that universities and colleges adhere to high academic standards (Malaysian Qualifications Agency</w:t>
      </w:r>
      <w:r>
        <w:t xml:space="preserve"> [MQA], 2023). Although MQA has not introduced a dedicated AI policy, Advisory Note No. 2/2023 addresses the integration of generative AI in higher education and emphasizes responsible and ethical AI use aligned with existing quality assurance standards (M</w:t>
      </w:r>
      <w:r>
        <w:t xml:space="preserve">QA, 2023; UNESCO, 2023). </w:t>
      </w:r>
    </w:p>
    <w:p w:rsidR="000A7898" w:rsidRDefault="00440CCB" w:rsidP="00AC11DE">
      <w:pPr>
        <w:spacing w:after="240" w:line="240" w:lineRule="auto"/>
        <w:ind w:left="0" w:right="0"/>
      </w:pPr>
      <w:r>
        <w:t>Malaysian universities are beginning to implement formal AI ethics policies, largely guided by MQA recommendations and national developments in AI governance (Malaysian Qualifications Agency [MQA], 2023). Effective policies are no</w:t>
      </w:r>
      <w:r>
        <w:t>t merely documented but are clear, supported by training, and consistently enforced (Li et al., 2025; Bittle &amp; El-Gayar, 2025). When embedded within teaching, research, and assessment practices, these policies are more likely to achieve their intended outc</w:t>
      </w:r>
      <w:r>
        <w:t xml:space="preserve">omes (Li et al., 2025). </w:t>
      </w:r>
    </w:p>
    <w:p w:rsidR="000A7898" w:rsidRDefault="00440CCB" w:rsidP="00AC11DE">
      <w:pPr>
        <w:spacing w:after="240" w:line="240" w:lineRule="auto"/>
        <w:ind w:left="0" w:right="0"/>
      </w:pPr>
      <w:proofErr w:type="spellStart"/>
      <w:r>
        <w:t>Universiti</w:t>
      </w:r>
      <w:proofErr w:type="spellEnd"/>
      <w:r>
        <w:t xml:space="preserve"> </w:t>
      </w:r>
      <w:proofErr w:type="spellStart"/>
      <w:r>
        <w:t>Teknologi</w:t>
      </w:r>
      <w:proofErr w:type="spellEnd"/>
      <w:r>
        <w:t xml:space="preserve"> Malaysia (UTM) has introduced clear guidelines on generative AI use in teaching and assessment, specifying permitted and prohibited uses and requiring disclosure of AI assistance (MQA, 2023). UTM also conducts </w:t>
      </w:r>
      <w:r>
        <w:t xml:space="preserve">workshops and seminars to support students’ understanding of responsible AI use. For research and publication, institutions such as </w:t>
      </w:r>
      <w:proofErr w:type="spellStart"/>
      <w:r>
        <w:t>Universiti</w:t>
      </w:r>
      <w:proofErr w:type="spellEnd"/>
      <w:r>
        <w:t xml:space="preserve"> </w:t>
      </w:r>
      <w:proofErr w:type="spellStart"/>
      <w:r>
        <w:t>Teknologi</w:t>
      </w:r>
      <w:proofErr w:type="spellEnd"/>
      <w:r>
        <w:t xml:space="preserve"> MARA (</w:t>
      </w:r>
      <w:proofErr w:type="spellStart"/>
      <w:r>
        <w:t>UiTM</w:t>
      </w:r>
      <w:proofErr w:type="spellEnd"/>
      <w:r>
        <w:t xml:space="preserve">) and </w:t>
      </w:r>
      <w:proofErr w:type="spellStart"/>
      <w:r>
        <w:t>Universiti</w:t>
      </w:r>
      <w:proofErr w:type="spellEnd"/>
      <w:r>
        <w:t xml:space="preserve"> Malaya (UM) have implemented journal policies requiring disclosure of AI usa</w:t>
      </w:r>
      <w:r>
        <w:t xml:space="preserve">ge and limiting certain AI-assisted practices (Marín et al., 2025). </w:t>
      </w:r>
      <w:proofErr w:type="spellStart"/>
      <w:r>
        <w:t>Universiti</w:t>
      </w:r>
      <w:proofErr w:type="spellEnd"/>
      <w:r>
        <w:t xml:space="preserve"> Malaysia Pahang (UMP) has introduced editorial restrictions on AI-assisted manuscript preparation, while private institutions such as UNITAR International University have establ</w:t>
      </w:r>
      <w:r>
        <w:t xml:space="preserve">ished internal policies defining acceptable AI use in assessments (MQA, 2023). </w:t>
      </w:r>
    </w:p>
    <w:p w:rsidR="000A7898" w:rsidRDefault="00440CCB" w:rsidP="00AC11DE">
      <w:pPr>
        <w:spacing w:after="240" w:line="240" w:lineRule="auto"/>
        <w:ind w:left="0" w:right="0"/>
      </w:pPr>
      <w:r>
        <w:t>These institutional practices illustrate how Malaysian universities are operationalizing AI ethics through a combination of policy clarity, training, and enforcement (MQA, 2023</w:t>
      </w:r>
      <w:r>
        <w:t xml:space="preserve">; Li et al., 2025; Bittle &amp; El-Gayar, 2025). The framework proposes that these components shape students’ ethical awareness, perceived social norms, and perceived behavioural control, mediating the relationship between institutional AI ethics policies and </w:t>
      </w:r>
      <w:r>
        <w:t>academic integrity outcomes, including ethical AI use and reduced AI-related misconduct (Bittle &amp; El-Gayar, 2025; Marín et al., 2025; UNESCO, 2023). By integrating institutional and behavioural perspectives, the framework provides a foundation for future q</w:t>
      </w:r>
      <w:r>
        <w:t>uantitative, longitudinal, and multi-institutional research and shifts the focus from ethical perceptions alone to evaluating policy effectiveness in promoting ethical AI use in higher education (Li et al., 2025; Bittle &amp; El-Gayar, 2025).</w:t>
      </w:r>
      <w:r>
        <w:rPr>
          <w:b/>
        </w:rPr>
        <w:t xml:space="preserve"> </w:t>
      </w:r>
    </w:p>
    <w:p w:rsidR="000A7898" w:rsidRDefault="00440CCB" w:rsidP="00AC11DE">
      <w:pPr>
        <w:pStyle w:val="Heading2"/>
        <w:spacing w:after="240" w:line="240" w:lineRule="auto"/>
        <w:ind w:left="0"/>
        <w:jc w:val="both"/>
      </w:pPr>
      <w:r>
        <w:t>Conceptual Frame</w:t>
      </w:r>
      <w:r>
        <w:t xml:space="preserve">work Figure </w:t>
      </w:r>
    </w:p>
    <w:p w:rsidR="000A7898" w:rsidRDefault="00440CCB" w:rsidP="00AC11DE">
      <w:pPr>
        <w:spacing w:after="240" w:line="240" w:lineRule="auto"/>
        <w:ind w:left="0" w:right="0" w:firstLine="0"/>
      </w:pPr>
      <w:r>
        <w:rPr>
          <w:b/>
        </w:rPr>
        <w:t xml:space="preserve">Figure 1. Conceptual framework for evaluating the effectiveness of institutional AI ethics policies in promoting academic integrity. </w:t>
      </w:r>
    </w:p>
    <w:p w:rsidR="00AC11DE" w:rsidRDefault="00AC11DE" w:rsidP="00AC11DE">
      <w:pPr>
        <w:spacing w:after="240" w:line="240" w:lineRule="auto"/>
        <w:ind w:left="0" w:right="0"/>
        <w:rPr>
          <w:b/>
        </w:rPr>
      </w:pPr>
    </w:p>
    <w:p w:rsidR="00AC11DE" w:rsidRDefault="00AC11DE" w:rsidP="00AC11DE">
      <w:pPr>
        <w:spacing w:after="240" w:line="240" w:lineRule="auto"/>
        <w:ind w:left="0" w:right="0"/>
        <w:rPr>
          <w:b/>
        </w:rPr>
      </w:pPr>
    </w:p>
    <w:p w:rsidR="00AC11DE" w:rsidRDefault="00AC11DE" w:rsidP="00AC11DE">
      <w:pPr>
        <w:spacing w:after="240" w:line="240" w:lineRule="auto"/>
        <w:ind w:left="0" w:right="0"/>
        <w:rPr>
          <w:b/>
        </w:rPr>
      </w:pPr>
      <w:r w:rsidRPr="00AC11DE">
        <w:rPr>
          <w:b/>
          <w:noProof/>
          <w:lang w:val="en-US" w:eastAsia="en-US"/>
        </w:rPr>
        <w:lastRenderedPageBreak/>
        <w:drawing>
          <wp:inline distT="0" distB="0" distL="0" distR="0">
            <wp:extent cx="6781165" cy="5257800"/>
            <wp:effectExtent l="19050" t="0" r="635" b="0"/>
            <wp:docPr id="246261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261451" name=""/>
                    <pic:cNvPicPr/>
                  </pic:nvPicPr>
                  <pic:blipFill>
                    <a:blip r:embed="rId8" cstate="print"/>
                    <a:stretch>
                      <a:fillRect/>
                    </a:stretch>
                  </pic:blipFill>
                  <pic:spPr>
                    <a:xfrm>
                      <a:off x="0" y="0"/>
                      <a:ext cx="6781165" cy="5257800"/>
                    </a:xfrm>
                    <a:prstGeom prst="rect">
                      <a:avLst/>
                    </a:prstGeom>
                  </pic:spPr>
                </pic:pic>
              </a:graphicData>
            </a:graphic>
          </wp:inline>
        </w:drawing>
      </w:r>
    </w:p>
    <w:p w:rsidR="000A7898" w:rsidRDefault="00440CCB" w:rsidP="00AC11DE">
      <w:pPr>
        <w:spacing w:after="240" w:line="240" w:lineRule="auto"/>
        <w:ind w:left="0" w:right="0"/>
      </w:pPr>
      <w:r>
        <w:rPr>
          <w:b/>
        </w:rPr>
        <w:t xml:space="preserve">Behavioural Mediators </w:t>
      </w:r>
    </w:p>
    <w:p w:rsidR="000A7898" w:rsidRDefault="00440CCB" w:rsidP="00AC11DE">
      <w:pPr>
        <w:spacing w:after="240" w:line="240" w:lineRule="auto"/>
        <w:ind w:left="0" w:right="0"/>
      </w:pPr>
      <w:r>
        <w:rPr>
          <w:b/>
        </w:rPr>
        <w:t>Conceptual Framework for Evaluating the Effectiveness of Institutional AI Ethics P</w:t>
      </w:r>
      <w:r>
        <w:rPr>
          <w:b/>
        </w:rPr>
        <w:t xml:space="preserve">olicies in Promoting Academic Integrity </w:t>
      </w:r>
    </w:p>
    <w:p w:rsidR="000A7898" w:rsidRDefault="00440CCB" w:rsidP="00AC11DE">
      <w:pPr>
        <w:spacing w:after="240" w:line="240" w:lineRule="auto"/>
        <w:ind w:left="0" w:right="0"/>
      </w:pPr>
      <w:r>
        <w:t>This proposed conceptual framework in Figure 1 illustrates how institutional AI ethics policy dimensions—policy clarity, AI ethics training, and enforcement mechanisms—influence students’ academic integrity outcomes</w:t>
      </w:r>
      <w:r>
        <w:t xml:space="preserve"> through key behavioural mediators derived from the Theory of Planned Behaviour. The model is situated within a broader institutional governance and quality assurance context and is intended to guide evaluation and future empirical inquiry rather than repr</w:t>
      </w:r>
      <w:r>
        <w:t xml:space="preserve">esent a tested causal model. </w:t>
      </w:r>
    </w:p>
    <w:p w:rsidR="000A7898" w:rsidRDefault="00440CCB" w:rsidP="00AC11DE">
      <w:pPr>
        <w:pStyle w:val="Heading2"/>
        <w:spacing w:after="240" w:line="240" w:lineRule="auto"/>
        <w:ind w:left="0"/>
        <w:jc w:val="both"/>
      </w:pPr>
      <w:r>
        <w:t xml:space="preserve">Explanatory paragraph </w:t>
      </w:r>
      <w:r>
        <w:rPr>
          <w:b w:val="0"/>
        </w:rPr>
        <w:t xml:space="preserve"> </w:t>
      </w:r>
    </w:p>
    <w:p w:rsidR="000A7898" w:rsidRDefault="00440CCB" w:rsidP="00AC11DE">
      <w:pPr>
        <w:spacing w:after="240" w:line="240" w:lineRule="auto"/>
        <w:ind w:left="0" w:right="0"/>
      </w:pPr>
      <w:r>
        <w:t xml:space="preserve">Figure 1 presents the proposed conceptual framework underpinning this study.  </w:t>
      </w:r>
    </w:p>
    <w:p w:rsidR="000A7898" w:rsidRDefault="00440CCB" w:rsidP="00AC11DE">
      <w:pPr>
        <w:spacing w:after="240" w:line="240" w:lineRule="auto"/>
        <w:ind w:left="0" w:right="0"/>
      </w:pPr>
      <w:r>
        <w:t>The framework conceptualizes institutional AI ethics policies as consisting of clear policies, training, and enforcement. I</w:t>
      </w:r>
      <w:r>
        <w:t>t is based on the Theory of Planned Behaviour, which explains how AI ethics policies influence student behaviour. According to this theory, such policies only influence student behaviour indirectly through three key psychological factors that determine whe</w:t>
      </w:r>
      <w:r>
        <w:t>ther students behave ethically when utilizing Artificial Intelligence: students’ ethical awareness and attitudes towards using AI, their perceptions of social norms regarding the ethical AI usage, their confidence in their ability to utilize AI responsibly</w:t>
      </w:r>
      <w:r>
        <w:t xml:space="preserve"> within academic boundaries. It is imperative that researchers to examine whether clear and well-implemented AI ethics policies support responsible AI use and reduce AI-related academic misconduct, such as plagiarism or misuse of generative tools. This fra</w:t>
      </w:r>
      <w:r>
        <w:t>mework serves as a starting point for further studies investigating the effectiveness of institutional AI ethics policies across different types of higher education institutions.</w:t>
      </w:r>
      <w:r>
        <w:rPr>
          <w:b/>
        </w:rPr>
        <w:t xml:space="preserve"> </w:t>
      </w:r>
    </w:p>
    <w:p w:rsidR="000A7898" w:rsidRDefault="00440CCB" w:rsidP="00AC11DE">
      <w:pPr>
        <w:pStyle w:val="Heading2"/>
        <w:spacing w:after="240" w:line="240" w:lineRule="auto"/>
        <w:ind w:left="0"/>
        <w:jc w:val="both"/>
      </w:pPr>
      <w:r>
        <w:lastRenderedPageBreak/>
        <w:t xml:space="preserve">Institutional Approaches to Regulating AI Use in Higher Education </w:t>
      </w:r>
    </w:p>
    <w:p w:rsidR="000A7898" w:rsidRDefault="00440CCB" w:rsidP="00AC11DE">
      <w:pPr>
        <w:spacing w:after="240" w:line="240" w:lineRule="auto"/>
        <w:ind w:left="0" w:right="0"/>
      </w:pPr>
      <w:r>
        <w:t>Higher ed</w:t>
      </w:r>
      <w:r>
        <w:t>ucation institutions adopt differing approaches to regulating the use of artificial intelligence, reflecting variations in governance structures, institutional culture, and educational priorities (Li et al., 2025; UNESCO, 2023). In Malaysia, public univers</w:t>
      </w:r>
      <w:r>
        <w:t>ities, operating under stronger state oversight and centralized governance, often favour strict enforcement approaches. These institutions emphasise formal rules, monitoring mechanisms, and clearly defined sanctions for policy violations (Malaysian Qualifi</w:t>
      </w:r>
      <w:r>
        <w:t>cations Agency [MQA], 2023; Evangelista, 2025). In contrast, private universities, which operate with greater autonomy and market-driven flexibility, may place more responsibility for regulating AI use in the hands of academic staff, allowing lecturers and</w:t>
      </w:r>
      <w:r>
        <w:t xml:space="preserve"> faculties to interpret institutional guidelines in discipline-specific and pedagogically appropriate ways (Li et al., 2025; Bittle &amp; El-Gayar, 2025). </w:t>
      </w:r>
    </w:p>
    <w:p w:rsidR="000A7898" w:rsidRDefault="00440CCB" w:rsidP="00AC11DE">
      <w:pPr>
        <w:spacing w:after="240" w:line="240" w:lineRule="auto"/>
        <w:ind w:left="0" w:right="0"/>
      </w:pPr>
      <w:r>
        <w:t>These governance strategies have distinct implications for motivating ethical behaviour. Enforcement</w:t>
      </w:r>
      <w:r w:rsidR="00B85B9E">
        <w:t xml:space="preserve"> </w:t>
      </w:r>
      <w:r>
        <w:t>cent</w:t>
      </w:r>
      <w:r>
        <w:t xml:space="preserve">red approaches strengthen perceived behavioural control by highlighting consequences for noncompliance and reinforcing accountability structures (Bittle &amp; El-Gayar, 2025; Evangelista, 2025). </w:t>
      </w:r>
    </w:p>
    <w:p w:rsidR="000A7898" w:rsidRDefault="00440CCB" w:rsidP="00AC11DE">
      <w:pPr>
        <w:spacing w:after="240" w:line="240" w:lineRule="auto"/>
        <w:ind w:left="0" w:right="0"/>
      </w:pPr>
      <w:r>
        <w:t>Ethical AI use is encouraged primarily through deterrence and co</w:t>
      </w:r>
      <w:r>
        <w:t xml:space="preserve">mpliance, particularly in high-stakes assessment or research contexts. In academia-led models, students and staff are encouraged to internalise ethical principles through professional judgement and contextual decision-making, shaping ethical awareness and </w:t>
      </w:r>
      <w:r>
        <w:t xml:space="preserve">normative beliefs rather than relying on formal sanctions (Johnston et al., 2024; bin Mohd Khidir et al., 2025). </w:t>
      </w:r>
    </w:p>
    <w:p w:rsidR="000A7898" w:rsidRDefault="00440CCB" w:rsidP="00AC11DE">
      <w:pPr>
        <w:spacing w:after="240" w:line="240" w:lineRule="auto"/>
        <w:ind w:left="0" w:right="0"/>
      </w:pPr>
      <w:r>
        <w:t>Policy clarity remains critical across both approaches. In enforcement-focused institutions, clear rules support consistent application of pol</w:t>
      </w:r>
      <w:r>
        <w:t>icies and sanctions (Li et al., 2025; Marín et al., 2025). In academia-led models, clarity provides a shared ethical baseline that enables lecturers to exercise discretion without creating contradictory practices. Many institutions adopt hybrid strategies,</w:t>
      </w:r>
      <w:r>
        <w:t xml:space="preserve"> combining centralised policy enforcement with faculty-level autonomy, highlighting the need for flexible yet coherent policy design (MQA, 2023; UNESCO, 2023). </w:t>
      </w:r>
    </w:p>
    <w:p w:rsidR="000A7898" w:rsidRDefault="00440CCB" w:rsidP="00AC11DE">
      <w:pPr>
        <w:spacing w:after="240" w:line="240" w:lineRule="auto"/>
        <w:ind w:left="0" w:right="0"/>
      </w:pPr>
      <w:r>
        <w:t>The proposed conceptual framework accommodates both regulatory models by focusing on how policy</w:t>
      </w:r>
      <w:r>
        <w:t xml:space="preserve"> clarity, training, and enforcement interact with behavioural mediators, rather than prescribing a single governance approach (Li et al., 2025; Bittle &amp; El-Gayar, 2025). This ensures the framework is actionable and adaptable, capable of guiding evaluation </w:t>
      </w:r>
      <w:r>
        <w:t xml:space="preserve">across diverse institutional contexts while illuminating how different strategies may shape motivation and responsibility in the ethical use of AI. </w:t>
      </w:r>
    </w:p>
    <w:p w:rsidR="000A7898" w:rsidRDefault="00440CCB" w:rsidP="00AC11DE">
      <w:pPr>
        <w:pStyle w:val="Heading2"/>
        <w:spacing w:after="240" w:line="240" w:lineRule="auto"/>
        <w:ind w:left="0"/>
        <w:jc w:val="both"/>
      </w:pPr>
      <w:r>
        <w:t xml:space="preserve">Theoretical Rationale and Literature Integration </w:t>
      </w:r>
    </w:p>
    <w:p w:rsidR="000A7898" w:rsidRDefault="00440CCB" w:rsidP="00AC11DE">
      <w:pPr>
        <w:spacing w:after="240" w:line="240" w:lineRule="auto"/>
        <w:ind w:left="0" w:right="0"/>
      </w:pPr>
      <w:r>
        <w:t>This study builds its framework on organizational governance theory and higher education quality assurance, aiming to show how AI ethics policies within universities can shape academic integrity (Malaysian Qualifications Agency [MQA], 2023; Li et al., 2025</w:t>
      </w:r>
      <w:r>
        <w:t>). Governance theory suggests that when formal rules and clear structures are established and enforced, institutional actors are more likely to align with shared values and goals (Li et al., 2025; Bittle &amp; El-Gayar, 2025). Within higher education, AI ethic</w:t>
      </w:r>
      <w:r>
        <w:t xml:space="preserve">s policies therefore function not merely as guidelines but as institutional mechanisms that shape how students engage with emerging technologies while maintaining academic standards (Marín et al., 2025; UNESCO, 2023). </w:t>
      </w:r>
    </w:p>
    <w:p w:rsidR="000A7898" w:rsidRDefault="00440CCB" w:rsidP="00AC11DE">
      <w:pPr>
        <w:spacing w:after="240" w:line="240" w:lineRule="auto"/>
        <w:ind w:left="0" w:right="0"/>
      </w:pPr>
      <w:r>
        <w:t>This framework aligns with existing a</w:t>
      </w:r>
      <w:r>
        <w:t xml:space="preserve">cademic integrity literature emphasizing the role of policy clarity, training, and enforcement in shaping ethical behaviour in higher education (Li et al., 2025; </w:t>
      </w:r>
      <w:proofErr w:type="spellStart"/>
      <w:r>
        <w:t>Bittle</w:t>
      </w:r>
      <w:proofErr w:type="spellEnd"/>
      <w:r>
        <w:t xml:space="preserve"> &amp; </w:t>
      </w:r>
      <w:proofErr w:type="spellStart"/>
      <w:r>
        <w:t>ElGayar</w:t>
      </w:r>
      <w:proofErr w:type="spellEnd"/>
      <w:r>
        <w:t>, 2025). Policy clarity reduces ambiguity surrounding acceptable and unaccepta</w:t>
      </w:r>
      <w:r>
        <w:t>ble AI use, while AI ethics training enhances students’ knowledge and ethical awareness in complex digital learning environments (Bittle &amp; El-Gayar, 2025; Marín et al., 2025). Enforcement mechanisms, including monitoring, reporting, and accountability stru</w:t>
      </w:r>
      <w:r>
        <w:t xml:space="preserve">ctures, reinforce compliance and signal institutional commitment to academic standards (Li et al., 2025; Bittle &amp; El-Gayar, 2025). </w:t>
      </w:r>
    </w:p>
    <w:p w:rsidR="000A7898" w:rsidRDefault="00440CCB" w:rsidP="00AC11DE">
      <w:pPr>
        <w:spacing w:after="240" w:line="240" w:lineRule="auto"/>
        <w:ind w:left="0" w:right="0"/>
      </w:pPr>
      <w:r>
        <w:t xml:space="preserve">Illustrative cases from Malaysian universities demonstrate how these principles are applied in practice. At </w:t>
      </w:r>
      <w:proofErr w:type="spellStart"/>
      <w:r>
        <w:t>Universiti</w:t>
      </w:r>
      <w:proofErr w:type="spellEnd"/>
      <w:r>
        <w:t xml:space="preserve"> </w:t>
      </w:r>
      <w:proofErr w:type="spellStart"/>
      <w:r>
        <w:t>Tekno</w:t>
      </w:r>
      <w:r>
        <w:t>logi</w:t>
      </w:r>
      <w:proofErr w:type="spellEnd"/>
      <w:r>
        <w:t xml:space="preserve"> Malaysia (UTM), clear guidelines on generative AI use are complemented by workshops that support students’ ethical awareness (MQA, 2023). At </w:t>
      </w:r>
      <w:proofErr w:type="spellStart"/>
      <w:r>
        <w:t>Universiti</w:t>
      </w:r>
      <w:proofErr w:type="spellEnd"/>
      <w:r>
        <w:t xml:space="preserve"> </w:t>
      </w:r>
      <w:proofErr w:type="spellStart"/>
      <w:r>
        <w:t>Teknologi</w:t>
      </w:r>
      <w:proofErr w:type="spellEnd"/>
      <w:r>
        <w:t xml:space="preserve"> MARA (</w:t>
      </w:r>
      <w:proofErr w:type="spellStart"/>
      <w:r>
        <w:t>UiTM</w:t>
      </w:r>
      <w:proofErr w:type="spellEnd"/>
      <w:r>
        <w:t xml:space="preserve">) and </w:t>
      </w:r>
      <w:proofErr w:type="spellStart"/>
      <w:r>
        <w:t>Universiti</w:t>
      </w:r>
      <w:proofErr w:type="spellEnd"/>
      <w:r>
        <w:t xml:space="preserve"> Malaya (UM), journal policies require disclosure of AI usage a</w:t>
      </w:r>
      <w:r>
        <w:t xml:space="preserve">nd restrict certain AI-assisted practices, </w:t>
      </w:r>
      <w:r>
        <w:lastRenderedPageBreak/>
        <w:t xml:space="preserve">reflecting enforcement in research contexts (Marín et al., 2025). </w:t>
      </w:r>
      <w:proofErr w:type="spellStart"/>
      <w:r>
        <w:t>Universiti</w:t>
      </w:r>
      <w:proofErr w:type="spellEnd"/>
      <w:r>
        <w:t xml:space="preserve"> Malaysia Pahang (UMP) enforces editorial rules to uphold academic integrity, while private institutions such as UNITAR International Uni</w:t>
      </w:r>
      <w:r>
        <w:t xml:space="preserve">versity implement internal policies clarifying acceptable AI use in assessments (MQA, 2023). Collectively, these practices illustrate how Malaysian institutions are operationalizing clarity, training, and enforcement in line with governance theory and MQA </w:t>
      </w:r>
      <w:r>
        <w:t xml:space="preserve">quality standards (MQA, 2023). </w:t>
      </w:r>
    </w:p>
    <w:p w:rsidR="000A7898" w:rsidRDefault="00440CCB" w:rsidP="00AC11DE">
      <w:pPr>
        <w:spacing w:after="240" w:line="240" w:lineRule="auto"/>
        <w:ind w:left="0" w:right="0"/>
      </w:pPr>
      <w:r>
        <w:t>The underlying premise of the framework is that clearly articulated and consistently implemented AI ethics policies can shape institutional and student behaviour, support academic integrity, and provide a basis for evaluatin</w:t>
      </w:r>
      <w:r>
        <w:t xml:space="preserve">g policy effectiveness and guiding future improvements (Li et al., 2025; </w:t>
      </w:r>
      <w:proofErr w:type="spellStart"/>
      <w:r>
        <w:t>Bittle</w:t>
      </w:r>
      <w:proofErr w:type="spellEnd"/>
      <w:r>
        <w:t xml:space="preserve"> &amp; </w:t>
      </w:r>
      <w:proofErr w:type="spellStart"/>
      <w:r>
        <w:t>ElGayar</w:t>
      </w:r>
      <w:proofErr w:type="spellEnd"/>
      <w:r>
        <w:t>, 2025; UNESCO, 2023).</w:t>
      </w:r>
      <w:r>
        <w:rPr>
          <w:b/>
        </w:rPr>
        <w:t xml:space="preserve"> </w:t>
      </w:r>
    </w:p>
    <w:p w:rsidR="000A7898" w:rsidRDefault="00440CCB" w:rsidP="00AC11DE">
      <w:pPr>
        <w:pStyle w:val="Heading2"/>
        <w:spacing w:after="240" w:line="240" w:lineRule="auto"/>
        <w:ind w:left="0"/>
        <w:jc w:val="both"/>
      </w:pPr>
      <w:r>
        <w:t xml:space="preserve">Illustrative Application of the Framework Using Institutional Examples </w:t>
      </w:r>
    </w:p>
    <w:p w:rsidR="000A7898" w:rsidRDefault="00440CCB" w:rsidP="00AC11DE">
      <w:pPr>
        <w:spacing w:after="240" w:line="240" w:lineRule="auto"/>
        <w:ind w:left="0" w:right="0"/>
      </w:pPr>
      <w:r>
        <w:t>This framework is intended to assess the capacity of different institut</w:t>
      </w:r>
      <w:r>
        <w:t>ions to manage AI ethics (Malaysian Qualifications Agency [MQA], 2023; Li et al., 2025). Higher education institutions seek to establish clear policies and provide AI ethics training for both academic staff and students (Li et al., 2025; Bittle &amp; El-Gayar,</w:t>
      </w:r>
      <w:r>
        <w:t xml:space="preserve"> 2025). For example, </w:t>
      </w:r>
      <w:proofErr w:type="spellStart"/>
      <w:r>
        <w:t>Universiti</w:t>
      </w:r>
      <w:proofErr w:type="spellEnd"/>
      <w:r>
        <w:t xml:space="preserve"> </w:t>
      </w:r>
      <w:proofErr w:type="spellStart"/>
      <w:r>
        <w:t>Teknologi</w:t>
      </w:r>
      <w:proofErr w:type="spellEnd"/>
      <w:r>
        <w:t xml:space="preserve"> Malaysia (UTM) has developed Guidelines for the Use of Generative Artificial Intelligence in Teaching and Learning, supported by workshops and seminars that enhance awareness of responsible AI use and require stude</w:t>
      </w:r>
      <w:r>
        <w:t xml:space="preserve">nts to acknowledge AI contributions in academic work, thereby promoting accountability (MQA, 2023; Marín et al., 2025). </w:t>
      </w:r>
    </w:p>
    <w:p w:rsidR="000A7898" w:rsidRDefault="00440CCB" w:rsidP="00AC11DE">
      <w:pPr>
        <w:spacing w:after="240" w:line="240" w:lineRule="auto"/>
        <w:ind w:left="0" w:right="0"/>
      </w:pPr>
      <w:r>
        <w:t xml:space="preserve">At </w:t>
      </w:r>
      <w:proofErr w:type="spellStart"/>
      <w:r>
        <w:t>Universiti</w:t>
      </w:r>
      <w:proofErr w:type="spellEnd"/>
      <w:r>
        <w:t xml:space="preserve"> </w:t>
      </w:r>
      <w:proofErr w:type="spellStart"/>
      <w:r>
        <w:t>Teknologi</w:t>
      </w:r>
      <w:proofErr w:type="spellEnd"/>
      <w:r>
        <w:t xml:space="preserve"> MARA (</w:t>
      </w:r>
      <w:proofErr w:type="spellStart"/>
      <w:r>
        <w:t>UiTM</w:t>
      </w:r>
      <w:proofErr w:type="spellEnd"/>
      <w:r>
        <w:t xml:space="preserve">) and </w:t>
      </w:r>
      <w:proofErr w:type="spellStart"/>
      <w:r>
        <w:t>Universiti</w:t>
      </w:r>
      <w:proofErr w:type="spellEnd"/>
      <w:r>
        <w:t xml:space="preserve"> Malaya (UM), journal-level policies require authors to disclose AI use and restrict </w:t>
      </w:r>
      <w:r>
        <w:t xml:space="preserve">certain AI-assisted practices to uphold research integrity (Marín et al., 2025; UNESCO, 2023). </w:t>
      </w:r>
      <w:proofErr w:type="spellStart"/>
      <w:r>
        <w:t>Universiti</w:t>
      </w:r>
      <w:proofErr w:type="spellEnd"/>
      <w:r>
        <w:t xml:space="preserve"> Malaysia Pahang (UMP) enforces stricter editorial rules to ensure ethical research practices (Marín et al., 2025). Private institutions, such as UNITA</w:t>
      </w:r>
      <w:r>
        <w:t>R International University, adopt differentiated approaches in which some assessments prohibit unapproved AI use, while others permit AI assistance only when explicitly allowed and properly disclosed (MQA, 2023; Li et al., 2025). Disclosure requirements an</w:t>
      </w:r>
      <w:r>
        <w:t xml:space="preserve">d the classification of unapproved AI use as academic misconduct reinforce accountability through enforcement mechanisms, with sanctions ranging from remedial education to formal penalties (Bittle &amp; El-Gayar, 2025; UNESCO, 2023). </w:t>
      </w:r>
    </w:p>
    <w:p w:rsidR="000A7898" w:rsidRDefault="00440CCB" w:rsidP="00AC11DE">
      <w:pPr>
        <w:spacing w:after="120" w:line="240" w:lineRule="auto"/>
        <w:ind w:left="0" w:right="0"/>
      </w:pPr>
      <w:r>
        <w:t>These institutional pract</w:t>
      </w:r>
      <w:r>
        <w:t>ices illustrate the three pillars of the framework—policy clarity, training, and enforcement—while also highlighting variation in how institutions prioritize and implement these components (Li et al., 2025; Bittle &amp; El-Gayar, 2025; Marín et al., 2025). Som</w:t>
      </w:r>
      <w:r>
        <w:t>e institutions emphasize training and awareness-building, others prioritize enforcement, and a smaller number adopt more balanced approaches. The framework therefore serves both as an analytical tool for evaluating existing institutional practices and as a</w:t>
      </w:r>
      <w:r>
        <w:t xml:space="preserve"> guide for developing more integrated AI ethics policies. It also identifies directions for future research, including empirical assessment of policy effectiveness and the identification of best practices for aligning institutional AI governance with acade</w:t>
      </w:r>
      <w:r>
        <w:t xml:space="preserve">mic integrity objectives (UNESCO, 2023; Bittle &amp; El-Gayar, 2025). </w:t>
      </w:r>
    </w:p>
    <w:p w:rsidR="000A7898" w:rsidRDefault="00440CCB" w:rsidP="00AC11DE">
      <w:pPr>
        <w:pStyle w:val="Heading2"/>
        <w:spacing w:after="120" w:line="240" w:lineRule="auto"/>
        <w:ind w:left="0"/>
        <w:jc w:val="both"/>
      </w:pPr>
      <w:r>
        <w:t xml:space="preserve">Implications for Theory and Practice </w:t>
      </w:r>
    </w:p>
    <w:p w:rsidR="000A7898" w:rsidRDefault="00440CCB" w:rsidP="00AC11DE">
      <w:pPr>
        <w:spacing w:after="120" w:line="240" w:lineRule="auto"/>
        <w:ind w:left="0" w:right="0"/>
      </w:pPr>
      <w:r>
        <w:t>The conceptual framework and illustrative examples presented in this paper have several important implications for both theory and practice in the cont</w:t>
      </w:r>
      <w:r>
        <w:t>ext of higher education governance and academic integrity (Malaysian Qualifications Agency [MQA], 2023; Li et al., 2025). From a theoretical perspective, the framework reinforces the utility of organizational governance principles in understanding how inst</w:t>
      </w:r>
      <w:r>
        <w:t xml:space="preserve">itutional policies shape stakeholder behaviour (Li et al., 2025; </w:t>
      </w:r>
      <w:proofErr w:type="spellStart"/>
      <w:r>
        <w:t>Bittle</w:t>
      </w:r>
      <w:proofErr w:type="spellEnd"/>
      <w:r>
        <w:t xml:space="preserve"> and </w:t>
      </w:r>
      <w:proofErr w:type="spellStart"/>
      <w:r>
        <w:t>ElGayar</w:t>
      </w:r>
      <w:proofErr w:type="spellEnd"/>
      <w:r>
        <w:t>, 2025). Practically, the framework provides guidance for university administrators and policymakers seeking to implement AI ethics policies that effectively promote ethical</w:t>
      </w:r>
      <w:r>
        <w:t xml:space="preserve"> behaviour, offering a structured approach to integrating clarity, training, and enforcement in institutional settings (Li et al., 2025; Bittle and El-Gayar, 2025). </w:t>
      </w:r>
    </w:p>
    <w:p w:rsidR="000A7898" w:rsidRDefault="00440CCB" w:rsidP="00AC11DE">
      <w:pPr>
        <w:spacing w:after="120" w:line="240" w:lineRule="auto"/>
        <w:ind w:left="0" w:right="0"/>
      </w:pPr>
      <w:r>
        <w:t>By treating AI ethics policies as a mix of clear rules, training, and enforcement, the fra</w:t>
      </w:r>
      <w:r>
        <w:t>mework gives researchers a way to judge if these policies encourage ethical behavior and academic honesty (Li et al., 2025; Bittle and El-Gayar, 2025; Marín et al., 2025). The differences seen across Malaysian universities show the framework is not one-siz</w:t>
      </w:r>
      <w:r>
        <w:t xml:space="preserve">e-fits-all and can flex to fit different cultures, available resources, and governance styles (MQA, 2023; Marín et al., 2025). </w:t>
      </w:r>
    </w:p>
    <w:p w:rsidR="000A7898" w:rsidRDefault="00440CCB" w:rsidP="00AC11DE">
      <w:pPr>
        <w:spacing w:after="240" w:line="240" w:lineRule="auto"/>
        <w:ind w:left="0" w:right="0"/>
      </w:pPr>
      <w:r>
        <w:lastRenderedPageBreak/>
        <w:t>This framework does not merely serve as a theory but is intended to be useful for policymakers shaping AI ethics in universities</w:t>
      </w:r>
      <w:r>
        <w:t xml:space="preserve"> and beyond (UNESCO, 2023; Li et al., 2025). Policymakers, quality assurance teams, and university leaders can use it to build or refine AI ethics policies (MQA, 2023; Li et al., 2025). Awareness of the existence of such guidelines and policies among stude</w:t>
      </w:r>
      <w:r>
        <w:t>nts and academia contributes to the ethical use of AI technology (Marín et al., 2025; UNESCO, 2023). Training regarding ethical AI use equips students and academia with confidence in using AI technology responsibly (Li et al., 2025; Bittle and El-Gayar, 20</w:t>
      </w:r>
      <w:r>
        <w:t xml:space="preserve">25), while enforcement of such policies reinforces accountability in the use of AI technology (Bittle and El-Gayar, 2025; Marín et al., 2025). </w:t>
      </w:r>
    </w:p>
    <w:p w:rsidR="000A7898" w:rsidRDefault="00440CCB" w:rsidP="00AC11DE">
      <w:pPr>
        <w:spacing w:after="240" w:line="240" w:lineRule="auto"/>
        <w:ind w:left="0" w:right="0"/>
      </w:pPr>
      <w:r>
        <w:t>The framework is relevant for national quality assurance bodies such as the Malaysian Qualifications Agency (MQA</w:t>
      </w:r>
      <w:r>
        <w:t>) because it provides a clear way to check whether institutions are following AI guidelines (MQA, 2023; Li et al., 2025). When universities align their AI ethics policies with broader recommendations, they enhance academic integrity while meeting quality a</w:t>
      </w:r>
      <w:r>
        <w:t>ssurance expectations (MQA, 2023; UNESCO, 2023). The framework also highlights areas for further research, including examining how different policy components affect academic integrity and comparing best practices for AI governance across universities (Bit</w:t>
      </w:r>
      <w:r>
        <w:t xml:space="preserve">tle and El-Gayar, 2025; Li et al., 2025).  </w:t>
      </w:r>
    </w:p>
    <w:p w:rsidR="000A7898" w:rsidRDefault="00440CCB" w:rsidP="00AC11DE">
      <w:pPr>
        <w:pStyle w:val="Heading2"/>
        <w:spacing w:after="240" w:line="240" w:lineRule="auto"/>
        <w:ind w:left="0"/>
        <w:jc w:val="both"/>
      </w:pPr>
      <w:r>
        <w:t xml:space="preserve">Framework Limitations </w:t>
      </w:r>
    </w:p>
    <w:p w:rsidR="000A7898" w:rsidRDefault="00440CCB" w:rsidP="00AC11DE">
      <w:pPr>
        <w:spacing w:after="240" w:line="240" w:lineRule="auto"/>
        <w:ind w:left="0" w:right="0"/>
      </w:pPr>
      <w:r>
        <w:t xml:space="preserve">Although the proposed framework of this paper can be used to guide educational institutions in making policies, however it has its limitations. First, institutional diversity across higher </w:t>
      </w:r>
      <w:r>
        <w:t>education settings may influence how AI ethics policies are designed and implemented. For example, the Malaysian education institutions mentioned in this paper consists of both public and private universities. Malaysian Public and private universities diff</w:t>
      </w:r>
      <w:r>
        <w:t>er significantly in governance structures, funding models, and educational priorities. Public universities operate under stronger state oversight and centralized governance, while private universities function within more market-driven and flexible institu</w:t>
      </w:r>
      <w:r>
        <w:t xml:space="preserve">tional arrangements. These differences mean that a single framework may not fully capture variation in policy design and implementation across universities. (Li et al., 2025; UNESCO, 2023). </w:t>
      </w:r>
    </w:p>
    <w:p w:rsidR="000A7898" w:rsidRDefault="00440CCB" w:rsidP="00AC11DE">
      <w:pPr>
        <w:spacing w:after="240" w:line="240" w:lineRule="auto"/>
        <w:ind w:left="0" w:right="0"/>
      </w:pPr>
      <w:r>
        <w:t>Second, policy enforcement variability represents a key limitatio</w:t>
      </w:r>
      <w:r>
        <w:t>n. Enforcement mechanisms may differ between public and private institutions due to variations in institutional autonomy, administrative capacity, and accountability structures. While some institutions may apply AI ethics rules consistently, others may enf</w:t>
      </w:r>
      <w:r>
        <w:t>orce them unevenly or symbolically. Such variability can affect the relationship between policy presence and actual academic integrity outcomes, limiting the framework’s ability to account for inconsistent enforcement practices (Bittle &amp; El-Gayar, 2025; Ev</w:t>
      </w:r>
      <w:r>
        <w:t xml:space="preserve">angelista, 2025). </w:t>
      </w:r>
    </w:p>
    <w:p w:rsidR="000A7898" w:rsidRDefault="00440CCB" w:rsidP="00AC11DE">
      <w:pPr>
        <w:spacing w:after="240" w:line="240" w:lineRule="auto"/>
        <w:ind w:left="0" w:right="0"/>
      </w:pPr>
      <w:r>
        <w:t>Third, the framework does not fully account for student agency and resistance. Students are active decision-makers who may interpret, negotiate, or resist institutional rules, particularly in relation to rapidly evolving AI technologies.</w:t>
      </w:r>
      <w:r>
        <w:t xml:space="preserve"> As a result, the existence of policies alone may not guarantee ethical behaviour (Johnston et al., 2024; bin Mohd Khidir et al., 2025), especially in institutional environments where flexibility or market responsiveness shapes educational delivery. </w:t>
      </w:r>
    </w:p>
    <w:p w:rsidR="000A7898" w:rsidRDefault="00440CCB" w:rsidP="00AC11DE">
      <w:pPr>
        <w:spacing w:after="240" w:line="240" w:lineRule="auto"/>
        <w:ind w:left="0" w:right="0"/>
      </w:pPr>
      <w:r>
        <w:t>Final</w:t>
      </w:r>
      <w:r>
        <w:t>ly, cultural differences in ethical norms may shape how students and institutions understand academic integrity and acceptable AI use. Ethical expectations are influenced by broader cultural, social, and educational contexts, which may differ across instit</w:t>
      </w:r>
      <w:r>
        <w:t xml:space="preserve">utions and sectors. These variations may limit the transferability of the framework across different national, institutional, or cultural environments. (Marín et al., 2025; UNESCO, 2023). </w:t>
      </w:r>
    </w:p>
    <w:p w:rsidR="000A7898" w:rsidRDefault="00440CCB" w:rsidP="00AC11DE">
      <w:pPr>
        <w:pStyle w:val="Heading1"/>
        <w:spacing w:after="240" w:line="240" w:lineRule="auto"/>
        <w:ind w:left="0"/>
        <w:jc w:val="both"/>
      </w:pPr>
      <w:r>
        <w:t>CONCLUSION</w:t>
      </w:r>
      <w:r>
        <w:rPr>
          <w:sz w:val="24"/>
        </w:rPr>
        <w:t xml:space="preserve"> </w:t>
      </w:r>
    </w:p>
    <w:p w:rsidR="000A7898" w:rsidRDefault="00440CCB" w:rsidP="00AC11DE">
      <w:pPr>
        <w:spacing w:after="240" w:line="240" w:lineRule="auto"/>
        <w:ind w:left="0" w:right="0"/>
      </w:pPr>
      <w:r>
        <w:t>This paper has proposed a conceptual framework for evaluating the effectiveness of institutional AI ethics policies in promoting academic integrity (Li et al., 2025; Bittle and El-Gayar, 2025). By conceptualizing AI ethics policies as a multidimensional co</w:t>
      </w:r>
      <w:r>
        <w:t>nstruct comprising policy clarity, AI ethics training, and enforcement mechanisms, the framework provides both a theoretical and practical lens for understanding how higher education institutions can guide ethical behaviour in the use of AI (Li et al., 202</w:t>
      </w:r>
      <w:r>
        <w:t xml:space="preserve">5; Marín et al., 2025; Bittle and El-Gayar, 2025). Illustrative examples from Malaysian universities, including UTM, UiTM, UM, UPM, </w:t>
      </w:r>
      <w:r>
        <w:lastRenderedPageBreak/>
        <w:t>and private institutions such as UNITAR International University, show that institutions are beginning to operationalize the</w:t>
      </w:r>
      <w:r>
        <w:t xml:space="preserve">se dimensions in varied ways, highlighting both opportunities and challenges in policy design and implementation (Malaysian Qualifications Agency [MQA], 2023; Marín et al., 2025; UNESCO, 2023). </w:t>
      </w:r>
    </w:p>
    <w:p w:rsidR="000A7898" w:rsidRDefault="00440CCB" w:rsidP="00AC11DE">
      <w:pPr>
        <w:spacing w:after="240" w:line="240" w:lineRule="auto"/>
        <w:ind w:left="0" w:right="0"/>
      </w:pPr>
      <w:r>
        <w:t>The framework is relevant for scholars, policymakers, and pra</w:t>
      </w:r>
      <w:r>
        <w:t xml:space="preserve">ctitioners (Li et al., 2025; </w:t>
      </w:r>
      <w:proofErr w:type="spellStart"/>
      <w:r>
        <w:t>Bittle</w:t>
      </w:r>
      <w:proofErr w:type="spellEnd"/>
      <w:r>
        <w:t xml:space="preserve"> and </w:t>
      </w:r>
      <w:proofErr w:type="spellStart"/>
      <w:r>
        <w:t>ElGayar</w:t>
      </w:r>
      <w:proofErr w:type="spellEnd"/>
      <w:r>
        <w:t>, 2025). Theoretically, it demonstrates how governance and quality assurance shape stakeholder behaviour (Li et al., 2025; Malaysian Qualifications Agency [MQA], 2023). Practically, it provides guidance for bu</w:t>
      </w:r>
      <w:r>
        <w:t>ilding, assessing, and improving AI ethics policies, emphasizing the importance of aligning institutional policies with national guidance, such as that provided by the Malaysian Qualifications Agency (MQA, 2023; UNESCO, 2023). This alignment supports acade</w:t>
      </w:r>
      <w:r>
        <w:t xml:space="preserve">mic integrity and reinforces institutional credibility (Marín et al., 2025; UNESCO, 2023). </w:t>
      </w:r>
    </w:p>
    <w:p w:rsidR="000A7898" w:rsidRDefault="00440CCB" w:rsidP="00AC11DE">
      <w:pPr>
        <w:spacing w:after="240" w:line="240" w:lineRule="auto"/>
        <w:ind w:left="0" w:right="0"/>
      </w:pPr>
      <w:r>
        <w:t>Finally, the framework offers a foundation for future empirical research, including studies that assess the relative effectiveness of each policy dimension, examine</w:t>
      </w:r>
      <w:r>
        <w:t xml:space="preserve"> cross-institutional variations, and identify best practices in AI governance in higher education (Li et al., 2025; Bittle and El-Gayar, 2025; Marín et al., 2025). By systematically linking policy structure to ethical outcomes, this conceptual paper contri</w:t>
      </w:r>
      <w:r>
        <w:t>butes to the emerging discourse on responsible AI integration in universities and offers guidance for institutions navigating the complex ethical landscape of AI-assisted teaching, learning, and research (UNESCO, 2023; Li et al., 2025). Minor writing and f</w:t>
      </w:r>
      <w:r>
        <w:t xml:space="preserve">ormatting assistance for this manuscript was provided using ChatGPT (OpenAI, 2026). </w:t>
      </w:r>
    </w:p>
    <w:p w:rsidR="000A7898" w:rsidRDefault="00440CCB" w:rsidP="00AC11DE">
      <w:pPr>
        <w:pStyle w:val="Heading1"/>
        <w:spacing w:after="240" w:line="240" w:lineRule="auto"/>
        <w:ind w:left="0"/>
        <w:jc w:val="both"/>
      </w:pPr>
      <w:r>
        <w:t>REFERENCES</w:t>
      </w:r>
      <w:r>
        <w:rPr>
          <w:sz w:val="24"/>
        </w:rPr>
        <w:t xml:space="preserve"> </w:t>
      </w:r>
    </w:p>
    <w:p w:rsidR="00B85B9E" w:rsidRDefault="00440CCB" w:rsidP="00AC11DE">
      <w:pPr>
        <w:numPr>
          <w:ilvl w:val="0"/>
          <w:numId w:val="1"/>
        </w:numPr>
        <w:spacing w:after="0" w:line="240" w:lineRule="auto"/>
        <w:ind w:left="900" w:right="0" w:hanging="360"/>
      </w:pPr>
      <w:r w:rsidRPr="00AC11DE">
        <w:t xml:space="preserve">Bittle, K., &amp; El-Gayar, O. (2025). Generative AI and academic integrity in higher education: A systematic review and research agenda. Information, 16(4), 296. </w:t>
      </w:r>
    </w:p>
    <w:p w:rsidR="000A7898" w:rsidRPr="00AC11DE" w:rsidRDefault="00A92807" w:rsidP="00B85B9E">
      <w:pPr>
        <w:spacing w:after="0" w:line="240" w:lineRule="auto"/>
        <w:ind w:left="900" w:right="0" w:firstLine="0"/>
      </w:pPr>
      <w:r>
        <w:fldChar w:fldCharType="begin"/>
      </w:r>
      <w:r>
        <w:instrText>HYPERLINK "https://doi.org/10.3390/info16040296" \h</w:instrText>
      </w:r>
      <w:r>
        <w:fldChar w:fldCharType="separate"/>
      </w:r>
      <w:r w:rsidR="00440CCB" w:rsidRPr="00AC11DE">
        <w:rPr>
          <w:color w:val="0000FF"/>
        </w:rPr>
        <w:t>https://doi.org/10.3390/info16040296</w:t>
      </w:r>
      <w:r>
        <w:fldChar w:fldCharType="end"/>
      </w:r>
      <w:hyperlink r:id="rId9">
        <w:r w:rsidR="00440CCB" w:rsidRPr="00AC11DE">
          <w:t xml:space="preserve"> </w:t>
        </w:r>
      </w:hyperlink>
    </w:p>
    <w:p w:rsidR="000A7898" w:rsidRPr="00AC11DE" w:rsidRDefault="00440CCB" w:rsidP="00AC11DE">
      <w:pPr>
        <w:numPr>
          <w:ilvl w:val="0"/>
          <w:numId w:val="1"/>
        </w:numPr>
        <w:spacing w:after="0" w:line="240" w:lineRule="auto"/>
        <w:ind w:left="900" w:right="0" w:hanging="360"/>
      </w:pPr>
      <w:proofErr w:type="gramStart"/>
      <w:r w:rsidRPr="00AC11DE">
        <w:t>bin</w:t>
      </w:r>
      <w:proofErr w:type="gramEnd"/>
      <w:r w:rsidRPr="00AC11DE">
        <w:t xml:space="preserve"> Mohd Khidir, M. L., bin </w:t>
      </w:r>
      <w:proofErr w:type="spellStart"/>
      <w:r w:rsidRPr="00AC11DE">
        <w:t>Sa’ari</w:t>
      </w:r>
      <w:proofErr w:type="spellEnd"/>
      <w:r w:rsidRPr="00AC11DE">
        <w:t xml:space="preserve">, S. N., &amp; bin Mohd Mokhtar, M. F. (2025). Academic integrity in the age of </w:t>
      </w:r>
      <w:r w:rsidRPr="00AC11DE">
        <w:t xml:space="preserve">generative AI: Ethical challenges and perceptions among TVET students at POLIMAS. Journal on Technical and Vocational Education, 10(2), 398–409.  </w:t>
      </w:r>
    </w:p>
    <w:p w:rsidR="000A7898" w:rsidRPr="00AC11DE" w:rsidRDefault="00440CCB" w:rsidP="00AC11DE">
      <w:pPr>
        <w:numPr>
          <w:ilvl w:val="0"/>
          <w:numId w:val="1"/>
        </w:numPr>
        <w:spacing w:after="0" w:line="240" w:lineRule="auto"/>
        <w:ind w:left="900" w:right="0" w:hanging="360"/>
      </w:pPr>
      <w:r w:rsidRPr="00AC11DE">
        <w:t>Evangelista, E. D. L. (2025). Ensuring academic integrity in the age of ChatGPT: Rethinking exam design, asse</w:t>
      </w:r>
      <w:r w:rsidRPr="00AC11DE">
        <w:t xml:space="preserve">ssment strategies, and ethical AI policies in higher education. Contemporary Educational Technology, 17(1), ep559.  </w:t>
      </w:r>
    </w:p>
    <w:p w:rsidR="000A7898" w:rsidRPr="00AC11DE" w:rsidRDefault="00440CCB" w:rsidP="00AC11DE">
      <w:pPr>
        <w:numPr>
          <w:ilvl w:val="0"/>
          <w:numId w:val="1"/>
        </w:numPr>
        <w:spacing w:after="0" w:line="240" w:lineRule="auto"/>
        <w:ind w:left="900" w:right="0" w:hanging="360"/>
      </w:pPr>
      <w:r w:rsidRPr="00AC11DE">
        <w:t>Johnston, H., Wells, R. F., Shanks, E. M., Boey, T., &amp; Parsons, B. N. (2024). Student perspectives on the use of generative artificial inte</w:t>
      </w:r>
      <w:r w:rsidRPr="00AC11DE">
        <w:t xml:space="preserve">lligence technologies in higher education. International Journal for Educational Integrity, 20(1), 2. </w:t>
      </w:r>
    </w:p>
    <w:p w:rsidR="000A7898" w:rsidRPr="00AC11DE" w:rsidRDefault="00440CCB" w:rsidP="00AC11DE">
      <w:pPr>
        <w:numPr>
          <w:ilvl w:val="0"/>
          <w:numId w:val="1"/>
        </w:numPr>
        <w:spacing w:after="0" w:line="240" w:lineRule="auto"/>
        <w:ind w:left="900" w:right="0" w:hanging="360"/>
      </w:pPr>
      <w:r w:rsidRPr="00AC11DE">
        <w:t xml:space="preserve">Li, M., Xie, Q., </w:t>
      </w:r>
      <w:proofErr w:type="spellStart"/>
      <w:r w:rsidRPr="00AC11DE">
        <w:t>Enkhtur</w:t>
      </w:r>
      <w:proofErr w:type="spellEnd"/>
      <w:r w:rsidRPr="00AC11DE">
        <w:t>, A., Meng, S., Chen, L., Yamamoto, B. A., &amp; Murakami, M. (2025). A framework for developing university policies on generative AI</w:t>
      </w:r>
      <w:r w:rsidRPr="00AC11DE">
        <w:t xml:space="preserve"> governance: A cross-national comparative study. </w:t>
      </w:r>
      <w:proofErr w:type="spellStart"/>
      <w:r w:rsidRPr="00AC11DE">
        <w:t>arXiv</w:t>
      </w:r>
      <w:proofErr w:type="spellEnd"/>
      <w:r w:rsidRPr="00AC11DE">
        <w:t xml:space="preserve">. </w:t>
      </w:r>
      <w:hyperlink r:id="rId10">
        <w:r w:rsidRPr="00AC11DE">
          <w:rPr>
            <w:color w:val="0000FF"/>
          </w:rPr>
          <w:t>https://arxiv.org/abs/2504.02636</w:t>
        </w:r>
      </w:hyperlink>
      <w:hyperlink r:id="rId11">
        <w:r w:rsidRPr="00AC11DE">
          <w:t xml:space="preserve"> </w:t>
        </w:r>
      </w:hyperlink>
    </w:p>
    <w:p w:rsidR="000A7898" w:rsidRPr="00AC11DE" w:rsidRDefault="00440CCB" w:rsidP="00AC11DE">
      <w:pPr>
        <w:numPr>
          <w:ilvl w:val="0"/>
          <w:numId w:val="1"/>
        </w:numPr>
        <w:spacing w:after="0" w:line="240" w:lineRule="auto"/>
        <w:ind w:left="900" w:right="0" w:hanging="360"/>
      </w:pPr>
      <w:r w:rsidRPr="00AC11DE">
        <w:t>Malaysian Qualifications Agency. (2023). Advisory note no. 2/2023:</w:t>
      </w:r>
      <w:r w:rsidRPr="00AC11DE">
        <w:t xml:space="preserve"> </w:t>
      </w:r>
      <w:proofErr w:type="spellStart"/>
      <w:r w:rsidRPr="00AC11DE">
        <w:t>Penggunaan</w:t>
      </w:r>
      <w:proofErr w:type="spellEnd"/>
      <w:r w:rsidRPr="00AC11DE">
        <w:t xml:space="preserve"> </w:t>
      </w:r>
      <w:proofErr w:type="spellStart"/>
      <w:r w:rsidRPr="00AC11DE">
        <w:t>Teknologi</w:t>
      </w:r>
      <w:proofErr w:type="spellEnd"/>
      <w:r w:rsidRPr="00AC11DE">
        <w:t xml:space="preserve"> </w:t>
      </w:r>
      <w:proofErr w:type="spellStart"/>
      <w:r w:rsidRPr="00AC11DE">
        <w:t>Kecerdasan</w:t>
      </w:r>
      <w:proofErr w:type="spellEnd"/>
      <w:r w:rsidRPr="00AC11DE">
        <w:t xml:space="preserve"> </w:t>
      </w:r>
      <w:proofErr w:type="spellStart"/>
      <w:r w:rsidRPr="00AC11DE">
        <w:t>Buatan</w:t>
      </w:r>
      <w:proofErr w:type="spellEnd"/>
      <w:r w:rsidRPr="00AC11DE">
        <w:t xml:space="preserve"> </w:t>
      </w:r>
      <w:proofErr w:type="spellStart"/>
      <w:r w:rsidRPr="00AC11DE">
        <w:t>Generatif</w:t>
      </w:r>
      <w:proofErr w:type="spellEnd"/>
      <w:r w:rsidRPr="00AC11DE">
        <w:t xml:space="preserve"> (Generative Artificial Intelligence) Dalam Pendidikan Tinggi. Malaysian Qualifications Agency. https://www.mqa.gov.my/new/pubs_adv_notes_2023.cfm </w:t>
      </w:r>
    </w:p>
    <w:p w:rsidR="000A7898" w:rsidRPr="00AC11DE" w:rsidRDefault="00440CCB" w:rsidP="00AC11DE">
      <w:pPr>
        <w:numPr>
          <w:ilvl w:val="0"/>
          <w:numId w:val="1"/>
        </w:numPr>
        <w:spacing w:after="0" w:line="240" w:lineRule="auto"/>
        <w:ind w:left="900" w:right="0" w:hanging="360"/>
      </w:pPr>
      <w:r w:rsidRPr="00AC11DE">
        <w:t xml:space="preserve">Marín, Y. R., Caro, O. C., </w:t>
      </w:r>
      <w:proofErr w:type="spellStart"/>
      <w:r w:rsidRPr="00AC11DE">
        <w:t>Rituay</w:t>
      </w:r>
      <w:proofErr w:type="spellEnd"/>
      <w:r w:rsidRPr="00AC11DE">
        <w:t xml:space="preserve">, A. M. C., Llanos, K. A. </w:t>
      </w:r>
      <w:r w:rsidRPr="00AC11DE">
        <w:t xml:space="preserve">G., Perez, D. T., Bardales, E. S., ... &amp; Santos, R. C. (2025). Ethical challenges associated with the use of artificial intelligence in university education. Journal of Academic Ethics, 1–25.  </w:t>
      </w:r>
    </w:p>
    <w:p w:rsidR="000A7898" w:rsidRPr="00AC11DE" w:rsidRDefault="00440CCB" w:rsidP="00AC11DE">
      <w:pPr>
        <w:numPr>
          <w:ilvl w:val="0"/>
          <w:numId w:val="1"/>
        </w:numPr>
        <w:spacing w:after="0" w:line="240" w:lineRule="auto"/>
        <w:ind w:left="900" w:right="0" w:hanging="360"/>
      </w:pPr>
      <w:r w:rsidRPr="00AC11DE">
        <w:t>UNESCO. (2023). Guidance for generative AI in education and re</w:t>
      </w:r>
      <w:r w:rsidRPr="00AC11DE">
        <w:t xml:space="preserve">search. UNESCO. https://www.unesco.org/en/articles/guidance-generative-ai-education-and-research </w:t>
      </w:r>
    </w:p>
    <w:sectPr w:rsidR="000A7898" w:rsidRPr="00AC11DE" w:rsidSect="00B85B9E">
      <w:headerReference w:type="even" r:id="rId12"/>
      <w:headerReference w:type="default" r:id="rId13"/>
      <w:footerReference w:type="even" r:id="rId14"/>
      <w:footerReference w:type="default" r:id="rId15"/>
      <w:headerReference w:type="first" r:id="rId16"/>
      <w:footerReference w:type="first" r:id="rId17"/>
      <w:pgSz w:w="11906" w:h="16838"/>
      <w:pgMar w:top="809" w:right="622" w:bottom="540" w:left="605" w:header="339" w:footer="142" w:gutter="0"/>
      <w:pgNumType w:start="495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CCB" w:rsidRDefault="00440CCB">
      <w:pPr>
        <w:spacing w:after="0" w:line="240" w:lineRule="auto"/>
      </w:pPr>
      <w:r>
        <w:separator/>
      </w:r>
    </w:p>
  </w:endnote>
  <w:endnote w:type="continuationSeparator" w:id="0">
    <w:p w:rsidR="00440CCB" w:rsidRDefault="00440C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898" w:rsidRDefault="00A92807">
    <w:pPr>
      <w:tabs>
        <w:tab w:val="center" w:pos="5350"/>
        <w:tab w:val="center" w:pos="7314"/>
      </w:tabs>
      <w:spacing w:after="3" w:line="259" w:lineRule="auto"/>
      <w:ind w:left="0" w:right="0" w:firstLine="0"/>
      <w:jc w:val="left"/>
    </w:pPr>
    <w:r w:rsidRPr="00A92807">
      <w:rPr>
        <w:rFonts w:ascii="Calibri" w:eastAsia="Calibri" w:hAnsi="Calibri" w:cs="Calibri"/>
        <w:noProof/>
        <w:sz w:val="22"/>
      </w:rPr>
      <w:pict>
        <v:group id="Group 9549" o:spid="_x0000_s1040" style="position:absolute;margin-left:24.85pt;margin-top:810.25pt;width:545.75pt;height:.5pt;z-index:251660288;mso-position-horizontal-relative:page;mso-position-vertical-relative:page" coordsize="69311,60">
          <v:shape id="Shape 9703" o:spid="_x0000_s1045" style="position:absolute;width:22881;height:91" coordsize="2288159,9144" path="m,l2288159,r,9144l,9144,,e" fillcolor="black" stroked="f" strokeweight="0">
            <v:stroke opacity="0" miterlimit="10" joinstyle="miter"/>
          </v:shape>
          <v:shape id="Shape 9704" o:spid="_x0000_s1044" style="position:absolute;left:22881;width:91;height:91" coordsize="9144,9144" path="m,l9144,r,9144l,9144,,e" fillcolor="black" stroked="f" strokeweight="0">
            <v:stroke opacity="0" miterlimit="10" joinstyle="miter"/>
          </v:shape>
          <v:shape id="Shape 9705" o:spid="_x0000_s1043" style="position:absolute;left:22942;width:23502;height:91" coordsize="2350262,9144" path="m,l2350262,r,9144l,9144,,e" fillcolor="black" stroked="f" strokeweight="0">
            <v:stroke opacity="0" miterlimit="10" joinstyle="miter"/>
          </v:shape>
          <v:shape id="Shape 9706" o:spid="_x0000_s1042" style="position:absolute;left:46445;width:91;height:91" coordsize="9144,9144" path="m,l9144,r,9144l,9144,,e" fillcolor="black" stroked="f" strokeweight="0">
            <v:stroke opacity="0" miterlimit="10" joinstyle="miter"/>
          </v:shape>
          <v:shape id="Shape 9707" o:spid="_x0000_s1041" style="position:absolute;left:46506;width:22805;height:91" coordsize="2280539,9144" path="m,l2280539,r,9144l,9144,,e" fillcolor="black" stroked="f" strokeweight="0">
            <v:stroke opacity="0" miterlimit="10" joinstyle="miter"/>
          </v:shape>
          <w10:wrap type="square" anchorx="page" anchory="page"/>
        </v:group>
      </w:pict>
    </w:r>
    <w:r w:rsidR="00440CCB">
      <w:rPr>
        <w:sz w:val="20"/>
      </w:rPr>
      <w:t xml:space="preserve">Page </w:t>
    </w:r>
    <w:r w:rsidRPr="00A92807">
      <w:fldChar w:fldCharType="begin"/>
    </w:r>
    <w:r w:rsidR="00440CCB">
      <w:instrText xml:space="preserve"> PAGE   \* MERGEFORMAT </w:instrText>
    </w:r>
    <w:r w:rsidRPr="00A92807">
      <w:fldChar w:fldCharType="separate"/>
    </w:r>
    <w:r w:rsidR="00440CCB">
      <w:rPr>
        <w:sz w:val="20"/>
      </w:rPr>
      <w:t>1</w:t>
    </w:r>
    <w:r>
      <w:rPr>
        <w:sz w:val="20"/>
      </w:rPr>
      <w:fldChar w:fldCharType="end"/>
    </w:r>
    <w:r w:rsidR="00440CCB">
      <w:rPr>
        <w:sz w:val="20"/>
      </w:rPr>
      <w:t xml:space="preserve"> </w:t>
    </w:r>
    <w:r w:rsidR="00440CCB">
      <w:rPr>
        <w:sz w:val="20"/>
      </w:rPr>
      <w:tab/>
      <w:t xml:space="preserve">www.rsisinternational.org </w:t>
    </w:r>
    <w:r w:rsidR="00440CCB">
      <w:rPr>
        <w:sz w:val="20"/>
      </w:rPr>
      <w:tab/>
      <w:t xml:space="preserve"> </w:t>
    </w:r>
  </w:p>
  <w:p w:rsidR="000A7898" w:rsidRDefault="00440CCB">
    <w:pPr>
      <w:spacing w:after="0" w:line="259" w:lineRule="auto"/>
      <w:ind w:left="0" w:right="0" w:firstLine="0"/>
      <w:jc w:val="left"/>
    </w:pPr>
    <w:r>
      <w:rPr>
        <w:sz w:val="22"/>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1DE" w:rsidRDefault="00A92807" w:rsidP="00AC11DE">
    <w:pPr>
      <w:pStyle w:val="BodyText"/>
      <w:spacing w:line="14" w:lineRule="auto"/>
      <w:rPr>
        <w:sz w:val="20"/>
      </w:rPr>
    </w:pPr>
    <w:r w:rsidRPr="00A92807">
      <w:rPr>
        <w:noProof/>
      </w:rPr>
      <w:pict>
        <v:shape id="Freeform: Shape 5" o:spid="_x0000_s1039" style="position:absolute;margin-left:34.9pt;margin-top:813pt;width:538.6pt;height:1.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" path="m6671309,l,,,45084r6671309,l6671309,xe" fillcolor="gray" stroked="f">
          <v:path arrowok="t"/>
          <w10:wrap anchorx="page" anchory="page"/>
        </v:shape>
      </w:pict>
    </w:r>
    <w:r w:rsidR="00AC11DE" w:rsidRPr="00AC11DE">
      <w:t xml:space="preserve"> </w:t>
    </w:r>
    <w:r w:rsidRPr="00A92807">
      <w:rPr>
        <w:noProof/>
      </w:rPr>
      <w:pict>
        <v:shapetype id="_x0000_t202" coordsize="21600,21600" o:spt="202" path="m,l,21600r21600,l21600,xe">
          <v:stroke joinstyle="miter"/>
          <v:path gradientshapeok="t" o:connecttype="rect"/>
        </v:shapetype>
        <v:shape id="Text Box 3" o:spid="_x0000_s1027" type="#_x0000_t202" style="position:absolute;margin-left:27pt;margin-top:821.85pt;width:101.4pt;height:19.05pt;z-index:-2516582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" filled="f" stroked="f">
          <v:textbox inset="0,0,0,0">
            <w:txbxContent>
              <w:p w:rsidR="00AC11DE" w:rsidRPr="00F049A7" w:rsidRDefault="00AC11DE" w:rsidP="00AC11DE">
                <w:pPr>
                  <w:spacing w:before="10"/>
                  <w:ind w:left="20" w:hanging="20"/>
                  <w:rPr>
                    <w:sz w:val="20"/>
                    <w:szCs w:val="20"/>
                  </w:rPr>
                </w:pPr>
                <w:r w:rsidRPr="00F049A7">
                  <w:rPr>
                    <w:sz w:val="20"/>
                    <w:szCs w:val="20"/>
                  </w:rPr>
                  <w:t>Page</w:t>
                </w:r>
                <w:r w:rsidRPr="00F049A7">
                  <w:rPr>
                    <w:spacing w:val="-2"/>
                    <w:sz w:val="20"/>
                    <w:szCs w:val="20"/>
                  </w:rPr>
                  <w:t xml:space="preserve"> </w:t>
                </w:r>
                <w:r w:rsidR="00A92807" w:rsidRPr="00F049A7">
                  <w:rPr>
                    <w:spacing w:val="-5"/>
                    <w:sz w:val="20"/>
                    <w:szCs w:val="20"/>
                  </w:rPr>
                  <w:fldChar w:fldCharType="begin"/>
                </w:r>
                <w:r w:rsidRPr="00F049A7">
                  <w:rPr>
                    <w:spacing w:val="-5"/>
                    <w:sz w:val="20"/>
                    <w:szCs w:val="20"/>
                  </w:rPr>
                  <w:instrText xml:space="preserve"> PAGE </w:instrText>
                </w:r>
                <w:r w:rsidR="00A92807" w:rsidRPr="00F049A7">
                  <w:rPr>
                    <w:spacing w:val="-5"/>
                    <w:sz w:val="20"/>
                    <w:szCs w:val="20"/>
                  </w:rPr>
                  <w:fldChar w:fldCharType="separate"/>
                </w:r>
                <w:r w:rsidR="00B85B9E">
                  <w:rPr>
                    <w:noProof/>
                    <w:spacing w:val="-5"/>
                    <w:sz w:val="20"/>
                    <w:szCs w:val="20"/>
                  </w:rPr>
                  <w:t>4954</w:t>
                </w:r>
                <w:r w:rsidR="00A92807" w:rsidRPr="00F049A7">
                  <w:rPr>
                    <w:spacing w:val="-5"/>
                    <w:sz w:val="20"/>
                    <w:szCs w:val="20"/>
                  </w:rPr>
                  <w:fldChar w:fldCharType="end"/>
                </w:r>
              </w:p>
            </w:txbxContent>
          </v:textbox>
          <w10:wrap anchorx="page" anchory="page"/>
        </v:shape>
      </w:pict>
    </w:r>
    <w:r w:rsidR="00AC11DE" w:rsidRPr="009D360B">
      <w:t xml:space="preserve"> </w:t>
    </w:r>
    <w:r w:rsidR="00AC11DE" w:rsidRPr="00D43B70">
      <w:t xml:space="preserve"> </w:t>
    </w:r>
    <w:r w:rsidR="00AC11DE">
      <w:t xml:space="preserve"> </w:t>
    </w:r>
    <w:r w:rsidRPr="00A92807">
      <w:rPr>
        <w:noProof/>
      </w:rPr>
      <w:pict>
        <v:shape id="Text Box 1" o:spid="_x0000_s1028" type="#_x0000_t202" style="position:absolute;margin-left:256.6pt;margin-top:820.2pt;width:134pt;height:13.05pt;z-index:-2516592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" filled="f" stroked="f">
          <v:textbox inset="0,0,0,0">
            <w:txbxContent>
              <w:p w:rsidR="00AC11DE" w:rsidRPr="00F049A7" w:rsidRDefault="00A92807" w:rsidP="00AC11DE">
                <w:pPr>
                  <w:spacing w:before="10"/>
                  <w:ind w:left="20" w:hanging="20"/>
                  <w:rPr>
                    <w:sz w:val="20"/>
                    <w:szCs w:val="20"/>
                  </w:rPr>
                </w:pPr>
                <w:hyperlink r:id="rId1">
                  <w:r w:rsidR="00AC11DE" w:rsidRPr="00F049A7">
                    <w:rPr>
                      <w:spacing w:val="-2"/>
                      <w:sz w:val="20"/>
                      <w:szCs w:val="20"/>
                    </w:rPr>
                    <w:t>www.rsisinternational.org</w:t>
                  </w:r>
                </w:hyperlink>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898" w:rsidRDefault="00A92807">
    <w:pPr>
      <w:tabs>
        <w:tab w:val="center" w:pos="5350"/>
        <w:tab w:val="center" w:pos="7314"/>
      </w:tabs>
      <w:spacing w:after="3" w:line="259" w:lineRule="auto"/>
      <w:ind w:left="0" w:right="0" w:firstLine="0"/>
      <w:jc w:val="left"/>
    </w:pPr>
    <w:r w:rsidRPr="00A92807">
      <w:rPr>
        <w:rFonts w:ascii="Calibri" w:eastAsia="Calibri" w:hAnsi="Calibri" w:cs="Calibri"/>
        <w:noProof/>
        <w:sz w:val="22"/>
      </w:rPr>
      <w:pict>
        <v:group id="Group 9457" o:spid="_x0000_s1029" style="position:absolute;margin-left:24.85pt;margin-top:810.25pt;width:545.75pt;height:.5pt;z-index:251662336;mso-position-horizontal-relative:page;mso-position-vertical-relative:page" coordsize="69311,60">
          <v:shape id="Shape 9683" o:spid="_x0000_s1034" style="position:absolute;width:22881;height:91" coordsize="2288159,9144" path="m,l2288159,r,9144l,9144,,e" fillcolor="black" stroked="f" strokeweight="0">
            <v:stroke opacity="0" miterlimit="10" joinstyle="miter"/>
          </v:shape>
          <v:shape id="Shape 9684" o:spid="_x0000_s1033" style="position:absolute;left:22881;width:91;height:91" coordsize="9144,9144" path="m,l9144,r,9144l,9144,,e" fillcolor="black" stroked="f" strokeweight="0">
            <v:stroke opacity="0" miterlimit="10" joinstyle="miter"/>
          </v:shape>
          <v:shape id="Shape 9685" o:spid="_x0000_s1032" style="position:absolute;left:22942;width:23502;height:91" coordsize="2350262,9144" path="m,l2350262,r,9144l,9144,,e" fillcolor="black" stroked="f" strokeweight="0">
            <v:stroke opacity="0" miterlimit="10" joinstyle="miter"/>
          </v:shape>
          <v:shape id="Shape 9686" o:spid="_x0000_s1031" style="position:absolute;left:46445;width:91;height:91" coordsize="9144,9144" path="m,l9144,r,9144l,9144,,e" fillcolor="black" stroked="f" strokeweight="0">
            <v:stroke opacity="0" miterlimit="10" joinstyle="miter"/>
          </v:shape>
          <v:shape id="Shape 9687" o:spid="_x0000_s1030" style="position:absolute;left:46506;width:22805;height:91" coordsize="2280539,9144" path="m,l2280539,r,9144l,9144,,e" fillcolor="black" stroked="f" strokeweight="0">
            <v:stroke opacity="0" miterlimit="10" joinstyle="miter"/>
          </v:shape>
          <w10:wrap type="square" anchorx="page" anchory="page"/>
        </v:group>
      </w:pict>
    </w:r>
    <w:r w:rsidR="00440CCB">
      <w:rPr>
        <w:sz w:val="20"/>
      </w:rPr>
      <w:t xml:space="preserve">Page </w:t>
    </w:r>
    <w:r w:rsidRPr="00A92807">
      <w:fldChar w:fldCharType="begin"/>
    </w:r>
    <w:r w:rsidR="00440CCB">
      <w:instrText xml:space="preserve"> PAGE   \* MERGEFORMAT </w:instrText>
    </w:r>
    <w:r w:rsidRPr="00A92807">
      <w:fldChar w:fldCharType="separate"/>
    </w:r>
    <w:r w:rsidR="00440CCB">
      <w:rPr>
        <w:sz w:val="20"/>
      </w:rPr>
      <w:t>1</w:t>
    </w:r>
    <w:r>
      <w:rPr>
        <w:sz w:val="20"/>
      </w:rPr>
      <w:fldChar w:fldCharType="end"/>
    </w:r>
    <w:r w:rsidR="00440CCB">
      <w:rPr>
        <w:sz w:val="20"/>
      </w:rPr>
      <w:t xml:space="preserve"> </w:t>
    </w:r>
    <w:r w:rsidR="00440CCB">
      <w:rPr>
        <w:sz w:val="20"/>
      </w:rPr>
      <w:tab/>
      <w:t xml:space="preserve">www.rsisinternational.org </w:t>
    </w:r>
    <w:r w:rsidR="00440CCB">
      <w:rPr>
        <w:sz w:val="20"/>
      </w:rPr>
      <w:tab/>
      <w:t xml:space="preserve"> </w:t>
    </w:r>
  </w:p>
  <w:p w:rsidR="000A7898" w:rsidRDefault="00440CCB">
    <w:pPr>
      <w:spacing w:after="0" w:line="259" w:lineRule="auto"/>
      <w:ind w:left="0" w:right="0" w:firstLine="0"/>
      <w:jc w:val="left"/>
    </w:pPr>
    <w:r>
      <w:rPr>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CCB" w:rsidRDefault="00440CCB">
      <w:pPr>
        <w:spacing w:after="0" w:line="240" w:lineRule="auto"/>
      </w:pPr>
      <w:r>
        <w:separator/>
      </w:r>
    </w:p>
  </w:footnote>
  <w:footnote w:type="continuationSeparator" w:id="0">
    <w:p w:rsidR="00440CCB" w:rsidRDefault="00440C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898" w:rsidRDefault="00A92807">
    <w:pPr>
      <w:tabs>
        <w:tab w:val="right" w:pos="10680"/>
      </w:tabs>
      <w:spacing w:after="0" w:line="259" w:lineRule="auto"/>
      <w:ind w:left="0" w:right="-9" w:firstLine="0"/>
      <w:jc w:val="left"/>
    </w:pPr>
    <w:r w:rsidRPr="00A92807">
      <w:rPr>
        <w:rFonts w:ascii="Calibri" w:eastAsia="Calibri" w:hAnsi="Calibri" w:cs="Calibri"/>
        <w:noProof/>
        <w:sz w:val="22"/>
      </w:rPr>
      <w:pict>
        <v:group id="Group 9521" o:spid="_x0000_s1047" style="position:absolute;margin-left:29.5pt;margin-top:46.8pt;width:535.7pt;height:.5pt;z-index:251659264;mso-position-horizontal-relative:page;mso-position-vertical-relative:page" coordsize="68031,60">
          <v:shape id="Shape 9675" o:spid="_x0000_s1050" style="position:absolute;width:8324;height:91" coordsize="832409,9144" path="m,l832409,r,9144l,9144,,e" fillcolor="black" stroked="f" strokeweight="0">
            <v:stroke opacity="0" miterlimit="10" joinstyle="miter"/>
          </v:shape>
          <v:shape id="Shape 9676" o:spid="_x0000_s1049" style="position:absolute;left:8232;width:91;height:91" coordsize="9144,9144" path="m,l9144,r,9144l,9144,,e" fillcolor="black" stroked="f" strokeweight="0">
            <v:stroke opacity="0" miterlimit="10" joinstyle="miter"/>
          </v:shape>
          <v:shape id="Shape 9677" o:spid="_x0000_s1048" style="position:absolute;left:8293;width:59738;height:91" coordsize="5973826,9144" path="m,l5973826,r,9144l,9144,,e" fillcolor="black" stroked="f" strokeweight="0">
            <v:stroke opacity="0" miterlimit="10" joinstyle="miter"/>
          </v:shape>
          <w10:wrap type="square" anchorx="page" anchory="page"/>
        </v:group>
      </w:pict>
    </w:r>
    <w:r w:rsidR="00440CCB">
      <w:rPr>
        <w:sz w:val="22"/>
      </w:rPr>
      <w:t xml:space="preserve"> </w:t>
    </w:r>
    <w:r w:rsidR="00440CCB">
      <w:rPr>
        <w:sz w:val="22"/>
      </w:rPr>
      <w:tab/>
    </w:r>
    <w:r w:rsidR="00440CCB">
      <w:rPr>
        <w:b/>
        <w:sz w:val="20"/>
      </w:rPr>
      <w:t xml:space="preserve">INTERNATIONAL JOURNAL OF RESEARCH AND INNOVATION IN APPLIED SCIENCE (IJRIAS) </w:t>
    </w:r>
  </w:p>
  <w:p w:rsidR="000A7898" w:rsidRDefault="00440CCB">
    <w:pPr>
      <w:spacing w:after="195" w:line="259" w:lineRule="auto"/>
      <w:ind w:left="0" w:right="-14" w:firstLine="0"/>
      <w:jc w:val="right"/>
    </w:pPr>
    <w:r>
      <w:rPr>
        <w:b/>
        <w:sz w:val="20"/>
      </w:rPr>
      <w:t>ISSN No. 2454-6194 | DOI: 10.51584/IJRIAS | Volume X Issue IX September 20</w:t>
    </w:r>
    <w:r>
      <w:rPr>
        <w:b/>
        <w:sz w:val="20"/>
      </w:rPr>
      <w:t xml:space="preserve">25 </w:t>
    </w:r>
  </w:p>
  <w:p w:rsidR="000A7898" w:rsidRDefault="00440CCB">
    <w:pPr>
      <w:spacing w:after="0" w:line="259" w:lineRule="auto"/>
      <w:ind w:left="0" w:right="0" w:firstLine="0"/>
      <w:jc w:val="left"/>
    </w:pPr>
    <w:r>
      <w:rPr>
        <w:sz w:val="2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1DE" w:rsidRPr="00153636" w:rsidRDefault="00440CCB" w:rsidP="00AC11DE">
    <w:pPr>
      <w:tabs>
        <w:tab w:val="left" w:pos="1200"/>
      </w:tabs>
      <w:spacing w:after="229" w:line="250" w:lineRule="auto"/>
      <w:rPr>
        <w:b/>
        <w:lang w:val="en-MY"/>
      </w:rPr>
    </w:pPr>
    <w:r>
      <w:rPr>
        <w:sz w:val="22"/>
      </w:rPr>
      <w:t xml:space="preserve"> </w:t>
    </w:r>
    <w:r w:rsidR="00A92807" w:rsidRPr="00A92807">
      <w:rPr>
        <w:noProof/>
      </w:rPr>
      <w:pict>
        <v:shapetype id="_x0000_t202" coordsize="21600,21600" o:spt="202" path="m,l,21600r21600,l21600,xe">
          <v:stroke joinstyle="miter"/>
          <v:path gradientshapeok="t" o:connecttype="rect"/>
        </v:shapetype>
        <v:shape id="Text Box 7" o:spid="_x0000_s1026" type="#_x0000_t202" style="position:absolute;left:0;text-align:left;margin-left:100.8pt;margin-top:7.8pt;width:457.8pt;height:30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" filled="f" stroked="f">
          <v:textbox inset="0,0,0,0">
            <w:txbxContent>
              <w:p w:rsidR="00AC11DE" w:rsidRPr="00A725FD" w:rsidRDefault="00AC11DE" w:rsidP="00AC11DE">
                <w:pPr>
                  <w:spacing w:after="0"/>
                  <w:ind w:right="-24"/>
                  <w:jc w:val="right"/>
                  <w:rPr>
                    <w:b/>
                    <w:sz w:val="20"/>
                    <w:szCs w:val="20"/>
                  </w:rPr>
                </w:pPr>
                <w:r w:rsidRPr="00A725FD">
                  <w:rPr>
                    <w:b/>
                    <w:sz w:val="20"/>
                    <w:szCs w:val="20"/>
                  </w:rPr>
                  <w:t>INTERNATIONAL JOURNAL OF RESEARCH AND INNOVATION IN SOCIAL SCIENCE (IJRISS)</w:t>
                </w:r>
              </w:p>
              <w:p w:rsidR="00AC11DE" w:rsidRPr="00A725FD" w:rsidRDefault="00AC11DE" w:rsidP="00AC11DE">
                <w:pPr>
                  <w:spacing w:after="0"/>
                  <w:ind w:left="1890" w:right="-24"/>
                  <w:jc w:val="right"/>
                  <w:rPr>
                    <w:bCs/>
                    <w:sz w:val="20"/>
                    <w:szCs w:val="20"/>
                  </w:rPr>
                </w:pPr>
                <w:r w:rsidRPr="00A725FD">
                  <w:rPr>
                    <w:sz w:val="20"/>
                    <w:szCs w:val="20"/>
                  </w:rPr>
                  <w:t>ISSN</w:t>
                </w:r>
                <w:r w:rsidRPr="00A725FD">
                  <w:rPr>
                    <w:spacing w:val="-1"/>
                    <w:sz w:val="20"/>
                    <w:szCs w:val="20"/>
                  </w:rPr>
                  <w:t xml:space="preserve"> </w:t>
                </w:r>
                <w:r w:rsidRPr="00A725FD">
                  <w:rPr>
                    <w:sz w:val="20"/>
                    <w:szCs w:val="20"/>
                  </w:rPr>
                  <w:t xml:space="preserve">No. 2454-6186 | DOI: 10.47772/IJRISS | Volume </w:t>
                </w:r>
                <w:r w:rsidR="00B85B9E" w:rsidRPr="00CD1DE9">
                  <w:rPr>
                    <w:sz w:val="20"/>
                    <w:szCs w:val="20"/>
                  </w:rPr>
                  <w:t>X Issue I January 2026</w:t>
                </w:r>
              </w:p>
              <w:p w:rsidR="00AC11DE" w:rsidRPr="00262414" w:rsidRDefault="00AC11DE" w:rsidP="00AC11DE">
                <w:pPr>
                  <w:jc w:val="right"/>
                  <w:rPr>
                    <w:bCs/>
                    <w:sz w:val="20"/>
                    <w:szCs w:val="20"/>
                  </w:rPr>
                </w:pPr>
              </w:p>
            </w:txbxContent>
          </v:textbox>
          <w10:wrap anchorx="page" anchory="page"/>
        </v:shape>
      </w:pict>
    </w:r>
    <w:r w:rsidR="00A92807" w:rsidRPr="00A92807">
      <w:rPr>
        <w:noProof/>
      </w:rPr>
      <w:pict>
        <v:shape id="Freeform: Shape 9" o:spid="_x0000_s1046" style="position:absolute;left:0;text-align:left;margin-left:35.05pt;margin-top:41.25pt;width:538.55pt;height:1.4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" path="m6671309,l,,,45084r6671309,l6671309,xe" fillcolor="gray" stroked="f">
          <v:path arrowok="t"/>
          <w10:wrap anchorx="page" anchory="page"/>
        </v:shape>
      </w:pict>
    </w:r>
    <w:r w:rsidR="00AC11DE">
      <w:rPr>
        <w:sz w:val="22"/>
      </w:rPr>
      <w:t xml:space="preserve"> </w:t>
    </w:r>
    <w:r w:rsidR="00AC11DE">
      <w:rPr>
        <w:noProof/>
        <w:lang w:val="en-US" w:eastAsia="en-US"/>
      </w:rPr>
      <w:drawing>
        <wp:anchor distT="0" distB="0" distL="0" distR="0" simplePos="0" relativeHeight="251653120" behindDoc="1" locked="0" layoutInCell="1" allowOverlap="1">
          <wp:simplePos x="0" y="0"/>
          <wp:positionH relativeFrom="page">
            <wp:posOffset>510541</wp:posOffset>
          </wp:positionH>
          <wp:positionV relativeFrom="page">
            <wp:posOffset>30481</wp:posOffset>
          </wp:positionV>
          <wp:extent cx="472248" cy="449580"/>
          <wp:effectExtent l="0" t="0" r="4445" b="7620"/>
          <wp:wrapNone/>
          <wp:docPr id="398154300" name="Picture 5" descr="Description: Description: Description: Description: Description: Description: Description: Description: Description: A logo with a tree and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767402" descr="Description: Description: Description: Description: Description: Description: Description: Description: Description: A logo with a tree and textDescription automatically generat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07" cy="453349"/>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898" w:rsidRDefault="00A92807">
    <w:pPr>
      <w:tabs>
        <w:tab w:val="right" w:pos="10680"/>
      </w:tabs>
      <w:spacing w:after="0" w:line="259" w:lineRule="auto"/>
      <w:ind w:left="0" w:right="-9" w:firstLine="0"/>
      <w:jc w:val="left"/>
    </w:pPr>
    <w:r w:rsidRPr="00A92807">
      <w:rPr>
        <w:rFonts w:ascii="Calibri" w:eastAsia="Calibri" w:hAnsi="Calibri" w:cs="Calibri"/>
        <w:noProof/>
        <w:sz w:val="22"/>
      </w:rPr>
      <w:pict>
        <v:group id="Group 9429" o:spid="_x0000_s1035" style="position:absolute;margin-left:29.5pt;margin-top:46.8pt;width:535.7pt;height:.5pt;z-index:251661312;mso-position-horizontal-relative:page;mso-position-vertical-relative:page" coordsize="68031,60">
          <v:shape id="Shape 9663" o:spid="_x0000_s1038" style="position:absolute;width:8324;height:91" coordsize="832409,9144" path="m,l832409,r,9144l,9144,,e" fillcolor="black" stroked="f" strokeweight="0">
            <v:stroke opacity="0" miterlimit="10" joinstyle="miter"/>
          </v:shape>
          <v:shape id="Shape 9664" o:spid="_x0000_s1037" style="position:absolute;left:8232;width:91;height:91" coordsize="9144,9144" path="m,l9144,r,9144l,9144,,e" fillcolor="black" stroked="f" strokeweight="0">
            <v:stroke opacity="0" miterlimit="10" joinstyle="miter"/>
          </v:shape>
          <v:shape id="Shape 9665" o:spid="_x0000_s1036" style="position:absolute;left:8293;width:59738;height:91" coordsize="5973826,9144" path="m,l5973826,r,9144l,9144,,e" fillcolor="black" stroked="f" strokeweight="0">
            <v:stroke opacity="0" miterlimit="10" joinstyle="miter"/>
          </v:shape>
          <w10:wrap type="square" anchorx="page" anchory="page"/>
        </v:group>
      </w:pict>
    </w:r>
    <w:r w:rsidR="00440CCB">
      <w:rPr>
        <w:sz w:val="22"/>
      </w:rPr>
      <w:t xml:space="preserve"> </w:t>
    </w:r>
    <w:r w:rsidR="00440CCB">
      <w:rPr>
        <w:sz w:val="22"/>
      </w:rPr>
      <w:tab/>
    </w:r>
    <w:r w:rsidR="00440CCB">
      <w:rPr>
        <w:b/>
        <w:sz w:val="20"/>
      </w:rPr>
      <w:t xml:space="preserve">INTERNATIONAL JOURNAL OF RESEARCH AND INNOVATION IN APPLIED SCIENCE (IJRIAS) </w:t>
    </w:r>
  </w:p>
  <w:p w:rsidR="000A7898" w:rsidRDefault="00440CCB">
    <w:pPr>
      <w:spacing w:after="195" w:line="259" w:lineRule="auto"/>
      <w:ind w:left="0" w:right="-14" w:firstLine="0"/>
      <w:jc w:val="right"/>
    </w:pPr>
    <w:r>
      <w:rPr>
        <w:b/>
        <w:sz w:val="20"/>
      </w:rPr>
      <w:t xml:space="preserve">ISSN No. 2454-6194 | DOI: 10.51584/IJRIAS | Volume X Issue IX September 2025 </w:t>
    </w:r>
  </w:p>
  <w:p w:rsidR="000A7898" w:rsidRDefault="00440CCB">
    <w:pPr>
      <w:spacing w:after="0" w:line="259" w:lineRule="auto"/>
      <w:ind w:left="0" w:right="0" w:firstLine="0"/>
      <w:jc w:val="left"/>
    </w:pPr>
    <w:r>
      <w:rPr>
        <w:sz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F2FC1"/>
    <w:multiLevelType w:val="hybridMultilevel"/>
    <w:tmpl w:val="88FCA9DE"/>
    <w:lvl w:ilvl="0" w:tplc="3DF42112">
      <w:start w:val="1"/>
      <w:numFmt w:val="decimal"/>
      <w:lvlText w:val="%1."/>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B27E48">
      <w:start w:val="1"/>
      <w:numFmt w:val="lowerLetter"/>
      <w:lvlText w:val="%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96ECD4">
      <w:start w:val="1"/>
      <w:numFmt w:val="lowerRoman"/>
      <w:lvlText w:val="%3"/>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96EAFC">
      <w:start w:val="1"/>
      <w:numFmt w:val="decimal"/>
      <w:lvlText w:val="%4"/>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60CE14">
      <w:start w:val="1"/>
      <w:numFmt w:val="lowerLetter"/>
      <w:lvlText w:val="%5"/>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6E8882">
      <w:start w:val="1"/>
      <w:numFmt w:val="lowerRoman"/>
      <w:lvlText w:val="%6"/>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AE1940">
      <w:start w:val="1"/>
      <w:numFmt w:val="decimal"/>
      <w:lvlText w:val="%7"/>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B4DC40">
      <w:start w:val="1"/>
      <w:numFmt w:val="lowerLetter"/>
      <w:lvlText w:val="%8"/>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08F0FA">
      <w:start w:val="1"/>
      <w:numFmt w:val="lowerRoman"/>
      <w:lvlText w:val="%9"/>
      <w:lvlJc w:val="left"/>
      <w:pPr>
        <w:ind w:left="6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seFELayout/>
  </w:compat>
  <w:rsids>
    <w:rsidRoot w:val="000A7898"/>
    <w:rsid w:val="000A7898"/>
    <w:rsid w:val="00440CCB"/>
    <w:rsid w:val="00A92807"/>
    <w:rsid w:val="00AC11DE"/>
    <w:rsid w:val="00AE2BD7"/>
    <w:rsid w:val="00B85B9E"/>
    <w:rsid w:val="00F454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807"/>
    <w:pPr>
      <w:spacing w:after="230" w:line="248" w:lineRule="auto"/>
      <w:ind w:left="370" w:right="344"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A92807"/>
    <w:pPr>
      <w:keepNext/>
      <w:keepLines/>
      <w:spacing w:after="172" w:line="259" w:lineRule="auto"/>
      <w:ind w:left="37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A92807"/>
    <w:pPr>
      <w:keepNext/>
      <w:keepLines/>
      <w:spacing w:after="227" w:line="249" w:lineRule="auto"/>
      <w:ind w:left="22"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92807"/>
    <w:rPr>
      <w:rFonts w:ascii="Times New Roman" w:eastAsia="Times New Roman" w:hAnsi="Times New Roman" w:cs="Times New Roman"/>
      <w:b/>
      <w:color w:val="000000"/>
      <w:sz w:val="24"/>
    </w:rPr>
  </w:style>
  <w:style w:type="character" w:customStyle="1" w:styleId="Heading1Char">
    <w:name w:val="Heading 1 Char"/>
    <w:link w:val="Heading1"/>
    <w:rsid w:val="00A92807"/>
    <w:rPr>
      <w:rFonts w:ascii="Times New Roman" w:eastAsia="Times New Roman" w:hAnsi="Times New Roman" w:cs="Times New Roman"/>
      <w:b/>
      <w:color w:val="000000"/>
      <w:sz w:val="28"/>
    </w:rPr>
  </w:style>
  <w:style w:type="paragraph" w:styleId="NoSpacing">
    <w:name w:val="No Spacing"/>
    <w:link w:val="NoSpacingChar"/>
    <w:uiPriority w:val="1"/>
    <w:qFormat/>
    <w:rsid w:val="00AC11DE"/>
    <w:pPr>
      <w:spacing w:after="0" w:line="240" w:lineRule="auto"/>
    </w:pPr>
    <w:rPr>
      <w:rFonts w:eastAsiaTheme="minorHAnsi"/>
      <w:sz w:val="22"/>
      <w:szCs w:val="22"/>
      <w:lang w:eastAsia="en-US"/>
    </w:rPr>
  </w:style>
  <w:style w:type="character" w:customStyle="1" w:styleId="NoSpacingChar">
    <w:name w:val="No Spacing Char"/>
    <w:link w:val="NoSpacing"/>
    <w:uiPriority w:val="1"/>
    <w:qFormat/>
    <w:rsid w:val="00AC11DE"/>
    <w:rPr>
      <w:rFonts w:eastAsiaTheme="minorHAnsi"/>
      <w:sz w:val="22"/>
      <w:szCs w:val="22"/>
      <w:lang w:eastAsia="en-US"/>
    </w:rPr>
  </w:style>
  <w:style w:type="paragraph" w:styleId="Footer">
    <w:name w:val="footer"/>
    <w:basedOn w:val="Normal"/>
    <w:link w:val="FooterChar"/>
    <w:uiPriority w:val="99"/>
    <w:unhideWhenUsed/>
    <w:rsid w:val="00AC11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1DE"/>
    <w:rPr>
      <w:rFonts w:ascii="Times New Roman" w:eastAsia="Times New Roman" w:hAnsi="Times New Roman" w:cs="Times New Roman"/>
      <w:color w:val="000000"/>
    </w:rPr>
  </w:style>
  <w:style w:type="paragraph" w:styleId="BodyText">
    <w:name w:val="Body Text"/>
    <w:basedOn w:val="Normal"/>
    <w:link w:val="BodyTextChar"/>
    <w:uiPriority w:val="99"/>
    <w:unhideWhenUsed/>
    <w:rsid w:val="00AC11DE"/>
    <w:pPr>
      <w:spacing w:after="120" w:line="276" w:lineRule="auto"/>
      <w:ind w:left="0" w:right="0" w:firstLine="0"/>
      <w:jc w:val="left"/>
    </w:pPr>
    <w:rPr>
      <w:rFonts w:ascii="Calibri" w:eastAsia="SimSun" w:hAnsi="Calibri" w:cs="Calibri"/>
      <w:color w:val="auto"/>
      <w:kern w:val="0"/>
      <w:sz w:val="22"/>
      <w:szCs w:val="22"/>
      <w:lang w:val="en-US" w:eastAsia="en-US"/>
    </w:rPr>
  </w:style>
  <w:style w:type="character" w:customStyle="1" w:styleId="BodyTextChar">
    <w:name w:val="Body Text Char"/>
    <w:basedOn w:val="DefaultParagraphFont"/>
    <w:link w:val="BodyText"/>
    <w:uiPriority w:val="99"/>
    <w:rsid w:val="00AC11DE"/>
    <w:rPr>
      <w:rFonts w:ascii="Calibri" w:eastAsia="SimSun" w:hAnsi="Calibri" w:cs="Calibri"/>
      <w:kern w:val="0"/>
      <w:sz w:val="22"/>
      <w:szCs w:val="22"/>
      <w:lang w:val="en-US" w:eastAsia="en-US"/>
    </w:rPr>
  </w:style>
  <w:style w:type="character" w:styleId="Hyperlink">
    <w:name w:val="Hyperlink"/>
    <w:basedOn w:val="DefaultParagraphFont"/>
    <w:uiPriority w:val="99"/>
    <w:unhideWhenUsed/>
    <w:rsid w:val="00B85B9E"/>
    <w:rPr>
      <w:color w:val="0563C1" w:themeColor="hyperlink"/>
      <w:u w:val="single"/>
    </w:rPr>
  </w:style>
  <w:style w:type="paragraph" w:styleId="BalloonText">
    <w:name w:val="Balloon Text"/>
    <w:basedOn w:val="Normal"/>
    <w:link w:val="BalloonTextChar"/>
    <w:uiPriority w:val="99"/>
    <w:semiHidden/>
    <w:unhideWhenUsed/>
    <w:rsid w:val="00B85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B9E"/>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x.doi.org/10.47772/IJRISS.2026.10100383"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xiv.org/abs/2504.0263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rxiv.org/abs/2504.0263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90/info16040296"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rsisinternationa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4075</Words>
  <Characters>23234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Evaluating the Effectiveness of Institutional AI Ethics Policies in Promoting Academic Integrity: A Conceptual Framework</dc:title>
  <dc:subject>AI</dc:subject>
  <dc:creator>Yap Pek Jiuan</dc:creator>
  <cp:keywords>academic integrity, AI ethics policy, higher education governance, generative artificial intelligence, quality assurance</cp:keywords>
  <cp:lastModifiedBy>admin</cp:lastModifiedBy>
  <cp:revision>2</cp:revision>
  <dcterms:created xsi:type="dcterms:W3CDTF">2026-02-07T07:50:00Z</dcterms:created>
  <dcterms:modified xsi:type="dcterms:W3CDTF">2026-02-07T07:50:00Z</dcterms:modified>
  <cp:category>AI</cp:category>
</cp:coreProperties>
</file>