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0D3" w:rsidRPr="00BB40D3" w:rsidRDefault="00BB40D3" w:rsidP="00BB40D3">
      <w:pPr>
        <w:jc w:val="center"/>
        <w:rPr>
          <w:rFonts w:ascii="Times New Roman" w:hAnsi="Times New Roman" w:cs="Times New Roman"/>
          <w:b/>
          <w:bCs/>
          <w:sz w:val="24"/>
          <w:szCs w:val="24"/>
        </w:rPr>
      </w:pPr>
      <w:r w:rsidRPr="00BB40D3">
        <w:rPr>
          <w:rFonts w:ascii="Times New Roman" w:hAnsi="Times New Roman" w:cs="Times New Roman"/>
          <w:b/>
          <w:bCs/>
          <w:sz w:val="24"/>
          <w:szCs w:val="24"/>
        </w:rPr>
        <w:t>Measuring and Mapping Child Malnutrition in West Bengal: A Composite Index-Based Spatial Analysis</w:t>
      </w:r>
    </w:p>
    <w:p w:rsidR="00356E59" w:rsidRDefault="00356E59" w:rsidP="00BB40D3">
      <w:pPr>
        <w:jc w:val="center"/>
        <w:rPr>
          <w:rFonts w:ascii="Times New Roman" w:hAnsi="Times New Roman" w:cs="Times New Roman"/>
          <w:b/>
          <w:bCs/>
          <w:sz w:val="24"/>
          <w:szCs w:val="24"/>
        </w:rPr>
      </w:pPr>
    </w:p>
    <w:p w:rsidR="00356E59" w:rsidRPr="00356E59" w:rsidRDefault="00356E59" w:rsidP="00356E59">
      <w:pPr>
        <w:spacing w:after="0"/>
        <w:jc w:val="center"/>
        <w:rPr>
          <w:rFonts w:ascii="Times New Roman" w:hAnsi="Times New Roman" w:cs="Times New Roman"/>
          <w:i/>
          <w:sz w:val="20"/>
          <w:szCs w:val="20"/>
          <w:vertAlign w:val="superscript"/>
        </w:rPr>
      </w:pPr>
      <w:proofErr w:type="spellStart"/>
      <w:r w:rsidRPr="00356E59">
        <w:rPr>
          <w:rFonts w:ascii="Times New Roman" w:hAnsi="Times New Roman" w:cs="Times New Roman"/>
          <w:i/>
          <w:sz w:val="20"/>
          <w:szCs w:val="20"/>
        </w:rPr>
        <w:t/>
      </w:r>
      <w:proofErr w:type="spellEnd"/>
      <w:r w:rsidRPr="00356E59">
        <w:rPr>
          <w:rFonts w:ascii="Times New Roman" w:hAnsi="Times New Roman" w:cs="Times New Roman"/>
          <w:i/>
          <w:sz w:val="20"/>
          <w:szCs w:val="20"/>
        </w:rPr>
        <w:t xml:space="preserve"/>
      </w:r>
      <w:proofErr w:type="spellStart"/>
      <w:r w:rsidRPr="00356E59">
        <w:rPr>
          <w:rFonts w:ascii="Times New Roman" w:hAnsi="Times New Roman" w:cs="Times New Roman"/>
          <w:i/>
          <w:sz w:val="20"/>
          <w:szCs w:val="20"/>
        </w:rPr>
        <w:t/>
      </w:r>
      <w:proofErr w:type="spellEnd"/>
      <w:r w:rsidRPr="00356E59">
        <w:rPr>
          <w:rFonts w:ascii="Times New Roman" w:hAnsi="Times New Roman" w:cs="Times New Roman"/>
          <w:i/>
          <w:sz w:val="20"/>
          <w:szCs w:val="20"/>
        </w:rPr>
        <w:t xml:space="preserve"/>
      </w:r>
      <w:r w:rsidRPr="00356E59">
        <w:rPr>
          <w:rFonts w:ascii="Times New Roman" w:hAnsi="Times New Roman" w:cs="Times New Roman"/>
          <w:i/>
          <w:sz w:val="20"/>
          <w:szCs w:val="20"/>
          <w:vertAlign w:val="superscript"/>
        </w:rPr>
        <w:t/>
      </w:r>
    </w:p>
    <w:p w:rsidR="00356E59" w:rsidRPr="00356E59" w:rsidRDefault="00356E59" w:rsidP="00356E59">
      <w:pPr>
        <w:spacing w:after="0" w:line="240" w:lineRule="auto"/>
        <w:jc w:val="center"/>
        <w:rPr>
          <w:rFonts w:ascii="Times New Roman" w:hAnsi="Times New Roman" w:cs="Times New Roman"/>
          <w:sz w:val="20"/>
          <w:szCs w:val="20"/>
          <w:vertAlign w:val="superscript"/>
        </w:rPr>
      </w:pPr>
    </w:p>
    <w:p w:rsidR="00356E59" w:rsidRPr="00356E59" w:rsidRDefault="00356E59" w:rsidP="00356E59">
      <w:pPr>
        <w:spacing w:after="0" w:line="240" w:lineRule="auto"/>
        <w:jc w:val="center"/>
        <w:rPr>
          <w:rFonts w:ascii="Times New Roman" w:hAnsi="Times New Roman" w:cs="Times New Roman"/>
          <w:sz w:val="20"/>
          <w:szCs w:val="20"/>
          <w:lang w:val="en-US"/>
        </w:rPr>
      </w:pPr>
      <w:r w:rsidRPr="00356E59">
        <w:rPr>
          <w:rStyle w:val="FootnoteReference"/>
          <w:rFonts w:ascii="Times New Roman" w:hAnsi="Times New Roman" w:cs="Times New Roman"/>
          <w:sz w:val="20"/>
          <w:szCs w:val="20"/>
        </w:rPr>
        <w:footnoteRef/>
      </w:r>
      <w:r w:rsidRPr="00356E59">
        <w:rPr>
          <w:rFonts w:ascii="Times New Roman" w:hAnsi="Times New Roman" w:cs="Times New Roman"/>
          <w:sz w:val="20"/>
          <w:szCs w:val="20"/>
        </w:rPr>
        <w:t xml:space="preserve"/>
      </w:r>
      <w:proofErr w:type="spellStart"/>
      <w:r w:rsidRPr="00356E59">
        <w:rPr>
          <w:rFonts w:ascii="Times New Roman" w:hAnsi="Times New Roman" w:cs="Times New Roman"/>
          <w:sz w:val="20"/>
          <w:szCs w:val="20"/>
        </w:rPr>
        <w:t/>
      </w:r>
      <w:proofErr w:type="spellEnd"/>
      <w:r w:rsidRPr="00356E59">
        <w:rPr>
          <w:rFonts w:ascii="Times New Roman" w:hAnsi="Times New Roman" w:cs="Times New Roman"/>
          <w:sz w:val="20"/>
          <w:szCs w:val="20"/>
        </w:rPr>
        <w:t xml:space="preserve"/>
      </w:r>
      <w:proofErr w:type="spellStart"/>
      <w:r w:rsidRPr="00356E59">
        <w:rPr>
          <w:rFonts w:ascii="Times New Roman" w:hAnsi="Times New Roman" w:cs="Times New Roman"/>
          <w:sz w:val="20"/>
          <w:szCs w:val="20"/>
        </w:rPr>
        <w:t/>
      </w:r>
      <w:proofErr w:type="spellEnd"/>
      <w:r w:rsidRPr="00356E59">
        <w:rPr>
          <w:rFonts w:ascii="Times New Roman" w:hAnsi="Times New Roman" w:cs="Times New Roman"/>
          <w:sz w:val="20"/>
          <w:szCs w:val="20"/>
        </w:rPr>
        <w:t xml:space="preserve"/>
      </w:r>
      <w:proofErr w:type="spellStart"/>
      <w:r w:rsidRPr="00356E59">
        <w:rPr>
          <w:rFonts w:ascii="Times New Roman" w:hAnsi="Times New Roman" w:cs="Times New Roman"/>
          <w:sz w:val="20"/>
          <w:szCs w:val="20"/>
        </w:rPr>
        <w:t/>
      </w:r>
      <w:proofErr w:type="spellEnd"/>
      <w:r w:rsidRPr="00356E59">
        <w:rPr>
          <w:rFonts w:ascii="Times New Roman" w:hAnsi="Times New Roman" w:cs="Times New Roman"/>
          <w:sz w:val="20"/>
          <w:szCs w:val="20"/>
        </w:rPr>
        <w:t xml:space="preserve"/>
      </w:r>
      <w:hyperlink r:id="rId6" w:history="1">
        <w:r w:rsidRPr="00356E59">
          <w:rPr>
            <w:rStyle w:val="Hyperlink"/>
            <w:rFonts w:ascii="Times New Roman" w:hAnsi="Times New Roman" w:cs="Times New Roman"/>
            <w:sz w:val="20"/>
            <w:szCs w:val="20"/>
            <w:lang w:val="en-US"/>
          </w:rPr>
          <w:t/>
        </w:r>
      </w:hyperlink>
      <w:r w:rsidRPr="00356E59">
        <w:rPr>
          <w:rFonts w:ascii="Times New Roman" w:hAnsi="Times New Roman" w:cs="Times New Roman"/>
          <w:sz w:val="20"/>
          <w:szCs w:val="20"/>
          <w:lang w:val="en-US"/>
        </w:rPr>
        <w:t xml:space="preserve"/>
      </w:r>
      <w:hyperlink r:id="rId7" w:history="1">
        <w:r w:rsidRPr="00356E59">
          <w:rPr>
            <w:rStyle w:val="Hyperlink"/>
            <w:rFonts w:ascii="Times New Roman" w:hAnsi="Times New Roman" w:cs="Times New Roman"/>
            <w:sz w:val="20"/>
            <w:szCs w:val="20"/>
            <w:lang w:val="en-US"/>
          </w:rPr>
          <w:t/>
        </w:r>
      </w:hyperlink>
    </w:p>
    <w:p w:rsidR="00356E59" w:rsidRDefault="00356E59" w:rsidP="00356E59">
      <w:pPr>
        <w:rPr>
          <w:rFonts w:ascii="Times New Roman" w:hAnsi="Times New Roman" w:cs="Times New Roman"/>
          <w:b/>
          <w:bCs/>
          <w:sz w:val="24"/>
          <w:szCs w:val="24"/>
        </w:rPr>
      </w:pPr>
    </w:p>
    <w:p w:rsidR="00356E59" w:rsidRPr="00356E59" w:rsidRDefault="00356E59" w:rsidP="00356E59">
      <w:pPr>
        <w:jc w:val="center"/>
        <w:rPr>
          <w:rFonts w:ascii="Times New Roman" w:hAnsi="Times New Roman" w:cs="Times New Roman"/>
          <w:b/>
          <w:bCs/>
          <w:sz w:val="24"/>
          <w:szCs w:val="24"/>
        </w:rPr>
      </w:pPr>
      <w:r w:rsidRPr="00356E59">
        <w:rPr>
          <w:rFonts w:ascii="Times New Roman" w:hAnsi="Times New Roman" w:cs="Times New Roman"/>
          <w:b/>
          <w:bCs/>
          <w:sz w:val="24"/>
          <w:szCs w:val="24"/>
        </w:rPr>
        <w:t>Abstract</w:t>
      </w:r>
    </w:p>
    <w:p w:rsidR="00356E59" w:rsidRPr="00356E59" w:rsidRDefault="00356E59" w:rsidP="00356E59">
      <w:pPr>
        <w:jc w:val="both"/>
        <w:rPr>
          <w:rFonts w:ascii="Times New Roman" w:hAnsi="Times New Roman" w:cs="Times New Roman"/>
          <w:sz w:val="20"/>
          <w:szCs w:val="20"/>
        </w:rPr>
      </w:pPr>
      <w:r w:rsidRPr="00356E59">
        <w:rPr>
          <w:rFonts w:ascii="Times New Roman" w:hAnsi="Times New Roman" w:cs="Times New Roman"/>
          <w:sz w:val="20"/>
          <w:szCs w:val="20"/>
        </w:rPr>
        <w:t xml:space="preserve">Child malnutrition remains one of the most pressing public health challenges in India, with significant </w:t>
      </w:r>
      <w:bookmarkStart w:id="0" w:name="_GoBack"/>
      <w:bookmarkEnd w:id="0"/>
      <w:r w:rsidRPr="00356E59">
        <w:rPr>
          <w:rFonts w:ascii="Times New Roman" w:hAnsi="Times New Roman" w:cs="Times New Roman"/>
          <w:sz w:val="20"/>
          <w:szCs w:val="20"/>
        </w:rPr>
        <w:t xml:space="preserve">implications for child survival, growth, cognitive development, and future productivity. Despite substantial improvements in health and nutrition programmes, regional disparities in child nutritional outcomes persist across West Bengal. This study examines the spatial distribution and clustering of child malnutrition among under-five children across the districts of West Bengal using data from the National Family Health Survey (NFHS-5), 2019–21. Three key anthropometric indicators—stunting, underweight, and wasting—were used to construct a Composite Child Malnutrition Index through the dimension index approach. Geographic Information System (GIS)-based mapping techniques were employed to visualize district-level variations, while conditional mapping was used to explore the spatial relationships among different forms of </w:t>
      </w:r>
      <w:r w:rsidR="00557C82">
        <w:rPr>
          <w:rFonts w:ascii="Times New Roman" w:hAnsi="Times New Roman" w:cs="Times New Roman"/>
          <w:sz w:val="20"/>
          <w:szCs w:val="20"/>
        </w:rPr>
        <w:t>malnutrition</w:t>
      </w:r>
      <w:r w:rsidRPr="00356E59">
        <w:rPr>
          <w:rFonts w:ascii="Times New Roman" w:hAnsi="Times New Roman" w:cs="Times New Roman"/>
          <w:sz w:val="20"/>
          <w:szCs w:val="20"/>
        </w:rPr>
        <w:t>. Furthermore, Global Moran’s I and Local Indicators of Spatial Association (LISA) were applied to assess spatial autocorrelation and identify malnutrition hotspots.</w:t>
      </w:r>
    </w:p>
    <w:p w:rsidR="00356E59" w:rsidRPr="00356E59" w:rsidRDefault="00356E59" w:rsidP="00356E59">
      <w:pPr>
        <w:jc w:val="both"/>
        <w:rPr>
          <w:rFonts w:ascii="Times New Roman" w:hAnsi="Times New Roman" w:cs="Times New Roman"/>
          <w:sz w:val="20"/>
          <w:szCs w:val="20"/>
        </w:rPr>
      </w:pPr>
    </w:p>
    <w:p w:rsidR="00356E59" w:rsidRPr="00356E59" w:rsidRDefault="00356E59" w:rsidP="00356E59">
      <w:pPr>
        <w:jc w:val="both"/>
        <w:rPr>
          <w:rFonts w:ascii="Times New Roman" w:hAnsi="Times New Roman" w:cs="Times New Roman"/>
          <w:sz w:val="20"/>
          <w:szCs w:val="20"/>
        </w:rPr>
      </w:pPr>
      <w:r w:rsidRPr="00356E59">
        <w:rPr>
          <w:rFonts w:ascii="Times New Roman" w:hAnsi="Times New Roman" w:cs="Times New Roman"/>
          <w:sz w:val="20"/>
          <w:szCs w:val="20"/>
        </w:rPr>
        <w:t xml:space="preserve">The findings reveal substantial regional inequalities in child nutritional status across the state. Western districts, particularly </w:t>
      </w:r>
      <w:proofErr w:type="spellStart"/>
      <w:r w:rsidRPr="00356E59">
        <w:rPr>
          <w:rFonts w:ascii="Times New Roman" w:hAnsi="Times New Roman" w:cs="Times New Roman"/>
          <w:sz w:val="20"/>
          <w:szCs w:val="20"/>
        </w:rPr>
        <w:t>Purulia</w:t>
      </w:r>
      <w:proofErr w:type="spellEnd"/>
      <w:r w:rsidRPr="00356E59">
        <w:rPr>
          <w:rFonts w:ascii="Times New Roman" w:hAnsi="Times New Roman" w:cs="Times New Roman"/>
          <w:sz w:val="20"/>
          <w:szCs w:val="20"/>
        </w:rPr>
        <w:t xml:space="preserve">, </w:t>
      </w:r>
      <w:proofErr w:type="spellStart"/>
      <w:r w:rsidRPr="00356E59">
        <w:rPr>
          <w:rFonts w:ascii="Times New Roman" w:hAnsi="Times New Roman" w:cs="Times New Roman"/>
          <w:sz w:val="20"/>
          <w:szCs w:val="20"/>
        </w:rPr>
        <w:t>Paschim</w:t>
      </w:r>
      <w:proofErr w:type="spellEnd"/>
      <w:r w:rsidRPr="00356E59">
        <w:rPr>
          <w:rFonts w:ascii="Times New Roman" w:hAnsi="Times New Roman" w:cs="Times New Roman"/>
          <w:sz w:val="20"/>
          <w:szCs w:val="20"/>
        </w:rPr>
        <w:t xml:space="preserve"> </w:t>
      </w:r>
      <w:proofErr w:type="spellStart"/>
      <w:r w:rsidRPr="00356E59">
        <w:rPr>
          <w:rFonts w:ascii="Times New Roman" w:hAnsi="Times New Roman" w:cs="Times New Roman"/>
          <w:sz w:val="20"/>
          <w:szCs w:val="20"/>
        </w:rPr>
        <w:t>Medinipur</w:t>
      </w:r>
      <w:proofErr w:type="spellEnd"/>
      <w:r w:rsidRPr="00356E59">
        <w:rPr>
          <w:rFonts w:ascii="Times New Roman" w:hAnsi="Times New Roman" w:cs="Times New Roman"/>
          <w:sz w:val="20"/>
          <w:szCs w:val="20"/>
        </w:rPr>
        <w:t xml:space="preserve">, </w:t>
      </w:r>
      <w:proofErr w:type="spellStart"/>
      <w:r w:rsidRPr="00356E59">
        <w:rPr>
          <w:rFonts w:ascii="Times New Roman" w:hAnsi="Times New Roman" w:cs="Times New Roman"/>
          <w:sz w:val="20"/>
          <w:szCs w:val="20"/>
        </w:rPr>
        <w:t>Birbhum</w:t>
      </w:r>
      <w:proofErr w:type="spellEnd"/>
      <w:r w:rsidRPr="00356E59">
        <w:rPr>
          <w:rFonts w:ascii="Times New Roman" w:hAnsi="Times New Roman" w:cs="Times New Roman"/>
          <w:sz w:val="20"/>
          <w:szCs w:val="20"/>
        </w:rPr>
        <w:t xml:space="preserve">, and </w:t>
      </w:r>
      <w:proofErr w:type="spellStart"/>
      <w:r w:rsidRPr="00356E59">
        <w:rPr>
          <w:rFonts w:ascii="Times New Roman" w:hAnsi="Times New Roman" w:cs="Times New Roman"/>
          <w:sz w:val="20"/>
          <w:szCs w:val="20"/>
        </w:rPr>
        <w:t>Paschim</w:t>
      </w:r>
      <w:proofErr w:type="spellEnd"/>
      <w:r w:rsidRPr="00356E59">
        <w:rPr>
          <w:rFonts w:ascii="Times New Roman" w:hAnsi="Times New Roman" w:cs="Times New Roman"/>
          <w:sz w:val="20"/>
          <w:szCs w:val="20"/>
        </w:rPr>
        <w:t xml:space="preserve"> </w:t>
      </w:r>
      <w:proofErr w:type="spellStart"/>
      <w:r w:rsidRPr="00356E59">
        <w:rPr>
          <w:rFonts w:ascii="Times New Roman" w:hAnsi="Times New Roman" w:cs="Times New Roman"/>
          <w:sz w:val="20"/>
          <w:szCs w:val="20"/>
        </w:rPr>
        <w:t>Bardhaman</w:t>
      </w:r>
      <w:proofErr w:type="spellEnd"/>
      <w:r w:rsidRPr="00356E59">
        <w:rPr>
          <w:rFonts w:ascii="Times New Roman" w:hAnsi="Times New Roman" w:cs="Times New Roman"/>
          <w:sz w:val="20"/>
          <w:szCs w:val="20"/>
        </w:rPr>
        <w:t xml:space="preserve">, exhibit the highest levels of child malnutrition, whereas districts such as Nadia, Hooghly, Howrah, North 24 </w:t>
      </w:r>
      <w:proofErr w:type="spellStart"/>
      <w:r w:rsidRPr="00356E59">
        <w:rPr>
          <w:rFonts w:ascii="Times New Roman" w:hAnsi="Times New Roman" w:cs="Times New Roman"/>
          <w:sz w:val="20"/>
          <w:szCs w:val="20"/>
        </w:rPr>
        <w:t>Parganas</w:t>
      </w:r>
      <w:proofErr w:type="spellEnd"/>
      <w:r w:rsidRPr="00356E59">
        <w:rPr>
          <w:rFonts w:ascii="Times New Roman" w:hAnsi="Times New Roman" w:cs="Times New Roman"/>
          <w:sz w:val="20"/>
          <w:szCs w:val="20"/>
        </w:rPr>
        <w:t xml:space="preserve">, and </w:t>
      </w:r>
      <w:proofErr w:type="spellStart"/>
      <w:r w:rsidRPr="00356E59">
        <w:rPr>
          <w:rFonts w:ascii="Times New Roman" w:hAnsi="Times New Roman" w:cs="Times New Roman"/>
          <w:sz w:val="20"/>
          <w:szCs w:val="20"/>
        </w:rPr>
        <w:t>Purba</w:t>
      </w:r>
      <w:proofErr w:type="spellEnd"/>
      <w:r w:rsidRPr="00356E59">
        <w:rPr>
          <w:rFonts w:ascii="Times New Roman" w:hAnsi="Times New Roman" w:cs="Times New Roman"/>
          <w:sz w:val="20"/>
          <w:szCs w:val="20"/>
        </w:rPr>
        <w:t xml:space="preserve"> </w:t>
      </w:r>
      <w:proofErr w:type="spellStart"/>
      <w:r w:rsidRPr="00356E59">
        <w:rPr>
          <w:rFonts w:ascii="Times New Roman" w:hAnsi="Times New Roman" w:cs="Times New Roman"/>
          <w:sz w:val="20"/>
          <w:szCs w:val="20"/>
        </w:rPr>
        <w:t>Medinipur</w:t>
      </w:r>
      <w:proofErr w:type="spellEnd"/>
      <w:r w:rsidRPr="00356E59">
        <w:rPr>
          <w:rFonts w:ascii="Times New Roman" w:hAnsi="Times New Roman" w:cs="Times New Roman"/>
          <w:sz w:val="20"/>
          <w:szCs w:val="20"/>
        </w:rPr>
        <w:t xml:space="preserve"> demonstrate relatively favourable outcomes. Stunting emerged as the most prevalent form of </w:t>
      </w:r>
      <w:r w:rsidR="00557C82">
        <w:rPr>
          <w:rFonts w:ascii="Times New Roman" w:hAnsi="Times New Roman" w:cs="Times New Roman"/>
          <w:sz w:val="20"/>
          <w:szCs w:val="20"/>
        </w:rPr>
        <w:t>malnutrition</w:t>
      </w:r>
      <w:r w:rsidRPr="00356E59">
        <w:rPr>
          <w:rFonts w:ascii="Times New Roman" w:hAnsi="Times New Roman" w:cs="Times New Roman"/>
          <w:sz w:val="20"/>
          <w:szCs w:val="20"/>
        </w:rPr>
        <w:t>, indicating the persistence of chronic nutritional deprivation. The conditional maps reveal strong spatial associations among stunting, underweight, and wasting, suggesting overlapping nutritional vulnerabilities. The Global Moran’s I value of 0.423 indicates moderate positive spatial autocorrelation, while LISA analysis identifies significant hotspot and cold-spot clusters, confirming the existence of localized spatial concentration.</w:t>
      </w:r>
    </w:p>
    <w:p w:rsidR="00356E59" w:rsidRPr="00356E59" w:rsidRDefault="00356E59" w:rsidP="00356E59">
      <w:pPr>
        <w:jc w:val="both"/>
        <w:rPr>
          <w:rFonts w:ascii="Times New Roman" w:hAnsi="Times New Roman" w:cs="Times New Roman"/>
          <w:sz w:val="20"/>
          <w:szCs w:val="20"/>
        </w:rPr>
      </w:pPr>
    </w:p>
    <w:p w:rsidR="00356E59" w:rsidRDefault="00356E59" w:rsidP="00356E59">
      <w:pPr>
        <w:jc w:val="both"/>
        <w:rPr>
          <w:rFonts w:ascii="Times New Roman" w:hAnsi="Times New Roman" w:cs="Times New Roman"/>
          <w:sz w:val="20"/>
          <w:szCs w:val="20"/>
        </w:rPr>
      </w:pPr>
      <w:r w:rsidRPr="00356E59">
        <w:rPr>
          <w:rFonts w:ascii="Times New Roman" w:hAnsi="Times New Roman" w:cs="Times New Roman"/>
          <w:sz w:val="20"/>
          <w:szCs w:val="20"/>
        </w:rPr>
        <w:t>The study concludes that child malnutrition in West Bengal is geographically clustered rather than randomly distributed. The findings underscore the need for spatially targeted and integrated policy interventions focusing on nutrition, maternal and child healthcare, food security, and WASH infrastructure to reduce regional disparities and accelerate progress toward achieving Sustainable Development Goal 2 (Zero Hunger).</w:t>
      </w:r>
    </w:p>
    <w:p w:rsidR="00356E59" w:rsidRDefault="00356E59" w:rsidP="00356E59">
      <w:pPr>
        <w:jc w:val="both"/>
        <w:rPr>
          <w:rFonts w:ascii="Times New Roman" w:hAnsi="Times New Roman" w:cs="Times New Roman"/>
          <w:sz w:val="20"/>
          <w:szCs w:val="20"/>
        </w:rPr>
      </w:pPr>
    </w:p>
    <w:p w:rsidR="00BB40D3" w:rsidRPr="00356E59" w:rsidRDefault="00356E59" w:rsidP="00356E59">
      <w:pPr>
        <w:jc w:val="both"/>
        <w:rPr>
          <w:rFonts w:ascii="Times New Roman" w:hAnsi="Times New Roman" w:cs="Times New Roman"/>
          <w:sz w:val="20"/>
          <w:szCs w:val="20"/>
        </w:rPr>
      </w:pPr>
      <w:r w:rsidRPr="00356E59">
        <w:rPr>
          <w:rFonts w:ascii="Times New Roman" w:hAnsi="Times New Roman" w:cs="Times New Roman"/>
          <w:sz w:val="20"/>
          <w:szCs w:val="20"/>
        </w:rPr>
        <w:t>Keywords: Child Malnutrition; Stunting; Wasting; Underweight; Composite Child Malnutrition Index; Spatial Analysis; GIS; Spatial Autocorrelation; LISA; Moran’s I; NFHS-5; West Bengal.</w:t>
      </w:r>
      <w:r w:rsidR="00BB40D3" w:rsidRPr="00356E59">
        <w:rPr>
          <w:rFonts w:ascii="Times New Roman" w:hAnsi="Times New Roman" w:cs="Times New Roman"/>
          <w:sz w:val="20"/>
          <w:szCs w:val="20"/>
        </w:rPr>
        <w:br w:type="page"/>
      </w:r>
    </w:p>
    <w:p w:rsidR="00073549" w:rsidRPr="006E68BD" w:rsidRDefault="00C04DBE">
      <w:pPr>
        <w:rPr>
          <w:rFonts w:ascii="Times New Roman" w:hAnsi="Times New Roman" w:cs="Times New Roman"/>
          <w:b/>
          <w:bCs/>
          <w:sz w:val="20"/>
          <w:szCs w:val="20"/>
        </w:rPr>
      </w:pPr>
      <w:r w:rsidRPr="006E68BD">
        <w:rPr>
          <w:rFonts w:ascii="Times New Roman" w:hAnsi="Times New Roman" w:cs="Times New Roman"/>
          <w:b/>
          <w:bCs/>
          <w:sz w:val="20"/>
          <w:szCs w:val="20"/>
        </w:rPr>
        <w:lastRenderedPageBreak/>
        <w:t>1. INTRODUCTION</w:t>
      </w:r>
    </w:p>
    <w:p w:rsidR="00EE4760" w:rsidRDefault="00EE4760" w:rsidP="00C04DBE">
      <w:pPr>
        <w:jc w:val="both"/>
        <w:rPr>
          <w:rFonts w:ascii="Times New Roman" w:hAnsi="Times New Roman" w:cs="Times New Roman"/>
          <w:sz w:val="20"/>
          <w:szCs w:val="20"/>
        </w:rPr>
      </w:pPr>
      <w:r w:rsidRPr="00EE4760">
        <w:rPr>
          <w:rFonts w:ascii="Times New Roman" w:hAnsi="Times New Roman" w:cs="Times New Roman"/>
          <w:sz w:val="20"/>
          <w:szCs w:val="20"/>
        </w:rPr>
        <w:t xml:space="preserve">Malnutrition remains one of the most serious public health challenges globally, particularly in South Asia and Sub-Saharan Africa. It results from inadequate, excessive, or imbalanced intake of nutrients and adversely affects children's physical growth, cognitive development, educational achievement, and future productivity. Among children under five years of age, </w:t>
      </w:r>
      <w:proofErr w:type="spellStart"/>
      <w:r w:rsidRPr="00EE4760">
        <w:rPr>
          <w:rFonts w:ascii="Times New Roman" w:hAnsi="Times New Roman" w:cs="Times New Roman"/>
          <w:sz w:val="20"/>
          <w:szCs w:val="20"/>
        </w:rPr>
        <w:t>undernutrition</w:t>
      </w:r>
      <w:proofErr w:type="spellEnd"/>
      <w:r w:rsidRPr="00EE4760">
        <w:rPr>
          <w:rFonts w:ascii="Times New Roman" w:hAnsi="Times New Roman" w:cs="Times New Roman"/>
          <w:sz w:val="20"/>
          <w:szCs w:val="20"/>
        </w:rPr>
        <w:t xml:space="preserve"> is commonly manifested through stunting, wasting, and underweight conditions, collectively referred to as child growth failure.</w:t>
      </w:r>
    </w:p>
    <w:p w:rsidR="008F241A" w:rsidRDefault="00EE4760" w:rsidP="00C04DBE">
      <w:pPr>
        <w:jc w:val="both"/>
        <w:rPr>
          <w:rFonts w:ascii="Times New Roman" w:hAnsi="Times New Roman" w:cs="Times New Roman"/>
          <w:sz w:val="20"/>
          <w:szCs w:val="20"/>
        </w:rPr>
      </w:pPr>
      <w:r w:rsidRPr="00EE4760">
        <w:rPr>
          <w:rFonts w:ascii="Times New Roman" w:hAnsi="Times New Roman" w:cs="Times New Roman"/>
          <w:sz w:val="20"/>
          <w:szCs w:val="20"/>
        </w:rPr>
        <w:t>Globally, approximately 156 million children suffer from stunting, 50 million from wasting, and 93 million from underweight. Although India has made progress in reducing child malnutrition, Evidence from the UNICEF report suggests</w:t>
      </w:r>
      <w:r>
        <w:rPr>
          <w:rFonts w:ascii="Times New Roman" w:hAnsi="Times New Roman" w:cs="Times New Roman"/>
          <w:sz w:val="20"/>
          <w:szCs w:val="20"/>
        </w:rPr>
        <w:t xml:space="preserve"> </w:t>
      </w:r>
      <w:r w:rsidRPr="00EE4760">
        <w:rPr>
          <w:rFonts w:ascii="Times New Roman" w:hAnsi="Times New Roman" w:cs="Times New Roman"/>
          <w:sz w:val="20"/>
          <w:szCs w:val="20"/>
        </w:rPr>
        <w:t>the burden remains substantial. While the prevalence of stunting declined from 52% in 1992–93 to 38% in 2015–16, wasting increased from 17% to 21% during the same period. India continues to account for nearly 40% of the world's stunted children.</w:t>
      </w:r>
      <w:r w:rsidR="008F241A">
        <w:rPr>
          <w:rFonts w:ascii="Times New Roman" w:hAnsi="Times New Roman" w:cs="Times New Roman"/>
          <w:sz w:val="20"/>
          <w:szCs w:val="20"/>
        </w:rPr>
        <w:t xml:space="preserve"> </w:t>
      </w:r>
      <w:r w:rsidR="00C04DBE" w:rsidRPr="00C04DBE">
        <w:rPr>
          <w:rFonts w:ascii="Times New Roman" w:hAnsi="Times New Roman" w:cs="Times New Roman"/>
          <w:sz w:val="20"/>
          <w:szCs w:val="20"/>
        </w:rPr>
        <w:t xml:space="preserve">Despite substantial progress in public health interventions, </w:t>
      </w:r>
      <w:proofErr w:type="spellStart"/>
      <w:r w:rsidR="00C04DBE" w:rsidRPr="00C04DBE">
        <w:rPr>
          <w:rFonts w:ascii="Times New Roman" w:hAnsi="Times New Roman" w:cs="Times New Roman"/>
          <w:sz w:val="20"/>
          <w:szCs w:val="20"/>
        </w:rPr>
        <w:t>undernutrition</w:t>
      </w:r>
      <w:proofErr w:type="spellEnd"/>
      <w:r w:rsidR="00C04DBE" w:rsidRPr="00C04DBE">
        <w:rPr>
          <w:rFonts w:ascii="Times New Roman" w:hAnsi="Times New Roman" w:cs="Times New Roman"/>
          <w:sz w:val="20"/>
          <w:szCs w:val="20"/>
        </w:rPr>
        <w:t xml:space="preserve"> remains a major concern in India. West Bengal, one of India's most populous states, continues to experience significant levels of child malnutrition, particularly among children under five years of age. </w:t>
      </w:r>
    </w:p>
    <w:p w:rsidR="008F241A" w:rsidRPr="00C04DBE" w:rsidRDefault="008F241A" w:rsidP="00C04DBE">
      <w:pPr>
        <w:jc w:val="both"/>
        <w:rPr>
          <w:rFonts w:ascii="Times New Roman" w:hAnsi="Times New Roman" w:cs="Times New Roman"/>
          <w:sz w:val="20"/>
          <w:szCs w:val="20"/>
        </w:rPr>
      </w:pPr>
      <w:r w:rsidRPr="008F241A">
        <w:rPr>
          <w:rFonts w:ascii="Times New Roman" w:hAnsi="Times New Roman" w:cs="Times New Roman"/>
          <w:sz w:val="20"/>
          <w:szCs w:val="20"/>
        </w:rPr>
        <w:t xml:space="preserve">Given the persistence of </w:t>
      </w:r>
      <w:proofErr w:type="spellStart"/>
      <w:r w:rsidRPr="008F241A">
        <w:rPr>
          <w:rFonts w:ascii="Times New Roman" w:hAnsi="Times New Roman" w:cs="Times New Roman"/>
          <w:sz w:val="20"/>
          <w:szCs w:val="20"/>
        </w:rPr>
        <w:t>undernutrition</w:t>
      </w:r>
      <w:proofErr w:type="spellEnd"/>
      <w:r w:rsidRPr="008F241A">
        <w:rPr>
          <w:rFonts w:ascii="Times New Roman" w:hAnsi="Times New Roman" w:cs="Times New Roman"/>
          <w:sz w:val="20"/>
          <w:szCs w:val="20"/>
        </w:rPr>
        <w:t xml:space="preserve"> and the Sustainable Development Goal (SDG) target of ending all forms of malnutrition by 2030, there is a need to examine district-level changes in child growth failure indicators. The study therefore aims to assess the prevalence and temporal changes in stunting, wasting, and underweight among under-five children across the districts of West Bengal using NFHS-5 data. Such analysis can help policymakers identify priority districts and formulate targeted interventions to reduce child malnutrition and improve child health outcomes.</w:t>
      </w:r>
    </w:p>
    <w:p w:rsidR="00C04DBE" w:rsidRDefault="00C04DBE">
      <w:pPr>
        <w:rPr>
          <w:rFonts w:ascii="Times New Roman" w:hAnsi="Times New Roman" w:cs="Times New Roman"/>
          <w:sz w:val="20"/>
          <w:szCs w:val="20"/>
        </w:rPr>
      </w:pPr>
    </w:p>
    <w:p w:rsidR="00C04DBE" w:rsidRPr="006E68BD" w:rsidRDefault="00C04DBE">
      <w:pPr>
        <w:rPr>
          <w:rFonts w:ascii="Times New Roman" w:hAnsi="Times New Roman" w:cs="Times New Roman"/>
          <w:b/>
          <w:bCs/>
          <w:sz w:val="20"/>
          <w:szCs w:val="20"/>
        </w:rPr>
      </w:pPr>
      <w:r w:rsidRPr="006E68BD">
        <w:rPr>
          <w:rFonts w:ascii="Times New Roman" w:hAnsi="Times New Roman" w:cs="Times New Roman"/>
          <w:b/>
          <w:bCs/>
          <w:sz w:val="20"/>
          <w:szCs w:val="20"/>
        </w:rPr>
        <w:t>2. LITERATURE REVIEW</w:t>
      </w:r>
    </w:p>
    <w:p w:rsidR="00EE4760" w:rsidRPr="00EE4760" w:rsidRDefault="00C04DBE" w:rsidP="00C04DBE">
      <w:pPr>
        <w:jc w:val="both"/>
        <w:rPr>
          <w:rFonts w:ascii="Times New Roman" w:hAnsi="Times New Roman" w:cs="Times New Roman"/>
          <w:sz w:val="20"/>
          <w:szCs w:val="20"/>
        </w:rPr>
      </w:pPr>
      <w:r w:rsidRPr="00C04DBE">
        <w:rPr>
          <w:rFonts w:ascii="Times New Roman" w:hAnsi="Times New Roman" w:cs="Times New Roman"/>
          <w:sz w:val="20"/>
          <w:szCs w:val="20"/>
        </w:rPr>
        <w:t xml:space="preserve">Child malnutrition is commonly measured through three anthropometric indicators: stunting (low height-for-age), wasting (low weight-for-height), and underweight (low weight-for-age). </w:t>
      </w:r>
      <w:r w:rsidR="00EE4760" w:rsidRPr="00EE4760">
        <w:rPr>
          <w:rFonts w:ascii="Times New Roman" w:hAnsi="Times New Roman" w:cs="Times New Roman"/>
          <w:sz w:val="20"/>
          <w:szCs w:val="20"/>
        </w:rPr>
        <w:t>M</w:t>
      </w:r>
      <w:r w:rsidR="00EE4760" w:rsidRPr="00EE4760">
        <w:rPr>
          <w:rFonts w:ascii="Times New Roman" w:hAnsi="Times New Roman" w:cs="Times New Roman"/>
          <w:sz w:val="20"/>
          <w:szCs w:val="20"/>
        </w:rPr>
        <w:t xml:space="preserve">alnutrition adversely affects children's cognitive and developmental potential, particularly in socio-economically disadvantaged districts. </w:t>
      </w:r>
      <w:r w:rsidR="00EE4760" w:rsidRPr="00EE4760">
        <w:rPr>
          <w:rFonts w:ascii="Times New Roman" w:hAnsi="Times New Roman" w:cs="Times New Roman"/>
          <w:sz w:val="20"/>
          <w:szCs w:val="20"/>
        </w:rPr>
        <w:t>N</w:t>
      </w:r>
      <w:r w:rsidR="00EE4760" w:rsidRPr="00EE4760">
        <w:rPr>
          <w:rFonts w:ascii="Times New Roman" w:hAnsi="Times New Roman" w:cs="Times New Roman"/>
          <w:sz w:val="20"/>
          <w:szCs w:val="20"/>
        </w:rPr>
        <w:t>utritional deprivation during early childhood can have long-lasting effects on educational attainment, productivity, and overall human development</w:t>
      </w:r>
      <w:r w:rsidR="00EE4760" w:rsidRPr="00EE4760">
        <w:rPr>
          <w:rFonts w:ascii="Times New Roman" w:hAnsi="Times New Roman" w:cs="Times New Roman"/>
          <w:sz w:val="20"/>
          <w:szCs w:val="20"/>
        </w:rPr>
        <w:t xml:space="preserve"> (</w:t>
      </w:r>
      <w:r w:rsidR="00EE4760" w:rsidRPr="00EE4760">
        <w:rPr>
          <w:rFonts w:ascii="Times New Roman" w:hAnsi="Times New Roman" w:cs="Times New Roman"/>
          <w:b/>
          <w:bCs/>
          <w:sz w:val="20"/>
          <w:szCs w:val="20"/>
        </w:rPr>
        <w:t>De et al.</w:t>
      </w:r>
      <w:proofErr w:type="gramStart"/>
      <w:r w:rsidR="00EE4760" w:rsidRPr="00EE4760">
        <w:rPr>
          <w:rFonts w:ascii="Times New Roman" w:hAnsi="Times New Roman" w:cs="Times New Roman"/>
          <w:b/>
          <w:bCs/>
          <w:sz w:val="20"/>
          <w:szCs w:val="20"/>
        </w:rPr>
        <w:t>,</w:t>
      </w:r>
      <w:r w:rsidR="00EE4760" w:rsidRPr="00EE4760">
        <w:rPr>
          <w:rFonts w:ascii="Times New Roman" w:hAnsi="Times New Roman" w:cs="Times New Roman"/>
          <w:b/>
          <w:bCs/>
          <w:sz w:val="20"/>
          <w:szCs w:val="20"/>
        </w:rPr>
        <w:t>2019</w:t>
      </w:r>
      <w:proofErr w:type="gramEnd"/>
      <w:r w:rsidR="00EE4760" w:rsidRPr="00EE4760">
        <w:rPr>
          <w:rFonts w:ascii="Times New Roman" w:hAnsi="Times New Roman" w:cs="Times New Roman"/>
          <w:sz w:val="20"/>
          <w:szCs w:val="20"/>
        </w:rPr>
        <w:t>).</w:t>
      </w:r>
    </w:p>
    <w:p w:rsidR="00C04DBE" w:rsidRDefault="0041053D" w:rsidP="00C04DBE">
      <w:pPr>
        <w:jc w:val="both"/>
        <w:rPr>
          <w:rFonts w:ascii="Times New Roman" w:hAnsi="Times New Roman" w:cs="Times New Roman"/>
          <w:sz w:val="20"/>
          <w:szCs w:val="20"/>
        </w:rPr>
      </w:pPr>
      <w:r>
        <w:rPr>
          <w:rFonts w:ascii="Times New Roman" w:hAnsi="Times New Roman" w:cs="Times New Roman"/>
          <w:sz w:val="20"/>
          <w:szCs w:val="20"/>
        </w:rPr>
        <w:t>T</w:t>
      </w:r>
      <w:r w:rsidR="00C04DBE" w:rsidRPr="00C04DBE">
        <w:rPr>
          <w:rFonts w:ascii="Times New Roman" w:hAnsi="Times New Roman" w:cs="Times New Roman"/>
          <w:sz w:val="20"/>
          <w:szCs w:val="20"/>
        </w:rPr>
        <w:t xml:space="preserve">he prevalence of stunting increased in seven districts, wasting increased in ten districts, and underweight prevalence increased in nine districts </w:t>
      </w:r>
      <w:r w:rsidR="008F241A">
        <w:rPr>
          <w:rFonts w:ascii="Times New Roman" w:hAnsi="Times New Roman" w:cs="Times New Roman"/>
          <w:sz w:val="20"/>
          <w:szCs w:val="20"/>
        </w:rPr>
        <w:t>between NFHS-4 and NFHS-5. The</w:t>
      </w:r>
      <w:r w:rsidR="00C04DBE" w:rsidRPr="00C04DBE">
        <w:rPr>
          <w:rFonts w:ascii="Times New Roman" w:hAnsi="Times New Roman" w:cs="Times New Roman"/>
          <w:sz w:val="20"/>
          <w:szCs w:val="20"/>
        </w:rPr>
        <w:t xml:space="preserve"> findings suggest that nutritional improvements have not been uniform across the state and that some districts have experienced deterioration in child nutritional outcomes</w:t>
      </w:r>
      <w:r>
        <w:rPr>
          <w:rFonts w:ascii="Times New Roman" w:hAnsi="Times New Roman" w:cs="Times New Roman"/>
          <w:sz w:val="20"/>
          <w:szCs w:val="20"/>
        </w:rPr>
        <w:t xml:space="preserve"> (</w:t>
      </w:r>
      <w:r w:rsidRPr="0041053D">
        <w:rPr>
          <w:rFonts w:ascii="Times New Roman" w:hAnsi="Times New Roman" w:cs="Times New Roman"/>
          <w:b/>
          <w:bCs/>
          <w:sz w:val="20"/>
          <w:szCs w:val="20"/>
        </w:rPr>
        <w:t xml:space="preserve">Das et al., </w:t>
      </w:r>
      <w:r w:rsidRPr="0041053D">
        <w:rPr>
          <w:rFonts w:ascii="Times New Roman" w:hAnsi="Times New Roman" w:cs="Times New Roman"/>
          <w:b/>
          <w:bCs/>
          <w:sz w:val="20"/>
          <w:szCs w:val="20"/>
        </w:rPr>
        <w:t>2021</w:t>
      </w:r>
      <w:r w:rsidRPr="00C04DBE">
        <w:rPr>
          <w:rFonts w:ascii="Times New Roman" w:hAnsi="Times New Roman" w:cs="Times New Roman"/>
          <w:sz w:val="20"/>
          <w:szCs w:val="20"/>
        </w:rPr>
        <w:t>)</w:t>
      </w:r>
      <w:r w:rsidR="00C04DBE" w:rsidRPr="00C04DBE">
        <w:rPr>
          <w:rFonts w:ascii="Times New Roman" w:hAnsi="Times New Roman" w:cs="Times New Roman"/>
          <w:sz w:val="20"/>
          <w:szCs w:val="20"/>
        </w:rPr>
        <w:t>.</w:t>
      </w:r>
    </w:p>
    <w:p w:rsidR="00C04DBE" w:rsidRDefault="00C04DBE" w:rsidP="00C04DBE">
      <w:pPr>
        <w:jc w:val="both"/>
        <w:rPr>
          <w:rFonts w:ascii="Times New Roman" w:hAnsi="Times New Roman" w:cs="Times New Roman"/>
          <w:sz w:val="20"/>
          <w:szCs w:val="20"/>
        </w:rPr>
      </w:pPr>
      <w:r w:rsidRPr="00C04DBE">
        <w:rPr>
          <w:rFonts w:ascii="Times New Roman" w:hAnsi="Times New Roman" w:cs="Times New Roman"/>
          <w:sz w:val="20"/>
          <w:szCs w:val="20"/>
        </w:rPr>
        <w:t>Nutritional Status In</w:t>
      </w:r>
      <w:r w:rsidR="0041053D">
        <w:rPr>
          <w:rFonts w:ascii="Times New Roman" w:hAnsi="Times New Roman" w:cs="Times New Roman"/>
          <w:sz w:val="20"/>
          <w:szCs w:val="20"/>
        </w:rPr>
        <w:t xml:space="preserve">dex (NSI) has been calculated using NFHS-5 data and it is </w:t>
      </w:r>
      <w:r w:rsidRPr="00C04DBE">
        <w:rPr>
          <w:rFonts w:ascii="Times New Roman" w:hAnsi="Times New Roman" w:cs="Times New Roman"/>
          <w:sz w:val="20"/>
          <w:szCs w:val="20"/>
        </w:rPr>
        <w:t>identified</w:t>
      </w:r>
      <w:r w:rsidR="0041053D">
        <w:rPr>
          <w:rFonts w:ascii="Times New Roman" w:hAnsi="Times New Roman" w:cs="Times New Roman"/>
          <w:sz w:val="20"/>
          <w:szCs w:val="20"/>
        </w:rPr>
        <w:t xml:space="preserve"> that</w:t>
      </w:r>
      <w:r w:rsidRPr="00C04DBE">
        <w:rPr>
          <w:rFonts w:ascii="Times New Roman" w:hAnsi="Times New Roman" w:cs="Times New Roman"/>
          <w:sz w:val="20"/>
          <w:szCs w:val="20"/>
        </w:rPr>
        <w:t xml:space="preserve"> </w:t>
      </w:r>
      <w:proofErr w:type="spellStart"/>
      <w:r w:rsidRPr="00C04DBE">
        <w:rPr>
          <w:rFonts w:ascii="Times New Roman" w:hAnsi="Times New Roman" w:cs="Times New Roman"/>
          <w:sz w:val="20"/>
          <w:szCs w:val="20"/>
        </w:rPr>
        <w:t>Purulia</w:t>
      </w:r>
      <w:proofErr w:type="spellEnd"/>
      <w:r w:rsidRPr="00C04DBE">
        <w:rPr>
          <w:rFonts w:ascii="Times New Roman" w:hAnsi="Times New Roman" w:cs="Times New Roman"/>
          <w:sz w:val="20"/>
          <w:szCs w:val="20"/>
        </w:rPr>
        <w:t xml:space="preserve"> as the most nutritionally deprived district in West Bengal, followed by </w:t>
      </w:r>
      <w:proofErr w:type="spellStart"/>
      <w:r w:rsidRPr="00C04DBE">
        <w:rPr>
          <w:rFonts w:ascii="Times New Roman" w:hAnsi="Times New Roman" w:cs="Times New Roman"/>
          <w:sz w:val="20"/>
          <w:szCs w:val="20"/>
        </w:rPr>
        <w:t>Bankura</w:t>
      </w:r>
      <w:proofErr w:type="spellEnd"/>
      <w:r w:rsidRPr="00C04DBE">
        <w:rPr>
          <w:rFonts w:ascii="Times New Roman" w:hAnsi="Times New Roman" w:cs="Times New Roman"/>
          <w:sz w:val="20"/>
          <w:szCs w:val="20"/>
        </w:rPr>
        <w:t xml:space="preserve"> and </w:t>
      </w:r>
      <w:proofErr w:type="spellStart"/>
      <w:r w:rsidRPr="00C04DBE">
        <w:rPr>
          <w:rFonts w:ascii="Times New Roman" w:hAnsi="Times New Roman" w:cs="Times New Roman"/>
          <w:sz w:val="20"/>
          <w:szCs w:val="20"/>
        </w:rPr>
        <w:t>Paschim</w:t>
      </w:r>
      <w:proofErr w:type="spellEnd"/>
      <w:r w:rsidRPr="00C04DBE">
        <w:rPr>
          <w:rFonts w:ascii="Times New Roman" w:hAnsi="Times New Roman" w:cs="Times New Roman"/>
          <w:sz w:val="20"/>
          <w:szCs w:val="20"/>
        </w:rPr>
        <w:t xml:space="preserve"> </w:t>
      </w:r>
      <w:proofErr w:type="spellStart"/>
      <w:r w:rsidRPr="00C04DBE">
        <w:rPr>
          <w:rFonts w:ascii="Times New Roman" w:hAnsi="Times New Roman" w:cs="Times New Roman"/>
          <w:sz w:val="20"/>
          <w:szCs w:val="20"/>
        </w:rPr>
        <w:t>Medinipur</w:t>
      </w:r>
      <w:proofErr w:type="spellEnd"/>
      <w:r w:rsidRPr="00C04DBE">
        <w:rPr>
          <w:rFonts w:ascii="Times New Roman" w:hAnsi="Times New Roman" w:cs="Times New Roman"/>
          <w:sz w:val="20"/>
          <w:szCs w:val="20"/>
        </w:rPr>
        <w:t>. Their analysis showed that none of the districts could be categorized as having an acceptable nutritional status according to established public health benchmarks</w:t>
      </w:r>
      <w:r w:rsidR="0041053D">
        <w:rPr>
          <w:rFonts w:ascii="Times New Roman" w:hAnsi="Times New Roman" w:cs="Times New Roman"/>
          <w:sz w:val="20"/>
          <w:szCs w:val="20"/>
        </w:rPr>
        <w:t xml:space="preserve"> (</w:t>
      </w:r>
      <w:proofErr w:type="spellStart"/>
      <w:r w:rsidR="0041053D" w:rsidRPr="0041053D">
        <w:rPr>
          <w:rFonts w:ascii="Times New Roman" w:hAnsi="Times New Roman" w:cs="Times New Roman"/>
          <w:b/>
          <w:bCs/>
          <w:sz w:val="20"/>
          <w:szCs w:val="20"/>
        </w:rPr>
        <w:t>Hoque</w:t>
      </w:r>
      <w:proofErr w:type="spellEnd"/>
      <w:r w:rsidR="0041053D" w:rsidRPr="0041053D">
        <w:rPr>
          <w:rFonts w:ascii="Times New Roman" w:hAnsi="Times New Roman" w:cs="Times New Roman"/>
          <w:b/>
          <w:bCs/>
          <w:sz w:val="20"/>
          <w:szCs w:val="20"/>
        </w:rPr>
        <w:t xml:space="preserve"> et al.</w:t>
      </w:r>
      <w:proofErr w:type="gramStart"/>
      <w:r w:rsidR="0041053D" w:rsidRPr="0041053D">
        <w:rPr>
          <w:rFonts w:ascii="Times New Roman" w:hAnsi="Times New Roman" w:cs="Times New Roman"/>
          <w:b/>
          <w:bCs/>
          <w:sz w:val="20"/>
          <w:szCs w:val="20"/>
        </w:rPr>
        <w:t>,</w:t>
      </w:r>
      <w:r w:rsidR="0041053D" w:rsidRPr="0041053D">
        <w:rPr>
          <w:rFonts w:ascii="Times New Roman" w:hAnsi="Times New Roman" w:cs="Times New Roman"/>
          <w:b/>
          <w:bCs/>
          <w:sz w:val="20"/>
          <w:szCs w:val="20"/>
        </w:rPr>
        <w:t>2025</w:t>
      </w:r>
      <w:proofErr w:type="gramEnd"/>
      <w:r w:rsidR="0041053D" w:rsidRPr="00C04DBE">
        <w:rPr>
          <w:rFonts w:ascii="Times New Roman" w:hAnsi="Times New Roman" w:cs="Times New Roman"/>
          <w:sz w:val="20"/>
          <w:szCs w:val="20"/>
        </w:rPr>
        <w:t>)</w:t>
      </w:r>
      <w:r w:rsidRPr="00C04DBE">
        <w:rPr>
          <w:rFonts w:ascii="Times New Roman" w:hAnsi="Times New Roman" w:cs="Times New Roman"/>
          <w:sz w:val="20"/>
          <w:szCs w:val="20"/>
        </w:rPr>
        <w:t>.</w:t>
      </w:r>
    </w:p>
    <w:p w:rsidR="00C04DBE" w:rsidRPr="006E68BD" w:rsidRDefault="00C04DBE" w:rsidP="00C04DBE">
      <w:pPr>
        <w:jc w:val="both"/>
        <w:rPr>
          <w:rFonts w:ascii="Times New Roman" w:hAnsi="Times New Roman" w:cs="Times New Roman"/>
          <w:b/>
          <w:bCs/>
          <w:sz w:val="20"/>
          <w:szCs w:val="20"/>
        </w:rPr>
      </w:pPr>
      <w:r w:rsidRPr="00C04DBE">
        <w:rPr>
          <w:rFonts w:ascii="Times New Roman" w:hAnsi="Times New Roman" w:cs="Times New Roman"/>
          <w:sz w:val="20"/>
          <w:szCs w:val="20"/>
        </w:rPr>
        <w:t xml:space="preserve">Socio-economic factors play a crucial role in shaping child nutritional outcomes. </w:t>
      </w:r>
      <w:r w:rsidR="0041053D">
        <w:rPr>
          <w:rFonts w:ascii="Times New Roman" w:hAnsi="Times New Roman" w:cs="Times New Roman"/>
          <w:sz w:val="20"/>
          <w:szCs w:val="20"/>
        </w:rPr>
        <w:t>It is identified that the</w:t>
      </w:r>
      <w:r w:rsidRPr="00C04DBE">
        <w:rPr>
          <w:rFonts w:ascii="Times New Roman" w:hAnsi="Times New Roman" w:cs="Times New Roman"/>
          <w:sz w:val="20"/>
          <w:szCs w:val="20"/>
        </w:rPr>
        <w:t xml:space="preserve"> househo</w:t>
      </w:r>
      <w:r w:rsidR="0041053D">
        <w:rPr>
          <w:rFonts w:ascii="Times New Roman" w:hAnsi="Times New Roman" w:cs="Times New Roman"/>
          <w:sz w:val="20"/>
          <w:szCs w:val="20"/>
        </w:rPr>
        <w:t xml:space="preserve">ld socio-economic conditions </w:t>
      </w:r>
      <w:r w:rsidRPr="00C04DBE">
        <w:rPr>
          <w:rFonts w:ascii="Times New Roman" w:hAnsi="Times New Roman" w:cs="Times New Roman"/>
          <w:sz w:val="20"/>
          <w:szCs w:val="20"/>
        </w:rPr>
        <w:t>major</w:t>
      </w:r>
      <w:r w:rsidR="0041053D">
        <w:rPr>
          <w:rFonts w:ascii="Times New Roman" w:hAnsi="Times New Roman" w:cs="Times New Roman"/>
          <w:sz w:val="20"/>
          <w:szCs w:val="20"/>
        </w:rPr>
        <w:t>ly determine child nutrition. The f</w:t>
      </w:r>
      <w:r w:rsidRPr="00C04DBE">
        <w:rPr>
          <w:rFonts w:ascii="Times New Roman" w:hAnsi="Times New Roman" w:cs="Times New Roman"/>
          <w:sz w:val="20"/>
          <w:szCs w:val="20"/>
        </w:rPr>
        <w:t>indings revealed that children from poor households were substantially more likely to be underweight than those from economically better-off families</w:t>
      </w:r>
      <w:r w:rsidR="0041053D">
        <w:rPr>
          <w:rFonts w:ascii="Times New Roman" w:hAnsi="Times New Roman" w:cs="Times New Roman"/>
          <w:sz w:val="20"/>
          <w:szCs w:val="20"/>
        </w:rPr>
        <w:t xml:space="preserve"> (</w:t>
      </w:r>
      <w:proofErr w:type="spellStart"/>
      <w:r w:rsidR="0041053D" w:rsidRPr="0041053D">
        <w:rPr>
          <w:rFonts w:ascii="Times New Roman" w:hAnsi="Times New Roman" w:cs="Times New Roman"/>
          <w:b/>
          <w:bCs/>
          <w:sz w:val="20"/>
          <w:szCs w:val="20"/>
        </w:rPr>
        <w:t>Ghosh</w:t>
      </w:r>
      <w:proofErr w:type="spellEnd"/>
      <w:r w:rsidR="0041053D" w:rsidRPr="0041053D">
        <w:rPr>
          <w:rFonts w:ascii="Times New Roman" w:hAnsi="Times New Roman" w:cs="Times New Roman"/>
          <w:b/>
          <w:bCs/>
          <w:sz w:val="20"/>
          <w:szCs w:val="20"/>
        </w:rPr>
        <w:t xml:space="preserve"> and </w:t>
      </w:r>
      <w:proofErr w:type="spellStart"/>
      <w:r w:rsidR="0041053D" w:rsidRPr="0041053D">
        <w:rPr>
          <w:rFonts w:ascii="Times New Roman" w:hAnsi="Times New Roman" w:cs="Times New Roman"/>
          <w:b/>
          <w:bCs/>
          <w:sz w:val="20"/>
          <w:szCs w:val="20"/>
        </w:rPr>
        <w:t>Arokiasamy</w:t>
      </w:r>
      <w:proofErr w:type="spellEnd"/>
      <w:r w:rsidR="0041053D" w:rsidRPr="0041053D">
        <w:rPr>
          <w:rFonts w:ascii="Times New Roman" w:hAnsi="Times New Roman" w:cs="Times New Roman"/>
          <w:b/>
          <w:bCs/>
          <w:sz w:val="20"/>
          <w:szCs w:val="20"/>
        </w:rPr>
        <w:t xml:space="preserve">, </w:t>
      </w:r>
      <w:r w:rsidR="0041053D" w:rsidRPr="0041053D">
        <w:rPr>
          <w:rFonts w:ascii="Times New Roman" w:hAnsi="Times New Roman" w:cs="Times New Roman"/>
          <w:b/>
          <w:bCs/>
          <w:sz w:val="20"/>
          <w:szCs w:val="20"/>
        </w:rPr>
        <w:t>2010</w:t>
      </w:r>
      <w:r w:rsidR="0041053D">
        <w:rPr>
          <w:rFonts w:ascii="Times New Roman" w:hAnsi="Times New Roman" w:cs="Times New Roman"/>
          <w:sz w:val="20"/>
          <w:szCs w:val="20"/>
        </w:rPr>
        <w:t>).</w:t>
      </w:r>
      <w:r w:rsidR="006E68BD" w:rsidRPr="006E68BD">
        <w:t xml:space="preserve"> </w:t>
      </w:r>
      <w:r w:rsidR="006E68BD" w:rsidRPr="006E68BD">
        <w:rPr>
          <w:rFonts w:ascii="Times New Roman" w:hAnsi="Times New Roman" w:cs="Times New Roman"/>
          <w:sz w:val="20"/>
          <w:szCs w:val="20"/>
        </w:rPr>
        <w:t xml:space="preserve">Beyond anthropometric measurements, several studies have explored the socio-economic determinants of child nutritional outcomes. Using data from the National Family Health Survey (NFHS-2), </w:t>
      </w:r>
      <w:r w:rsidR="006E68BD">
        <w:rPr>
          <w:rFonts w:ascii="Times New Roman" w:hAnsi="Times New Roman" w:cs="Times New Roman"/>
          <w:sz w:val="20"/>
          <w:szCs w:val="20"/>
        </w:rPr>
        <w:t xml:space="preserve">study reveals </w:t>
      </w:r>
      <w:r w:rsidR="006E68BD" w:rsidRPr="006E68BD">
        <w:rPr>
          <w:rFonts w:ascii="Times New Roman" w:hAnsi="Times New Roman" w:cs="Times New Roman"/>
          <w:sz w:val="20"/>
          <w:szCs w:val="20"/>
        </w:rPr>
        <w:t>socio-economic and demographic characteristics significantly influenced childhood stunting. Factors such as household economic status, parental education, and living conditions were found to be important predictors of nutritional well-being. These findings suggest that child malnutrition is not merely a health issue but is deeply rooted in broader socio-economic inequalities</w:t>
      </w:r>
      <w:r w:rsidR="006E68BD">
        <w:rPr>
          <w:rFonts w:ascii="Times New Roman" w:hAnsi="Times New Roman" w:cs="Times New Roman"/>
          <w:sz w:val="20"/>
          <w:szCs w:val="20"/>
        </w:rPr>
        <w:t xml:space="preserve"> </w:t>
      </w:r>
      <w:r w:rsidR="006E68BD" w:rsidRPr="006E68BD">
        <w:rPr>
          <w:rFonts w:ascii="Times New Roman" w:hAnsi="Times New Roman" w:cs="Times New Roman"/>
          <w:b/>
          <w:bCs/>
          <w:sz w:val="20"/>
          <w:szCs w:val="20"/>
        </w:rPr>
        <w:t>(</w:t>
      </w:r>
      <w:proofErr w:type="spellStart"/>
      <w:r w:rsidR="006E68BD" w:rsidRPr="006E68BD">
        <w:rPr>
          <w:rFonts w:ascii="Times New Roman" w:hAnsi="Times New Roman" w:cs="Times New Roman"/>
          <w:b/>
          <w:bCs/>
          <w:sz w:val="20"/>
          <w:szCs w:val="20"/>
        </w:rPr>
        <w:t>Som</w:t>
      </w:r>
      <w:proofErr w:type="spellEnd"/>
      <w:r w:rsidR="006E68BD" w:rsidRPr="006E68BD">
        <w:rPr>
          <w:rFonts w:ascii="Times New Roman" w:hAnsi="Times New Roman" w:cs="Times New Roman"/>
          <w:b/>
          <w:bCs/>
          <w:sz w:val="20"/>
          <w:szCs w:val="20"/>
        </w:rPr>
        <w:t xml:space="preserve"> et al., </w:t>
      </w:r>
      <w:r w:rsidR="006E68BD" w:rsidRPr="006E68BD">
        <w:rPr>
          <w:rFonts w:ascii="Times New Roman" w:hAnsi="Times New Roman" w:cs="Times New Roman"/>
          <w:b/>
          <w:bCs/>
          <w:sz w:val="20"/>
          <w:szCs w:val="20"/>
        </w:rPr>
        <w:t>2007)</w:t>
      </w:r>
      <w:r w:rsidR="006E68BD" w:rsidRPr="006E68BD">
        <w:rPr>
          <w:rFonts w:ascii="Times New Roman" w:hAnsi="Times New Roman" w:cs="Times New Roman"/>
          <w:b/>
          <w:bCs/>
          <w:sz w:val="20"/>
          <w:szCs w:val="20"/>
        </w:rPr>
        <w:t>.</w:t>
      </w:r>
    </w:p>
    <w:p w:rsidR="006E68BD" w:rsidRDefault="006E68BD" w:rsidP="008F241A">
      <w:pPr>
        <w:jc w:val="both"/>
        <w:rPr>
          <w:rFonts w:ascii="Times New Roman" w:hAnsi="Times New Roman" w:cs="Times New Roman"/>
          <w:sz w:val="20"/>
          <w:szCs w:val="20"/>
        </w:rPr>
      </w:pPr>
      <w:r w:rsidRPr="006E68BD">
        <w:rPr>
          <w:rFonts w:ascii="Times New Roman" w:hAnsi="Times New Roman" w:cs="Times New Roman"/>
          <w:sz w:val="20"/>
          <w:szCs w:val="20"/>
        </w:rPr>
        <w:lastRenderedPageBreak/>
        <w:t>Research conducted in Nadia district revealed substantial levels of stunting, underweight, and wasting among preschool children, indicating persistent growth faltering during early childhood. The study further highlighted variations in anthropometric outcomes according to age and sex, suggesting that nutritional vulnerabilities differ across demographic groups (</w:t>
      </w:r>
      <w:r w:rsidRPr="006E68BD">
        <w:rPr>
          <w:rFonts w:ascii="Times New Roman" w:hAnsi="Times New Roman" w:cs="Times New Roman"/>
          <w:b/>
          <w:bCs/>
          <w:sz w:val="20"/>
          <w:szCs w:val="20"/>
        </w:rPr>
        <w:t>Bose et al., 2007</w:t>
      </w:r>
      <w:r w:rsidRPr="006E68BD">
        <w:rPr>
          <w:rFonts w:ascii="Times New Roman" w:hAnsi="Times New Roman" w:cs="Times New Roman"/>
          <w:sz w:val="20"/>
          <w:szCs w:val="20"/>
        </w:rPr>
        <w:t>).</w:t>
      </w:r>
      <w:r w:rsidRPr="006E68BD">
        <w:t xml:space="preserve"> </w:t>
      </w:r>
      <w:r>
        <w:rPr>
          <w:rFonts w:ascii="Times New Roman" w:hAnsi="Times New Roman" w:cs="Times New Roman"/>
          <w:sz w:val="20"/>
          <w:szCs w:val="20"/>
        </w:rPr>
        <w:t>A</w:t>
      </w:r>
      <w:r w:rsidRPr="006E68BD">
        <w:rPr>
          <w:rFonts w:ascii="Times New Roman" w:hAnsi="Times New Roman" w:cs="Times New Roman"/>
          <w:sz w:val="20"/>
          <w:szCs w:val="20"/>
        </w:rPr>
        <w:t xml:space="preserve"> considerable proportion of children suffered from multiple forms of anthropometric failure simultaneously, reflecting the multidimensional nature of child malnutrition in the region. </w:t>
      </w:r>
      <w:r>
        <w:rPr>
          <w:rFonts w:ascii="Times New Roman" w:hAnsi="Times New Roman" w:cs="Times New Roman"/>
          <w:sz w:val="20"/>
          <w:szCs w:val="20"/>
        </w:rPr>
        <w:t>C</w:t>
      </w:r>
      <w:r w:rsidRPr="006E68BD">
        <w:rPr>
          <w:rFonts w:ascii="Times New Roman" w:hAnsi="Times New Roman" w:cs="Times New Roman"/>
          <w:sz w:val="20"/>
          <w:szCs w:val="20"/>
        </w:rPr>
        <w:t xml:space="preserve">onventional indicators alone may underestimate the true burden of </w:t>
      </w:r>
      <w:proofErr w:type="spellStart"/>
      <w:r w:rsidRPr="006E68BD">
        <w:rPr>
          <w:rFonts w:ascii="Times New Roman" w:hAnsi="Times New Roman" w:cs="Times New Roman"/>
          <w:sz w:val="20"/>
          <w:szCs w:val="20"/>
        </w:rPr>
        <w:t>undernutrition</w:t>
      </w:r>
      <w:proofErr w:type="spellEnd"/>
      <w:r w:rsidRPr="006E68BD">
        <w:rPr>
          <w:rFonts w:ascii="Times New Roman" w:hAnsi="Times New Roman" w:cs="Times New Roman"/>
          <w:sz w:val="20"/>
          <w:szCs w:val="20"/>
        </w:rPr>
        <w:t xml:space="preserve"> among children (</w:t>
      </w:r>
      <w:proofErr w:type="spellStart"/>
      <w:r w:rsidRPr="006E68BD">
        <w:rPr>
          <w:rFonts w:ascii="Times New Roman" w:hAnsi="Times New Roman" w:cs="Times New Roman"/>
          <w:b/>
          <w:bCs/>
          <w:sz w:val="20"/>
          <w:szCs w:val="20"/>
        </w:rPr>
        <w:t>Biswas</w:t>
      </w:r>
      <w:proofErr w:type="spellEnd"/>
      <w:r w:rsidRPr="006E68BD">
        <w:rPr>
          <w:rFonts w:ascii="Times New Roman" w:hAnsi="Times New Roman" w:cs="Times New Roman"/>
          <w:b/>
          <w:bCs/>
          <w:sz w:val="20"/>
          <w:szCs w:val="20"/>
        </w:rPr>
        <w:t xml:space="preserve"> et al., 2010</w:t>
      </w:r>
      <w:r w:rsidRPr="006E68BD">
        <w:rPr>
          <w:rFonts w:ascii="Times New Roman" w:hAnsi="Times New Roman" w:cs="Times New Roman"/>
          <w:sz w:val="20"/>
          <w:szCs w:val="20"/>
        </w:rPr>
        <w:t>).</w:t>
      </w:r>
      <w:r w:rsidR="008F241A">
        <w:rPr>
          <w:rFonts w:ascii="Times New Roman" w:hAnsi="Times New Roman" w:cs="Times New Roman"/>
          <w:sz w:val="20"/>
          <w:szCs w:val="20"/>
        </w:rPr>
        <w:t xml:space="preserve"> </w:t>
      </w:r>
      <w:r w:rsidR="008F241A" w:rsidRPr="008F241A">
        <w:rPr>
          <w:rFonts w:ascii="Times New Roman" w:hAnsi="Times New Roman" w:cs="Times New Roman"/>
          <w:sz w:val="20"/>
          <w:szCs w:val="20"/>
        </w:rPr>
        <w:t>The majority of the associated factors identified were modifiable, and hence awareness generation in common</w:t>
      </w:r>
      <w:r w:rsidR="008F241A">
        <w:rPr>
          <w:rFonts w:ascii="Times New Roman" w:hAnsi="Times New Roman" w:cs="Times New Roman"/>
          <w:sz w:val="20"/>
          <w:szCs w:val="20"/>
        </w:rPr>
        <w:t xml:space="preserve"> </w:t>
      </w:r>
      <w:r w:rsidR="008F241A" w:rsidRPr="008F241A">
        <w:rPr>
          <w:rFonts w:ascii="Times New Roman" w:hAnsi="Times New Roman" w:cs="Times New Roman"/>
          <w:sz w:val="20"/>
          <w:szCs w:val="20"/>
        </w:rPr>
        <w:t xml:space="preserve">people may reduce the burden of </w:t>
      </w:r>
      <w:proofErr w:type="spellStart"/>
      <w:r w:rsidR="008F241A" w:rsidRPr="008F241A">
        <w:rPr>
          <w:rFonts w:ascii="Times New Roman" w:hAnsi="Times New Roman" w:cs="Times New Roman"/>
          <w:sz w:val="20"/>
          <w:szCs w:val="20"/>
        </w:rPr>
        <w:t>undernutrition</w:t>
      </w:r>
      <w:proofErr w:type="spellEnd"/>
      <w:r w:rsidR="008F241A" w:rsidRPr="008F241A">
        <w:rPr>
          <w:rFonts w:ascii="Times New Roman" w:hAnsi="Times New Roman" w:cs="Times New Roman"/>
          <w:sz w:val="20"/>
          <w:szCs w:val="20"/>
        </w:rPr>
        <w:t xml:space="preserve"> in under-five population</w:t>
      </w:r>
      <w:r w:rsidR="008F241A">
        <w:rPr>
          <w:rFonts w:ascii="Times New Roman" w:hAnsi="Times New Roman" w:cs="Times New Roman"/>
          <w:sz w:val="20"/>
          <w:szCs w:val="20"/>
        </w:rPr>
        <w:t xml:space="preserve"> (</w:t>
      </w:r>
      <w:proofErr w:type="spellStart"/>
      <w:r w:rsidR="008F241A" w:rsidRPr="008F241A">
        <w:rPr>
          <w:rFonts w:ascii="Times New Roman" w:hAnsi="Times New Roman" w:cs="Times New Roman"/>
          <w:b/>
          <w:bCs/>
          <w:sz w:val="20"/>
          <w:szCs w:val="20"/>
        </w:rPr>
        <w:t>Biswas</w:t>
      </w:r>
      <w:proofErr w:type="spellEnd"/>
      <w:r w:rsidR="008F241A" w:rsidRPr="008F241A">
        <w:rPr>
          <w:rFonts w:ascii="Times New Roman" w:hAnsi="Times New Roman" w:cs="Times New Roman"/>
          <w:b/>
          <w:bCs/>
          <w:sz w:val="20"/>
          <w:szCs w:val="20"/>
        </w:rPr>
        <w:t xml:space="preserve"> &amp; </w:t>
      </w:r>
      <w:proofErr w:type="spellStart"/>
      <w:r w:rsidR="008F241A" w:rsidRPr="008F241A">
        <w:rPr>
          <w:rFonts w:ascii="Times New Roman" w:hAnsi="Times New Roman" w:cs="Times New Roman"/>
          <w:b/>
          <w:bCs/>
          <w:sz w:val="20"/>
          <w:szCs w:val="20"/>
        </w:rPr>
        <w:t>Biswas</w:t>
      </w:r>
      <w:proofErr w:type="spellEnd"/>
      <w:r w:rsidR="008F241A" w:rsidRPr="008F241A">
        <w:rPr>
          <w:rFonts w:ascii="Times New Roman" w:hAnsi="Times New Roman" w:cs="Times New Roman"/>
          <w:b/>
          <w:bCs/>
          <w:sz w:val="20"/>
          <w:szCs w:val="20"/>
        </w:rPr>
        <w:t>, 2023</w:t>
      </w:r>
      <w:r w:rsidR="008F241A">
        <w:rPr>
          <w:rFonts w:ascii="Times New Roman" w:hAnsi="Times New Roman" w:cs="Times New Roman"/>
          <w:sz w:val="20"/>
          <w:szCs w:val="20"/>
        </w:rPr>
        <w:t>)</w:t>
      </w:r>
      <w:r w:rsidR="008F241A" w:rsidRPr="008F241A">
        <w:rPr>
          <w:rFonts w:ascii="Times New Roman" w:hAnsi="Times New Roman" w:cs="Times New Roman"/>
          <w:sz w:val="20"/>
          <w:szCs w:val="20"/>
        </w:rPr>
        <w:t>.</w:t>
      </w:r>
    </w:p>
    <w:p w:rsidR="006E68BD" w:rsidRPr="006E68BD" w:rsidRDefault="006E68BD" w:rsidP="00C04DBE">
      <w:pPr>
        <w:jc w:val="both"/>
        <w:rPr>
          <w:rFonts w:ascii="Times New Roman" w:hAnsi="Times New Roman" w:cs="Times New Roman"/>
          <w:sz w:val="20"/>
          <w:szCs w:val="20"/>
        </w:rPr>
      </w:pPr>
      <w:r w:rsidRPr="006E68BD">
        <w:rPr>
          <w:rFonts w:ascii="Times New Roman" w:hAnsi="Times New Roman" w:cs="Times New Roman"/>
          <w:sz w:val="20"/>
          <w:szCs w:val="20"/>
        </w:rPr>
        <w:t>Although girls generally demonstrated higher average stature than boys, the overall growth patterns reflected continuing nutritional deficiencies among school children. Such findings underscore the long-term implications of inadequate nutrition during childhood and adolescence</w:t>
      </w:r>
      <w:r>
        <w:rPr>
          <w:rFonts w:ascii="Times New Roman" w:hAnsi="Times New Roman" w:cs="Times New Roman"/>
          <w:sz w:val="20"/>
          <w:szCs w:val="20"/>
        </w:rPr>
        <w:t xml:space="preserve"> </w:t>
      </w:r>
      <w:r w:rsidRPr="006E68BD">
        <w:rPr>
          <w:rFonts w:ascii="Times New Roman" w:hAnsi="Times New Roman" w:cs="Times New Roman"/>
          <w:b/>
          <w:bCs/>
          <w:sz w:val="20"/>
          <w:szCs w:val="20"/>
        </w:rPr>
        <w:t>(Manna et al.</w:t>
      </w:r>
      <w:proofErr w:type="gramStart"/>
      <w:r w:rsidRPr="006E68BD">
        <w:rPr>
          <w:rFonts w:ascii="Times New Roman" w:hAnsi="Times New Roman" w:cs="Times New Roman"/>
          <w:b/>
          <w:bCs/>
          <w:sz w:val="20"/>
          <w:szCs w:val="20"/>
        </w:rPr>
        <w:t>,</w:t>
      </w:r>
      <w:r w:rsidRPr="006E68BD">
        <w:rPr>
          <w:rFonts w:ascii="Times New Roman" w:hAnsi="Times New Roman" w:cs="Times New Roman"/>
          <w:b/>
          <w:bCs/>
          <w:sz w:val="20"/>
          <w:szCs w:val="20"/>
        </w:rPr>
        <w:t>2011</w:t>
      </w:r>
      <w:proofErr w:type="gramEnd"/>
      <w:r w:rsidRPr="006E68BD">
        <w:rPr>
          <w:rFonts w:ascii="Times New Roman" w:hAnsi="Times New Roman" w:cs="Times New Roman"/>
          <w:b/>
          <w:bCs/>
          <w:sz w:val="20"/>
          <w:szCs w:val="20"/>
        </w:rPr>
        <w:t>)</w:t>
      </w:r>
      <w:r w:rsidRPr="006E68BD">
        <w:rPr>
          <w:rFonts w:ascii="Times New Roman" w:hAnsi="Times New Roman" w:cs="Times New Roman"/>
          <w:b/>
          <w:bCs/>
          <w:sz w:val="20"/>
          <w:szCs w:val="20"/>
        </w:rPr>
        <w:t>.</w:t>
      </w:r>
      <w:r w:rsidRPr="006E68BD">
        <w:t xml:space="preserve"> </w:t>
      </w:r>
      <w:r w:rsidRPr="006E68BD">
        <w:rPr>
          <w:rFonts w:ascii="Times New Roman" w:hAnsi="Times New Roman" w:cs="Times New Roman"/>
          <w:sz w:val="20"/>
          <w:szCs w:val="20"/>
        </w:rPr>
        <w:t xml:space="preserve">Inadequate breastfeeding, delayed complementary feeding, and poor dietary diversity emerged as significant contributors to </w:t>
      </w:r>
      <w:proofErr w:type="spellStart"/>
      <w:r w:rsidRPr="006E68BD">
        <w:rPr>
          <w:rFonts w:ascii="Times New Roman" w:hAnsi="Times New Roman" w:cs="Times New Roman"/>
          <w:sz w:val="20"/>
          <w:szCs w:val="20"/>
        </w:rPr>
        <w:t>undernutrition</w:t>
      </w:r>
      <w:proofErr w:type="spellEnd"/>
      <w:r w:rsidRPr="006E68BD">
        <w:rPr>
          <w:rFonts w:ascii="Times New Roman" w:hAnsi="Times New Roman" w:cs="Times New Roman"/>
          <w:sz w:val="20"/>
          <w:szCs w:val="20"/>
        </w:rPr>
        <w:t>, highlighting the importance of improving nutrition-related knowledge and caregiving practices among mothers and caregivers (</w:t>
      </w:r>
      <w:proofErr w:type="spellStart"/>
      <w:r w:rsidRPr="006E68BD">
        <w:rPr>
          <w:rFonts w:ascii="Times New Roman" w:hAnsi="Times New Roman" w:cs="Times New Roman"/>
          <w:b/>
          <w:bCs/>
          <w:sz w:val="20"/>
          <w:szCs w:val="20"/>
        </w:rPr>
        <w:t>Mukhopadhyay</w:t>
      </w:r>
      <w:proofErr w:type="spellEnd"/>
      <w:r w:rsidRPr="006E68BD">
        <w:rPr>
          <w:rFonts w:ascii="Times New Roman" w:hAnsi="Times New Roman" w:cs="Times New Roman"/>
          <w:b/>
          <w:bCs/>
          <w:sz w:val="20"/>
          <w:szCs w:val="20"/>
        </w:rPr>
        <w:t xml:space="preserve"> et al., 2013</w:t>
      </w:r>
      <w:r w:rsidRPr="006E68BD">
        <w:rPr>
          <w:rFonts w:ascii="Times New Roman" w:hAnsi="Times New Roman" w:cs="Times New Roman"/>
          <w:sz w:val="20"/>
          <w:szCs w:val="20"/>
        </w:rPr>
        <w:t>).</w:t>
      </w:r>
    </w:p>
    <w:p w:rsidR="006E68BD" w:rsidRDefault="006E68BD" w:rsidP="006E68BD">
      <w:pPr>
        <w:jc w:val="both"/>
        <w:rPr>
          <w:rFonts w:ascii="Times New Roman" w:hAnsi="Times New Roman" w:cs="Times New Roman"/>
          <w:sz w:val="20"/>
          <w:szCs w:val="20"/>
        </w:rPr>
      </w:pPr>
      <w:r w:rsidRPr="006E68BD">
        <w:rPr>
          <w:rFonts w:ascii="Times New Roman" w:hAnsi="Times New Roman" w:cs="Times New Roman"/>
          <w:sz w:val="20"/>
          <w:szCs w:val="20"/>
        </w:rPr>
        <w:t xml:space="preserve">Alternative anthropometric assessment techniques have also been employed to evaluate child nutritional status in West Bengal. </w:t>
      </w:r>
      <w:r>
        <w:rPr>
          <w:rFonts w:ascii="Times New Roman" w:hAnsi="Times New Roman" w:cs="Times New Roman"/>
          <w:sz w:val="20"/>
          <w:szCs w:val="20"/>
        </w:rPr>
        <w:t>U</w:t>
      </w:r>
      <w:r w:rsidRPr="006E68BD">
        <w:rPr>
          <w:rFonts w:ascii="Times New Roman" w:hAnsi="Times New Roman" w:cs="Times New Roman"/>
          <w:sz w:val="20"/>
          <w:szCs w:val="20"/>
        </w:rPr>
        <w:t>pper arm anthropometric measurements</w:t>
      </w:r>
      <w:r>
        <w:rPr>
          <w:rFonts w:ascii="Times New Roman" w:hAnsi="Times New Roman" w:cs="Times New Roman"/>
          <w:sz w:val="20"/>
          <w:szCs w:val="20"/>
        </w:rPr>
        <w:t xml:space="preserve"> have been used</w:t>
      </w:r>
      <w:r w:rsidRPr="006E68BD">
        <w:rPr>
          <w:rFonts w:ascii="Times New Roman" w:hAnsi="Times New Roman" w:cs="Times New Roman"/>
          <w:sz w:val="20"/>
          <w:szCs w:val="20"/>
        </w:rPr>
        <w:t xml:space="preserve"> to assess nutritional deprivation among children aged 5–12 years. </w:t>
      </w:r>
      <w:r>
        <w:rPr>
          <w:rFonts w:ascii="Times New Roman" w:hAnsi="Times New Roman" w:cs="Times New Roman"/>
          <w:sz w:val="20"/>
          <w:szCs w:val="20"/>
        </w:rPr>
        <w:t xml:space="preserve">A </w:t>
      </w:r>
      <w:r w:rsidRPr="006E68BD">
        <w:rPr>
          <w:rFonts w:ascii="Times New Roman" w:hAnsi="Times New Roman" w:cs="Times New Roman"/>
          <w:sz w:val="20"/>
          <w:szCs w:val="20"/>
        </w:rPr>
        <w:t>substantial proportion of undernourished children, demonstrating the usefulness of community-based screening methods for monitoring nutritional status and</w:t>
      </w:r>
      <w:r>
        <w:rPr>
          <w:rFonts w:ascii="Times New Roman" w:hAnsi="Times New Roman" w:cs="Times New Roman"/>
          <w:sz w:val="20"/>
          <w:szCs w:val="20"/>
        </w:rPr>
        <w:t xml:space="preserve"> identifying at-risk population (</w:t>
      </w:r>
      <w:proofErr w:type="spellStart"/>
      <w:r w:rsidRPr="006E68BD">
        <w:rPr>
          <w:rFonts w:ascii="Times New Roman" w:hAnsi="Times New Roman" w:cs="Times New Roman"/>
          <w:b/>
          <w:bCs/>
          <w:sz w:val="20"/>
          <w:szCs w:val="20"/>
        </w:rPr>
        <w:t>Sen</w:t>
      </w:r>
      <w:proofErr w:type="spellEnd"/>
      <w:r w:rsidRPr="006E68BD">
        <w:rPr>
          <w:rFonts w:ascii="Times New Roman" w:hAnsi="Times New Roman" w:cs="Times New Roman"/>
          <w:b/>
          <w:bCs/>
          <w:sz w:val="20"/>
          <w:szCs w:val="20"/>
        </w:rPr>
        <w:t xml:space="preserve"> et al.</w:t>
      </w:r>
      <w:proofErr w:type="gramStart"/>
      <w:r w:rsidRPr="006E68BD">
        <w:rPr>
          <w:rFonts w:ascii="Times New Roman" w:hAnsi="Times New Roman" w:cs="Times New Roman"/>
          <w:b/>
          <w:bCs/>
          <w:sz w:val="20"/>
          <w:szCs w:val="20"/>
        </w:rPr>
        <w:t>,</w:t>
      </w:r>
      <w:r w:rsidRPr="006E68BD">
        <w:rPr>
          <w:rFonts w:ascii="Times New Roman" w:hAnsi="Times New Roman" w:cs="Times New Roman"/>
          <w:b/>
          <w:bCs/>
          <w:sz w:val="20"/>
          <w:szCs w:val="20"/>
        </w:rPr>
        <w:t>2011</w:t>
      </w:r>
      <w:proofErr w:type="gramEnd"/>
      <w:r w:rsidRPr="006E68BD">
        <w:rPr>
          <w:rFonts w:ascii="Times New Roman" w:hAnsi="Times New Roman" w:cs="Times New Roman"/>
          <w:sz w:val="20"/>
          <w:szCs w:val="20"/>
        </w:rPr>
        <w:t>)</w:t>
      </w:r>
      <w:r w:rsidRPr="006E68BD">
        <w:rPr>
          <w:rFonts w:ascii="Times New Roman" w:hAnsi="Times New Roman" w:cs="Times New Roman"/>
          <w:sz w:val="20"/>
          <w:szCs w:val="20"/>
        </w:rPr>
        <w:t>.</w:t>
      </w:r>
    </w:p>
    <w:p w:rsidR="008F241A" w:rsidRDefault="008F241A" w:rsidP="006E68BD">
      <w:pPr>
        <w:jc w:val="both"/>
        <w:rPr>
          <w:rFonts w:ascii="Times New Roman" w:hAnsi="Times New Roman" w:cs="Times New Roman"/>
          <w:sz w:val="20"/>
          <w:szCs w:val="20"/>
        </w:rPr>
      </w:pPr>
      <w:r w:rsidRPr="008F241A">
        <w:rPr>
          <w:rFonts w:ascii="Times New Roman" w:hAnsi="Times New Roman" w:cs="Times New Roman"/>
          <w:sz w:val="20"/>
          <w:szCs w:val="20"/>
        </w:rPr>
        <w:t xml:space="preserve">Collectively, the existing literature indicates that child </w:t>
      </w:r>
      <w:proofErr w:type="spellStart"/>
      <w:r w:rsidRPr="008F241A">
        <w:rPr>
          <w:rFonts w:ascii="Times New Roman" w:hAnsi="Times New Roman" w:cs="Times New Roman"/>
          <w:sz w:val="20"/>
          <w:szCs w:val="20"/>
        </w:rPr>
        <w:t>undernutrition</w:t>
      </w:r>
      <w:proofErr w:type="spellEnd"/>
      <w:r w:rsidRPr="008F241A">
        <w:rPr>
          <w:rFonts w:ascii="Times New Roman" w:hAnsi="Times New Roman" w:cs="Times New Roman"/>
          <w:sz w:val="20"/>
          <w:szCs w:val="20"/>
        </w:rPr>
        <w:t xml:space="preserve"> remains a persistent challenge in West Bengal. The evidence suggests that nutritional deprivation is shaped by a complex interplay of socio-economic conditions, demographic characteristics, feeding practices, and healthcare access. While several studies have documented the prevalence and determinants of </w:t>
      </w:r>
      <w:proofErr w:type="spellStart"/>
      <w:r w:rsidRPr="008F241A">
        <w:rPr>
          <w:rFonts w:ascii="Times New Roman" w:hAnsi="Times New Roman" w:cs="Times New Roman"/>
          <w:sz w:val="20"/>
          <w:szCs w:val="20"/>
        </w:rPr>
        <w:t>undernutrition</w:t>
      </w:r>
      <w:proofErr w:type="spellEnd"/>
      <w:r w:rsidRPr="008F241A">
        <w:rPr>
          <w:rFonts w:ascii="Times New Roman" w:hAnsi="Times New Roman" w:cs="Times New Roman"/>
          <w:sz w:val="20"/>
          <w:szCs w:val="20"/>
        </w:rPr>
        <w:t xml:space="preserve"> at local and district levels, substantial disparities continue to exist across different regions of the state. These findings underscore the need for integrated nutrition policies that combine poverty alleviation, maternal education, healthcare services, and improved child feeding practices to address the multifaceted nature of child malnutrition in West Bengal.</w:t>
      </w:r>
    </w:p>
    <w:p w:rsidR="008F241A" w:rsidRDefault="008F241A">
      <w:pPr>
        <w:rPr>
          <w:rFonts w:ascii="Times New Roman" w:hAnsi="Times New Roman" w:cs="Times New Roman"/>
          <w:sz w:val="20"/>
          <w:szCs w:val="20"/>
        </w:rPr>
      </w:pPr>
    </w:p>
    <w:p w:rsidR="00C04DBE" w:rsidRPr="00FC3570" w:rsidRDefault="00C04DBE">
      <w:pPr>
        <w:rPr>
          <w:rFonts w:ascii="Times New Roman" w:hAnsi="Times New Roman" w:cs="Times New Roman"/>
          <w:b/>
          <w:bCs/>
          <w:sz w:val="20"/>
          <w:szCs w:val="20"/>
        </w:rPr>
      </w:pPr>
      <w:r w:rsidRPr="00FC3570">
        <w:rPr>
          <w:rFonts w:ascii="Times New Roman" w:hAnsi="Times New Roman" w:cs="Times New Roman"/>
          <w:b/>
          <w:bCs/>
          <w:sz w:val="20"/>
          <w:szCs w:val="20"/>
        </w:rPr>
        <w:t>3. RESEARCH QUESTION</w:t>
      </w:r>
    </w:p>
    <w:p w:rsidR="00557C82" w:rsidRPr="00557C82" w:rsidRDefault="00557C82" w:rsidP="00557C82">
      <w:pPr>
        <w:pStyle w:val="ListParagraph"/>
        <w:numPr>
          <w:ilvl w:val="0"/>
          <w:numId w:val="4"/>
        </w:numPr>
        <w:rPr>
          <w:rFonts w:ascii="Times New Roman" w:hAnsi="Times New Roman" w:cs="Times New Roman"/>
          <w:sz w:val="20"/>
          <w:szCs w:val="20"/>
        </w:rPr>
      </w:pPr>
      <w:r w:rsidRPr="00557C82">
        <w:rPr>
          <w:rFonts w:ascii="Times New Roman" w:hAnsi="Times New Roman" w:cs="Times New Roman"/>
          <w:sz w:val="20"/>
          <w:szCs w:val="20"/>
        </w:rPr>
        <w:t>What are the spatial patterns and district-level variations in stunting, underweight, and wasting among under-five children in West Bengal?</w:t>
      </w:r>
    </w:p>
    <w:p w:rsidR="00557C82" w:rsidRPr="00557C82" w:rsidRDefault="00557C82" w:rsidP="00557C82">
      <w:pPr>
        <w:pStyle w:val="ListParagraph"/>
        <w:numPr>
          <w:ilvl w:val="0"/>
          <w:numId w:val="4"/>
        </w:numPr>
        <w:rPr>
          <w:rFonts w:ascii="Times New Roman" w:hAnsi="Times New Roman" w:cs="Times New Roman"/>
          <w:sz w:val="20"/>
          <w:szCs w:val="20"/>
        </w:rPr>
      </w:pPr>
      <w:r w:rsidRPr="00557C82">
        <w:rPr>
          <w:rFonts w:ascii="Times New Roman" w:hAnsi="Times New Roman" w:cs="Times New Roman"/>
          <w:sz w:val="20"/>
          <w:szCs w:val="20"/>
        </w:rPr>
        <w:t>Which districts exhibit the highest and lowest levels of child malnutrition according to the Composite Child Malnutrition Index, and what regional disparities exist across the state?</w:t>
      </w:r>
    </w:p>
    <w:p w:rsidR="00C04DBE" w:rsidRDefault="00557C82" w:rsidP="00557C82">
      <w:pPr>
        <w:pStyle w:val="ListParagraph"/>
        <w:numPr>
          <w:ilvl w:val="0"/>
          <w:numId w:val="4"/>
        </w:numPr>
        <w:rPr>
          <w:rFonts w:ascii="Times New Roman" w:hAnsi="Times New Roman" w:cs="Times New Roman"/>
          <w:sz w:val="20"/>
          <w:szCs w:val="20"/>
        </w:rPr>
      </w:pPr>
      <w:r w:rsidRPr="00557C82">
        <w:rPr>
          <w:rFonts w:ascii="Times New Roman" w:hAnsi="Times New Roman" w:cs="Times New Roman"/>
          <w:sz w:val="20"/>
          <w:szCs w:val="20"/>
        </w:rPr>
        <w:t>Does child malnutrition exhibit significant spatial clustering in West Bengal, and where are the major hotspots and cold spots located?</w:t>
      </w:r>
    </w:p>
    <w:p w:rsidR="00557C82" w:rsidRPr="00557C82" w:rsidRDefault="00557C82" w:rsidP="00557C82">
      <w:pPr>
        <w:pStyle w:val="ListParagraph"/>
        <w:numPr>
          <w:ilvl w:val="0"/>
          <w:numId w:val="4"/>
        </w:numPr>
        <w:rPr>
          <w:rFonts w:ascii="Times New Roman" w:hAnsi="Times New Roman" w:cs="Times New Roman"/>
          <w:sz w:val="20"/>
          <w:szCs w:val="20"/>
        </w:rPr>
      </w:pPr>
    </w:p>
    <w:p w:rsidR="00C04DBE" w:rsidRPr="00FC3570" w:rsidRDefault="00C04DBE">
      <w:pPr>
        <w:rPr>
          <w:rFonts w:ascii="Times New Roman" w:hAnsi="Times New Roman" w:cs="Times New Roman"/>
          <w:b/>
          <w:bCs/>
          <w:sz w:val="20"/>
          <w:szCs w:val="20"/>
        </w:rPr>
      </w:pPr>
      <w:r w:rsidRPr="00FC3570">
        <w:rPr>
          <w:rFonts w:ascii="Times New Roman" w:hAnsi="Times New Roman" w:cs="Times New Roman"/>
          <w:b/>
          <w:bCs/>
          <w:sz w:val="20"/>
          <w:szCs w:val="20"/>
        </w:rPr>
        <w:t>4. OBJECTIVES</w:t>
      </w:r>
    </w:p>
    <w:p w:rsidR="00A20606" w:rsidRPr="00A20606" w:rsidRDefault="00A20606" w:rsidP="00557C82">
      <w:pPr>
        <w:pStyle w:val="ListParagraph"/>
        <w:numPr>
          <w:ilvl w:val="0"/>
          <w:numId w:val="3"/>
        </w:numPr>
        <w:jc w:val="both"/>
        <w:rPr>
          <w:rFonts w:ascii="Times New Roman" w:hAnsi="Times New Roman" w:cs="Times New Roman"/>
          <w:sz w:val="20"/>
          <w:szCs w:val="20"/>
        </w:rPr>
      </w:pPr>
      <w:r w:rsidRPr="00A20606">
        <w:rPr>
          <w:rFonts w:ascii="Times New Roman" w:hAnsi="Times New Roman" w:cs="Times New Roman"/>
          <w:sz w:val="20"/>
          <w:szCs w:val="20"/>
        </w:rPr>
        <w:t>To examine the prevalence and spatial pattern of stunting, wasting, and underweight among under-five children across the districts of West Bengal.</w:t>
      </w:r>
    </w:p>
    <w:p w:rsidR="00C04DBE" w:rsidRDefault="00A20606" w:rsidP="00557C82">
      <w:pPr>
        <w:pStyle w:val="ListParagraph"/>
        <w:numPr>
          <w:ilvl w:val="0"/>
          <w:numId w:val="3"/>
        </w:numPr>
        <w:jc w:val="both"/>
        <w:rPr>
          <w:rFonts w:ascii="Times New Roman" w:hAnsi="Times New Roman" w:cs="Times New Roman"/>
          <w:sz w:val="20"/>
          <w:szCs w:val="20"/>
        </w:rPr>
      </w:pPr>
      <w:r w:rsidRPr="00A20606">
        <w:rPr>
          <w:rFonts w:ascii="Times New Roman" w:hAnsi="Times New Roman" w:cs="Times New Roman"/>
          <w:sz w:val="20"/>
          <w:szCs w:val="20"/>
        </w:rPr>
        <w:t>To identify regional disparities and malnutrition hotspots through the development of a Composite Child Malnutrition Index and spatial mapping techniques.</w:t>
      </w:r>
    </w:p>
    <w:p w:rsidR="00557C82" w:rsidRPr="00A20606" w:rsidRDefault="00557C82" w:rsidP="00557C82">
      <w:pPr>
        <w:pStyle w:val="ListParagraph"/>
        <w:numPr>
          <w:ilvl w:val="0"/>
          <w:numId w:val="3"/>
        </w:numPr>
        <w:jc w:val="both"/>
        <w:rPr>
          <w:rFonts w:ascii="Times New Roman" w:hAnsi="Times New Roman" w:cs="Times New Roman"/>
          <w:sz w:val="20"/>
          <w:szCs w:val="20"/>
        </w:rPr>
      </w:pPr>
      <w:r w:rsidRPr="00557C82">
        <w:rPr>
          <w:rFonts w:ascii="Times New Roman" w:hAnsi="Times New Roman" w:cs="Times New Roman"/>
          <w:sz w:val="20"/>
          <w:szCs w:val="20"/>
        </w:rPr>
        <w:t>To analyse the spatial clustering and geographic patterns of child malnutrition through spatial autocorrelation techniques, including Moran’s I and LISA.</w:t>
      </w:r>
    </w:p>
    <w:p w:rsidR="00C04DBE" w:rsidRDefault="00C04DBE">
      <w:pPr>
        <w:rPr>
          <w:rFonts w:ascii="Times New Roman" w:hAnsi="Times New Roman" w:cs="Times New Roman"/>
          <w:sz w:val="20"/>
          <w:szCs w:val="20"/>
        </w:rPr>
      </w:pPr>
    </w:p>
    <w:p w:rsidR="00C04DBE" w:rsidRPr="00FC3570" w:rsidRDefault="00C04DBE">
      <w:pPr>
        <w:rPr>
          <w:rFonts w:ascii="Times New Roman" w:hAnsi="Times New Roman" w:cs="Times New Roman"/>
          <w:b/>
          <w:bCs/>
          <w:sz w:val="20"/>
          <w:szCs w:val="20"/>
        </w:rPr>
      </w:pPr>
      <w:r w:rsidRPr="00FC3570">
        <w:rPr>
          <w:rFonts w:ascii="Times New Roman" w:hAnsi="Times New Roman" w:cs="Times New Roman"/>
          <w:b/>
          <w:bCs/>
          <w:sz w:val="20"/>
          <w:szCs w:val="20"/>
        </w:rPr>
        <w:lastRenderedPageBreak/>
        <w:t>5. DATA</w:t>
      </w:r>
    </w:p>
    <w:p w:rsidR="00C04DBE" w:rsidRDefault="001D31B3" w:rsidP="001D31B3">
      <w:pPr>
        <w:jc w:val="both"/>
        <w:rPr>
          <w:rFonts w:ascii="Times New Roman" w:hAnsi="Times New Roman" w:cs="Times New Roman"/>
          <w:sz w:val="20"/>
          <w:szCs w:val="20"/>
        </w:rPr>
      </w:pPr>
      <w:r w:rsidRPr="001D31B3">
        <w:rPr>
          <w:rFonts w:ascii="Times New Roman" w:hAnsi="Times New Roman" w:cs="Times New Roman"/>
          <w:sz w:val="20"/>
          <w:szCs w:val="20"/>
        </w:rPr>
        <w:t>The nationally representative NFHS-5 data collected between 2019 and 2021 served as the basis for this study. The National Family Health Survey (NFHS), a large multi-round survey conducted by the Government of India's Ministry of Health and Family Welfare (</w:t>
      </w:r>
      <w:proofErr w:type="spellStart"/>
      <w:r w:rsidRPr="001D31B3">
        <w:rPr>
          <w:rFonts w:ascii="Times New Roman" w:hAnsi="Times New Roman" w:cs="Times New Roman"/>
          <w:sz w:val="20"/>
          <w:szCs w:val="20"/>
        </w:rPr>
        <w:t>MoHFW</w:t>
      </w:r>
      <w:proofErr w:type="spellEnd"/>
      <w:r w:rsidRPr="001D31B3">
        <w:rPr>
          <w:rFonts w:ascii="Times New Roman" w:hAnsi="Times New Roman" w:cs="Times New Roman"/>
          <w:sz w:val="20"/>
          <w:szCs w:val="20"/>
        </w:rPr>
        <w:t>), gives estimates of a number of variables at the national, state/union territory (UT), and district levels. The International Institute for Population Sciences in Mumbai has been named the nodal agency for several NFHS rounds.</w:t>
      </w:r>
    </w:p>
    <w:p w:rsidR="00C04DBE" w:rsidRDefault="00C04DBE" w:rsidP="001D31B3">
      <w:pPr>
        <w:jc w:val="both"/>
        <w:rPr>
          <w:rFonts w:ascii="Times New Roman" w:hAnsi="Times New Roman" w:cs="Times New Roman"/>
          <w:sz w:val="20"/>
          <w:szCs w:val="20"/>
        </w:rPr>
      </w:pPr>
    </w:p>
    <w:p w:rsidR="001D31B3" w:rsidRDefault="001D31B3" w:rsidP="001D31B3">
      <w:pPr>
        <w:jc w:val="both"/>
        <w:rPr>
          <w:rFonts w:ascii="Times New Roman" w:hAnsi="Times New Roman" w:cs="Times New Roman"/>
          <w:sz w:val="20"/>
          <w:szCs w:val="20"/>
        </w:rPr>
      </w:pPr>
    </w:p>
    <w:p w:rsidR="001D31B3" w:rsidRPr="001D31B3" w:rsidRDefault="001D31B3" w:rsidP="001D31B3">
      <w:pPr>
        <w:spacing w:line="360" w:lineRule="auto"/>
        <w:jc w:val="both"/>
        <w:rPr>
          <w:rFonts w:ascii="Times New Roman" w:hAnsi="Times New Roman" w:cs="Times New Roman"/>
          <w:b/>
          <w:bCs/>
          <w:sz w:val="20"/>
          <w:szCs w:val="20"/>
        </w:rPr>
      </w:pPr>
      <w:r w:rsidRPr="001D31B3">
        <w:rPr>
          <w:rFonts w:ascii="Times New Roman" w:hAnsi="Times New Roman" w:cs="Times New Roman"/>
          <w:b/>
          <w:bCs/>
          <w:sz w:val="20"/>
          <w:szCs w:val="20"/>
        </w:rPr>
        <w:t xml:space="preserve">Table 1 Selected dimension and indicators of </w:t>
      </w:r>
      <w:r w:rsidRPr="001D31B3">
        <w:rPr>
          <w:rFonts w:ascii="Times New Roman" w:hAnsi="Times New Roman" w:cs="Times New Roman"/>
          <w:b/>
          <w:bCs/>
          <w:sz w:val="20"/>
          <w:szCs w:val="20"/>
        </w:rPr>
        <w:t>Child Malnutrition I</w:t>
      </w:r>
      <w:r w:rsidRPr="001D31B3">
        <w:rPr>
          <w:rFonts w:ascii="Times New Roman" w:hAnsi="Times New Roman" w:cs="Times New Roman"/>
          <w:b/>
          <w:bCs/>
          <w:sz w:val="20"/>
          <w:szCs w:val="20"/>
        </w:rPr>
        <w:t>ndex</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040"/>
        <w:gridCol w:w="2880"/>
      </w:tblGrid>
      <w:tr w:rsidR="001D31B3" w:rsidRPr="001D31B3" w:rsidTr="001D31B3">
        <w:tc>
          <w:tcPr>
            <w:tcW w:w="1728" w:type="dxa"/>
            <w:tcBorders>
              <w:top w:val="single" w:sz="4" w:space="0" w:color="auto"/>
              <w:bottom w:val="single" w:sz="4" w:space="0" w:color="auto"/>
            </w:tcBorders>
          </w:tcPr>
          <w:p w:rsidR="001D31B3" w:rsidRPr="001D31B3" w:rsidRDefault="001D31B3" w:rsidP="00F41CFA">
            <w:pPr>
              <w:jc w:val="center"/>
              <w:rPr>
                <w:rFonts w:ascii="Times New Roman" w:hAnsi="Times New Roman" w:cs="Times New Roman"/>
                <w:b/>
                <w:bCs/>
                <w:sz w:val="20"/>
                <w:szCs w:val="20"/>
              </w:rPr>
            </w:pPr>
            <w:r w:rsidRPr="001D31B3">
              <w:rPr>
                <w:rFonts w:ascii="Times New Roman" w:hAnsi="Times New Roman" w:cs="Times New Roman"/>
                <w:b/>
                <w:bCs/>
                <w:sz w:val="20"/>
                <w:szCs w:val="20"/>
              </w:rPr>
              <w:t>Sub-components</w:t>
            </w:r>
          </w:p>
        </w:tc>
        <w:tc>
          <w:tcPr>
            <w:tcW w:w="5040" w:type="dxa"/>
            <w:tcBorders>
              <w:top w:val="single" w:sz="4" w:space="0" w:color="auto"/>
              <w:bottom w:val="single" w:sz="4" w:space="0" w:color="auto"/>
            </w:tcBorders>
          </w:tcPr>
          <w:p w:rsidR="001D31B3" w:rsidRPr="001D31B3" w:rsidRDefault="001D31B3" w:rsidP="00F41CFA">
            <w:pPr>
              <w:jc w:val="center"/>
              <w:rPr>
                <w:rFonts w:ascii="Times New Roman" w:hAnsi="Times New Roman" w:cs="Times New Roman"/>
                <w:b/>
                <w:bCs/>
                <w:sz w:val="20"/>
                <w:szCs w:val="20"/>
              </w:rPr>
            </w:pPr>
            <w:r w:rsidRPr="001D31B3">
              <w:rPr>
                <w:rFonts w:ascii="Times New Roman" w:hAnsi="Times New Roman" w:cs="Times New Roman"/>
                <w:b/>
                <w:bCs/>
                <w:sz w:val="20"/>
                <w:szCs w:val="20"/>
              </w:rPr>
              <w:t>Definition</w:t>
            </w:r>
          </w:p>
        </w:tc>
        <w:tc>
          <w:tcPr>
            <w:tcW w:w="2880" w:type="dxa"/>
            <w:tcBorders>
              <w:top w:val="single" w:sz="4" w:space="0" w:color="auto"/>
              <w:bottom w:val="single" w:sz="4" w:space="0" w:color="auto"/>
            </w:tcBorders>
          </w:tcPr>
          <w:p w:rsidR="001D31B3" w:rsidRPr="001D31B3" w:rsidRDefault="001D31B3" w:rsidP="00F41CFA">
            <w:pPr>
              <w:jc w:val="center"/>
              <w:rPr>
                <w:rFonts w:ascii="Times New Roman" w:hAnsi="Times New Roman" w:cs="Times New Roman"/>
                <w:b/>
                <w:bCs/>
                <w:sz w:val="20"/>
                <w:szCs w:val="20"/>
              </w:rPr>
            </w:pPr>
            <w:r w:rsidRPr="001D31B3">
              <w:rPr>
                <w:rFonts w:ascii="Times New Roman" w:hAnsi="Times New Roman" w:cs="Times New Roman"/>
                <w:b/>
                <w:bCs/>
                <w:sz w:val="20"/>
                <w:szCs w:val="20"/>
              </w:rPr>
              <w:t>WHO standard</w:t>
            </w:r>
          </w:p>
        </w:tc>
      </w:tr>
      <w:tr w:rsidR="001D31B3" w:rsidRPr="001D31B3" w:rsidTr="00FC3570">
        <w:tc>
          <w:tcPr>
            <w:tcW w:w="1728" w:type="dxa"/>
            <w:tcBorders>
              <w:top w:val="single" w:sz="4" w:space="0" w:color="auto"/>
            </w:tcBorders>
            <w:vAlign w:val="center"/>
          </w:tcPr>
          <w:p w:rsidR="001D31B3" w:rsidRPr="001D31B3" w:rsidRDefault="001D31B3" w:rsidP="00FC3570">
            <w:pPr>
              <w:jc w:val="center"/>
              <w:rPr>
                <w:rFonts w:ascii="Times New Roman" w:hAnsi="Times New Roman" w:cs="Times New Roman"/>
                <w:sz w:val="20"/>
                <w:szCs w:val="20"/>
              </w:rPr>
            </w:pPr>
            <w:r w:rsidRPr="001D31B3">
              <w:rPr>
                <w:rFonts w:ascii="Times New Roman" w:hAnsi="Times New Roman" w:cs="Times New Roman"/>
                <w:sz w:val="20"/>
                <w:szCs w:val="20"/>
              </w:rPr>
              <w:t>Stunting Children</w:t>
            </w:r>
          </w:p>
        </w:tc>
        <w:tc>
          <w:tcPr>
            <w:tcW w:w="5040" w:type="dxa"/>
            <w:tcBorders>
              <w:top w:val="single" w:sz="4" w:space="0" w:color="auto"/>
            </w:tcBorders>
          </w:tcPr>
          <w:p w:rsidR="001D31B3" w:rsidRPr="001D31B3" w:rsidRDefault="001D31B3" w:rsidP="001D31B3">
            <w:pPr>
              <w:jc w:val="both"/>
              <w:rPr>
                <w:rFonts w:ascii="Times New Roman" w:hAnsi="Times New Roman" w:cs="Times New Roman"/>
                <w:sz w:val="20"/>
                <w:szCs w:val="20"/>
              </w:rPr>
            </w:pPr>
            <w:r w:rsidRPr="001D31B3">
              <w:rPr>
                <w:rFonts w:ascii="Times New Roman" w:hAnsi="Times New Roman" w:cs="Times New Roman"/>
                <w:sz w:val="20"/>
                <w:szCs w:val="20"/>
              </w:rPr>
              <w:t xml:space="preserve">A child is considered </w:t>
            </w:r>
            <w:r w:rsidRPr="00FC3570">
              <w:rPr>
                <w:rFonts w:ascii="Times New Roman" w:hAnsi="Times New Roman" w:cs="Times New Roman"/>
                <w:b/>
                <w:bCs/>
                <w:sz w:val="20"/>
                <w:szCs w:val="20"/>
              </w:rPr>
              <w:t>stunted</w:t>
            </w:r>
            <w:r w:rsidRPr="001D31B3">
              <w:rPr>
                <w:rFonts w:ascii="Times New Roman" w:hAnsi="Times New Roman" w:cs="Times New Roman"/>
                <w:sz w:val="20"/>
                <w:szCs w:val="20"/>
              </w:rPr>
              <w:t xml:space="preserve"> when their </w:t>
            </w:r>
            <w:r w:rsidRPr="00FC3570">
              <w:rPr>
                <w:rFonts w:ascii="Times New Roman" w:hAnsi="Times New Roman" w:cs="Times New Roman"/>
                <w:b/>
                <w:bCs/>
                <w:sz w:val="20"/>
                <w:szCs w:val="20"/>
              </w:rPr>
              <w:t>height-for-age</w:t>
            </w:r>
            <w:r w:rsidRPr="001D31B3">
              <w:rPr>
                <w:rFonts w:ascii="Times New Roman" w:hAnsi="Times New Roman" w:cs="Times New Roman"/>
                <w:sz w:val="20"/>
                <w:szCs w:val="20"/>
              </w:rPr>
              <w:t xml:space="preserve"> is </w:t>
            </w:r>
            <w:r w:rsidRPr="00FC3570">
              <w:rPr>
                <w:rFonts w:ascii="Times New Roman" w:hAnsi="Times New Roman" w:cs="Times New Roman"/>
                <w:b/>
                <w:bCs/>
                <w:sz w:val="20"/>
                <w:szCs w:val="20"/>
              </w:rPr>
              <w:t>below -2 standard deviations (SD) from the median of the WHO Child Growth Standards</w:t>
            </w:r>
            <w:r w:rsidRPr="001D31B3">
              <w:rPr>
                <w:rFonts w:ascii="Times New Roman" w:hAnsi="Times New Roman" w:cs="Times New Roman"/>
                <w:sz w:val="20"/>
                <w:szCs w:val="20"/>
              </w:rPr>
              <w:t xml:space="preserve">. Stunting reflects </w:t>
            </w:r>
            <w:r w:rsidRPr="00FC3570">
              <w:rPr>
                <w:rFonts w:ascii="Times New Roman" w:hAnsi="Times New Roman" w:cs="Times New Roman"/>
                <w:b/>
                <w:bCs/>
                <w:sz w:val="20"/>
                <w:szCs w:val="20"/>
              </w:rPr>
              <w:t xml:space="preserve">chronic or long-term </w:t>
            </w:r>
            <w:proofErr w:type="spellStart"/>
            <w:r w:rsidRPr="00FC3570">
              <w:rPr>
                <w:rFonts w:ascii="Times New Roman" w:hAnsi="Times New Roman" w:cs="Times New Roman"/>
                <w:b/>
                <w:bCs/>
                <w:sz w:val="20"/>
                <w:szCs w:val="20"/>
              </w:rPr>
              <w:t>undernutrition</w:t>
            </w:r>
            <w:proofErr w:type="spellEnd"/>
            <w:r w:rsidRPr="001D31B3">
              <w:rPr>
                <w:rFonts w:ascii="Times New Roman" w:hAnsi="Times New Roman" w:cs="Times New Roman"/>
                <w:sz w:val="20"/>
                <w:szCs w:val="20"/>
              </w:rPr>
              <w:t xml:space="preserve"> and repeated infections that hinder normal growth and development.</w:t>
            </w:r>
          </w:p>
        </w:tc>
        <w:tc>
          <w:tcPr>
            <w:tcW w:w="2880" w:type="dxa"/>
            <w:tcBorders>
              <w:top w:val="single" w:sz="4" w:space="0" w:color="auto"/>
            </w:tcBorders>
          </w:tcPr>
          <w:p w:rsidR="001D31B3" w:rsidRPr="001D31B3" w:rsidRDefault="001D31B3" w:rsidP="001D31B3">
            <w:pPr>
              <w:jc w:val="center"/>
              <w:rPr>
                <w:rFonts w:ascii="Times New Roman" w:hAnsi="Times New Roman" w:cs="Times New Roman"/>
                <w:sz w:val="20"/>
                <w:szCs w:val="20"/>
              </w:rPr>
            </w:pPr>
            <w:r w:rsidRPr="001D31B3">
              <w:rPr>
                <w:rFonts w:ascii="Times New Roman" w:hAnsi="Times New Roman" w:cs="Times New Roman"/>
                <w:sz w:val="20"/>
                <w:szCs w:val="20"/>
              </w:rPr>
              <w:t>Height-for-Age Z-score (HAZ) &lt; -2 SD</w:t>
            </w:r>
          </w:p>
        </w:tc>
      </w:tr>
      <w:tr w:rsidR="001D31B3" w:rsidRPr="001D31B3" w:rsidTr="00FC3570">
        <w:tc>
          <w:tcPr>
            <w:tcW w:w="1728" w:type="dxa"/>
            <w:tcBorders>
              <w:top w:val="single" w:sz="4" w:space="0" w:color="auto"/>
              <w:bottom w:val="single" w:sz="4" w:space="0" w:color="auto"/>
            </w:tcBorders>
            <w:vAlign w:val="center"/>
          </w:tcPr>
          <w:p w:rsidR="001D31B3" w:rsidRPr="001D31B3" w:rsidRDefault="001D31B3" w:rsidP="00FC3570">
            <w:pPr>
              <w:jc w:val="center"/>
              <w:rPr>
                <w:rFonts w:ascii="Times New Roman" w:hAnsi="Times New Roman" w:cs="Times New Roman"/>
                <w:sz w:val="20"/>
                <w:szCs w:val="20"/>
              </w:rPr>
            </w:pPr>
            <w:r w:rsidRPr="001D31B3">
              <w:rPr>
                <w:rFonts w:ascii="Times New Roman" w:hAnsi="Times New Roman" w:cs="Times New Roman"/>
                <w:sz w:val="20"/>
                <w:szCs w:val="20"/>
              </w:rPr>
              <w:t>Underweight Children</w:t>
            </w:r>
          </w:p>
        </w:tc>
        <w:tc>
          <w:tcPr>
            <w:tcW w:w="5040" w:type="dxa"/>
            <w:tcBorders>
              <w:top w:val="single" w:sz="4" w:space="0" w:color="auto"/>
              <w:bottom w:val="single" w:sz="4" w:space="0" w:color="auto"/>
            </w:tcBorders>
          </w:tcPr>
          <w:p w:rsidR="001D31B3" w:rsidRPr="001D31B3" w:rsidRDefault="00FC3570" w:rsidP="00FC3570">
            <w:pPr>
              <w:jc w:val="both"/>
              <w:rPr>
                <w:rFonts w:ascii="Times New Roman" w:hAnsi="Times New Roman" w:cs="Times New Roman"/>
                <w:sz w:val="20"/>
                <w:szCs w:val="20"/>
              </w:rPr>
            </w:pPr>
            <w:r w:rsidRPr="00FC3570">
              <w:rPr>
                <w:rFonts w:ascii="Times New Roman" w:hAnsi="Times New Roman" w:cs="Times New Roman"/>
                <w:sz w:val="20"/>
                <w:szCs w:val="20"/>
              </w:rPr>
              <w:t xml:space="preserve">A child is considered </w:t>
            </w:r>
            <w:r w:rsidRPr="00FC3570">
              <w:rPr>
                <w:rFonts w:ascii="Times New Roman" w:hAnsi="Times New Roman" w:cs="Times New Roman"/>
                <w:b/>
                <w:bCs/>
                <w:sz w:val="20"/>
                <w:szCs w:val="20"/>
              </w:rPr>
              <w:t>underweight</w:t>
            </w:r>
            <w:r w:rsidRPr="00FC3570">
              <w:rPr>
                <w:rFonts w:ascii="Times New Roman" w:hAnsi="Times New Roman" w:cs="Times New Roman"/>
                <w:sz w:val="20"/>
                <w:szCs w:val="20"/>
              </w:rPr>
              <w:t xml:space="preserve"> when their </w:t>
            </w:r>
            <w:r w:rsidRPr="00FC3570">
              <w:rPr>
                <w:rFonts w:ascii="Times New Roman" w:hAnsi="Times New Roman" w:cs="Times New Roman"/>
                <w:b/>
                <w:bCs/>
                <w:sz w:val="20"/>
                <w:szCs w:val="20"/>
              </w:rPr>
              <w:t>weight-for-age</w:t>
            </w:r>
            <w:r w:rsidRPr="00FC3570">
              <w:rPr>
                <w:rFonts w:ascii="Times New Roman" w:hAnsi="Times New Roman" w:cs="Times New Roman"/>
                <w:sz w:val="20"/>
                <w:szCs w:val="20"/>
              </w:rPr>
              <w:t xml:space="preserve"> is </w:t>
            </w:r>
            <w:r w:rsidRPr="00FC3570">
              <w:rPr>
                <w:rFonts w:ascii="Times New Roman" w:hAnsi="Times New Roman" w:cs="Times New Roman"/>
                <w:b/>
                <w:bCs/>
                <w:sz w:val="20"/>
                <w:szCs w:val="20"/>
              </w:rPr>
              <w:t>below -2 standard deviations (SD) from the median of the WHO Child Growth Standards</w:t>
            </w:r>
            <w:r w:rsidRPr="00FC3570">
              <w:rPr>
                <w:rFonts w:ascii="Times New Roman" w:hAnsi="Times New Roman" w:cs="Times New Roman"/>
                <w:sz w:val="20"/>
                <w:szCs w:val="20"/>
              </w:rPr>
              <w:t xml:space="preserve">. Underweight reflects a </w:t>
            </w:r>
            <w:r w:rsidRPr="00FC3570">
              <w:rPr>
                <w:rFonts w:ascii="Times New Roman" w:hAnsi="Times New Roman" w:cs="Times New Roman"/>
                <w:b/>
                <w:bCs/>
                <w:sz w:val="20"/>
                <w:szCs w:val="20"/>
              </w:rPr>
              <w:t xml:space="preserve">combination of chronic and acute </w:t>
            </w:r>
            <w:proofErr w:type="spellStart"/>
            <w:r w:rsidRPr="00FC3570">
              <w:rPr>
                <w:rFonts w:ascii="Times New Roman" w:hAnsi="Times New Roman" w:cs="Times New Roman"/>
                <w:b/>
                <w:bCs/>
                <w:sz w:val="20"/>
                <w:szCs w:val="20"/>
              </w:rPr>
              <w:t>undernutrition</w:t>
            </w:r>
            <w:proofErr w:type="spellEnd"/>
            <w:r w:rsidRPr="00FC3570">
              <w:rPr>
                <w:rFonts w:ascii="Times New Roman" w:hAnsi="Times New Roman" w:cs="Times New Roman"/>
                <w:b/>
                <w:bCs/>
                <w:sz w:val="20"/>
                <w:szCs w:val="20"/>
              </w:rPr>
              <w:t>.</w:t>
            </w:r>
          </w:p>
        </w:tc>
        <w:tc>
          <w:tcPr>
            <w:tcW w:w="2880" w:type="dxa"/>
            <w:tcBorders>
              <w:top w:val="single" w:sz="4" w:space="0" w:color="auto"/>
              <w:bottom w:val="single" w:sz="4" w:space="0" w:color="auto"/>
            </w:tcBorders>
          </w:tcPr>
          <w:p w:rsidR="001D31B3" w:rsidRPr="001D31B3" w:rsidRDefault="00FC3570" w:rsidP="00F41CFA">
            <w:pPr>
              <w:jc w:val="center"/>
              <w:rPr>
                <w:rFonts w:ascii="Times New Roman" w:hAnsi="Times New Roman" w:cs="Times New Roman"/>
                <w:sz w:val="20"/>
                <w:szCs w:val="20"/>
              </w:rPr>
            </w:pPr>
            <w:r w:rsidRPr="00FC3570">
              <w:rPr>
                <w:rFonts w:ascii="Times New Roman" w:hAnsi="Times New Roman" w:cs="Times New Roman"/>
                <w:sz w:val="20"/>
                <w:szCs w:val="20"/>
              </w:rPr>
              <w:t>Weight-for-Age Z-score (WAZ) &lt; -2 SD</w:t>
            </w:r>
          </w:p>
        </w:tc>
      </w:tr>
      <w:tr w:rsidR="001D31B3" w:rsidRPr="001D31B3" w:rsidTr="00FC3570">
        <w:tc>
          <w:tcPr>
            <w:tcW w:w="1728" w:type="dxa"/>
            <w:tcBorders>
              <w:top w:val="single" w:sz="4" w:space="0" w:color="auto"/>
              <w:bottom w:val="single" w:sz="4" w:space="0" w:color="auto"/>
            </w:tcBorders>
            <w:vAlign w:val="center"/>
          </w:tcPr>
          <w:p w:rsidR="001D31B3" w:rsidRPr="001D31B3" w:rsidRDefault="001D31B3" w:rsidP="00FC3570">
            <w:pPr>
              <w:jc w:val="center"/>
              <w:rPr>
                <w:rFonts w:ascii="Times New Roman" w:hAnsi="Times New Roman" w:cs="Times New Roman"/>
                <w:sz w:val="20"/>
                <w:szCs w:val="20"/>
              </w:rPr>
            </w:pPr>
            <w:r w:rsidRPr="001D31B3">
              <w:rPr>
                <w:rFonts w:ascii="Times New Roman" w:hAnsi="Times New Roman" w:cs="Times New Roman"/>
                <w:sz w:val="20"/>
                <w:szCs w:val="20"/>
              </w:rPr>
              <w:t>Wasting Children</w:t>
            </w:r>
          </w:p>
        </w:tc>
        <w:tc>
          <w:tcPr>
            <w:tcW w:w="5040" w:type="dxa"/>
            <w:tcBorders>
              <w:top w:val="single" w:sz="4" w:space="0" w:color="auto"/>
              <w:bottom w:val="single" w:sz="4" w:space="0" w:color="auto"/>
            </w:tcBorders>
          </w:tcPr>
          <w:p w:rsidR="001D31B3" w:rsidRPr="001D31B3" w:rsidRDefault="00FC3570" w:rsidP="00FC3570">
            <w:pPr>
              <w:jc w:val="both"/>
              <w:rPr>
                <w:rFonts w:ascii="Times New Roman" w:hAnsi="Times New Roman" w:cs="Times New Roman"/>
                <w:sz w:val="20"/>
                <w:szCs w:val="20"/>
              </w:rPr>
            </w:pPr>
            <w:r w:rsidRPr="00FC3570">
              <w:rPr>
                <w:rFonts w:ascii="Times New Roman" w:hAnsi="Times New Roman" w:cs="Times New Roman"/>
                <w:sz w:val="20"/>
                <w:szCs w:val="20"/>
              </w:rPr>
              <w:t xml:space="preserve">A child is considered </w:t>
            </w:r>
            <w:r w:rsidRPr="00FC3570">
              <w:rPr>
                <w:rFonts w:ascii="Times New Roman" w:hAnsi="Times New Roman" w:cs="Times New Roman"/>
                <w:b/>
                <w:bCs/>
                <w:sz w:val="20"/>
                <w:szCs w:val="20"/>
              </w:rPr>
              <w:t>wasted</w:t>
            </w:r>
            <w:r w:rsidRPr="00FC3570">
              <w:rPr>
                <w:rFonts w:ascii="Times New Roman" w:hAnsi="Times New Roman" w:cs="Times New Roman"/>
                <w:sz w:val="20"/>
                <w:szCs w:val="20"/>
              </w:rPr>
              <w:t xml:space="preserve"> when their </w:t>
            </w:r>
            <w:r w:rsidRPr="00FC3570">
              <w:rPr>
                <w:rFonts w:ascii="Times New Roman" w:hAnsi="Times New Roman" w:cs="Times New Roman"/>
                <w:b/>
                <w:bCs/>
                <w:sz w:val="20"/>
                <w:szCs w:val="20"/>
              </w:rPr>
              <w:t>weight-for-height</w:t>
            </w:r>
            <w:r w:rsidRPr="00FC3570">
              <w:rPr>
                <w:rFonts w:ascii="Times New Roman" w:hAnsi="Times New Roman" w:cs="Times New Roman"/>
                <w:sz w:val="20"/>
                <w:szCs w:val="20"/>
              </w:rPr>
              <w:t xml:space="preserve"> is </w:t>
            </w:r>
            <w:r w:rsidRPr="00FC3570">
              <w:rPr>
                <w:rFonts w:ascii="Times New Roman" w:hAnsi="Times New Roman" w:cs="Times New Roman"/>
                <w:b/>
                <w:bCs/>
                <w:sz w:val="20"/>
                <w:szCs w:val="20"/>
              </w:rPr>
              <w:t>below -2 standard deviations (SD) from the median of the WHO Child Growth Standards</w:t>
            </w:r>
            <w:r w:rsidRPr="00FC3570">
              <w:rPr>
                <w:rFonts w:ascii="Times New Roman" w:hAnsi="Times New Roman" w:cs="Times New Roman"/>
                <w:sz w:val="20"/>
                <w:szCs w:val="20"/>
              </w:rPr>
              <w:t xml:space="preserve">. Wasting indicates </w:t>
            </w:r>
            <w:r w:rsidRPr="00FC3570">
              <w:rPr>
                <w:rFonts w:ascii="Times New Roman" w:hAnsi="Times New Roman" w:cs="Times New Roman"/>
                <w:b/>
                <w:bCs/>
                <w:sz w:val="20"/>
                <w:szCs w:val="20"/>
              </w:rPr>
              <w:t xml:space="preserve">acute </w:t>
            </w:r>
            <w:proofErr w:type="spellStart"/>
            <w:r w:rsidRPr="00FC3570">
              <w:rPr>
                <w:rFonts w:ascii="Times New Roman" w:hAnsi="Times New Roman" w:cs="Times New Roman"/>
                <w:b/>
                <w:bCs/>
                <w:sz w:val="20"/>
                <w:szCs w:val="20"/>
              </w:rPr>
              <w:t>undernutrition</w:t>
            </w:r>
            <w:proofErr w:type="spellEnd"/>
            <w:r w:rsidRPr="00FC3570">
              <w:rPr>
                <w:rFonts w:ascii="Times New Roman" w:hAnsi="Times New Roman" w:cs="Times New Roman"/>
                <w:sz w:val="20"/>
                <w:szCs w:val="20"/>
              </w:rPr>
              <w:t>, often resulting from recent illness, inadequate food intake, or rapid weight loss.</w:t>
            </w:r>
          </w:p>
        </w:tc>
        <w:tc>
          <w:tcPr>
            <w:tcW w:w="2880" w:type="dxa"/>
            <w:tcBorders>
              <w:top w:val="single" w:sz="4" w:space="0" w:color="auto"/>
              <w:bottom w:val="single" w:sz="4" w:space="0" w:color="auto"/>
            </w:tcBorders>
          </w:tcPr>
          <w:p w:rsidR="001D31B3" w:rsidRPr="001D31B3" w:rsidRDefault="00FC3570" w:rsidP="00F41CFA">
            <w:pPr>
              <w:jc w:val="center"/>
              <w:rPr>
                <w:rFonts w:ascii="Times New Roman" w:hAnsi="Times New Roman" w:cs="Times New Roman"/>
                <w:sz w:val="20"/>
                <w:szCs w:val="20"/>
              </w:rPr>
            </w:pPr>
            <w:r w:rsidRPr="00FC3570">
              <w:rPr>
                <w:rFonts w:ascii="Times New Roman" w:hAnsi="Times New Roman" w:cs="Times New Roman"/>
                <w:sz w:val="20"/>
                <w:szCs w:val="20"/>
              </w:rPr>
              <w:t>Weight-for-Height Z-score (WHZ) &lt; -2 SD</w:t>
            </w:r>
          </w:p>
        </w:tc>
      </w:tr>
    </w:tbl>
    <w:p w:rsidR="001D31B3" w:rsidRPr="004B2A05" w:rsidRDefault="001D31B3" w:rsidP="001D31B3">
      <w:pPr>
        <w:jc w:val="center"/>
        <w:rPr>
          <w:rFonts w:ascii="Times New Roman" w:hAnsi="Times New Roman" w:cs="Times New Roman"/>
          <w:sz w:val="24"/>
          <w:szCs w:val="24"/>
        </w:rPr>
      </w:pPr>
    </w:p>
    <w:p w:rsidR="00C04DBE" w:rsidRPr="00FC3570" w:rsidRDefault="00C04DBE">
      <w:pPr>
        <w:rPr>
          <w:rFonts w:ascii="Times New Roman" w:hAnsi="Times New Roman" w:cs="Times New Roman"/>
          <w:b/>
          <w:bCs/>
          <w:sz w:val="20"/>
          <w:szCs w:val="20"/>
        </w:rPr>
      </w:pPr>
      <w:r w:rsidRPr="00FC3570">
        <w:rPr>
          <w:rFonts w:ascii="Times New Roman" w:hAnsi="Times New Roman" w:cs="Times New Roman"/>
          <w:b/>
          <w:bCs/>
          <w:sz w:val="20"/>
          <w:szCs w:val="20"/>
        </w:rPr>
        <w:t xml:space="preserve">6. METHODS </w:t>
      </w:r>
    </w:p>
    <w:p w:rsidR="00FC3570" w:rsidRPr="00FC3570" w:rsidRDefault="00FC3570" w:rsidP="00FC3570">
      <w:pPr>
        <w:spacing w:after="0"/>
        <w:jc w:val="both"/>
        <w:rPr>
          <w:rFonts w:ascii="Times New Roman" w:hAnsi="Times New Roman" w:cs="Times New Roman"/>
          <w:sz w:val="20"/>
          <w:szCs w:val="20"/>
        </w:rPr>
      </w:pPr>
      <w:r w:rsidRPr="00FC3570">
        <w:rPr>
          <w:rFonts w:ascii="Times New Roman" w:hAnsi="Times New Roman" w:cs="Times New Roman"/>
          <w:sz w:val="20"/>
          <w:szCs w:val="20"/>
        </w:rPr>
        <w:t>Composite Index is calculated after calculating Dimension Index. We used the Dimension Index approach, which is what the UNDP uses to create the human development index, to normalize the indicators in our analysis. The original dataset had values between 0 and 1. Consequently, the following formula is applied to scale equivalency:</w:t>
      </w:r>
    </w:p>
    <w:p w:rsidR="00FC3570" w:rsidRPr="00FC3570" w:rsidRDefault="00FC3570" w:rsidP="00FC3570">
      <w:pPr>
        <w:spacing w:after="0"/>
        <w:jc w:val="both"/>
        <w:rPr>
          <w:rFonts w:ascii="Times New Roman" w:hAnsi="Times New Roman" w:cs="Times New Roman"/>
          <w:sz w:val="20"/>
          <w:szCs w:val="20"/>
        </w:rPr>
      </w:pPr>
    </w:p>
    <w:p w:rsidR="00FC3570" w:rsidRPr="00FC3570" w:rsidRDefault="00FC3570" w:rsidP="00FC3570">
      <w:pPr>
        <w:spacing w:after="0"/>
        <w:jc w:val="both"/>
        <w:rPr>
          <w:rFonts w:ascii="Times New Roman" w:eastAsiaTheme="minorEastAsia" w:hAnsi="Times New Roman" w:cs="Times New Roman"/>
          <w:iCs/>
          <w:sz w:val="20"/>
          <w:szCs w:val="20"/>
        </w:rPr>
      </w:pPr>
      <m:oMathPara>
        <m:oMath>
          <m:sSub>
            <m:sSubPr>
              <m:ctrlPr>
                <w:rPr>
                  <w:rFonts w:ascii="Cambria Math" w:hAnsi="Cambria Math" w:cs="Times New Roman"/>
                  <w:i/>
                  <w:iCs/>
                  <w:sz w:val="20"/>
                  <w:szCs w:val="20"/>
                </w:rPr>
              </m:ctrlPr>
            </m:sSubPr>
            <m:e>
              <m:r>
                <w:rPr>
                  <w:rFonts w:ascii="Cambria Math" w:hAnsi="Cambria Math" w:cs="Times New Roman"/>
                  <w:sz w:val="20"/>
                  <w:szCs w:val="20"/>
                </w:rPr>
                <m:t>D</m:t>
              </m:r>
              <m:r>
                <w:rPr>
                  <w:rFonts w:ascii="Cambria Math" w:hAnsi="Cambria Math" w:cs="Times New Roman"/>
                  <w:sz w:val="20"/>
                  <w:szCs w:val="20"/>
                </w:rPr>
                <m:t>I</m:t>
              </m:r>
            </m:e>
            <m:sub>
              <m:r>
                <w:rPr>
                  <w:rFonts w:ascii="Cambria Math" w:hAnsi="Cambria Math" w:cs="Times New Roman"/>
                  <w:sz w:val="20"/>
                  <w:szCs w:val="20"/>
                </w:rPr>
                <m:t>ik</m:t>
              </m:r>
            </m:sub>
          </m:sSub>
          <m:r>
            <m:rPr>
              <m:sty m:val="bi"/>
            </m:rPr>
            <w:rPr>
              <w:rFonts w:ascii="Cambria Math" w:hAnsi="Cambria Math" w:cs="Times New Roman"/>
              <w:sz w:val="20"/>
              <w:szCs w:val="20"/>
            </w:rPr>
            <m:t>(Dimension Index)</m:t>
          </m:r>
          <m:r>
            <w:rPr>
              <w:rFonts w:ascii="Cambria Math" w:hAnsi="Cambria Math" w:cs="Times New Roman"/>
              <w:sz w:val="20"/>
              <w:szCs w:val="20"/>
            </w:rPr>
            <m:t>= </m:t>
          </m:r>
          <m:f>
            <m:fPr>
              <m:ctrlPr>
                <w:rPr>
                  <w:rFonts w:ascii="Cambria Math" w:hAnsi="Cambria Math" w:cs="Times New Roman"/>
                  <w:i/>
                  <w:iCs/>
                  <w:sz w:val="20"/>
                  <w:szCs w:val="20"/>
                </w:rPr>
              </m:ctrlPr>
            </m:fPr>
            <m:num>
              <m:sSub>
                <m:sSubPr>
                  <m:ctrlPr>
                    <w:rPr>
                      <w:rFonts w:ascii="Cambria Math" w:hAnsi="Cambria Math" w:cs="Times New Roman"/>
                      <w:i/>
                      <w:iCs/>
                      <w:sz w:val="20"/>
                      <w:szCs w:val="20"/>
                    </w:rPr>
                  </m:ctrlPr>
                </m:sSubPr>
                <m:e>
                  <m:r>
                    <w:rPr>
                      <w:rFonts w:ascii="Cambria Math" w:hAnsi="Cambria Math" w:cs="Times New Roman"/>
                      <w:sz w:val="20"/>
                      <w:szCs w:val="20"/>
                    </w:rPr>
                    <m:t>X</m:t>
                  </m:r>
                </m:e>
                <m:sub>
                  <m:r>
                    <w:rPr>
                      <w:rFonts w:ascii="Cambria Math" w:hAnsi="Cambria Math" w:cs="Times New Roman"/>
                      <w:sz w:val="20"/>
                      <w:szCs w:val="20"/>
                    </w:rPr>
                    <m:t>ik</m:t>
                  </m:r>
                </m:sub>
              </m:sSub>
              <m:r>
                <w:rPr>
                  <w:rFonts w:ascii="Cambria Math" w:hAnsi="Cambria Math" w:cs="Times New Roman"/>
                  <w:sz w:val="20"/>
                  <w:szCs w:val="20"/>
                </w:rPr>
                <m:t>-Min (X…</m:t>
              </m:r>
              <m:sSub>
                <m:sSubPr>
                  <m:ctrlPr>
                    <w:rPr>
                      <w:rFonts w:ascii="Cambria Math" w:hAnsi="Cambria Math" w:cs="Times New Roman"/>
                      <w:i/>
                      <w:iCs/>
                      <w:sz w:val="20"/>
                      <w:szCs w:val="20"/>
                    </w:rPr>
                  </m:ctrlPr>
                </m:sSubPr>
                <m:e>
                  <m:r>
                    <w:rPr>
                      <w:rFonts w:ascii="Cambria Math" w:hAnsi="Cambria Math" w:cs="Times New Roman"/>
                      <w:sz w:val="20"/>
                      <w:szCs w:val="20"/>
                    </w:rPr>
                    <m:t>1</m:t>
                  </m:r>
                </m:e>
                <m:sub>
                  <m:r>
                    <w:rPr>
                      <w:rFonts w:ascii="Cambria Math" w:hAnsi="Cambria Math" w:cs="Times New Roman"/>
                      <w:sz w:val="20"/>
                      <w:szCs w:val="20"/>
                    </w:rPr>
                    <m:t>k</m:t>
                  </m:r>
                </m:sub>
              </m:sSub>
              <m:r>
                <w:rPr>
                  <w:rFonts w:ascii="Cambria Math" w:hAnsi="Cambria Math" w:cs="Times New Roman"/>
                  <w:sz w:val="20"/>
                  <w:szCs w:val="20"/>
                </w:rPr>
                <m:t>)</m:t>
              </m:r>
            </m:num>
            <m:den>
              <m:r>
                <w:rPr>
                  <w:rFonts w:ascii="Cambria Math" w:hAnsi="Cambria Math" w:cs="Times New Roman"/>
                  <w:sz w:val="20"/>
                  <w:szCs w:val="20"/>
                </w:rPr>
                <m:t>Max (X…</m:t>
              </m:r>
              <m:sSub>
                <m:sSubPr>
                  <m:ctrlPr>
                    <w:rPr>
                      <w:rFonts w:ascii="Cambria Math" w:hAnsi="Cambria Math" w:cs="Times New Roman"/>
                      <w:i/>
                      <w:iCs/>
                      <w:sz w:val="20"/>
                      <w:szCs w:val="20"/>
                    </w:rPr>
                  </m:ctrlPr>
                </m:sSubPr>
                <m:e>
                  <m:r>
                    <w:rPr>
                      <w:rFonts w:ascii="Cambria Math" w:hAnsi="Cambria Math" w:cs="Times New Roman"/>
                      <w:sz w:val="20"/>
                      <w:szCs w:val="20"/>
                    </w:rPr>
                    <m:t>1</m:t>
                  </m:r>
                </m:e>
                <m:sub>
                  <m:r>
                    <w:rPr>
                      <w:rFonts w:ascii="Cambria Math" w:hAnsi="Cambria Math" w:cs="Times New Roman"/>
                      <w:sz w:val="20"/>
                      <w:szCs w:val="20"/>
                    </w:rPr>
                    <m:t>k</m:t>
                  </m:r>
                </m:sub>
              </m:sSub>
              <m:r>
                <w:rPr>
                  <w:rFonts w:ascii="Cambria Math" w:hAnsi="Cambria Math" w:cs="Times New Roman"/>
                  <w:sz w:val="20"/>
                  <w:szCs w:val="20"/>
                </w:rPr>
                <m:t>)-Min (X…</m:t>
              </m:r>
              <m:sSub>
                <m:sSubPr>
                  <m:ctrlPr>
                    <w:rPr>
                      <w:rFonts w:ascii="Cambria Math" w:hAnsi="Cambria Math" w:cs="Times New Roman"/>
                      <w:i/>
                      <w:iCs/>
                      <w:sz w:val="20"/>
                      <w:szCs w:val="20"/>
                    </w:rPr>
                  </m:ctrlPr>
                </m:sSubPr>
                <m:e>
                  <m:r>
                    <w:rPr>
                      <w:rFonts w:ascii="Cambria Math" w:hAnsi="Cambria Math" w:cs="Times New Roman"/>
                      <w:sz w:val="20"/>
                      <w:szCs w:val="20"/>
                    </w:rPr>
                    <m:t>1</m:t>
                  </m:r>
                </m:e>
                <m:sub>
                  <m:r>
                    <w:rPr>
                      <w:rFonts w:ascii="Cambria Math" w:hAnsi="Cambria Math" w:cs="Times New Roman"/>
                      <w:sz w:val="20"/>
                      <w:szCs w:val="20"/>
                    </w:rPr>
                    <m:t>k</m:t>
                  </m:r>
                </m:sub>
              </m:sSub>
              <m:r>
                <w:rPr>
                  <w:rFonts w:ascii="Cambria Math" w:hAnsi="Cambria Math" w:cs="Times New Roman"/>
                  <w:sz w:val="20"/>
                  <w:szCs w:val="20"/>
                </w:rPr>
                <m:t>)</m:t>
              </m:r>
            </m:den>
          </m:f>
        </m:oMath>
      </m:oMathPara>
    </w:p>
    <w:p w:rsidR="00FC3570" w:rsidRPr="00FC3570" w:rsidRDefault="00FC3570" w:rsidP="00FC3570">
      <w:pPr>
        <w:spacing w:after="0"/>
        <w:jc w:val="both"/>
        <w:rPr>
          <w:rFonts w:ascii="Times New Roman" w:hAnsi="Times New Roman" w:cs="Times New Roman"/>
          <w:sz w:val="20"/>
          <w:szCs w:val="20"/>
        </w:rPr>
      </w:pPr>
      <w:r w:rsidRPr="00FC3570">
        <w:rPr>
          <w:rFonts w:ascii="Times New Roman" w:hAnsi="Times New Roman" w:cs="Times New Roman"/>
          <w:sz w:val="20"/>
          <w:szCs w:val="20"/>
        </w:rPr>
        <w:t>Where:</w:t>
      </w:r>
    </w:p>
    <w:p w:rsidR="00FC3570" w:rsidRPr="00FC3570" w:rsidRDefault="00FC3570" w:rsidP="00FC3570">
      <w:pPr>
        <w:spacing w:after="0"/>
        <w:jc w:val="both"/>
        <w:rPr>
          <w:rFonts w:ascii="Times New Roman" w:hAnsi="Times New Roman" w:cs="Times New Roman"/>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DI</m:t>
            </m:r>
          </m:e>
          <m:sub>
            <m:r>
              <w:rPr>
                <w:rFonts w:ascii="Cambria Math" w:hAnsi="Cambria Math" w:cs="Times New Roman"/>
                <w:sz w:val="20"/>
                <w:szCs w:val="20"/>
              </w:rPr>
              <m:t>ik</m:t>
            </m:r>
          </m:sub>
        </m:sSub>
      </m:oMath>
      <w:r w:rsidRPr="00FC3570">
        <w:rPr>
          <w:rFonts w:ascii="Times New Roman" w:hAnsi="Times New Roman" w:cs="Times New Roman"/>
          <w:sz w:val="20"/>
          <w:szCs w:val="20"/>
        </w:rPr>
        <w:t xml:space="preserve"> = Dimension Index for the </w:t>
      </w:r>
      <m:oMath>
        <m:sSup>
          <m:sSupPr>
            <m:ctrlPr>
              <w:rPr>
                <w:rFonts w:ascii="Cambria Math" w:hAnsi="Cambria Math" w:cs="Times New Roman"/>
                <w:i/>
                <w:sz w:val="20"/>
                <w:szCs w:val="20"/>
              </w:rPr>
            </m:ctrlPr>
          </m:sSupPr>
          <m:e>
            <m:r>
              <w:rPr>
                <w:rFonts w:ascii="Cambria Math" w:hAnsi="Cambria Math" w:cs="Times New Roman"/>
                <w:sz w:val="20"/>
                <w:szCs w:val="20"/>
              </w:rPr>
              <m:t>i</m:t>
            </m:r>
          </m:e>
          <m:sup>
            <m:r>
              <w:rPr>
                <w:rFonts w:ascii="Cambria Math" w:hAnsi="Cambria Math" w:cs="Times New Roman"/>
                <w:sz w:val="20"/>
                <w:szCs w:val="20"/>
              </w:rPr>
              <m:t>th</m:t>
            </m:r>
          </m:sup>
        </m:sSup>
      </m:oMath>
      <w:r w:rsidRPr="00FC3570">
        <w:rPr>
          <w:rFonts w:ascii="Times New Roman" w:hAnsi="Times New Roman" w:cs="Times New Roman"/>
          <w:sz w:val="20"/>
          <w:szCs w:val="20"/>
        </w:rPr>
        <w:t xml:space="preserve"> unit and </w:t>
      </w:r>
      <m:oMath>
        <m:sSup>
          <m:sSupPr>
            <m:ctrlPr>
              <w:rPr>
                <w:rFonts w:ascii="Cambria Math" w:hAnsi="Cambria Math" w:cs="Times New Roman"/>
                <w:i/>
                <w:sz w:val="20"/>
                <w:szCs w:val="20"/>
              </w:rPr>
            </m:ctrlPr>
          </m:sSupPr>
          <m:e>
            <m:r>
              <w:rPr>
                <w:rFonts w:ascii="Cambria Math" w:hAnsi="Cambria Math" w:cs="Times New Roman"/>
                <w:sz w:val="20"/>
                <w:szCs w:val="20"/>
              </w:rPr>
              <m:t>k</m:t>
            </m:r>
          </m:e>
          <m:sup>
            <m:r>
              <w:rPr>
                <w:rFonts w:ascii="Cambria Math" w:hAnsi="Cambria Math" w:cs="Times New Roman"/>
                <w:sz w:val="20"/>
                <w:szCs w:val="20"/>
              </w:rPr>
              <m:t>th</m:t>
            </m:r>
          </m:sup>
        </m:sSup>
      </m:oMath>
      <w:r w:rsidRPr="00FC3570">
        <w:rPr>
          <w:rFonts w:ascii="Times New Roman" w:hAnsi="Times New Roman" w:cs="Times New Roman"/>
          <w:sz w:val="20"/>
          <w:szCs w:val="20"/>
        </w:rPr>
        <w:t xml:space="preserve"> dimension</w:t>
      </w:r>
    </w:p>
    <w:p w:rsidR="00FC3570" w:rsidRPr="00FC3570" w:rsidRDefault="00FC3570" w:rsidP="00FC3570">
      <w:pPr>
        <w:spacing w:after="0"/>
        <w:jc w:val="both"/>
        <w:rPr>
          <w:rFonts w:ascii="Times New Roman" w:hAnsi="Times New Roman" w:cs="Times New Roman"/>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X</m:t>
            </m:r>
          </m:e>
          <m:sub>
            <m:r>
              <w:rPr>
                <w:rFonts w:ascii="Cambria Math" w:hAnsi="Cambria Math" w:cs="Times New Roman"/>
                <w:sz w:val="20"/>
                <w:szCs w:val="20"/>
              </w:rPr>
              <m:t>ik</m:t>
            </m:r>
          </m:sub>
        </m:sSub>
      </m:oMath>
      <w:r w:rsidRPr="00FC3570">
        <w:rPr>
          <w:rFonts w:ascii="Times New Roman" w:hAnsi="Times New Roman" w:cs="Times New Roman"/>
          <w:sz w:val="20"/>
          <w:szCs w:val="20"/>
        </w:rPr>
        <w:t xml:space="preserve"> = observed value of the </w:t>
      </w:r>
      <m:oMath>
        <m:sSup>
          <m:sSupPr>
            <m:ctrlPr>
              <w:rPr>
                <w:rFonts w:ascii="Cambria Math" w:hAnsi="Cambria Math" w:cs="Times New Roman"/>
                <w:i/>
                <w:sz w:val="20"/>
                <w:szCs w:val="20"/>
              </w:rPr>
            </m:ctrlPr>
          </m:sSupPr>
          <m:e>
            <m:r>
              <w:rPr>
                <w:rFonts w:ascii="Cambria Math" w:hAnsi="Cambria Math" w:cs="Times New Roman"/>
                <w:sz w:val="20"/>
                <w:szCs w:val="20"/>
              </w:rPr>
              <m:t>i</m:t>
            </m:r>
          </m:e>
          <m:sup>
            <m:r>
              <w:rPr>
                <w:rFonts w:ascii="Cambria Math" w:hAnsi="Cambria Math" w:cs="Times New Roman"/>
                <w:sz w:val="20"/>
                <w:szCs w:val="20"/>
              </w:rPr>
              <m:t>th</m:t>
            </m:r>
          </m:sup>
        </m:sSup>
      </m:oMath>
      <w:r w:rsidRPr="00FC3570">
        <w:rPr>
          <w:rFonts w:ascii="Times New Roman" w:hAnsi="Times New Roman" w:cs="Times New Roman"/>
          <w:sz w:val="20"/>
          <w:szCs w:val="20"/>
        </w:rPr>
        <w:t xml:space="preserve"> unit in the </w:t>
      </w:r>
      <m:oMath>
        <m:sSup>
          <m:sSupPr>
            <m:ctrlPr>
              <w:rPr>
                <w:rFonts w:ascii="Cambria Math" w:hAnsi="Cambria Math" w:cs="Times New Roman"/>
                <w:i/>
                <w:sz w:val="20"/>
                <w:szCs w:val="20"/>
              </w:rPr>
            </m:ctrlPr>
          </m:sSupPr>
          <m:e>
            <m:r>
              <w:rPr>
                <w:rFonts w:ascii="Cambria Math" w:hAnsi="Cambria Math" w:cs="Times New Roman"/>
                <w:sz w:val="20"/>
                <w:szCs w:val="20"/>
              </w:rPr>
              <m:t>k</m:t>
            </m:r>
          </m:e>
          <m:sup>
            <m:r>
              <w:rPr>
                <w:rFonts w:ascii="Cambria Math" w:hAnsi="Cambria Math" w:cs="Times New Roman"/>
                <w:sz w:val="20"/>
                <w:szCs w:val="20"/>
              </w:rPr>
              <m:t>th</m:t>
            </m:r>
          </m:sup>
        </m:sSup>
      </m:oMath>
      <w:r w:rsidRPr="00FC3570">
        <w:rPr>
          <w:rFonts w:ascii="Times New Roman" w:hAnsi="Times New Roman" w:cs="Times New Roman"/>
          <w:sz w:val="20"/>
          <w:szCs w:val="20"/>
        </w:rPr>
        <w:t xml:space="preserve"> dimension</w:t>
      </w:r>
    </w:p>
    <w:p w:rsidR="00FC3570" w:rsidRPr="00FC3570" w:rsidRDefault="00FC3570" w:rsidP="00FC3570">
      <w:pPr>
        <w:spacing w:after="0"/>
        <w:jc w:val="both"/>
        <w:rPr>
          <w:rFonts w:ascii="Times New Roman" w:hAnsi="Times New Roman" w:cs="Times New Roman"/>
          <w:sz w:val="20"/>
          <w:szCs w:val="20"/>
        </w:rPr>
      </w:pPr>
      <m:oMath>
        <m:r>
          <w:rPr>
            <w:rFonts w:ascii="Cambria Math" w:hAnsi="Cambria Math" w:cs="Times New Roman"/>
            <w:sz w:val="20"/>
            <w:szCs w:val="20"/>
          </w:rPr>
          <m:t>Min (X…</m:t>
        </m:r>
        <m:sSub>
          <m:sSubPr>
            <m:ctrlPr>
              <w:rPr>
                <w:rFonts w:ascii="Cambria Math" w:hAnsi="Cambria Math" w:cs="Times New Roman"/>
                <w:i/>
                <w:iCs/>
                <w:sz w:val="20"/>
                <w:szCs w:val="20"/>
              </w:rPr>
            </m:ctrlPr>
          </m:sSubPr>
          <m:e>
            <m:r>
              <w:rPr>
                <w:rFonts w:ascii="Cambria Math" w:hAnsi="Cambria Math" w:cs="Times New Roman"/>
                <w:sz w:val="20"/>
                <w:szCs w:val="20"/>
              </w:rPr>
              <m:t>1</m:t>
            </m:r>
          </m:e>
          <m:sub>
            <m:r>
              <w:rPr>
                <w:rFonts w:ascii="Cambria Math" w:hAnsi="Cambria Math" w:cs="Times New Roman"/>
                <w:sz w:val="20"/>
                <w:szCs w:val="20"/>
              </w:rPr>
              <m:t>k</m:t>
            </m:r>
          </m:sub>
        </m:sSub>
        <m:r>
          <w:rPr>
            <w:rFonts w:ascii="Cambria Math" w:hAnsi="Cambria Math" w:cs="Times New Roman"/>
            <w:sz w:val="20"/>
            <w:szCs w:val="20"/>
          </w:rPr>
          <m:t>)</m:t>
        </m:r>
      </m:oMath>
      <w:r w:rsidRPr="00FC3570">
        <w:rPr>
          <w:rFonts w:ascii="Times New Roman" w:hAnsi="Times New Roman" w:cs="Times New Roman"/>
          <w:sz w:val="20"/>
          <w:szCs w:val="20"/>
        </w:rPr>
        <w:t xml:space="preserve"> = minimum value of the </w:t>
      </w:r>
      <m:oMath>
        <m:sSup>
          <m:sSupPr>
            <m:ctrlPr>
              <w:rPr>
                <w:rFonts w:ascii="Cambria Math" w:hAnsi="Cambria Math" w:cs="Times New Roman"/>
                <w:i/>
                <w:sz w:val="20"/>
                <w:szCs w:val="20"/>
              </w:rPr>
            </m:ctrlPr>
          </m:sSupPr>
          <m:e>
            <m:r>
              <w:rPr>
                <w:rFonts w:ascii="Cambria Math" w:hAnsi="Cambria Math" w:cs="Times New Roman"/>
                <w:sz w:val="20"/>
                <w:szCs w:val="20"/>
              </w:rPr>
              <m:t>k</m:t>
            </m:r>
          </m:e>
          <m:sup>
            <m:r>
              <w:rPr>
                <w:rFonts w:ascii="Cambria Math" w:hAnsi="Cambria Math" w:cs="Times New Roman"/>
                <w:sz w:val="20"/>
                <w:szCs w:val="20"/>
              </w:rPr>
              <m:t>th</m:t>
            </m:r>
          </m:sup>
        </m:sSup>
      </m:oMath>
      <w:r w:rsidRPr="00FC3570">
        <w:rPr>
          <w:rFonts w:ascii="Times New Roman" w:hAnsi="Times New Roman" w:cs="Times New Roman"/>
          <w:sz w:val="20"/>
          <w:szCs w:val="20"/>
        </w:rPr>
        <w:t xml:space="preserve"> dimension</w:t>
      </w:r>
    </w:p>
    <w:p w:rsidR="00FC3570" w:rsidRPr="00FC3570" w:rsidRDefault="00FC3570" w:rsidP="00FC3570">
      <w:pPr>
        <w:spacing w:after="0"/>
        <w:jc w:val="both"/>
        <w:rPr>
          <w:rFonts w:ascii="Times New Roman" w:hAnsi="Times New Roman" w:cs="Times New Roman"/>
          <w:sz w:val="20"/>
          <w:szCs w:val="20"/>
        </w:rPr>
      </w:pPr>
      <m:oMath>
        <m:r>
          <w:rPr>
            <w:rFonts w:ascii="Cambria Math" w:hAnsi="Cambria Math" w:cs="Times New Roman"/>
            <w:sz w:val="20"/>
            <w:szCs w:val="20"/>
          </w:rPr>
          <m:t>Max (X…</m:t>
        </m:r>
        <m:sSub>
          <m:sSubPr>
            <m:ctrlPr>
              <w:rPr>
                <w:rFonts w:ascii="Cambria Math" w:hAnsi="Cambria Math" w:cs="Times New Roman"/>
                <w:i/>
                <w:iCs/>
                <w:sz w:val="20"/>
                <w:szCs w:val="20"/>
              </w:rPr>
            </m:ctrlPr>
          </m:sSubPr>
          <m:e>
            <m:r>
              <w:rPr>
                <w:rFonts w:ascii="Cambria Math" w:hAnsi="Cambria Math" w:cs="Times New Roman"/>
                <w:sz w:val="20"/>
                <w:szCs w:val="20"/>
              </w:rPr>
              <m:t>1</m:t>
            </m:r>
          </m:e>
          <m:sub>
            <m:r>
              <w:rPr>
                <w:rFonts w:ascii="Cambria Math" w:hAnsi="Cambria Math" w:cs="Times New Roman"/>
                <w:sz w:val="20"/>
                <w:szCs w:val="20"/>
              </w:rPr>
              <m:t>k</m:t>
            </m:r>
          </m:sub>
        </m:sSub>
        <m:r>
          <w:rPr>
            <w:rFonts w:ascii="Cambria Math" w:hAnsi="Cambria Math" w:cs="Times New Roman"/>
            <w:sz w:val="20"/>
            <w:szCs w:val="20"/>
          </w:rPr>
          <m:t>)</m:t>
        </m:r>
      </m:oMath>
      <w:r w:rsidRPr="00FC3570">
        <w:rPr>
          <w:rFonts w:ascii="Times New Roman" w:hAnsi="Times New Roman" w:cs="Times New Roman"/>
          <w:sz w:val="20"/>
          <w:szCs w:val="20"/>
        </w:rPr>
        <w:t xml:space="preserve"> = maximum value of the </w:t>
      </w:r>
      <m:oMath>
        <m:sSup>
          <m:sSupPr>
            <m:ctrlPr>
              <w:rPr>
                <w:rFonts w:ascii="Cambria Math" w:hAnsi="Cambria Math" w:cs="Times New Roman"/>
                <w:i/>
                <w:sz w:val="20"/>
                <w:szCs w:val="20"/>
              </w:rPr>
            </m:ctrlPr>
          </m:sSupPr>
          <m:e>
            <m:r>
              <w:rPr>
                <w:rFonts w:ascii="Cambria Math" w:hAnsi="Cambria Math" w:cs="Times New Roman"/>
                <w:sz w:val="20"/>
                <w:szCs w:val="20"/>
              </w:rPr>
              <m:t>k</m:t>
            </m:r>
          </m:e>
          <m:sup>
            <m:r>
              <w:rPr>
                <w:rFonts w:ascii="Cambria Math" w:hAnsi="Cambria Math" w:cs="Times New Roman"/>
                <w:sz w:val="20"/>
                <w:szCs w:val="20"/>
              </w:rPr>
              <m:t>th</m:t>
            </m:r>
          </m:sup>
        </m:sSup>
      </m:oMath>
      <w:r w:rsidRPr="00FC3570">
        <w:rPr>
          <w:rFonts w:ascii="Times New Roman" w:hAnsi="Times New Roman" w:cs="Times New Roman"/>
          <w:sz w:val="20"/>
          <w:szCs w:val="20"/>
        </w:rPr>
        <w:t xml:space="preserve"> dimension</w:t>
      </w:r>
    </w:p>
    <w:p w:rsidR="00FC3570" w:rsidRPr="00FC3570" w:rsidRDefault="00FC3570" w:rsidP="00FC3570">
      <w:pPr>
        <w:spacing w:after="0"/>
        <w:jc w:val="both"/>
        <w:rPr>
          <w:rFonts w:ascii="Times New Roman" w:hAnsi="Times New Roman" w:cs="Times New Roman"/>
          <w:sz w:val="20"/>
          <w:szCs w:val="20"/>
        </w:rPr>
      </w:pPr>
    </w:p>
    <w:p w:rsidR="00FC3570" w:rsidRPr="00FC3570" w:rsidRDefault="00FC3570" w:rsidP="00FC3570">
      <w:pPr>
        <w:spacing w:after="0"/>
        <w:jc w:val="both"/>
        <w:rPr>
          <w:rFonts w:ascii="Times New Roman" w:hAnsi="Times New Roman" w:cs="Times New Roman"/>
          <w:sz w:val="20"/>
          <w:szCs w:val="20"/>
        </w:rPr>
      </w:pPr>
      <w:r w:rsidRPr="00FC3570">
        <w:rPr>
          <w:rFonts w:ascii="Times New Roman" w:hAnsi="Times New Roman" w:cs="Times New Roman"/>
          <w:sz w:val="20"/>
          <w:szCs w:val="20"/>
        </w:rPr>
        <w:t xml:space="preserve">The value of </w:t>
      </w:r>
      <w:proofErr w:type="spellStart"/>
      <w:r w:rsidRPr="00FC3570">
        <w:rPr>
          <w:rFonts w:ascii="Times New Roman" w:hAnsi="Times New Roman" w:cs="Times New Roman"/>
          <w:i/>
          <w:iCs/>
          <w:sz w:val="20"/>
          <w:szCs w:val="20"/>
        </w:rPr>
        <w:t>DIik</w:t>
      </w:r>
      <w:proofErr w:type="spellEnd"/>
      <w:r w:rsidRPr="00FC3570">
        <w:rPr>
          <w:rFonts w:ascii="Times New Roman" w:hAnsi="Times New Roman" w:cs="Times New Roman"/>
          <w:i/>
          <w:iCs/>
          <w:sz w:val="20"/>
          <w:szCs w:val="20"/>
        </w:rPr>
        <w:t xml:space="preserve"> </w:t>
      </w:r>
      <w:r w:rsidRPr="00FC3570">
        <w:rPr>
          <w:rFonts w:ascii="Times New Roman" w:hAnsi="Times New Roman" w:cs="Times New Roman"/>
          <w:sz w:val="20"/>
          <w:szCs w:val="20"/>
        </w:rPr>
        <w:t>ranges from zero to one, with a number of one indicating that the district in question has the greatest level of authority in relation to the other districts in the state. For a value of 0, the opposite is true.</w:t>
      </w:r>
    </w:p>
    <w:p w:rsidR="00FC3570" w:rsidRPr="00FC3570" w:rsidRDefault="00FC3570" w:rsidP="00FC3570">
      <w:pPr>
        <w:spacing w:after="0"/>
        <w:jc w:val="both"/>
        <w:rPr>
          <w:rFonts w:ascii="Times New Roman" w:hAnsi="Times New Roman" w:cs="Times New Roman"/>
          <w:sz w:val="20"/>
          <w:szCs w:val="20"/>
        </w:rPr>
      </w:pPr>
      <w:r w:rsidRPr="00FC3570">
        <w:rPr>
          <w:rFonts w:ascii="Times New Roman" w:hAnsi="Times New Roman" w:cs="Times New Roman"/>
          <w:sz w:val="20"/>
          <w:szCs w:val="20"/>
        </w:rPr>
        <w:t>After calculating DI of each indicator all the indicators wise values have been aggregated for each district to get aggregate score. Later the composite score is divided by the number of indicators (here 10 indicators) to get the index value by using the following formula –</w:t>
      </w:r>
    </w:p>
    <w:p w:rsidR="00FC3570" w:rsidRPr="00FC3570" w:rsidRDefault="00FC3570" w:rsidP="00FC3570">
      <w:pPr>
        <w:spacing w:after="0"/>
        <w:jc w:val="both"/>
        <w:rPr>
          <w:rFonts w:ascii="Times New Roman" w:eastAsiaTheme="minorEastAsia" w:hAnsi="Times New Roman" w:cs="Times New Roman"/>
          <w:iCs/>
          <w:sz w:val="20"/>
          <w:szCs w:val="20"/>
        </w:rPr>
      </w:pPr>
      <m:oMathPara>
        <m:oMath>
          <m:sSub>
            <m:sSubPr>
              <m:ctrlPr>
                <w:rPr>
                  <w:rFonts w:ascii="Cambria Math" w:hAnsi="Cambria Math" w:cs="Times New Roman"/>
                  <w:i/>
                  <w:iCs/>
                  <w:sz w:val="20"/>
                  <w:szCs w:val="20"/>
                </w:rPr>
              </m:ctrlPr>
            </m:sSubPr>
            <m:e>
              <m:r>
                <w:rPr>
                  <w:rFonts w:ascii="Cambria Math" w:hAnsi="Cambria Math" w:cs="Times New Roman"/>
                  <w:sz w:val="20"/>
                  <w:szCs w:val="20"/>
                </w:rPr>
                <m:t>C</m:t>
              </m:r>
            </m:e>
            <m:sub>
              <m:r>
                <w:rPr>
                  <w:rFonts w:ascii="Cambria Math" w:hAnsi="Cambria Math" w:cs="Times New Roman"/>
                  <w:sz w:val="20"/>
                  <w:szCs w:val="20"/>
                </w:rPr>
                <m:t>i</m:t>
              </m:r>
            </m:sub>
          </m:sSub>
          <m:r>
            <m:rPr>
              <m:sty m:val="bi"/>
            </m:rPr>
            <w:rPr>
              <w:rFonts w:ascii="Cambria Math" w:hAnsi="Cambria Math" w:cs="Times New Roman"/>
              <w:sz w:val="20"/>
              <w:szCs w:val="20"/>
            </w:rPr>
            <m:t>(Composite Score)</m:t>
          </m:r>
          <m:r>
            <w:rPr>
              <w:rFonts w:ascii="Cambria Math" w:hAnsi="Cambria Math" w:cs="Times New Roman"/>
              <w:sz w:val="20"/>
              <w:szCs w:val="20"/>
            </w:rPr>
            <m:t>= </m:t>
          </m:r>
          <m:box>
            <m:boxPr>
              <m:ctrlPr>
                <w:rPr>
                  <w:rFonts w:ascii="Cambria Math" w:hAnsi="Cambria Math" w:cs="Times New Roman"/>
                  <w:i/>
                  <w:iCs/>
                  <w:sz w:val="20"/>
                  <w:szCs w:val="20"/>
                </w:rPr>
              </m:ctrlPr>
            </m:boxPr>
            <m:e>
              <m:argPr>
                <m:argSz m:val="-1"/>
              </m:argPr>
              <m:f>
                <m:fPr>
                  <m:ctrlPr>
                    <w:rPr>
                      <w:rFonts w:ascii="Cambria Math" w:hAnsi="Cambria Math" w:cs="Times New Roman"/>
                      <w:i/>
                      <w:iCs/>
                      <w:sz w:val="20"/>
                      <w:szCs w:val="20"/>
                    </w:rPr>
                  </m:ctrlPr>
                </m:fPr>
                <m:num>
                  <m:nary>
                    <m:naryPr>
                      <m:chr m:val="∑"/>
                      <m:limLoc m:val="undOvr"/>
                      <m:ctrlPr>
                        <w:rPr>
                          <w:rFonts w:ascii="Cambria Math" w:hAnsi="Cambria Math" w:cs="Times New Roman"/>
                          <w:i/>
                          <w:iCs/>
                          <w:sz w:val="20"/>
                          <w:szCs w:val="20"/>
                        </w:rPr>
                      </m:ctrlPr>
                    </m:naryPr>
                    <m:sub>
                      <m:r>
                        <w:rPr>
                          <w:rFonts w:ascii="Cambria Math" w:hAnsi="Cambria Math" w:cs="Times New Roman"/>
                          <w:sz w:val="20"/>
                          <w:szCs w:val="20"/>
                        </w:rPr>
                        <m:t>i</m:t>
                      </m:r>
                    </m:sub>
                    <m:sup>
                      <m:r>
                        <w:rPr>
                          <w:rFonts w:ascii="Cambria Math" w:hAnsi="Cambria Math" w:cs="Times New Roman"/>
                          <w:sz w:val="20"/>
                          <w:szCs w:val="20"/>
                        </w:rPr>
                        <m:t>n</m:t>
                      </m:r>
                    </m:sup>
                    <m:e>
                      <m:r>
                        <w:rPr>
                          <w:rFonts w:ascii="Cambria Math" w:hAnsi="Cambria Math" w:cs="Times New Roman"/>
                          <w:sz w:val="20"/>
                          <w:szCs w:val="20"/>
                        </w:rPr>
                        <m:t>1 index </m:t>
                      </m:r>
                      <m:sSub>
                        <m:sSubPr>
                          <m:ctrlPr>
                            <w:rPr>
                              <w:rFonts w:ascii="Cambria Math" w:hAnsi="Cambria Math" w:cs="Times New Roman"/>
                              <w:i/>
                              <w:iCs/>
                              <w:sz w:val="20"/>
                              <w:szCs w:val="20"/>
                            </w:rPr>
                          </m:ctrlPr>
                        </m:sSubPr>
                        <m:e>
                          <m:r>
                            <w:rPr>
                              <w:rFonts w:ascii="Cambria Math" w:hAnsi="Cambria Math" w:cs="Times New Roman"/>
                              <w:sz w:val="20"/>
                              <w:szCs w:val="20"/>
                            </w:rPr>
                            <m:t>X</m:t>
                          </m:r>
                        </m:e>
                        <m:sub>
                          <m:r>
                            <w:rPr>
                              <w:rFonts w:ascii="Cambria Math" w:hAnsi="Cambria Math" w:cs="Times New Roman"/>
                              <w:sz w:val="20"/>
                              <w:szCs w:val="20"/>
                            </w:rPr>
                            <m:t>ik</m:t>
                          </m:r>
                        </m:sub>
                      </m:sSub>
                      <m:r>
                        <w:rPr>
                          <w:rFonts w:ascii="Cambria Math" w:hAnsi="Cambria Math" w:cs="Times New Roman"/>
                          <w:sz w:val="20"/>
                          <w:szCs w:val="20"/>
                        </w:rPr>
                        <m:t> </m:t>
                      </m:r>
                    </m:e>
                  </m:nary>
                </m:num>
                <m:den>
                  <m:r>
                    <w:rPr>
                      <w:rFonts w:ascii="Cambria Math" w:hAnsi="Cambria Math" w:cs="Times New Roman"/>
                      <w:sz w:val="20"/>
                      <w:szCs w:val="20"/>
                    </w:rPr>
                    <m:t>n</m:t>
                  </m:r>
                </m:den>
              </m:f>
            </m:e>
          </m:box>
        </m:oMath>
      </m:oMathPara>
    </w:p>
    <w:p w:rsidR="00FC3570" w:rsidRPr="00FC3570" w:rsidRDefault="00FC3570" w:rsidP="00FC3570">
      <w:pPr>
        <w:spacing w:after="0"/>
        <w:jc w:val="both"/>
        <w:rPr>
          <w:rFonts w:ascii="Times New Roman" w:hAnsi="Times New Roman" w:cs="Times New Roman"/>
          <w:sz w:val="20"/>
          <w:szCs w:val="20"/>
        </w:rPr>
      </w:pPr>
      <w:r w:rsidRPr="00FC3570">
        <w:rPr>
          <w:rFonts w:ascii="Times New Roman" w:hAnsi="Times New Roman" w:cs="Times New Roman"/>
          <w:sz w:val="20"/>
          <w:szCs w:val="20"/>
        </w:rPr>
        <w:t>Where:</w:t>
      </w:r>
    </w:p>
    <w:p w:rsidR="00FC3570" w:rsidRPr="00FC3570" w:rsidRDefault="00FC3570" w:rsidP="00FC3570">
      <w:pPr>
        <w:spacing w:after="0"/>
        <w:jc w:val="both"/>
        <w:rPr>
          <w:rFonts w:ascii="Times New Roman" w:hAnsi="Times New Roman" w:cs="Times New Roman"/>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C</m:t>
            </m:r>
          </m:e>
          <m:sub>
            <m:r>
              <w:rPr>
                <w:rFonts w:ascii="Cambria Math" w:hAnsi="Cambria Math" w:cs="Times New Roman"/>
                <w:sz w:val="20"/>
                <w:szCs w:val="20"/>
              </w:rPr>
              <m:t>i</m:t>
            </m:r>
          </m:sub>
        </m:sSub>
      </m:oMath>
      <w:r w:rsidRPr="00FC3570">
        <w:rPr>
          <w:rFonts w:ascii="Times New Roman" w:hAnsi="Times New Roman" w:cs="Times New Roman"/>
          <w:sz w:val="20"/>
          <w:szCs w:val="20"/>
        </w:rPr>
        <w:t xml:space="preserve"> = Composite Score for the </w:t>
      </w:r>
      <m:oMath>
        <m:sSup>
          <m:sSupPr>
            <m:ctrlPr>
              <w:rPr>
                <w:rFonts w:ascii="Cambria Math" w:hAnsi="Cambria Math" w:cs="Times New Roman"/>
                <w:i/>
                <w:sz w:val="20"/>
                <w:szCs w:val="20"/>
              </w:rPr>
            </m:ctrlPr>
          </m:sSupPr>
          <m:e>
            <m:r>
              <w:rPr>
                <w:rFonts w:ascii="Cambria Math" w:hAnsi="Cambria Math" w:cs="Times New Roman"/>
                <w:sz w:val="20"/>
                <w:szCs w:val="20"/>
              </w:rPr>
              <m:t>i</m:t>
            </m:r>
          </m:e>
          <m:sup>
            <m:r>
              <w:rPr>
                <w:rFonts w:ascii="Cambria Math" w:hAnsi="Cambria Math" w:cs="Times New Roman"/>
                <w:sz w:val="20"/>
                <w:szCs w:val="20"/>
              </w:rPr>
              <m:t>th</m:t>
            </m:r>
          </m:sup>
        </m:sSup>
      </m:oMath>
      <w:r w:rsidRPr="00FC3570">
        <w:rPr>
          <w:rFonts w:ascii="Times New Roman" w:hAnsi="Times New Roman" w:cs="Times New Roman"/>
          <w:sz w:val="20"/>
          <w:szCs w:val="20"/>
        </w:rPr>
        <w:t xml:space="preserve"> unit</w:t>
      </w:r>
    </w:p>
    <w:p w:rsidR="00FC3570" w:rsidRPr="00FC3570" w:rsidRDefault="00FC3570" w:rsidP="00FC3570">
      <w:pPr>
        <w:spacing w:after="0"/>
        <w:jc w:val="both"/>
        <w:rPr>
          <w:rFonts w:ascii="Times New Roman" w:hAnsi="Times New Roman" w:cs="Times New Roman"/>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rPr>
              <m:t>X</m:t>
            </m:r>
          </m:e>
          <m:sub>
            <m:r>
              <w:rPr>
                <w:rFonts w:ascii="Cambria Math" w:hAnsi="Cambria Math" w:cs="Times New Roman"/>
                <w:sz w:val="20"/>
                <w:szCs w:val="20"/>
              </w:rPr>
              <m:t>ik</m:t>
            </m:r>
          </m:sub>
        </m:sSub>
      </m:oMath>
      <w:r w:rsidRPr="00FC3570">
        <w:rPr>
          <w:rFonts w:ascii="Times New Roman" w:hAnsi="Times New Roman" w:cs="Times New Roman"/>
          <w:sz w:val="20"/>
          <w:szCs w:val="20"/>
        </w:rPr>
        <w:t xml:space="preserve"> = index value of the </w:t>
      </w:r>
      <m:oMath>
        <m:sSup>
          <m:sSupPr>
            <m:ctrlPr>
              <w:rPr>
                <w:rFonts w:ascii="Cambria Math" w:hAnsi="Cambria Math" w:cs="Times New Roman"/>
                <w:i/>
                <w:sz w:val="20"/>
                <w:szCs w:val="20"/>
              </w:rPr>
            </m:ctrlPr>
          </m:sSupPr>
          <m:e>
            <m:r>
              <w:rPr>
                <w:rFonts w:ascii="Cambria Math" w:hAnsi="Cambria Math" w:cs="Times New Roman"/>
                <w:sz w:val="20"/>
                <w:szCs w:val="20"/>
              </w:rPr>
              <m:t>i</m:t>
            </m:r>
          </m:e>
          <m:sup>
            <m:r>
              <w:rPr>
                <w:rFonts w:ascii="Cambria Math" w:hAnsi="Cambria Math" w:cs="Times New Roman"/>
                <w:sz w:val="20"/>
                <w:szCs w:val="20"/>
              </w:rPr>
              <m:t>th</m:t>
            </m:r>
          </m:sup>
        </m:sSup>
      </m:oMath>
      <w:r w:rsidRPr="00FC3570">
        <w:rPr>
          <w:rFonts w:ascii="Times New Roman" w:hAnsi="Times New Roman" w:cs="Times New Roman"/>
          <w:sz w:val="20"/>
          <w:szCs w:val="20"/>
        </w:rPr>
        <w:t xml:space="preserve"> unit for the </w:t>
      </w:r>
      <m:oMath>
        <m:sSup>
          <m:sSupPr>
            <m:ctrlPr>
              <w:rPr>
                <w:rFonts w:ascii="Cambria Math" w:hAnsi="Cambria Math" w:cs="Times New Roman"/>
                <w:i/>
                <w:sz w:val="20"/>
                <w:szCs w:val="20"/>
              </w:rPr>
            </m:ctrlPr>
          </m:sSupPr>
          <m:e>
            <m:r>
              <w:rPr>
                <w:rFonts w:ascii="Cambria Math" w:hAnsi="Cambria Math" w:cs="Times New Roman"/>
                <w:sz w:val="20"/>
                <w:szCs w:val="20"/>
              </w:rPr>
              <m:t>k</m:t>
            </m:r>
          </m:e>
          <m:sup>
            <m:r>
              <w:rPr>
                <w:rFonts w:ascii="Cambria Math" w:hAnsi="Cambria Math" w:cs="Times New Roman"/>
                <w:sz w:val="20"/>
                <w:szCs w:val="20"/>
              </w:rPr>
              <m:t>th</m:t>
            </m:r>
          </m:sup>
        </m:sSup>
      </m:oMath>
      <w:r w:rsidRPr="00FC3570">
        <w:rPr>
          <w:rFonts w:ascii="Times New Roman" w:hAnsi="Times New Roman" w:cs="Times New Roman"/>
          <w:sz w:val="20"/>
          <w:szCs w:val="20"/>
        </w:rPr>
        <w:t xml:space="preserve"> indicator</w:t>
      </w:r>
    </w:p>
    <w:p w:rsidR="00FC3570" w:rsidRPr="00FC3570" w:rsidRDefault="00FC3570" w:rsidP="00FC3570">
      <w:pPr>
        <w:spacing w:after="0"/>
        <w:jc w:val="both"/>
        <w:rPr>
          <w:rFonts w:ascii="Times New Roman" w:hAnsi="Times New Roman" w:cs="Times New Roman"/>
          <w:sz w:val="20"/>
          <w:szCs w:val="20"/>
        </w:rPr>
      </w:pPr>
      <m:oMath>
        <m:r>
          <w:rPr>
            <w:rFonts w:ascii="Cambria Math" w:hAnsi="Cambria Math" w:cs="Times New Roman"/>
            <w:sz w:val="20"/>
            <w:szCs w:val="20"/>
          </w:rPr>
          <m:t>n</m:t>
        </m:r>
      </m:oMath>
      <w:r w:rsidRPr="00FC3570">
        <w:rPr>
          <w:rFonts w:ascii="Times New Roman" w:hAnsi="Times New Roman" w:cs="Times New Roman"/>
          <w:sz w:val="20"/>
          <w:szCs w:val="20"/>
        </w:rPr>
        <w:t xml:space="preserve"> = total number of indicators</w:t>
      </w:r>
    </w:p>
    <w:p w:rsidR="00FC3570" w:rsidRPr="00FC3570" w:rsidRDefault="00FC3570" w:rsidP="00FC3570">
      <w:pPr>
        <w:spacing w:after="0"/>
        <w:jc w:val="both"/>
        <w:rPr>
          <w:rFonts w:ascii="Times New Roman" w:hAnsi="Times New Roman" w:cs="Times New Roman"/>
          <w:sz w:val="20"/>
          <w:szCs w:val="20"/>
        </w:rPr>
      </w:pPr>
      <w:r w:rsidRPr="00FC3570">
        <w:rPr>
          <w:rFonts w:ascii="Times New Roman" w:hAnsi="Times New Roman" w:cs="Times New Roman"/>
          <w:sz w:val="20"/>
          <w:szCs w:val="20"/>
        </w:rPr>
        <w:t>Higher values indicate higher levels of empowerment, while lower values indicate lower levels. The index value goes from 0 to 1.</w:t>
      </w:r>
    </w:p>
    <w:p w:rsidR="00FC3570" w:rsidRPr="00FC3570" w:rsidRDefault="00FC3570" w:rsidP="00FC3570">
      <w:pPr>
        <w:spacing w:after="0"/>
        <w:jc w:val="both"/>
        <w:rPr>
          <w:rFonts w:ascii="Times New Roman" w:hAnsi="Times New Roman" w:cs="Times New Roman"/>
          <w:sz w:val="20"/>
          <w:szCs w:val="20"/>
        </w:rPr>
      </w:pPr>
    </w:p>
    <w:p w:rsidR="00A20606" w:rsidRDefault="00FC3570" w:rsidP="00A20606">
      <w:pPr>
        <w:spacing w:after="0"/>
        <w:jc w:val="both"/>
        <w:rPr>
          <w:rFonts w:ascii="Times New Roman" w:hAnsi="Times New Roman" w:cs="Times New Roman"/>
          <w:color w:val="222222"/>
          <w:sz w:val="20"/>
          <w:szCs w:val="20"/>
          <w:shd w:val="clear" w:color="auto" w:fill="FFFFFF"/>
        </w:rPr>
      </w:pPr>
      <w:r w:rsidRPr="00FC3570">
        <w:rPr>
          <w:rFonts w:ascii="Times New Roman" w:hAnsi="Times New Roman" w:cs="Times New Roman"/>
          <w:color w:val="222222"/>
          <w:sz w:val="20"/>
          <w:szCs w:val="20"/>
          <w:shd w:val="clear" w:color="auto" w:fill="FFFFFF"/>
        </w:rPr>
        <w:t>Ten indicators relating to WASH index were factor analysed using Principal Component Analysis (PCA). Local Moran I and LISA is carried out to analyse spatial autocorrelation.</w:t>
      </w:r>
    </w:p>
    <w:p w:rsidR="00557C82" w:rsidRDefault="00557C82" w:rsidP="00A20606">
      <w:pPr>
        <w:spacing w:after="0"/>
        <w:jc w:val="both"/>
        <w:rPr>
          <w:rFonts w:ascii="Times New Roman" w:hAnsi="Times New Roman" w:cs="Times New Roman"/>
          <w:color w:val="222222"/>
          <w:sz w:val="20"/>
          <w:szCs w:val="20"/>
          <w:shd w:val="clear" w:color="auto" w:fill="FFFFFF"/>
        </w:rPr>
      </w:pPr>
    </w:p>
    <w:p w:rsidR="00557C82" w:rsidRDefault="00557C82" w:rsidP="00A20606">
      <w:pPr>
        <w:spacing w:after="0"/>
        <w:jc w:val="both"/>
        <w:rPr>
          <w:rFonts w:ascii="Times New Roman" w:hAnsi="Times New Roman" w:cs="Times New Roman"/>
          <w:color w:val="222222"/>
          <w:sz w:val="20"/>
          <w:szCs w:val="20"/>
          <w:shd w:val="clear" w:color="auto" w:fill="FFFFFF"/>
        </w:rPr>
      </w:pPr>
    </w:p>
    <w:p w:rsidR="00C04DBE" w:rsidRPr="00A20606" w:rsidRDefault="00C04DBE" w:rsidP="00A20606">
      <w:pPr>
        <w:spacing w:after="0"/>
        <w:jc w:val="both"/>
        <w:rPr>
          <w:rFonts w:ascii="Times New Roman" w:hAnsi="Times New Roman" w:cs="Times New Roman"/>
          <w:color w:val="222222"/>
          <w:sz w:val="20"/>
          <w:szCs w:val="20"/>
          <w:shd w:val="clear" w:color="auto" w:fill="FFFFFF"/>
        </w:rPr>
      </w:pPr>
      <w:r w:rsidRPr="00FC3570">
        <w:rPr>
          <w:rFonts w:ascii="Times New Roman" w:hAnsi="Times New Roman" w:cs="Times New Roman"/>
          <w:b/>
          <w:bCs/>
          <w:sz w:val="20"/>
          <w:szCs w:val="20"/>
        </w:rPr>
        <w:t>7. RESULT AND DISCUSSION</w:t>
      </w:r>
    </w:p>
    <w:p w:rsidR="00A20606" w:rsidRDefault="00A20606" w:rsidP="00FC3570">
      <w:pPr>
        <w:rPr>
          <w:rFonts w:ascii="Times New Roman" w:hAnsi="Times New Roman" w:cs="Times New Roman"/>
          <w:b/>
          <w:bCs/>
          <w:sz w:val="20"/>
          <w:szCs w:val="20"/>
        </w:rPr>
      </w:pPr>
    </w:p>
    <w:p w:rsidR="00FC3570" w:rsidRPr="00FC3570" w:rsidRDefault="00FC3570" w:rsidP="00FC3570">
      <w:pPr>
        <w:rPr>
          <w:rFonts w:ascii="Times New Roman" w:hAnsi="Times New Roman" w:cs="Times New Roman"/>
          <w:b/>
          <w:bCs/>
          <w:sz w:val="20"/>
          <w:szCs w:val="20"/>
        </w:rPr>
      </w:pPr>
      <w:r w:rsidRPr="00FC3570">
        <w:rPr>
          <w:rFonts w:ascii="Times New Roman" w:hAnsi="Times New Roman" w:cs="Times New Roman"/>
          <w:b/>
          <w:bCs/>
          <w:sz w:val="20"/>
          <w:szCs w:val="20"/>
        </w:rPr>
        <w:t>Spatial Pattern of Child Malnutrition in West Bengal</w:t>
      </w:r>
    </w:p>
    <w:p w:rsidR="00557C82" w:rsidRDefault="00FC3570" w:rsidP="00073CBA">
      <w:pPr>
        <w:jc w:val="both"/>
        <w:rPr>
          <w:rFonts w:ascii="Times New Roman" w:hAnsi="Times New Roman" w:cs="Times New Roman"/>
          <w:sz w:val="20"/>
          <w:szCs w:val="20"/>
        </w:rPr>
      </w:pPr>
      <w:r w:rsidRPr="00FC3570">
        <w:rPr>
          <w:rFonts w:ascii="Times New Roman" w:hAnsi="Times New Roman" w:cs="Times New Roman"/>
          <w:sz w:val="20"/>
          <w:szCs w:val="20"/>
        </w:rPr>
        <w:t>The map</w:t>
      </w:r>
      <w:r w:rsidR="00073CBA">
        <w:rPr>
          <w:rFonts w:ascii="Times New Roman" w:hAnsi="Times New Roman" w:cs="Times New Roman"/>
          <w:sz w:val="20"/>
          <w:szCs w:val="20"/>
        </w:rPr>
        <w:t xml:space="preserve"> 1</w:t>
      </w:r>
      <w:r w:rsidRPr="00FC3570">
        <w:rPr>
          <w:rFonts w:ascii="Times New Roman" w:hAnsi="Times New Roman" w:cs="Times New Roman"/>
          <w:sz w:val="20"/>
          <w:szCs w:val="20"/>
        </w:rPr>
        <w:t xml:space="preserve"> illustrates the district-wise spatial distribution of child malnutrition in West Bengal, categorized into three levels: Low, Moderate, and High Child Malnutrition Index. The spatial pattern reveals significant geographical disparities in child nutritional outcomes across the state.</w:t>
      </w:r>
      <w:r>
        <w:rPr>
          <w:rFonts w:ascii="Times New Roman" w:hAnsi="Times New Roman" w:cs="Times New Roman"/>
          <w:sz w:val="20"/>
          <w:szCs w:val="20"/>
        </w:rPr>
        <w:t xml:space="preserve"> </w:t>
      </w:r>
      <w:r w:rsidRPr="00FC3570">
        <w:rPr>
          <w:rFonts w:ascii="Times New Roman" w:hAnsi="Times New Roman" w:cs="Times New Roman"/>
          <w:sz w:val="20"/>
          <w:szCs w:val="20"/>
        </w:rPr>
        <w:t>Districts located in the western part of West Bengal exhibit a higher concentration of child malnutrition, whereas several districts in the eastern and northern regions show relatively lower levels.</w:t>
      </w:r>
      <w:r w:rsidR="00073CBA" w:rsidRPr="00073CBA">
        <w:t xml:space="preserve"> </w:t>
      </w:r>
      <w:r w:rsidR="00073CBA" w:rsidRPr="00073CBA">
        <w:rPr>
          <w:rFonts w:ascii="Times New Roman" w:hAnsi="Times New Roman" w:cs="Times New Roman"/>
          <w:sz w:val="20"/>
          <w:szCs w:val="20"/>
        </w:rPr>
        <w:t>The districts classified under the high chil</w:t>
      </w:r>
      <w:r w:rsidR="00073CBA">
        <w:rPr>
          <w:rFonts w:ascii="Times New Roman" w:hAnsi="Times New Roman" w:cs="Times New Roman"/>
          <w:sz w:val="20"/>
          <w:szCs w:val="20"/>
        </w:rPr>
        <w:t xml:space="preserve">d malnutrition category include </w:t>
      </w:r>
      <w:proofErr w:type="spellStart"/>
      <w:r w:rsidR="00073CBA">
        <w:rPr>
          <w:rFonts w:ascii="Times New Roman" w:hAnsi="Times New Roman" w:cs="Times New Roman"/>
          <w:sz w:val="20"/>
          <w:szCs w:val="20"/>
        </w:rPr>
        <w:t>Puruliya</w:t>
      </w:r>
      <w:proofErr w:type="spellEnd"/>
      <w:r w:rsidR="00073CBA">
        <w:rPr>
          <w:rFonts w:ascii="Times New Roman" w:hAnsi="Times New Roman" w:cs="Times New Roman"/>
          <w:sz w:val="20"/>
          <w:szCs w:val="20"/>
        </w:rPr>
        <w:t xml:space="preserve">, </w:t>
      </w:r>
      <w:proofErr w:type="spellStart"/>
      <w:r w:rsidR="00073CBA">
        <w:rPr>
          <w:rFonts w:ascii="Times New Roman" w:hAnsi="Times New Roman" w:cs="Times New Roman"/>
          <w:sz w:val="20"/>
          <w:szCs w:val="20"/>
        </w:rPr>
        <w:t>Paschim</w:t>
      </w:r>
      <w:proofErr w:type="spellEnd"/>
      <w:r w:rsidR="00073CBA">
        <w:rPr>
          <w:rFonts w:ascii="Times New Roman" w:hAnsi="Times New Roman" w:cs="Times New Roman"/>
          <w:sz w:val="20"/>
          <w:szCs w:val="20"/>
        </w:rPr>
        <w:t xml:space="preserve"> </w:t>
      </w:r>
      <w:proofErr w:type="spellStart"/>
      <w:r w:rsidR="00073CBA">
        <w:rPr>
          <w:rFonts w:ascii="Times New Roman" w:hAnsi="Times New Roman" w:cs="Times New Roman"/>
          <w:sz w:val="20"/>
          <w:szCs w:val="20"/>
        </w:rPr>
        <w:t>Bardhaman</w:t>
      </w:r>
      <w:proofErr w:type="spellEnd"/>
      <w:r w:rsidR="00073CBA">
        <w:rPr>
          <w:rFonts w:ascii="Times New Roman" w:hAnsi="Times New Roman" w:cs="Times New Roman"/>
          <w:sz w:val="20"/>
          <w:szCs w:val="20"/>
        </w:rPr>
        <w:t xml:space="preserve">, </w:t>
      </w:r>
      <w:proofErr w:type="spellStart"/>
      <w:r w:rsidR="00073CBA">
        <w:rPr>
          <w:rFonts w:ascii="Times New Roman" w:hAnsi="Times New Roman" w:cs="Times New Roman"/>
          <w:sz w:val="20"/>
          <w:szCs w:val="20"/>
        </w:rPr>
        <w:t>Birbhum</w:t>
      </w:r>
      <w:proofErr w:type="spellEnd"/>
      <w:r w:rsidR="00073CBA">
        <w:rPr>
          <w:rFonts w:ascii="Times New Roman" w:hAnsi="Times New Roman" w:cs="Times New Roman"/>
          <w:sz w:val="20"/>
          <w:szCs w:val="20"/>
        </w:rPr>
        <w:t xml:space="preserve"> and </w:t>
      </w:r>
      <w:proofErr w:type="spellStart"/>
      <w:r w:rsidR="00073CBA">
        <w:rPr>
          <w:rFonts w:ascii="Times New Roman" w:hAnsi="Times New Roman" w:cs="Times New Roman"/>
          <w:sz w:val="20"/>
          <w:szCs w:val="20"/>
        </w:rPr>
        <w:t>Paschim</w:t>
      </w:r>
      <w:proofErr w:type="spellEnd"/>
      <w:r w:rsidR="00073CBA">
        <w:rPr>
          <w:rFonts w:ascii="Times New Roman" w:hAnsi="Times New Roman" w:cs="Times New Roman"/>
          <w:sz w:val="20"/>
          <w:szCs w:val="20"/>
        </w:rPr>
        <w:t xml:space="preserve"> </w:t>
      </w:r>
      <w:proofErr w:type="spellStart"/>
      <w:r w:rsidR="00073CBA">
        <w:rPr>
          <w:rFonts w:ascii="Times New Roman" w:hAnsi="Times New Roman" w:cs="Times New Roman"/>
          <w:sz w:val="20"/>
          <w:szCs w:val="20"/>
        </w:rPr>
        <w:t>Medinipur</w:t>
      </w:r>
      <w:proofErr w:type="spellEnd"/>
      <w:r w:rsidR="00073CBA">
        <w:rPr>
          <w:rFonts w:ascii="Times New Roman" w:hAnsi="Times New Roman" w:cs="Times New Roman"/>
          <w:sz w:val="20"/>
          <w:szCs w:val="20"/>
        </w:rPr>
        <w:t xml:space="preserve">. </w:t>
      </w:r>
      <w:proofErr w:type="spellStart"/>
      <w:r w:rsidR="00073CBA" w:rsidRPr="00073CBA">
        <w:rPr>
          <w:rFonts w:ascii="Times New Roman" w:hAnsi="Times New Roman" w:cs="Times New Roman"/>
          <w:sz w:val="20"/>
          <w:szCs w:val="20"/>
        </w:rPr>
        <w:t>Purulia</w:t>
      </w:r>
      <w:proofErr w:type="spellEnd"/>
      <w:r w:rsidR="00073CBA" w:rsidRPr="00073CBA">
        <w:rPr>
          <w:rFonts w:ascii="Times New Roman" w:hAnsi="Times New Roman" w:cs="Times New Roman"/>
          <w:sz w:val="20"/>
          <w:szCs w:val="20"/>
        </w:rPr>
        <w:t>, in particular, has historically been recognized as one of the most socio-economically disadvantaged districts in the state, which may explain its high malnutrition burden</w:t>
      </w:r>
      <w:r w:rsidR="00073CBA">
        <w:rPr>
          <w:rFonts w:ascii="Times New Roman" w:hAnsi="Times New Roman" w:cs="Times New Roman"/>
          <w:sz w:val="20"/>
          <w:szCs w:val="20"/>
        </w:rPr>
        <w:t xml:space="preserve">. Moderate child malnutrition districts include Darjeeling, Uttar </w:t>
      </w:r>
      <w:proofErr w:type="spellStart"/>
      <w:r w:rsidR="00073CBA">
        <w:rPr>
          <w:rFonts w:ascii="Times New Roman" w:hAnsi="Times New Roman" w:cs="Times New Roman"/>
          <w:sz w:val="20"/>
          <w:szCs w:val="20"/>
        </w:rPr>
        <w:t>Dinajpur</w:t>
      </w:r>
      <w:proofErr w:type="spellEnd"/>
      <w:r w:rsidR="00073CBA">
        <w:rPr>
          <w:rFonts w:ascii="Times New Roman" w:hAnsi="Times New Roman" w:cs="Times New Roman"/>
          <w:sz w:val="20"/>
          <w:szCs w:val="20"/>
        </w:rPr>
        <w:t xml:space="preserve">, </w:t>
      </w:r>
      <w:proofErr w:type="spellStart"/>
      <w:r w:rsidR="00073CBA">
        <w:rPr>
          <w:rFonts w:ascii="Times New Roman" w:hAnsi="Times New Roman" w:cs="Times New Roman"/>
          <w:sz w:val="20"/>
          <w:szCs w:val="20"/>
        </w:rPr>
        <w:t>Dakshin</w:t>
      </w:r>
      <w:proofErr w:type="spellEnd"/>
      <w:r w:rsidR="00073CBA">
        <w:rPr>
          <w:rFonts w:ascii="Times New Roman" w:hAnsi="Times New Roman" w:cs="Times New Roman"/>
          <w:sz w:val="20"/>
          <w:szCs w:val="20"/>
        </w:rPr>
        <w:t xml:space="preserve"> </w:t>
      </w:r>
      <w:proofErr w:type="spellStart"/>
      <w:r w:rsidR="00073CBA">
        <w:rPr>
          <w:rFonts w:ascii="Times New Roman" w:hAnsi="Times New Roman" w:cs="Times New Roman"/>
          <w:sz w:val="20"/>
          <w:szCs w:val="20"/>
        </w:rPr>
        <w:t>Dinajpur</w:t>
      </w:r>
      <w:proofErr w:type="spellEnd"/>
      <w:r w:rsidR="00073CBA">
        <w:rPr>
          <w:rFonts w:ascii="Times New Roman" w:hAnsi="Times New Roman" w:cs="Times New Roman"/>
          <w:sz w:val="20"/>
          <w:szCs w:val="20"/>
        </w:rPr>
        <w:t xml:space="preserve">, </w:t>
      </w:r>
      <w:proofErr w:type="spellStart"/>
      <w:r w:rsidR="00073CBA">
        <w:rPr>
          <w:rFonts w:ascii="Times New Roman" w:hAnsi="Times New Roman" w:cs="Times New Roman"/>
          <w:sz w:val="20"/>
          <w:szCs w:val="20"/>
        </w:rPr>
        <w:t>Maldah</w:t>
      </w:r>
      <w:proofErr w:type="spellEnd"/>
      <w:r w:rsidR="00073CBA">
        <w:rPr>
          <w:rFonts w:ascii="Times New Roman" w:hAnsi="Times New Roman" w:cs="Times New Roman"/>
          <w:sz w:val="20"/>
          <w:szCs w:val="20"/>
        </w:rPr>
        <w:t xml:space="preserve">, </w:t>
      </w:r>
      <w:proofErr w:type="spellStart"/>
      <w:r w:rsidR="00073CBA">
        <w:rPr>
          <w:rFonts w:ascii="Times New Roman" w:hAnsi="Times New Roman" w:cs="Times New Roman"/>
          <w:sz w:val="20"/>
          <w:szCs w:val="20"/>
        </w:rPr>
        <w:t>Murshidabad</w:t>
      </w:r>
      <w:proofErr w:type="spellEnd"/>
      <w:r w:rsidR="00073CBA">
        <w:rPr>
          <w:rFonts w:ascii="Times New Roman" w:hAnsi="Times New Roman" w:cs="Times New Roman"/>
          <w:sz w:val="20"/>
          <w:szCs w:val="20"/>
        </w:rPr>
        <w:t xml:space="preserve">, </w:t>
      </w:r>
      <w:proofErr w:type="spellStart"/>
      <w:r w:rsidR="00073CBA">
        <w:rPr>
          <w:rFonts w:ascii="Times New Roman" w:hAnsi="Times New Roman" w:cs="Times New Roman"/>
          <w:sz w:val="20"/>
          <w:szCs w:val="20"/>
        </w:rPr>
        <w:t>Bankura</w:t>
      </w:r>
      <w:proofErr w:type="spellEnd"/>
      <w:r w:rsidR="00073CBA">
        <w:rPr>
          <w:rFonts w:ascii="Times New Roman" w:hAnsi="Times New Roman" w:cs="Times New Roman"/>
          <w:sz w:val="20"/>
          <w:szCs w:val="20"/>
        </w:rPr>
        <w:t xml:space="preserve">, </w:t>
      </w:r>
      <w:proofErr w:type="spellStart"/>
      <w:r w:rsidR="00073CBA">
        <w:rPr>
          <w:rFonts w:ascii="Times New Roman" w:hAnsi="Times New Roman" w:cs="Times New Roman"/>
          <w:sz w:val="20"/>
          <w:szCs w:val="20"/>
        </w:rPr>
        <w:t>Purba</w:t>
      </w:r>
      <w:proofErr w:type="spellEnd"/>
      <w:r w:rsidR="00073CBA">
        <w:rPr>
          <w:rFonts w:ascii="Times New Roman" w:hAnsi="Times New Roman" w:cs="Times New Roman"/>
          <w:sz w:val="20"/>
          <w:szCs w:val="20"/>
        </w:rPr>
        <w:t xml:space="preserve"> </w:t>
      </w:r>
      <w:proofErr w:type="spellStart"/>
      <w:r w:rsidR="00073CBA">
        <w:rPr>
          <w:rFonts w:ascii="Times New Roman" w:hAnsi="Times New Roman" w:cs="Times New Roman"/>
          <w:sz w:val="20"/>
          <w:szCs w:val="20"/>
        </w:rPr>
        <w:t>Bardhaman</w:t>
      </w:r>
      <w:proofErr w:type="spellEnd"/>
      <w:r w:rsidR="00073CBA">
        <w:rPr>
          <w:rFonts w:ascii="Times New Roman" w:hAnsi="Times New Roman" w:cs="Times New Roman"/>
          <w:sz w:val="20"/>
          <w:szCs w:val="20"/>
        </w:rPr>
        <w:t xml:space="preserve">, South 24 </w:t>
      </w:r>
      <w:proofErr w:type="spellStart"/>
      <w:r w:rsidR="00073CBA">
        <w:rPr>
          <w:rFonts w:ascii="Times New Roman" w:hAnsi="Times New Roman" w:cs="Times New Roman"/>
          <w:sz w:val="20"/>
          <w:szCs w:val="20"/>
        </w:rPr>
        <w:t>Parganas</w:t>
      </w:r>
      <w:proofErr w:type="spellEnd"/>
      <w:r w:rsidR="00073CBA">
        <w:rPr>
          <w:rFonts w:ascii="Times New Roman" w:hAnsi="Times New Roman" w:cs="Times New Roman"/>
          <w:sz w:val="20"/>
          <w:szCs w:val="20"/>
        </w:rPr>
        <w:t xml:space="preserve"> and Kolkata. </w:t>
      </w:r>
    </w:p>
    <w:p w:rsidR="00073CBA" w:rsidRPr="00073CBA" w:rsidRDefault="00073CBA" w:rsidP="00073CBA">
      <w:pPr>
        <w:jc w:val="center"/>
        <w:rPr>
          <w:rFonts w:ascii="Times New Roman" w:hAnsi="Times New Roman" w:cs="Times New Roman"/>
          <w:b/>
          <w:bCs/>
          <w:sz w:val="20"/>
          <w:szCs w:val="20"/>
        </w:rPr>
      </w:pPr>
      <w:r>
        <w:rPr>
          <w:rFonts w:ascii="Times New Roman" w:hAnsi="Times New Roman" w:cs="Times New Roman"/>
          <w:b/>
          <w:bCs/>
          <w:sz w:val="20"/>
          <w:szCs w:val="20"/>
        </w:rPr>
        <w:t>Map</w:t>
      </w:r>
      <w:r w:rsidRPr="00073CBA">
        <w:rPr>
          <w:rFonts w:ascii="Times New Roman" w:hAnsi="Times New Roman" w:cs="Times New Roman"/>
          <w:b/>
          <w:bCs/>
          <w:sz w:val="20"/>
          <w:szCs w:val="20"/>
        </w:rPr>
        <w:t xml:space="preserve"> 1 Spatial Pattern of Child Malnutrition</w:t>
      </w:r>
    </w:p>
    <w:p w:rsidR="00073CBA" w:rsidRPr="00073CBA" w:rsidRDefault="00073CBA" w:rsidP="00073CBA">
      <w:pPr>
        <w:jc w:val="center"/>
        <w:rPr>
          <w:rFonts w:ascii="Times New Roman" w:hAnsi="Times New Roman" w:cs="Times New Roman"/>
          <w:sz w:val="20"/>
          <w:szCs w:val="20"/>
        </w:rPr>
      </w:pPr>
      <w:r>
        <w:rPr>
          <w:rFonts w:ascii="Times New Roman" w:hAnsi="Times New Roman" w:cs="Times New Roman"/>
          <w:noProof/>
          <w:sz w:val="20"/>
          <w:szCs w:val="20"/>
          <w:lang w:eastAsia="en-IN" w:bidi="bn-IN"/>
        </w:rPr>
        <w:drawing>
          <wp:inline distT="0" distB="0" distL="0" distR="0">
            <wp:extent cx="3212757" cy="4546793"/>
            <wp:effectExtent l="0" t="0" r="6985" b="6350"/>
            <wp:docPr id="1" name="Picture 1" descr="E:\Child Health\Child Malnitrition Index WB NFHS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hild Health\Child Malnitrition Index WB NFHS 5.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1927" cy="4545619"/>
                    </a:xfrm>
                    <a:prstGeom prst="rect">
                      <a:avLst/>
                    </a:prstGeom>
                    <a:noFill/>
                    <a:ln>
                      <a:noFill/>
                    </a:ln>
                  </pic:spPr>
                </pic:pic>
              </a:graphicData>
            </a:graphic>
          </wp:inline>
        </w:drawing>
      </w:r>
    </w:p>
    <w:p w:rsidR="00073CBA" w:rsidRPr="00073CBA" w:rsidRDefault="00073CBA" w:rsidP="00073CBA">
      <w:pPr>
        <w:jc w:val="both"/>
        <w:rPr>
          <w:rFonts w:ascii="Times New Roman" w:hAnsi="Times New Roman" w:cs="Times New Roman"/>
          <w:sz w:val="20"/>
          <w:szCs w:val="20"/>
        </w:rPr>
      </w:pPr>
      <w:r w:rsidRPr="00073CBA">
        <w:rPr>
          <w:rFonts w:ascii="Times New Roman" w:hAnsi="Times New Roman" w:cs="Times New Roman"/>
          <w:sz w:val="20"/>
          <w:szCs w:val="20"/>
        </w:rPr>
        <w:lastRenderedPageBreak/>
        <w:t>The presence of Kolkata in the moderate category suggests that urbanization alone does not eliminate malnutrition. Urban poverty, slum settlements, and unequal access to nutrition and healthcare services continue to affect child nutritional outcomes even in metropolitan areas.</w:t>
      </w:r>
      <w:r>
        <w:rPr>
          <w:rFonts w:ascii="Times New Roman" w:hAnsi="Times New Roman" w:cs="Times New Roman"/>
          <w:sz w:val="20"/>
          <w:szCs w:val="20"/>
        </w:rPr>
        <w:t xml:space="preserve"> Low child malnutrition districts include </w:t>
      </w:r>
      <w:proofErr w:type="spellStart"/>
      <w:r>
        <w:rPr>
          <w:rFonts w:ascii="Times New Roman" w:hAnsi="Times New Roman" w:cs="Times New Roman"/>
          <w:sz w:val="20"/>
          <w:szCs w:val="20"/>
        </w:rPr>
        <w:t>Jalpaiguri</w:t>
      </w:r>
      <w:proofErr w:type="spellEnd"/>
      <w:r>
        <w:rPr>
          <w:rFonts w:ascii="Times New Roman" w:hAnsi="Times New Roman" w:cs="Times New Roman"/>
          <w:sz w:val="20"/>
          <w:szCs w:val="20"/>
        </w:rPr>
        <w:t xml:space="preserve">, Cooch Behar, Nadia, Hooghly, Howrah, North 24 </w:t>
      </w:r>
      <w:proofErr w:type="spellStart"/>
      <w:r>
        <w:rPr>
          <w:rFonts w:ascii="Times New Roman" w:hAnsi="Times New Roman" w:cs="Times New Roman"/>
          <w:sz w:val="20"/>
          <w:szCs w:val="20"/>
        </w:rPr>
        <w:t>Parganas</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Purba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Medinipur</w:t>
      </w:r>
      <w:proofErr w:type="spellEnd"/>
      <w:r>
        <w:rPr>
          <w:rFonts w:ascii="Times New Roman" w:hAnsi="Times New Roman" w:cs="Times New Roman"/>
          <w:sz w:val="20"/>
          <w:szCs w:val="20"/>
        </w:rPr>
        <w:t>.</w:t>
      </w:r>
      <w:r w:rsidRPr="00FC3570">
        <w:rPr>
          <w:rFonts w:ascii="Times New Roman" w:hAnsi="Times New Roman" w:cs="Times New Roman"/>
          <w:sz w:val="20"/>
          <w:szCs w:val="20"/>
        </w:rPr>
        <w:t xml:space="preserve"> This indicates that child malnutrition is not uniformly distributed across the state but is spatially clustered in specific regions.</w:t>
      </w:r>
      <w:r>
        <w:rPr>
          <w:rFonts w:ascii="Times New Roman" w:hAnsi="Times New Roman" w:cs="Times New Roman"/>
          <w:sz w:val="20"/>
          <w:szCs w:val="20"/>
        </w:rPr>
        <w:t xml:space="preserve"> </w:t>
      </w:r>
      <w:r w:rsidRPr="00073CBA">
        <w:rPr>
          <w:rFonts w:ascii="Times New Roman" w:eastAsia="Times New Roman" w:hAnsi="Times New Roman" w:cs="Times New Roman"/>
          <w:sz w:val="20"/>
          <w:szCs w:val="20"/>
          <w:lang w:eastAsia="en-IN" w:bidi="bn-IN"/>
        </w:rPr>
        <w:t>These districts demonstrate comparatively better nutritional conditions. Their relatively lower malnutrition levels may be attributed to better healthcare infrastructure, higher literacy rates, improved maternal and child healthcare services, better transportation and market accessibility and greater economic opportunities</w:t>
      </w:r>
    </w:p>
    <w:p w:rsidR="008F0078" w:rsidRPr="008F0078" w:rsidRDefault="008F0078" w:rsidP="008F0078">
      <w:pPr>
        <w:jc w:val="both"/>
        <w:rPr>
          <w:rFonts w:ascii="Times New Roman" w:hAnsi="Times New Roman" w:cs="Times New Roman"/>
          <w:b/>
          <w:bCs/>
          <w:sz w:val="20"/>
          <w:szCs w:val="20"/>
        </w:rPr>
      </w:pPr>
      <w:r w:rsidRPr="008F0078">
        <w:rPr>
          <w:rFonts w:ascii="Times New Roman" w:hAnsi="Times New Roman" w:cs="Times New Roman"/>
          <w:b/>
          <w:bCs/>
          <w:sz w:val="20"/>
          <w:szCs w:val="20"/>
        </w:rPr>
        <w:t>Spatial Variation in Stunting, Underweight and Wasting</w:t>
      </w:r>
    </w:p>
    <w:p w:rsidR="008F0078" w:rsidRDefault="00073CBA" w:rsidP="008F0078">
      <w:pPr>
        <w:jc w:val="both"/>
        <w:rPr>
          <w:rFonts w:ascii="Times New Roman" w:hAnsi="Times New Roman" w:cs="Times New Roman"/>
          <w:sz w:val="20"/>
          <w:szCs w:val="20"/>
        </w:rPr>
      </w:pPr>
      <w:r w:rsidRPr="00073CBA">
        <w:rPr>
          <w:rFonts w:ascii="Times New Roman" w:hAnsi="Times New Roman" w:cs="Times New Roman"/>
          <w:sz w:val="20"/>
          <w:szCs w:val="20"/>
        </w:rPr>
        <w:t>The map</w:t>
      </w:r>
      <w:r>
        <w:rPr>
          <w:rFonts w:ascii="Times New Roman" w:hAnsi="Times New Roman" w:cs="Times New Roman"/>
          <w:sz w:val="20"/>
          <w:szCs w:val="20"/>
        </w:rPr>
        <w:t xml:space="preserve"> 2</w:t>
      </w:r>
      <w:r w:rsidRPr="00073CBA">
        <w:rPr>
          <w:rFonts w:ascii="Times New Roman" w:hAnsi="Times New Roman" w:cs="Times New Roman"/>
          <w:sz w:val="20"/>
          <w:szCs w:val="20"/>
        </w:rPr>
        <w:t xml:space="preserve"> presents the district-wise distribution of three major indicators of child </w:t>
      </w:r>
      <w:proofErr w:type="spellStart"/>
      <w:r w:rsidRPr="00073CBA">
        <w:rPr>
          <w:rFonts w:ascii="Times New Roman" w:hAnsi="Times New Roman" w:cs="Times New Roman"/>
          <w:sz w:val="20"/>
          <w:szCs w:val="20"/>
        </w:rPr>
        <w:t>undernutrition</w:t>
      </w:r>
      <w:proofErr w:type="spellEnd"/>
      <w:r w:rsidRPr="00073CBA">
        <w:rPr>
          <w:rFonts w:ascii="Times New Roman" w:hAnsi="Times New Roman" w:cs="Times New Roman"/>
          <w:sz w:val="20"/>
          <w:szCs w:val="20"/>
        </w:rPr>
        <w:t>—stunting, underweight, and wasting—among children under five years of age in West Bengal based on NFHS-5 data. The pie charts illustrate the relative contribution of each indicator within individual districts, enabling a comparative assessment of child nutritional deprivation across the state.</w:t>
      </w:r>
      <w:r w:rsidR="008F0078">
        <w:rPr>
          <w:rFonts w:ascii="Times New Roman" w:hAnsi="Times New Roman" w:cs="Times New Roman"/>
          <w:sz w:val="20"/>
          <w:szCs w:val="20"/>
        </w:rPr>
        <w:t xml:space="preserve"> </w:t>
      </w:r>
      <w:r w:rsidR="008F0078" w:rsidRPr="008F0078">
        <w:rPr>
          <w:rFonts w:ascii="Times New Roman" w:hAnsi="Times New Roman" w:cs="Times New Roman"/>
          <w:sz w:val="20"/>
          <w:szCs w:val="20"/>
        </w:rPr>
        <w:t>The map</w:t>
      </w:r>
      <w:r w:rsidR="008F0078">
        <w:rPr>
          <w:rFonts w:ascii="Times New Roman" w:hAnsi="Times New Roman" w:cs="Times New Roman"/>
          <w:sz w:val="20"/>
          <w:szCs w:val="20"/>
        </w:rPr>
        <w:t xml:space="preserve"> 2</w:t>
      </w:r>
      <w:r w:rsidR="008F0078" w:rsidRPr="008F0078">
        <w:rPr>
          <w:rFonts w:ascii="Times New Roman" w:hAnsi="Times New Roman" w:cs="Times New Roman"/>
          <w:sz w:val="20"/>
          <w:szCs w:val="20"/>
        </w:rPr>
        <w:t xml:space="preserve"> indicates that stunting constitutes the largest share of child malnutrition in most districts, followed by underweight and wasting. This pattern suggests that chronic </w:t>
      </w:r>
      <w:proofErr w:type="spellStart"/>
      <w:r w:rsidR="008F0078" w:rsidRPr="008F0078">
        <w:rPr>
          <w:rFonts w:ascii="Times New Roman" w:hAnsi="Times New Roman" w:cs="Times New Roman"/>
          <w:sz w:val="20"/>
          <w:szCs w:val="20"/>
        </w:rPr>
        <w:t>undernutrition</w:t>
      </w:r>
      <w:proofErr w:type="spellEnd"/>
      <w:r w:rsidR="008F0078" w:rsidRPr="008F0078">
        <w:rPr>
          <w:rFonts w:ascii="Times New Roman" w:hAnsi="Times New Roman" w:cs="Times New Roman"/>
          <w:sz w:val="20"/>
          <w:szCs w:val="20"/>
        </w:rPr>
        <w:t xml:space="preserve"> remains a more severe challenge than acute malnutrition in West Bengal. Since stunting reflects long-term nutritional deprivation and repeated exposure to infections, its predominance indicates persistent socio-economic and health-related disadvantages affecting child growth.</w:t>
      </w:r>
    </w:p>
    <w:p w:rsidR="008F0078" w:rsidRDefault="008F0078" w:rsidP="008F0078">
      <w:pPr>
        <w:jc w:val="both"/>
        <w:rPr>
          <w:rFonts w:ascii="Times New Roman" w:hAnsi="Times New Roman" w:cs="Times New Roman"/>
          <w:sz w:val="20"/>
          <w:szCs w:val="20"/>
        </w:rPr>
      </w:pPr>
    </w:p>
    <w:p w:rsidR="008F0078" w:rsidRPr="008F0078" w:rsidRDefault="008F0078" w:rsidP="008F0078">
      <w:pPr>
        <w:jc w:val="center"/>
        <w:rPr>
          <w:rFonts w:ascii="Times New Roman" w:hAnsi="Times New Roman" w:cs="Times New Roman"/>
          <w:b/>
          <w:bCs/>
          <w:sz w:val="20"/>
          <w:szCs w:val="20"/>
        </w:rPr>
      </w:pPr>
      <w:r w:rsidRPr="008F0078">
        <w:rPr>
          <w:rFonts w:ascii="Times New Roman" w:hAnsi="Times New Roman" w:cs="Times New Roman"/>
          <w:b/>
          <w:bCs/>
          <w:sz w:val="20"/>
          <w:szCs w:val="20"/>
        </w:rPr>
        <w:t xml:space="preserve">Map 2 Spatial </w:t>
      </w:r>
      <w:r w:rsidR="00A20606" w:rsidRPr="008F0078">
        <w:rPr>
          <w:rFonts w:ascii="Times New Roman" w:hAnsi="Times New Roman" w:cs="Times New Roman"/>
          <w:b/>
          <w:bCs/>
          <w:sz w:val="20"/>
          <w:szCs w:val="20"/>
        </w:rPr>
        <w:t>Variations</w:t>
      </w:r>
      <w:r w:rsidRPr="008F0078">
        <w:rPr>
          <w:rFonts w:ascii="Times New Roman" w:hAnsi="Times New Roman" w:cs="Times New Roman"/>
          <w:b/>
          <w:bCs/>
          <w:sz w:val="20"/>
          <w:szCs w:val="20"/>
        </w:rPr>
        <w:t xml:space="preserve"> of Stunting, Underweight and Wasting Children</w:t>
      </w:r>
    </w:p>
    <w:p w:rsidR="008F0078" w:rsidRDefault="008F0078" w:rsidP="008F0078">
      <w:pPr>
        <w:jc w:val="center"/>
        <w:rPr>
          <w:rFonts w:ascii="Times New Roman" w:hAnsi="Times New Roman" w:cs="Times New Roman"/>
          <w:sz w:val="20"/>
          <w:szCs w:val="20"/>
        </w:rPr>
      </w:pPr>
      <w:r>
        <w:rPr>
          <w:rFonts w:ascii="Times New Roman" w:hAnsi="Times New Roman" w:cs="Times New Roman"/>
          <w:noProof/>
          <w:sz w:val="20"/>
          <w:szCs w:val="20"/>
          <w:lang w:eastAsia="en-IN" w:bidi="bn-IN"/>
        </w:rPr>
        <w:drawing>
          <wp:inline distT="0" distB="0" distL="0" distR="0">
            <wp:extent cx="3190808" cy="4515730"/>
            <wp:effectExtent l="0" t="0" r="0" b="0"/>
            <wp:docPr id="2" name="Picture 2" descr="E:\Child Health\Child Stunted Underweight and Wasted Child WB NFHS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hild Health\Child Stunted Underweight and Wasted Child WB NFHS 5.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6946" cy="4510264"/>
                    </a:xfrm>
                    <a:prstGeom prst="rect">
                      <a:avLst/>
                    </a:prstGeom>
                    <a:noFill/>
                    <a:ln>
                      <a:noFill/>
                    </a:ln>
                  </pic:spPr>
                </pic:pic>
              </a:graphicData>
            </a:graphic>
          </wp:inline>
        </w:drawing>
      </w:r>
    </w:p>
    <w:p w:rsidR="008F0078" w:rsidRDefault="008F0078" w:rsidP="008F0078">
      <w:pPr>
        <w:spacing w:before="100" w:beforeAutospacing="1" w:after="100" w:afterAutospacing="1" w:line="240" w:lineRule="auto"/>
        <w:jc w:val="both"/>
        <w:rPr>
          <w:rFonts w:ascii="Times New Roman" w:eastAsia="Times New Roman" w:hAnsi="Times New Roman" w:cs="Times New Roman"/>
          <w:sz w:val="20"/>
          <w:szCs w:val="20"/>
          <w:lang w:eastAsia="en-IN" w:bidi="bn-IN"/>
        </w:rPr>
      </w:pPr>
      <w:r w:rsidRPr="008F0078">
        <w:rPr>
          <w:rFonts w:ascii="Times New Roman" w:eastAsia="Times New Roman" w:hAnsi="Times New Roman" w:cs="Times New Roman"/>
          <w:sz w:val="20"/>
          <w:szCs w:val="20"/>
          <w:lang w:eastAsia="en-IN" w:bidi="bn-IN"/>
        </w:rPr>
        <w:t xml:space="preserve">The green segments representing stunting are relatively larger across most districts, particularly in northern and </w:t>
      </w:r>
      <w:proofErr w:type="gramStart"/>
      <w:r w:rsidRPr="008F0078">
        <w:rPr>
          <w:rFonts w:ascii="Times New Roman" w:eastAsia="Times New Roman" w:hAnsi="Times New Roman" w:cs="Times New Roman"/>
          <w:sz w:val="20"/>
          <w:szCs w:val="20"/>
          <w:lang w:eastAsia="en-IN" w:bidi="bn-IN"/>
        </w:rPr>
        <w:t>central</w:t>
      </w:r>
      <w:proofErr w:type="gramEnd"/>
      <w:r w:rsidRPr="008F0078">
        <w:rPr>
          <w:rFonts w:ascii="Times New Roman" w:eastAsia="Times New Roman" w:hAnsi="Times New Roman" w:cs="Times New Roman"/>
          <w:sz w:val="20"/>
          <w:szCs w:val="20"/>
          <w:lang w:eastAsia="en-IN" w:bidi="bn-IN"/>
        </w:rPr>
        <w:t xml:space="preserve"> districts such as Darjeeling, </w:t>
      </w:r>
      <w:proofErr w:type="spellStart"/>
      <w:r w:rsidRPr="008F0078">
        <w:rPr>
          <w:rFonts w:ascii="Times New Roman" w:eastAsia="Times New Roman" w:hAnsi="Times New Roman" w:cs="Times New Roman"/>
          <w:sz w:val="20"/>
          <w:szCs w:val="20"/>
          <w:lang w:eastAsia="en-IN" w:bidi="bn-IN"/>
        </w:rPr>
        <w:t>Jalpaiguri</w:t>
      </w:r>
      <w:proofErr w:type="spellEnd"/>
      <w:r w:rsidRPr="008F0078">
        <w:rPr>
          <w:rFonts w:ascii="Times New Roman" w:eastAsia="Times New Roman" w:hAnsi="Times New Roman" w:cs="Times New Roman"/>
          <w:sz w:val="20"/>
          <w:szCs w:val="20"/>
          <w:lang w:eastAsia="en-IN" w:bidi="bn-IN"/>
        </w:rPr>
        <w:t xml:space="preserve">, Cooch Behar, Uttar </w:t>
      </w:r>
      <w:proofErr w:type="spellStart"/>
      <w:r w:rsidRPr="008F0078">
        <w:rPr>
          <w:rFonts w:ascii="Times New Roman" w:eastAsia="Times New Roman" w:hAnsi="Times New Roman" w:cs="Times New Roman"/>
          <w:sz w:val="20"/>
          <w:szCs w:val="20"/>
          <w:lang w:eastAsia="en-IN" w:bidi="bn-IN"/>
        </w:rPr>
        <w:t>Dinajpur</w:t>
      </w:r>
      <w:proofErr w:type="spellEnd"/>
      <w:r w:rsidRPr="008F0078">
        <w:rPr>
          <w:rFonts w:ascii="Times New Roman" w:eastAsia="Times New Roman" w:hAnsi="Times New Roman" w:cs="Times New Roman"/>
          <w:sz w:val="20"/>
          <w:szCs w:val="20"/>
          <w:lang w:eastAsia="en-IN" w:bidi="bn-IN"/>
        </w:rPr>
        <w:t xml:space="preserve">, </w:t>
      </w:r>
      <w:proofErr w:type="spellStart"/>
      <w:r w:rsidRPr="008F0078">
        <w:rPr>
          <w:rFonts w:ascii="Times New Roman" w:eastAsia="Times New Roman" w:hAnsi="Times New Roman" w:cs="Times New Roman"/>
          <w:sz w:val="20"/>
          <w:szCs w:val="20"/>
          <w:lang w:eastAsia="en-IN" w:bidi="bn-IN"/>
        </w:rPr>
        <w:t>Murshidabad</w:t>
      </w:r>
      <w:proofErr w:type="spellEnd"/>
      <w:r w:rsidRPr="008F0078">
        <w:rPr>
          <w:rFonts w:ascii="Times New Roman" w:eastAsia="Times New Roman" w:hAnsi="Times New Roman" w:cs="Times New Roman"/>
          <w:sz w:val="20"/>
          <w:szCs w:val="20"/>
          <w:lang w:eastAsia="en-IN" w:bidi="bn-IN"/>
        </w:rPr>
        <w:t xml:space="preserve">, and Nadia. This </w:t>
      </w:r>
      <w:r w:rsidRPr="008F0078">
        <w:rPr>
          <w:rFonts w:ascii="Times New Roman" w:eastAsia="Times New Roman" w:hAnsi="Times New Roman" w:cs="Times New Roman"/>
          <w:sz w:val="20"/>
          <w:szCs w:val="20"/>
          <w:lang w:eastAsia="en-IN" w:bidi="bn-IN"/>
        </w:rPr>
        <w:lastRenderedPageBreak/>
        <w:t>suggests that chronic nutritional deficiencies continue to affect a substantial proportion of children in these regions. High levels of stunting are often associated with poverty, inadequate maternal nutrition, poor sanitation, and limited access to healthcare services.</w:t>
      </w:r>
    </w:p>
    <w:p w:rsidR="00A20606" w:rsidRPr="00A20606" w:rsidRDefault="00A20606" w:rsidP="00A20606">
      <w:pPr>
        <w:spacing w:before="100" w:beforeAutospacing="1" w:after="100" w:afterAutospacing="1" w:line="240" w:lineRule="auto"/>
        <w:jc w:val="both"/>
        <w:rPr>
          <w:rFonts w:ascii="Times New Roman" w:eastAsia="Times New Roman" w:hAnsi="Times New Roman" w:cs="Times New Roman"/>
          <w:sz w:val="20"/>
          <w:szCs w:val="20"/>
          <w:lang w:eastAsia="en-IN" w:bidi="bn-IN"/>
        </w:rPr>
      </w:pPr>
      <w:r w:rsidRPr="00A20606">
        <w:rPr>
          <w:rFonts w:ascii="Times New Roman" w:eastAsia="Times New Roman" w:hAnsi="Times New Roman" w:cs="Times New Roman"/>
          <w:sz w:val="20"/>
          <w:szCs w:val="20"/>
          <w:lang w:eastAsia="en-IN" w:bidi="bn-IN"/>
        </w:rPr>
        <w:t>The orange segments</w:t>
      </w:r>
      <w:r>
        <w:rPr>
          <w:rFonts w:ascii="Times New Roman" w:eastAsia="Times New Roman" w:hAnsi="Times New Roman" w:cs="Times New Roman"/>
          <w:sz w:val="20"/>
          <w:szCs w:val="20"/>
          <w:lang w:eastAsia="en-IN" w:bidi="bn-IN"/>
        </w:rPr>
        <w:t xml:space="preserve"> in map 2</w:t>
      </w:r>
      <w:r w:rsidRPr="00A20606">
        <w:rPr>
          <w:rFonts w:ascii="Times New Roman" w:eastAsia="Times New Roman" w:hAnsi="Times New Roman" w:cs="Times New Roman"/>
          <w:sz w:val="20"/>
          <w:szCs w:val="20"/>
          <w:lang w:eastAsia="en-IN" w:bidi="bn-IN"/>
        </w:rPr>
        <w:t xml:space="preserve"> representing underweight children are prominent in many districts, especially in western districts such as </w:t>
      </w:r>
      <w:proofErr w:type="spellStart"/>
      <w:r w:rsidRPr="00A20606">
        <w:rPr>
          <w:rFonts w:ascii="Times New Roman" w:eastAsia="Times New Roman" w:hAnsi="Times New Roman" w:cs="Times New Roman"/>
          <w:sz w:val="20"/>
          <w:szCs w:val="20"/>
          <w:lang w:eastAsia="en-IN" w:bidi="bn-IN"/>
        </w:rPr>
        <w:t>Purulia</w:t>
      </w:r>
      <w:proofErr w:type="spellEnd"/>
      <w:r w:rsidRPr="00A20606">
        <w:rPr>
          <w:rFonts w:ascii="Times New Roman" w:eastAsia="Times New Roman" w:hAnsi="Times New Roman" w:cs="Times New Roman"/>
          <w:sz w:val="20"/>
          <w:szCs w:val="20"/>
          <w:lang w:eastAsia="en-IN" w:bidi="bn-IN"/>
        </w:rPr>
        <w:t xml:space="preserve">, </w:t>
      </w:r>
      <w:proofErr w:type="spellStart"/>
      <w:r w:rsidRPr="00A20606">
        <w:rPr>
          <w:rFonts w:ascii="Times New Roman" w:eastAsia="Times New Roman" w:hAnsi="Times New Roman" w:cs="Times New Roman"/>
          <w:sz w:val="20"/>
          <w:szCs w:val="20"/>
          <w:lang w:eastAsia="en-IN" w:bidi="bn-IN"/>
        </w:rPr>
        <w:t>Bankura</w:t>
      </w:r>
      <w:proofErr w:type="spellEnd"/>
      <w:r w:rsidRPr="00A20606">
        <w:rPr>
          <w:rFonts w:ascii="Times New Roman" w:eastAsia="Times New Roman" w:hAnsi="Times New Roman" w:cs="Times New Roman"/>
          <w:sz w:val="20"/>
          <w:szCs w:val="20"/>
          <w:lang w:eastAsia="en-IN" w:bidi="bn-IN"/>
        </w:rPr>
        <w:t xml:space="preserve">, </w:t>
      </w:r>
      <w:proofErr w:type="spellStart"/>
      <w:r w:rsidRPr="00A20606">
        <w:rPr>
          <w:rFonts w:ascii="Times New Roman" w:eastAsia="Times New Roman" w:hAnsi="Times New Roman" w:cs="Times New Roman"/>
          <w:sz w:val="20"/>
          <w:szCs w:val="20"/>
          <w:lang w:eastAsia="en-IN" w:bidi="bn-IN"/>
        </w:rPr>
        <w:t>Paschim</w:t>
      </w:r>
      <w:proofErr w:type="spellEnd"/>
      <w:r w:rsidRPr="00A20606">
        <w:rPr>
          <w:rFonts w:ascii="Times New Roman" w:eastAsia="Times New Roman" w:hAnsi="Times New Roman" w:cs="Times New Roman"/>
          <w:sz w:val="20"/>
          <w:szCs w:val="20"/>
          <w:lang w:eastAsia="en-IN" w:bidi="bn-IN"/>
        </w:rPr>
        <w:t xml:space="preserve"> </w:t>
      </w:r>
      <w:proofErr w:type="spellStart"/>
      <w:r w:rsidRPr="00A20606">
        <w:rPr>
          <w:rFonts w:ascii="Times New Roman" w:eastAsia="Times New Roman" w:hAnsi="Times New Roman" w:cs="Times New Roman"/>
          <w:sz w:val="20"/>
          <w:szCs w:val="20"/>
          <w:lang w:eastAsia="en-IN" w:bidi="bn-IN"/>
        </w:rPr>
        <w:t>Medinipur</w:t>
      </w:r>
      <w:proofErr w:type="spellEnd"/>
      <w:r w:rsidRPr="00A20606">
        <w:rPr>
          <w:rFonts w:ascii="Times New Roman" w:eastAsia="Times New Roman" w:hAnsi="Times New Roman" w:cs="Times New Roman"/>
          <w:sz w:val="20"/>
          <w:szCs w:val="20"/>
          <w:lang w:eastAsia="en-IN" w:bidi="bn-IN"/>
        </w:rPr>
        <w:t xml:space="preserve">, and </w:t>
      </w:r>
      <w:proofErr w:type="spellStart"/>
      <w:r w:rsidRPr="00A20606">
        <w:rPr>
          <w:rFonts w:ascii="Times New Roman" w:eastAsia="Times New Roman" w:hAnsi="Times New Roman" w:cs="Times New Roman"/>
          <w:sz w:val="20"/>
          <w:szCs w:val="20"/>
          <w:lang w:eastAsia="en-IN" w:bidi="bn-IN"/>
        </w:rPr>
        <w:t>Birbhum</w:t>
      </w:r>
      <w:proofErr w:type="spellEnd"/>
      <w:r w:rsidRPr="00A20606">
        <w:rPr>
          <w:rFonts w:ascii="Times New Roman" w:eastAsia="Times New Roman" w:hAnsi="Times New Roman" w:cs="Times New Roman"/>
          <w:sz w:val="20"/>
          <w:szCs w:val="20"/>
          <w:lang w:eastAsia="en-IN" w:bidi="bn-IN"/>
        </w:rPr>
        <w:t xml:space="preserve">. Underweight reflects both chronic and acute forms of </w:t>
      </w:r>
      <w:proofErr w:type="spellStart"/>
      <w:r w:rsidRPr="00A20606">
        <w:rPr>
          <w:rFonts w:ascii="Times New Roman" w:eastAsia="Times New Roman" w:hAnsi="Times New Roman" w:cs="Times New Roman"/>
          <w:sz w:val="20"/>
          <w:szCs w:val="20"/>
          <w:lang w:eastAsia="en-IN" w:bidi="bn-IN"/>
        </w:rPr>
        <w:t>undernutrition</w:t>
      </w:r>
      <w:proofErr w:type="spellEnd"/>
      <w:r w:rsidRPr="00A20606">
        <w:rPr>
          <w:rFonts w:ascii="Times New Roman" w:eastAsia="Times New Roman" w:hAnsi="Times New Roman" w:cs="Times New Roman"/>
          <w:sz w:val="20"/>
          <w:szCs w:val="20"/>
          <w:lang w:eastAsia="en-IN" w:bidi="bn-IN"/>
        </w:rPr>
        <w:t xml:space="preserve"> and indicates inadequate dietary intake over time. The relatively high proportion of underweight children in these districts points to persistent food insecurity and socio-economic deprivation.</w:t>
      </w:r>
    </w:p>
    <w:p w:rsidR="00A20606" w:rsidRPr="008F0078" w:rsidRDefault="00A20606" w:rsidP="00A20606">
      <w:pPr>
        <w:spacing w:before="100" w:beforeAutospacing="1" w:after="100" w:afterAutospacing="1" w:line="240" w:lineRule="auto"/>
        <w:jc w:val="both"/>
        <w:rPr>
          <w:rFonts w:ascii="Times New Roman" w:eastAsia="Times New Roman" w:hAnsi="Times New Roman" w:cs="Times New Roman"/>
          <w:sz w:val="20"/>
          <w:szCs w:val="20"/>
          <w:lang w:eastAsia="en-IN" w:bidi="bn-IN"/>
        </w:rPr>
      </w:pPr>
      <w:r w:rsidRPr="00A20606">
        <w:rPr>
          <w:rFonts w:ascii="Times New Roman" w:eastAsia="Times New Roman" w:hAnsi="Times New Roman" w:cs="Times New Roman"/>
          <w:sz w:val="20"/>
          <w:szCs w:val="20"/>
          <w:lang w:eastAsia="en-IN" w:bidi="bn-IN"/>
        </w:rPr>
        <w:t>The blue segments</w:t>
      </w:r>
      <w:r>
        <w:rPr>
          <w:rFonts w:ascii="Times New Roman" w:eastAsia="Times New Roman" w:hAnsi="Times New Roman" w:cs="Times New Roman"/>
          <w:sz w:val="20"/>
          <w:szCs w:val="20"/>
          <w:lang w:eastAsia="en-IN" w:bidi="bn-IN"/>
        </w:rPr>
        <w:t xml:space="preserve"> in map 2</w:t>
      </w:r>
      <w:r w:rsidRPr="00A20606">
        <w:rPr>
          <w:rFonts w:ascii="Times New Roman" w:eastAsia="Times New Roman" w:hAnsi="Times New Roman" w:cs="Times New Roman"/>
          <w:sz w:val="20"/>
          <w:szCs w:val="20"/>
          <w:lang w:eastAsia="en-IN" w:bidi="bn-IN"/>
        </w:rPr>
        <w:t xml:space="preserve"> representing wasting are generally smaller than the other two indicators but remain significant across several districts. Wasting reflects acute </w:t>
      </w:r>
      <w:proofErr w:type="spellStart"/>
      <w:r w:rsidRPr="00A20606">
        <w:rPr>
          <w:rFonts w:ascii="Times New Roman" w:eastAsia="Times New Roman" w:hAnsi="Times New Roman" w:cs="Times New Roman"/>
          <w:sz w:val="20"/>
          <w:szCs w:val="20"/>
          <w:lang w:eastAsia="en-IN" w:bidi="bn-IN"/>
        </w:rPr>
        <w:t>undernutrition</w:t>
      </w:r>
      <w:proofErr w:type="spellEnd"/>
      <w:r w:rsidRPr="00A20606">
        <w:rPr>
          <w:rFonts w:ascii="Times New Roman" w:eastAsia="Times New Roman" w:hAnsi="Times New Roman" w:cs="Times New Roman"/>
          <w:sz w:val="20"/>
          <w:szCs w:val="20"/>
          <w:lang w:eastAsia="en-IN" w:bidi="bn-IN"/>
        </w:rPr>
        <w:t xml:space="preserve"> resulting from recent illness, inadequate food intake, or sudden weight loss. Although wasting levels appear comparatively lower, its presence throughout the state indicates that acute nutritional stress remains a public health concern.</w:t>
      </w:r>
    </w:p>
    <w:p w:rsidR="007972C0" w:rsidRDefault="007972C0" w:rsidP="008F0078">
      <w:pPr>
        <w:jc w:val="both"/>
        <w:rPr>
          <w:rFonts w:ascii="Times New Roman" w:hAnsi="Times New Roman" w:cs="Times New Roman"/>
          <w:sz w:val="20"/>
          <w:szCs w:val="20"/>
        </w:rPr>
      </w:pPr>
      <w:r w:rsidRPr="007972C0">
        <w:rPr>
          <w:rFonts w:ascii="Times New Roman" w:hAnsi="Times New Roman" w:cs="Times New Roman"/>
          <w:sz w:val="20"/>
          <w:szCs w:val="20"/>
        </w:rPr>
        <w:t>The conditional map</w:t>
      </w:r>
      <w:r>
        <w:rPr>
          <w:rFonts w:ascii="Times New Roman" w:hAnsi="Times New Roman" w:cs="Times New Roman"/>
          <w:sz w:val="20"/>
          <w:szCs w:val="20"/>
        </w:rPr>
        <w:t xml:space="preserve"> 3</w:t>
      </w:r>
      <w:r w:rsidRPr="007972C0">
        <w:rPr>
          <w:rFonts w:ascii="Times New Roman" w:hAnsi="Times New Roman" w:cs="Times New Roman"/>
          <w:sz w:val="20"/>
          <w:szCs w:val="20"/>
        </w:rPr>
        <w:t xml:space="preserve"> displays the spatial relationship between stunting (horizontal axis) and underweight (vertical axis) among children across the districts of West Bengal. Districts are classified into </w:t>
      </w:r>
      <w:proofErr w:type="spellStart"/>
      <w:r w:rsidRPr="007972C0">
        <w:rPr>
          <w:rFonts w:ascii="Times New Roman" w:hAnsi="Times New Roman" w:cs="Times New Roman"/>
          <w:sz w:val="20"/>
          <w:szCs w:val="20"/>
        </w:rPr>
        <w:t>quantiles</w:t>
      </w:r>
      <w:proofErr w:type="spellEnd"/>
      <w:r w:rsidRPr="007972C0">
        <w:rPr>
          <w:rFonts w:ascii="Times New Roman" w:hAnsi="Times New Roman" w:cs="Times New Roman"/>
          <w:sz w:val="20"/>
          <w:szCs w:val="20"/>
        </w:rPr>
        <w:t xml:space="preserve"> based on the prevalence of these two nutritional indicators, allowing the identification of areas where both forms of malnutrition coexist.</w:t>
      </w:r>
      <w:r w:rsidRPr="007972C0">
        <w:t xml:space="preserve"> </w:t>
      </w:r>
      <w:r w:rsidRPr="007972C0">
        <w:rPr>
          <w:rFonts w:ascii="Times New Roman" w:hAnsi="Times New Roman" w:cs="Times New Roman"/>
          <w:sz w:val="20"/>
          <w:szCs w:val="20"/>
        </w:rPr>
        <w:t>The map reveals a positive relationship between stunting and underweight. Districts with high levels of stunting tend to exhibit high levels of underweight as well, suggesting that chronic nutritional deprivation is often accompanied by inadequate body weight.</w:t>
      </w:r>
    </w:p>
    <w:p w:rsidR="00B55F9C" w:rsidRDefault="00B55F9C" w:rsidP="008F0078">
      <w:pPr>
        <w:jc w:val="both"/>
        <w:rPr>
          <w:rFonts w:ascii="Times New Roman" w:hAnsi="Times New Roman" w:cs="Times New Roman"/>
          <w:sz w:val="20"/>
          <w:szCs w:val="20"/>
        </w:rPr>
      </w:pPr>
    </w:p>
    <w:p w:rsidR="00B55F9C" w:rsidRPr="00B55F9C" w:rsidRDefault="00B55F9C" w:rsidP="00557C82">
      <w:pPr>
        <w:jc w:val="center"/>
        <w:rPr>
          <w:rFonts w:ascii="Times New Roman" w:hAnsi="Times New Roman" w:cs="Times New Roman"/>
          <w:b/>
          <w:bCs/>
          <w:sz w:val="20"/>
          <w:szCs w:val="20"/>
        </w:rPr>
      </w:pPr>
      <w:r w:rsidRPr="00B55F9C">
        <w:rPr>
          <w:rFonts w:ascii="Times New Roman" w:hAnsi="Times New Roman" w:cs="Times New Roman"/>
          <w:b/>
          <w:bCs/>
          <w:sz w:val="20"/>
          <w:szCs w:val="20"/>
        </w:rPr>
        <w:t>Map 3 S</w:t>
      </w:r>
      <w:r w:rsidRPr="00B55F9C">
        <w:rPr>
          <w:rFonts w:ascii="Times New Roman" w:hAnsi="Times New Roman" w:cs="Times New Roman"/>
          <w:b/>
          <w:bCs/>
          <w:sz w:val="20"/>
          <w:szCs w:val="20"/>
        </w:rPr>
        <w:t>patial</w:t>
      </w:r>
      <w:r w:rsidRPr="00B55F9C">
        <w:rPr>
          <w:rFonts w:ascii="Times New Roman" w:hAnsi="Times New Roman" w:cs="Times New Roman"/>
          <w:b/>
          <w:bCs/>
          <w:sz w:val="20"/>
          <w:szCs w:val="20"/>
        </w:rPr>
        <w:t xml:space="preserve"> </w:t>
      </w:r>
      <w:proofErr w:type="gramStart"/>
      <w:r w:rsidRPr="00B55F9C">
        <w:rPr>
          <w:rFonts w:ascii="Times New Roman" w:hAnsi="Times New Roman" w:cs="Times New Roman"/>
          <w:b/>
          <w:bCs/>
          <w:sz w:val="20"/>
          <w:szCs w:val="20"/>
        </w:rPr>
        <w:t>relationship</w:t>
      </w:r>
      <w:proofErr w:type="gramEnd"/>
      <w:r w:rsidRPr="00B55F9C">
        <w:rPr>
          <w:rFonts w:ascii="Times New Roman" w:hAnsi="Times New Roman" w:cs="Times New Roman"/>
          <w:b/>
          <w:bCs/>
          <w:sz w:val="20"/>
          <w:szCs w:val="20"/>
        </w:rPr>
        <w:t xml:space="preserve"> between stunting and underweight</w:t>
      </w:r>
      <w:r w:rsidRPr="00B55F9C">
        <w:rPr>
          <w:rFonts w:ascii="Times New Roman" w:hAnsi="Times New Roman" w:cs="Times New Roman"/>
          <w:b/>
          <w:bCs/>
          <w:sz w:val="20"/>
          <w:szCs w:val="20"/>
        </w:rPr>
        <w:t xml:space="preserve"> among children</w:t>
      </w:r>
    </w:p>
    <w:p w:rsidR="007972C0" w:rsidRDefault="00A20606" w:rsidP="008F0078">
      <w:pPr>
        <w:jc w:val="both"/>
        <w:rPr>
          <w:rFonts w:ascii="Times New Roman" w:hAnsi="Times New Roman" w:cs="Times New Roman"/>
          <w:sz w:val="20"/>
          <w:szCs w:val="20"/>
        </w:rPr>
      </w:pPr>
      <w:r>
        <w:rPr>
          <w:rFonts w:ascii="Times New Roman" w:hAnsi="Times New Roman" w:cs="Times New Roman"/>
          <w:noProof/>
          <w:sz w:val="20"/>
          <w:szCs w:val="20"/>
          <w:lang w:eastAsia="en-IN" w:bidi="bn-IN"/>
        </w:rPr>
        <w:drawing>
          <wp:inline distT="0" distB="0" distL="0" distR="0">
            <wp:extent cx="5359400" cy="3268645"/>
            <wp:effectExtent l="0" t="0" r="0" b="8255"/>
            <wp:docPr id="3" name="Picture 3" descr="E:\Child Health\WASH WB mapConditionalMapFrame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hild Health\WASH WB mapConditionalMapFrame1.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2905" cy="3270783"/>
                    </a:xfrm>
                    <a:prstGeom prst="rect">
                      <a:avLst/>
                    </a:prstGeom>
                    <a:noFill/>
                    <a:ln>
                      <a:noFill/>
                    </a:ln>
                  </pic:spPr>
                </pic:pic>
              </a:graphicData>
            </a:graphic>
          </wp:inline>
        </w:drawing>
      </w:r>
    </w:p>
    <w:p w:rsidR="00B55F9C" w:rsidRDefault="00B55F9C" w:rsidP="008F0078">
      <w:pPr>
        <w:jc w:val="both"/>
        <w:rPr>
          <w:rFonts w:ascii="Times New Roman" w:hAnsi="Times New Roman" w:cs="Times New Roman"/>
          <w:sz w:val="20"/>
          <w:szCs w:val="20"/>
        </w:rPr>
      </w:pPr>
      <w:r w:rsidRPr="00B55F9C">
        <w:rPr>
          <w:rFonts w:ascii="Times New Roman" w:hAnsi="Times New Roman" w:cs="Times New Roman"/>
          <w:sz w:val="20"/>
          <w:szCs w:val="20"/>
        </w:rPr>
        <w:t>The map</w:t>
      </w:r>
      <w:r>
        <w:rPr>
          <w:rFonts w:ascii="Times New Roman" w:hAnsi="Times New Roman" w:cs="Times New Roman"/>
          <w:sz w:val="20"/>
          <w:szCs w:val="20"/>
        </w:rPr>
        <w:t xml:space="preserve"> 4</w:t>
      </w:r>
      <w:r w:rsidRPr="00B55F9C">
        <w:rPr>
          <w:rFonts w:ascii="Times New Roman" w:hAnsi="Times New Roman" w:cs="Times New Roman"/>
          <w:sz w:val="20"/>
          <w:szCs w:val="20"/>
        </w:rPr>
        <w:t xml:space="preserve"> suggests a positive spatial relationship between stunting and wasting. Districts with higher stunting levels tend to also exhibit higher wasting levels, indicating overlapping forms of child malnutrition.</w:t>
      </w:r>
      <w:r>
        <w:rPr>
          <w:rFonts w:ascii="Times New Roman" w:hAnsi="Times New Roman" w:cs="Times New Roman"/>
          <w:sz w:val="20"/>
          <w:szCs w:val="20"/>
        </w:rPr>
        <w:t xml:space="preserve"> </w:t>
      </w:r>
      <w:r w:rsidRPr="00B55F9C">
        <w:rPr>
          <w:rFonts w:ascii="Times New Roman" w:hAnsi="Times New Roman" w:cs="Times New Roman"/>
          <w:sz w:val="20"/>
          <w:szCs w:val="20"/>
        </w:rPr>
        <w:t xml:space="preserve">The conditional map </w:t>
      </w:r>
      <w:r>
        <w:rPr>
          <w:rFonts w:ascii="Times New Roman" w:hAnsi="Times New Roman" w:cs="Times New Roman"/>
          <w:sz w:val="20"/>
          <w:szCs w:val="20"/>
        </w:rPr>
        <w:t xml:space="preserve">4 </w:t>
      </w:r>
      <w:r w:rsidRPr="00B55F9C">
        <w:rPr>
          <w:rFonts w:ascii="Times New Roman" w:hAnsi="Times New Roman" w:cs="Times New Roman"/>
          <w:sz w:val="20"/>
          <w:szCs w:val="20"/>
        </w:rPr>
        <w:t xml:space="preserve">reveals substantial spatial heterogeneity in child malnutrition across West Bengal. Districts characterized by higher levels of stunting generally coincide with higher levels of wasting, indicating a clustering of chronic and acute </w:t>
      </w:r>
      <w:proofErr w:type="spellStart"/>
      <w:r w:rsidRPr="00B55F9C">
        <w:rPr>
          <w:rFonts w:ascii="Times New Roman" w:hAnsi="Times New Roman" w:cs="Times New Roman"/>
          <w:sz w:val="20"/>
          <w:szCs w:val="20"/>
        </w:rPr>
        <w:t>undernutrition</w:t>
      </w:r>
      <w:proofErr w:type="spellEnd"/>
      <w:r w:rsidRPr="00B55F9C">
        <w:rPr>
          <w:rFonts w:ascii="Times New Roman" w:hAnsi="Times New Roman" w:cs="Times New Roman"/>
          <w:sz w:val="20"/>
          <w:szCs w:val="20"/>
        </w:rPr>
        <w:t xml:space="preserve">. The concentration of vulnerable districts in the upper </w:t>
      </w:r>
      <w:proofErr w:type="spellStart"/>
      <w:r w:rsidRPr="00B55F9C">
        <w:rPr>
          <w:rFonts w:ascii="Times New Roman" w:hAnsi="Times New Roman" w:cs="Times New Roman"/>
          <w:sz w:val="20"/>
          <w:szCs w:val="20"/>
        </w:rPr>
        <w:t>quantiles</w:t>
      </w:r>
      <w:proofErr w:type="spellEnd"/>
      <w:r w:rsidRPr="00B55F9C">
        <w:rPr>
          <w:rFonts w:ascii="Times New Roman" w:hAnsi="Times New Roman" w:cs="Times New Roman"/>
          <w:sz w:val="20"/>
          <w:szCs w:val="20"/>
        </w:rPr>
        <w:t xml:space="preserve"> highlights the need for geographically targeted nutrition programmes and improvements in health, sanitation, and food security. Conversely, districts in the lower </w:t>
      </w:r>
      <w:proofErr w:type="spellStart"/>
      <w:r w:rsidRPr="00B55F9C">
        <w:rPr>
          <w:rFonts w:ascii="Times New Roman" w:hAnsi="Times New Roman" w:cs="Times New Roman"/>
          <w:sz w:val="20"/>
          <w:szCs w:val="20"/>
        </w:rPr>
        <w:t>quantiles</w:t>
      </w:r>
      <w:proofErr w:type="spellEnd"/>
      <w:r w:rsidRPr="00B55F9C">
        <w:rPr>
          <w:rFonts w:ascii="Times New Roman" w:hAnsi="Times New Roman" w:cs="Times New Roman"/>
          <w:sz w:val="20"/>
          <w:szCs w:val="20"/>
        </w:rPr>
        <w:t xml:space="preserve"> exhibit relatively favourable nutritional outcomes, </w:t>
      </w:r>
      <w:r w:rsidRPr="00B55F9C">
        <w:rPr>
          <w:rFonts w:ascii="Times New Roman" w:hAnsi="Times New Roman" w:cs="Times New Roman"/>
          <w:sz w:val="20"/>
          <w:szCs w:val="20"/>
        </w:rPr>
        <w:lastRenderedPageBreak/>
        <w:t>suggesting better socio-economic and healthcare conditions. These findings emphasize the importance of place-based interventions for reducing regional disparities in child malnutrition within the state.</w:t>
      </w:r>
    </w:p>
    <w:p w:rsidR="00B55F9C" w:rsidRPr="00B55F9C" w:rsidRDefault="00B55F9C" w:rsidP="00557C82">
      <w:pPr>
        <w:jc w:val="center"/>
        <w:rPr>
          <w:rFonts w:ascii="Times New Roman" w:hAnsi="Times New Roman" w:cs="Times New Roman"/>
          <w:b/>
          <w:bCs/>
          <w:sz w:val="20"/>
          <w:szCs w:val="20"/>
        </w:rPr>
      </w:pPr>
      <w:r>
        <w:rPr>
          <w:rFonts w:ascii="Times New Roman" w:hAnsi="Times New Roman" w:cs="Times New Roman"/>
          <w:b/>
          <w:bCs/>
          <w:sz w:val="20"/>
          <w:szCs w:val="20"/>
        </w:rPr>
        <w:t>Map 4</w:t>
      </w:r>
      <w:r w:rsidRPr="00B55F9C">
        <w:rPr>
          <w:rFonts w:ascii="Times New Roman" w:hAnsi="Times New Roman" w:cs="Times New Roman"/>
          <w:b/>
          <w:bCs/>
          <w:sz w:val="20"/>
          <w:szCs w:val="20"/>
        </w:rPr>
        <w:t xml:space="preserve"> Spatial </w:t>
      </w:r>
      <w:proofErr w:type="gramStart"/>
      <w:r w:rsidRPr="00B55F9C">
        <w:rPr>
          <w:rFonts w:ascii="Times New Roman" w:hAnsi="Times New Roman" w:cs="Times New Roman"/>
          <w:b/>
          <w:bCs/>
          <w:sz w:val="20"/>
          <w:szCs w:val="20"/>
        </w:rPr>
        <w:t>relationship</w:t>
      </w:r>
      <w:proofErr w:type="gramEnd"/>
      <w:r w:rsidRPr="00B55F9C">
        <w:rPr>
          <w:rFonts w:ascii="Times New Roman" w:hAnsi="Times New Roman" w:cs="Times New Roman"/>
          <w:b/>
          <w:bCs/>
          <w:sz w:val="20"/>
          <w:szCs w:val="20"/>
        </w:rPr>
        <w:t xml:space="preserve"> between stuntin</w:t>
      </w:r>
      <w:r>
        <w:rPr>
          <w:rFonts w:ascii="Times New Roman" w:hAnsi="Times New Roman" w:cs="Times New Roman"/>
          <w:b/>
          <w:bCs/>
          <w:sz w:val="20"/>
          <w:szCs w:val="20"/>
        </w:rPr>
        <w:t>g and wasting</w:t>
      </w:r>
      <w:r w:rsidRPr="00B55F9C">
        <w:rPr>
          <w:rFonts w:ascii="Times New Roman" w:hAnsi="Times New Roman" w:cs="Times New Roman"/>
          <w:b/>
          <w:bCs/>
          <w:sz w:val="20"/>
          <w:szCs w:val="20"/>
        </w:rPr>
        <w:t xml:space="preserve"> among children</w:t>
      </w:r>
    </w:p>
    <w:p w:rsidR="00B55F9C" w:rsidRDefault="00B55F9C" w:rsidP="008F0078">
      <w:pPr>
        <w:jc w:val="both"/>
        <w:rPr>
          <w:rFonts w:ascii="Times New Roman" w:hAnsi="Times New Roman" w:cs="Times New Roman"/>
          <w:sz w:val="20"/>
          <w:szCs w:val="20"/>
        </w:rPr>
      </w:pPr>
    </w:p>
    <w:p w:rsidR="00B55F9C" w:rsidRDefault="00B55F9C" w:rsidP="00307482">
      <w:pPr>
        <w:jc w:val="center"/>
        <w:rPr>
          <w:rFonts w:ascii="Times New Roman" w:hAnsi="Times New Roman" w:cs="Times New Roman"/>
          <w:sz w:val="20"/>
          <w:szCs w:val="20"/>
        </w:rPr>
      </w:pPr>
      <w:r>
        <w:rPr>
          <w:rFonts w:ascii="Times New Roman" w:hAnsi="Times New Roman" w:cs="Times New Roman"/>
          <w:noProof/>
          <w:sz w:val="20"/>
          <w:szCs w:val="20"/>
          <w:lang w:eastAsia="en-IN" w:bidi="bn-IN"/>
        </w:rPr>
        <w:drawing>
          <wp:inline distT="0" distB="0" distL="0" distR="0">
            <wp:extent cx="4732124" cy="2886075"/>
            <wp:effectExtent l="0" t="0" r="0" b="0"/>
            <wp:docPr id="4" name="Picture 4" descr="E:\Child Health\WASH WB mapConditionalMapFrame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hild Health\WASH WB mapConditionalMapFrame2.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1834" cy="2904195"/>
                    </a:xfrm>
                    <a:prstGeom prst="rect">
                      <a:avLst/>
                    </a:prstGeom>
                    <a:noFill/>
                    <a:ln>
                      <a:noFill/>
                    </a:ln>
                  </pic:spPr>
                </pic:pic>
              </a:graphicData>
            </a:graphic>
          </wp:inline>
        </w:drawing>
      </w:r>
    </w:p>
    <w:p w:rsidR="00203CAC" w:rsidRDefault="00203CAC" w:rsidP="008F0078">
      <w:pPr>
        <w:jc w:val="both"/>
        <w:rPr>
          <w:rFonts w:ascii="Times New Roman" w:hAnsi="Times New Roman" w:cs="Times New Roman"/>
          <w:sz w:val="20"/>
          <w:szCs w:val="20"/>
        </w:rPr>
      </w:pPr>
      <w:r w:rsidRPr="00203CAC">
        <w:rPr>
          <w:rFonts w:ascii="Times New Roman" w:hAnsi="Times New Roman" w:cs="Times New Roman"/>
          <w:sz w:val="20"/>
          <w:szCs w:val="20"/>
        </w:rPr>
        <w:t>The conditional map</w:t>
      </w:r>
      <w:r>
        <w:rPr>
          <w:rFonts w:ascii="Times New Roman" w:hAnsi="Times New Roman" w:cs="Times New Roman"/>
          <w:sz w:val="20"/>
          <w:szCs w:val="20"/>
        </w:rPr>
        <w:t xml:space="preserve"> 5</w:t>
      </w:r>
      <w:r w:rsidRPr="00203CAC">
        <w:rPr>
          <w:rFonts w:ascii="Times New Roman" w:hAnsi="Times New Roman" w:cs="Times New Roman"/>
          <w:sz w:val="20"/>
          <w:szCs w:val="20"/>
        </w:rPr>
        <w:t xml:space="preserve"> highlights the spatial association between underweight and wasting among children across the districts of West Bengal. Districts characterized by high levels of underweight prevalence generally coincide with higher levels of wasting, indicating overlapping forms of nutritional deprivation. The concentration of districts in the upper </w:t>
      </w:r>
      <w:proofErr w:type="spellStart"/>
      <w:r w:rsidRPr="00203CAC">
        <w:rPr>
          <w:rFonts w:ascii="Times New Roman" w:hAnsi="Times New Roman" w:cs="Times New Roman"/>
          <w:sz w:val="20"/>
          <w:szCs w:val="20"/>
        </w:rPr>
        <w:t>quantiles</w:t>
      </w:r>
      <w:proofErr w:type="spellEnd"/>
      <w:r w:rsidRPr="00203CAC">
        <w:rPr>
          <w:rFonts w:ascii="Times New Roman" w:hAnsi="Times New Roman" w:cs="Times New Roman"/>
          <w:sz w:val="20"/>
          <w:szCs w:val="20"/>
        </w:rPr>
        <w:t xml:space="preserve"> suggests </w:t>
      </w:r>
      <w:proofErr w:type="gramStart"/>
      <w:r w:rsidRPr="00203CAC">
        <w:rPr>
          <w:rFonts w:ascii="Times New Roman" w:hAnsi="Times New Roman" w:cs="Times New Roman"/>
          <w:sz w:val="20"/>
          <w:szCs w:val="20"/>
        </w:rPr>
        <w:t xml:space="preserve">that acute and general </w:t>
      </w:r>
      <w:proofErr w:type="spellStart"/>
      <w:r w:rsidRPr="00203CAC">
        <w:rPr>
          <w:rFonts w:ascii="Times New Roman" w:hAnsi="Times New Roman" w:cs="Times New Roman"/>
          <w:sz w:val="20"/>
          <w:szCs w:val="20"/>
        </w:rPr>
        <w:t>undernutrition</w:t>
      </w:r>
      <w:proofErr w:type="spellEnd"/>
      <w:r w:rsidRPr="00203CAC">
        <w:rPr>
          <w:rFonts w:ascii="Times New Roman" w:hAnsi="Times New Roman" w:cs="Times New Roman"/>
          <w:sz w:val="20"/>
          <w:szCs w:val="20"/>
        </w:rPr>
        <w:t xml:space="preserve"> are</w:t>
      </w:r>
      <w:proofErr w:type="gramEnd"/>
      <w:r w:rsidRPr="00203CAC">
        <w:rPr>
          <w:rFonts w:ascii="Times New Roman" w:hAnsi="Times New Roman" w:cs="Times New Roman"/>
          <w:sz w:val="20"/>
          <w:szCs w:val="20"/>
        </w:rPr>
        <w:t xml:space="preserve"> geographically clustered, reflecting persistent socio-economic and health inequalities. Conversely, districts with low levels of both indicators demonstrate comparatively better child nutritional status. These findings underscore the need for region-specific interventions focusing on nutrition, maternal health, food security, and WASH infrastructure to reduce spatial disparities in child malnutrition across the state.</w:t>
      </w:r>
    </w:p>
    <w:p w:rsidR="00203CAC" w:rsidRPr="00B55F9C" w:rsidRDefault="00203CAC" w:rsidP="00557C82">
      <w:pPr>
        <w:jc w:val="center"/>
        <w:rPr>
          <w:rFonts w:ascii="Times New Roman" w:hAnsi="Times New Roman" w:cs="Times New Roman"/>
          <w:b/>
          <w:bCs/>
          <w:sz w:val="20"/>
          <w:szCs w:val="20"/>
        </w:rPr>
      </w:pPr>
      <w:r>
        <w:rPr>
          <w:rFonts w:ascii="Times New Roman" w:hAnsi="Times New Roman" w:cs="Times New Roman"/>
          <w:b/>
          <w:bCs/>
          <w:sz w:val="20"/>
          <w:szCs w:val="20"/>
        </w:rPr>
        <w:t>Map 5</w:t>
      </w:r>
      <w:r w:rsidRPr="00B55F9C">
        <w:rPr>
          <w:rFonts w:ascii="Times New Roman" w:hAnsi="Times New Roman" w:cs="Times New Roman"/>
          <w:b/>
          <w:bCs/>
          <w:sz w:val="20"/>
          <w:szCs w:val="20"/>
        </w:rPr>
        <w:t xml:space="preserve"> Spatial</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relationship</w:t>
      </w:r>
      <w:proofErr w:type="gramEnd"/>
      <w:r>
        <w:rPr>
          <w:rFonts w:ascii="Times New Roman" w:hAnsi="Times New Roman" w:cs="Times New Roman"/>
          <w:b/>
          <w:bCs/>
          <w:sz w:val="20"/>
          <w:szCs w:val="20"/>
        </w:rPr>
        <w:t xml:space="preserve"> between underweight</w:t>
      </w:r>
      <w:r>
        <w:rPr>
          <w:rFonts w:ascii="Times New Roman" w:hAnsi="Times New Roman" w:cs="Times New Roman"/>
          <w:b/>
          <w:bCs/>
          <w:sz w:val="20"/>
          <w:szCs w:val="20"/>
        </w:rPr>
        <w:t xml:space="preserve"> and wasting</w:t>
      </w:r>
      <w:r w:rsidRPr="00B55F9C">
        <w:rPr>
          <w:rFonts w:ascii="Times New Roman" w:hAnsi="Times New Roman" w:cs="Times New Roman"/>
          <w:b/>
          <w:bCs/>
          <w:sz w:val="20"/>
          <w:szCs w:val="20"/>
        </w:rPr>
        <w:t xml:space="preserve"> among children</w:t>
      </w:r>
    </w:p>
    <w:p w:rsidR="00203CAC" w:rsidRDefault="00203CAC" w:rsidP="00557C82">
      <w:pPr>
        <w:jc w:val="center"/>
        <w:rPr>
          <w:rFonts w:ascii="Times New Roman" w:hAnsi="Times New Roman" w:cs="Times New Roman"/>
          <w:sz w:val="20"/>
          <w:szCs w:val="20"/>
        </w:rPr>
      </w:pPr>
    </w:p>
    <w:p w:rsidR="00203CAC" w:rsidRDefault="00203CAC" w:rsidP="00203CAC">
      <w:pPr>
        <w:jc w:val="center"/>
        <w:rPr>
          <w:rFonts w:ascii="Times New Roman" w:hAnsi="Times New Roman" w:cs="Times New Roman"/>
          <w:sz w:val="20"/>
          <w:szCs w:val="20"/>
        </w:rPr>
      </w:pPr>
      <w:r>
        <w:rPr>
          <w:rFonts w:ascii="Times New Roman" w:hAnsi="Times New Roman" w:cs="Times New Roman"/>
          <w:noProof/>
          <w:sz w:val="20"/>
          <w:szCs w:val="20"/>
          <w:lang w:eastAsia="en-IN" w:bidi="bn-IN"/>
        </w:rPr>
        <w:drawing>
          <wp:inline distT="0" distB="0" distL="0" distR="0">
            <wp:extent cx="4394200" cy="2679977"/>
            <wp:effectExtent l="0" t="0" r="6350" b="6350"/>
            <wp:docPr id="5" name="Picture 5" descr="E:\Child Health\WASH WB mapConditionalMapFrame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hild Health\WASH WB mapConditionalMapFrame3.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7771" cy="2694353"/>
                    </a:xfrm>
                    <a:prstGeom prst="rect">
                      <a:avLst/>
                    </a:prstGeom>
                    <a:noFill/>
                    <a:ln>
                      <a:noFill/>
                    </a:ln>
                  </pic:spPr>
                </pic:pic>
              </a:graphicData>
            </a:graphic>
          </wp:inline>
        </w:drawing>
      </w:r>
    </w:p>
    <w:p w:rsidR="00536F35" w:rsidRPr="00356E59" w:rsidRDefault="00536F35" w:rsidP="00536F35">
      <w:pPr>
        <w:spacing w:line="360" w:lineRule="auto"/>
        <w:jc w:val="both"/>
        <w:rPr>
          <w:rFonts w:ascii="Times New Roman" w:hAnsi="Times New Roman" w:cs="Times New Roman"/>
          <w:b/>
          <w:bCs/>
          <w:color w:val="222222"/>
          <w:sz w:val="20"/>
          <w:szCs w:val="20"/>
          <w:shd w:val="clear" w:color="auto" w:fill="FFFFFF"/>
        </w:rPr>
      </w:pPr>
      <w:r w:rsidRPr="00356E59">
        <w:rPr>
          <w:rFonts w:ascii="Times New Roman" w:hAnsi="Times New Roman" w:cs="Times New Roman"/>
          <w:b/>
          <w:bCs/>
          <w:color w:val="222222"/>
          <w:sz w:val="20"/>
          <w:szCs w:val="20"/>
          <w:shd w:val="clear" w:color="auto" w:fill="FFFFFF"/>
        </w:rPr>
        <w:lastRenderedPageBreak/>
        <w:t>Spatial Autocorrela</w:t>
      </w:r>
      <w:r w:rsidRPr="00356E59">
        <w:rPr>
          <w:rFonts w:ascii="Times New Roman" w:hAnsi="Times New Roman" w:cs="Times New Roman"/>
          <w:b/>
          <w:bCs/>
          <w:color w:val="222222"/>
          <w:sz w:val="20"/>
          <w:szCs w:val="20"/>
          <w:shd w:val="clear" w:color="auto" w:fill="FFFFFF"/>
        </w:rPr>
        <w:t>tion Analysis of Child Malnutrition</w:t>
      </w:r>
      <w:r w:rsidRPr="00356E59">
        <w:rPr>
          <w:rFonts w:ascii="Times New Roman" w:hAnsi="Times New Roman" w:cs="Times New Roman"/>
          <w:b/>
          <w:bCs/>
          <w:color w:val="222222"/>
          <w:sz w:val="20"/>
          <w:szCs w:val="20"/>
          <w:shd w:val="clear" w:color="auto" w:fill="FFFFFF"/>
        </w:rPr>
        <w:t>: LISA Interpretation</w:t>
      </w:r>
    </w:p>
    <w:p w:rsidR="00536F35" w:rsidRPr="00356E59" w:rsidRDefault="00536F35" w:rsidP="00536F35">
      <w:pPr>
        <w:spacing w:after="0" w:line="240" w:lineRule="auto"/>
        <w:jc w:val="both"/>
        <w:rPr>
          <w:rFonts w:ascii="Times New Roman" w:hAnsi="Times New Roman" w:cs="Times New Roman"/>
          <w:color w:val="222222"/>
          <w:sz w:val="20"/>
          <w:szCs w:val="20"/>
          <w:shd w:val="clear" w:color="auto" w:fill="FFFFFF"/>
        </w:rPr>
      </w:pPr>
      <w:r w:rsidRPr="00356E59">
        <w:rPr>
          <w:rFonts w:ascii="Times New Roman" w:hAnsi="Times New Roman" w:cs="Times New Roman"/>
          <w:color w:val="222222"/>
          <w:sz w:val="20"/>
          <w:szCs w:val="20"/>
          <w:shd w:val="clear" w:color="auto" w:fill="FFFFFF"/>
        </w:rPr>
        <w:t>The LISA cluster map 6 identifies one statistically significant High–High cluster and one Low–Low cluster within West Bengal. The High–High cluster represents a hotspot where a district with a high value is surrounded by neighbouring districts exhibiting similarly high values. Conversely, the Low–Low cluster represents a cold spot characterized by low values concentrated among adjacent districts. The absence of High–Low and Low–High outliers suggests that the spatial pattern is dominated by homogeneous clusters rather than isolated anomalies. These findings indicate localized spatial concentration and highlight the importance of geographically targeted interventions.</w:t>
      </w:r>
    </w:p>
    <w:p w:rsidR="00536F35" w:rsidRDefault="00536F35" w:rsidP="00536F35">
      <w:pPr>
        <w:spacing w:after="0" w:line="240" w:lineRule="auto"/>
        <w:jc w:val="both"/>
        <w:rPr>
          <w:rFonts w:ascii="Times New Roman" w:hAnsi="Times New Roman" w:cs="Times New Roman"/>
          <w:color w:val="222222"/>
          <w:sz w:val="24"/>
          <w:szCs w:val="24"/>
          <w:shd w:val="clear" w:color="auto" w:fill="FFFFFF"/>
        </w:rPr>
      </w:pPr>
    </w:p>
    <w:p w:rsidR="00536F35" w:rsidRPr="00536F35" w:rsidRDefault="00536F35" w:rsidP="00536F35">
      <w:pPr>
        <w:spacing w:before="100" w:beforeAutospacing="1" w:after="100" w:afterAutospacing="1" w:line="360" w:lineRule="auto"/>
        <w:jc w:val="center"/>
        <w:rPr>
          <w:rFonts w:ascii="Times New Roman" w:eastAsia="Times New Roman" w:hAnsi="Times New Roman" w:cs="Times New Roman"/>
          <w:b/>
          <w:bCs/>
          <w:sz w:val="20"/>
          <w:szCs w:val="20"/>
          <w:lang w:eastAsia="en-IN"/>
        </w:rPr>
      </w:pPr>
      <w:r>
        <w:rPr>
          <w:rFonts w:ascii="Times New Roman" w:eastAsia="Times New Roman" w:hAnsi="Times New Roman" w:cs="Times New Roman"/>
          <w:b/>
          <w:bCs/>
          <w:sz w:val="20"/>
          <w:szCs w:val="20"/>
          <w:lang w:eastAsia="en-IN"/>
        </w:rPr>
        <w:t xml:space="preserve">          Map </w:t>
      </w:r>
      <w:proofErr w:type="gramStart"/>
      <w:r>
        <w:rPr>
          <w:rFonts w:ascii="Times New Roman" w:eastAsia="Times New Roman" w:hAnsi="Times New Roman" w:cs="Times New Roman"/>
          <w:b/>
          <w:bCs/>
          <w:sz w:val="20"/>
          <w:szCs w:val="20"/>
          <w:lang w:eastAsia="en-IN"/>
        </w:rPr>
        <w:t>6</w:t>
      </w:r>
      <w:r w:rsidRPr="00536F35">
        <w:rPr>
          <w:rFonts w:ascii="Times New Roman" w:eastAsia="Times New Roman" w:hAnsi="Times New Roman" w:cs="Times New Roman"/>
          <w:b/>
          <w:bCs/>
          <w:sz w:val="20"/>
          <w:szCs w:val="20"/>
          <w:lang w:eastAsia="en-IN"/>
        </w:rPr>
        <w:t xml:space="preserve">  LISA</w:t>
      </w:r>
      <w:proofErr w:type="gramEnd"/>
      <w:r w:rsidRPr="00536F35">
        <w:rPr>
          <w:rFonts w:ascii="Times New Roman" w:eastAsia="Times New Roman" w:hAnsi="Times New Roman" w:cs="Times New Roman"/>
          <w:b/>
          <w:bCs/>
          <w:sz w:val="20"/>
          <w:szCs w:val="20"/>
          <w:lang w:eastAsia="en-IN"/>
        </w:rPr>
        <w:t xml:space="preserve"> Cluster Map                                               </w:t>
      </w:r>
      <w:proofErr w:type="spellStart"/>
      <w:r>
        <w:rPr>
          <w:rFonts w:ascii="Times New Roman" w:eastAsia="Times New Roman" w:hAnsi="Times New Roman" w:cs="Times New Roman"/>
          <w:b/>
          <w:bCs/>
          <w:sz w:val="20"/>
          <w:szCs w:val="20"/>
          <w:lang w:eastAsia="en-IN"/>
        </w:rPr>
        <w:t>Map</w:t>
      </w:r>
      <w:proofErr w:type="spellEnd"/>
      <w:r>
        <w:rPr>
          <w:rFonts w:ascii="Times New Roman" w:eastAsia="Times New Roman" w:hAnsi="Times New Roman" w:cs="Times New Roman"/>
          <w:b/>
          <w:bCs/>
          <w:sz w:val="20"/>
          <w:szCs w:val="20"/>
          <w:lang w:eastAsia="en-IN"/>
        </w:rPr>
        <w:t xml:space="preserve"> 7</w:t>
      </w:r>
      <w:r w:rsidRPr="00536F35">
        <w:rPr>
          <w:rFonts w:ascii="Times New Roman" w:eastAsia="Times New Roman" w:hAnsi="Times New Roman" w:cs="Times New Roman"/>
          <w:b/>
          <w:bCs/>
          <w:sz w:val="20"/>
          <w:szCs w:val="20"/>
          <w:lang w:eastAsia="en-IN"/>
        </w:rPr>
        <w:t xml:space="preserve">  LISA Significance Map</w:t>
      </w:r>
    </w:p>
    <w:p w:rsidR="00536F35" w:rsidRDefault="00536F35" w:rsidP="00536F35">
      <w:pPr>
        <w:spacing w:after="0" w:line="240" w:lineRule="auto"/>
        <w:jc w:val="both"/>
        <w:rPr>
          <w:rFonts w:ascii="Times New Roman" w:hAnsi="Times New Roman" w:cs="Times New Roman"/>
          <w:color w:val="222222"/>
          <w:sz w:val="24"/>
          <w:szCs w:val="24"/>
          <w:shd w:val="clear" w:color="auto" w:fill="FFFFFF"/>
        </w:rPr>
      </w:pPr>
    </w:p>
    <w:p w:rsidR="00536F35" w:rsidRDefault="00536F35" w:rsidP="00536F35">
      <w:pPr>
        <w:spacing w:after="0" w:line="240" w:lineRule="auto"/>
        <w:jc w:val="both"/>
        <w:rPr>
          <w:rFonts w:ascii="Times New Roman" w:hAnsi="Times New Roman" w:cs="Times New Roman"/>
          <w:color w:val="222222"/>
          <w:sz w:val="24"/>
          <w:szCs w:val="24"/>
          <w:shd w:val="clear" w:color="auto" w:fill="FFFFFF"/>
        </w:rPr>
      </w:pPr>
    </w:p>
    <w:p w:rsidR="00536F35" w:rsidRPr="00536F35" w:rsidRDefault="00536F35" w:rsidP="00536F35">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noProof/>
          <w:color w:val="222222"/>
          <w:sz w:val="24"/>
          <w:szCs w:val="24"/>
          <w:shd w:val="clear" w:color="auto" w:fill="FFFFFF"/>
          <w:lang w:eastAsia="en-IN" w:bidi="bn-IN"/>
        </w:rPr>
        <w:drawing>
          <wp:inline distT="0" distB="0" distL="0" distR="0">
            <wp:extent cx="2808514" cy="3370215"/>
            <wp:effectExtent l="0" t="0" r="0" b="1905"/>
            <wp:docPr id="6" name="Picture 6" descr="E:\Child Health\WASH WB mapAbstractMapFrame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hild Health\WASH WB mapAbstractMapFrame2.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8514" cy="3370215"/>
                    </a:xfrm>
                    <a:prstGeom prst="rect">
                      <a:avLst/>
                    </a:prstGeom>
                    <a:noFill/>
                    <a:ln>
                      <a:noFill/>
                    </a:ln>
                  </pic:spPr>
                </pic:pic>
              </a:graphicData>
            </a:graphic>
          </wp:inline>
        </w:drawing>
      </w:r>
      <w:r>
        <w:rPr>
          <w:rFonts w:ascii="Times New Roman" w:hAnsi="Times New Roman" w:cs="Times New Roman"/>
          <w:color w:val="222222"/>
          <w:sz w:val="24"/>
          <w:szCs w:val="24"/>
          <w:shd w:val="clear" w:color="auto" w:fill="FFFFFF"/>
        </w:rPr>
        <w:t xml:space="preserve"> </w:t>
      </w:r>
      <w:r>
        <w:rPr>
          <w:rFonts w:ascii="Times New Roman" w:hAnsi="Times New Roman" w:cs="Times New Roman"/>
          <w:noProof/>
          <w:color w:val="222222"/>
          <w:sz w:val="24"/>
          <w:szCs w:val="24"/>
          <w:shd w:val="clear" w:color="auto" w:fill="FFFFFF"/>
          <w:lang w:eastAsia="en-IN" w:bidi="bn-IN"/>
        </w:rPr>
        <w:drawing>
          <wp:inline distT="0" distB="0" distL="0" distR="0">
            <wp:extent cx="2782388" cy="3370217"/>
            <wp:effectExtent l="0" t="0" r="0" b="1905"/>
            <wp:docPr id="7" name="Picture 7" descr="E:\Child Health\WASH WB mapAbstractMapFrame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hild Health\WASH WB mapAbstractMapFrame1.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3009" cy="3383082"/>
                    </a:xfrm>
                    <a:prstGeom prst="rect">
                      <a:avLst/>
                    </a:prstGeom>
                    <a:noFill/>
                    <a:ln>
                      <a:noFill/>
                    </a:ln>
                  </pic:spPr>
                </pic:pic>
              </a:graphicData>
            </a:graphic>
          </wp:inline>
        </w:drawing>
      </w:r>
    </w:p>
    <w:p w:rsidR="00A16A9E" w:rsidRDefault="00A16A9E" w:rsidP="00A16A9E">
      <w:pPr>
        <w:jc w:val="both"/>
        <w:rPr>
          <w:rFonts w:ascii="Times New Roman" w:hAnsi="Times New Roman" w:cs="Times New Roman"/>
          <w:sz w:val="20"/>
          <w:szCs w:val="20"/>
        </w:rPr>
      </w:pPr>
    </w:p>
    <w:p w:rsidR="00536F35" w:rsidRDefault="00D3052A" w:rsidP="00A16A9E">
      <w:pPr>
        <w:jc w:val="both"/>
        <w:rPr>
          <w:rFonts w:ascii="Times New Roman" w:hAnsi="Times New Roman" w:cs="Times New Roman"/>
          <w:sz w:val="20"/>
          <w:szCs w:val="20"/>
        </w:rPr>
      </w:pPr>
      <w:r w:rsidRPr="00D3052A">
        <w:rPr>
          <w:rFonts w:ascii="Times New Roman" w:hAnsi="Times New Roman" w:cs="Times New Roman"/>
          <w:sz w:val="20"/>
          <w:szCs w:val="20"/>
        </w:rPr>
        <w:t>The LISA significance map</w:t>
      </w:r>
      <w:r>
        <w:rPr>
          <w:rFonts w:ascii="Times New Roman" w:hAnsi="Times New Roman" w:cs="Times New Roman"/>
          <w:sz w:val="20"/>
          <w:szCs w:val="20"/>
        </w:rPr>
        <w:t xml:space="preserve"> 7</w:t>
      </w:r>
      <w:r w:rsidRPr="00D3052A">
        <w:rPr>
          <w:rFonts w:ascii="Times New Roman" w:hAnsi="Times New Roman" w:cs="Times New Roman"/>
          <w:sz w:val="20"/>
          <w:szCs w:val="20"/>
        </w:rPr>
        <w:t xml:space="preserve"> reveals limited but statistically significant local spatial clustering among the districts of West Bengal. While the majority of districts do not exhibit significant spatial dependence, three districts demonstrate significant local autocorrelation. One district shows stronger clustering at the 1 </w:t>
      </w:r>
      <w:proofErr w:type="spellStart"/>
      <w:r w:rsidRPr="00D3052A">
        <w:rPr>
          <w:rFonts w:ascii="Times New Roman" w:hAnsi="Times New Roman" w:cs="Times New Roman"/>
          <w:sz w:val="20"/>
          <w:szCs w:val="20"/>
        </w:rPr>
        <w:t>percent</w:t>
      </w:r>
      <w:proofErr w:type="spellEnd"/>
      <w:r w:rsidRPr="00D3052A">
        <w:rPr>
          <w:rFonts w:ascii="Times New Roman" w:hAnsi="Times New Roman" w:cs="Times New Roman"/>
          <w:sz w:val="20"/>
          <w:szCs w:val="20"/>
        </w:rPr>
        <w:t xml:space="preserve"> significance level, whereas two districts are significant at the 5 </w:t>
      </w:r>
      <w:proofErr w:type="spellStart"/>
      <w:r w:rsidRPr="00D3052A">
        <w:rPr>
          <w:rFonts w:ascii="Times New Roman" w:hAnsi="Times New Roman" w:cs="Times New Roman"/>
          <w:sz w:val="20"/>
          <w:szCs w:val="20"/>
        </w:rPr>
        <w:t>percent</w:t>
      </w:r>
      <w:proofErr w:type="spellEnd"/>
      <w:r w:rsidRPr="00D3052A">
        <w:rPr>
          <w:rFonts w:ascii="Times New Roman" w:hAnsi="Times New Roman" w:cs="Times New Roman"/>
          <w:sz w:val="20"/>
          <w:szCs w:val="20"/>
        </w:rPr>
        <w:t xml:space="preserve"> level. This indicates that spatial concentration of the studied phenomenon is localized rather than widespread across the state. The results suggest the presence of specific districts where neighbouring effects play a significant role and therefore warrant focused policy attention.</w:t>
      </w:r>
    </w:p>
    <w:p w:rsidR="00D3052A" w:rsidRDefault="00D3052A" w:rsidP="00A16A9E">
      <w:pPr>
        <w:jc w:val="both"/>
        <w:rPr>
          <w:rFonts w:ascii="Times New Roman" w:hAnsi="Times New Roman" w:cs="Times New Roman"/>
          <w:sz w:val="20"/>
          <w:szCs w:val="20"/>
        </w:rPr>
      </w:pPr>
    </w:p>
    <w:p w:rsidR="00D3052A" w:rsidRDefault="00D3052A" w:rsidP="00A16A9E">
      <w:pPr>
        <w:jc w:val="both"/>
        <w:rPr>
          <w:rFonts w:ascii="Times New Roman" w:hAnsi="Times New Roman" w:cs="Times New Roman"/>
          <w:sz w:val="20"/>
          <w:szCs w:val="20"/>
        </w:rPr>
      </w:pPr>
      <w:r w:rsidRPr="00D3052A">
        <w:rPr>
          <w:rFonts w:ascii="Times New Roman" w:hAnsi="Times New Roman" w:cs="Times New Roman"/>
          <w:sz w:val="20"/>
          <w:szCs w:val="20"/>
        </w:rPr>
        <w:t xml:space="preserve">The Moran's scatter plot yields a Global Moran's I value of approximately 0.423, indicating a moderate positive spatial autocorrelation. This suggests that districts with high values tend to be located near other high-value districts, while districts with low values are generally surrounded by low-value districts. The positive slope of the regression line confirms the existence of spatial clustering rather than a random distribution. Therefore, the studied variable exhibits significant geographic dependence across West Bengal, implying that neighbouring </w:t>
      </w:r>
      <w:r w:rsidRPr="00D3052A">
        <w:rPr>
          <w:rFonts w:ascii="Times New Roman" w:hAnsi="Times New Roman" w:cs="Times New Roman"/>
          <w:sz w:val="20"/>
          <w:szCs w:val="20"/>
        </w:rPr>
        <w:lastRenderedPageBreak/>
        <w:t>districts tend to share similar characteristics. Such spatial dependence should be considered when designing regional development and policy interventions.</w:t>
      </w:r>
    </w:p>
    <w:p w:rsidR="00D3052A" w:rsidRPr="00B768AE" w:rsidRDefault="00D3052A" w:rsidP="00A16A9E">
      <w:pPr>
        <w:jc w:val="both"/>
        <w:rPr>
          <w:rFonts w:ascii="Times New Roman" w:hAnsi="Times New Roman" w:cs="Times New Roman"/>
          <w:b/>
          <w:bCs/>
          <w:sz w:val="20"/>
          <w:szCs w:val="20"/>
        </w:rPr>
      </w:pPr>
    </w:p>
    <w:p w:rsidR="00C04DBE" w:rsidRPr="00B768AE" w:rsidRDefault="00C04DBE">
      <w:pPr>
        <w:rPr>
          <w:rFonts w:ascii="Times New Roman" w:hAnsi="Times New Roman" w:cs="Times New Roman"/>
          <w:b/>
          <w:bCs/>
          <w:sz w:val="20"/>
          <w:szCs w:val="20"/>
        </w:rPr>
      </w:pPr>
      <w:r w:rsidRPr="00B768AE">
        <w:rPr>
          <w:rFonts w:ascii="Times New Roman" w:hAnsi="Times New Roman" w:cs="Times New Roman"/>
          <w:b/>
          <w:bCs/>
          <w:sz w:val="20"/>
          <w:szCs w:val="20"/>
        </w:rPr>
        <w:t>8. CONCLUSION</w:t>
      </w:r>
    </w:p>
    <w:p w:rsidR="00C04DBE" w:rsidRDefault="00C04DBE" w:rsidP="00B768AE">
      <w:pPr>
        <w:jc w:val="both"/>
        <w:rPr>
          <w:rFonts w:ascii="Times New Roman" w:hAnsi="Times New Roman" w:cs="Times New Roman"/>
          <w:sz w:val="20"/>
          <w:szCs w:val="20"/>
        </w:rPr>
      </w:pPr>
    </w:p>
    <w:p w:rsidR="00B768AE" w:rsidRPr="00B768AE" w:rsidRDefault="00B768AE" w:rsidP="00B768AE">
      <w:pPr>
        <w:jc w:val="both"/>
        <w:rPr>
          <w:rFonts w:ascii="Times New Roman" w:hAnsi="Times New Roman" w:cs="Times New Roman"/>
          <w:sz w:val="20"/>
          <w:szCs w:val="20"/>
        </w:rPr>
      </w:pPr>
      <w:r w:rsidRPr="00B768AE">
        <w:rPr>
          <w:rFonts w:ascii="Times New Roman" w:hAnsi="Times New Roman" w:cs="Times New Roman"/>
          <w:sz w:val="20"/>
          <w:szCs w:val="20"/>
        </w:rPr>
        <w:t xml:space="preserve">This study examined the spatial distribution of child malnutrition across the districts of West Bengal using NFHS-5 (2019–21) data and a Composite Child Malnutrition Index based on stunting, underweight, and wasting indicators. The findings reveal substantial regional disparities in child nutritional outcomes across the state. Western districts, particularly </w:t>
      </w:r>
      <w:proofErr w:type="spellStart"/>
      <w:r w:rsidRPr="00B768AE">
        <w:rPr>
          <w:rFonts w:ascii="Times New Roman" w:hAnsi="Times New Roman" w:cs="Times New Roman"/>
          <w:sz w:val="20"/>
          <w:szCs w:val="20"/>
        </w:rPr>
        <w:t>Purulia</w:t>
      </w:r>
      <w:proofErr w:type="spellEnd"/>
      <w:r w:rsidRPr="00B768AE">
        <w:rPr>
          <w:rFonts w:ascii="Times New Roman" w:hAnsi="Times New Roman" w:cs="Times New Roman"/>
          <w:sz w:val="20"/>
          <w:szCs w:val="20"/>
        </w:rPr>
        <w:t xml:space="preserve">, </w:t>
      </w:r>
      <w:proofErr w:type="spellStart"/>
      <w:r w:rsidRPr="00B768AE">
        <w:rPr>
          <w:rFonts w:ascii="Times New Roman" w:hAnsi="Times New Roman" w:cs="Times New Roman"/>
          <w:sz w:val="20"/>
          <w:szCs w:val="20"/>
        </w:rPr>
        <w:t>Paschim</w:t>
      </w:r>
      <w:proofErr w:type="spellEnd"/>
      <w:r w:rsidRPr="00B768AE">
        <w:rPr>
          <w:rFonts w:ascii="Times New Roman" w:hAnsi="Times New Roman" w:cs="Times New Roman"/>
          <w:sz w:val="20"/>
          <w:szCs w:val="20"/>
        </w:rPr>
        <w:t xml:space="preserve"> </w:t>
      </w:r>
      <w:proofErr w:type="spellStart"/>
      <w:r w:rsidRPr="00B768AE">
        <w:rPr>
          <w:rFonts w:ascii="Times New Roman" w:hAnsi="Times New Roman" w:cs="Times New Roman"/>
          <w:sz w:val="20"/>
          <w:szCs w:val="20"/>
        </w:rPr>
        <w:t>Medinipur</w:t>
      </w:r>
      <w:proofErr w:type="spellEnd"/>
      <w:r w:rsidRPr="00B768AE">
        <w:rPr>
          <w:rFonts w:ascii="Times New Roman" w:hAnsi="Times New Roman" w:cs="Times New Roman"/>
          <w:sz w:val="20"/>
          <w:szCs w:val="20"/>
        </w:rPr>
        <w:t xml:space="preserve">, </w:t>
      </w:r>
      <w:proofErr w:type="spellStart"/>
      <w:r w:rsidRPr="00B768AE">
        <w:rPr>
          <w:rFonts w:ascii="Times New Roman" w:hAnsi="Times New Roman" w:cs="Times New Roman"/>
          <w:sz w:val="20"/>
          <w:szCs w:val="20"/>
        </w:rPr>
        <w:t>Birbhum</w:t>
      </w:r>
      <w:proofErr w:type="spellEnd"/>
      <w:r w:rsidRPr="00B768AE">
        <w:rPr>
          <w:rFonts w:ascii="Times New Roman" w:hAnsi="Times New Roman" w:cs="Times New Roman"/>
          <w:sz w:val="20"/>
          <w:szCs w:val="20"/>
        </w:rPr>
        <w:t xml:space="preserve">, and </w:t>
      </w:r>
      <w:proofErr w:type="spellStart"/>
      <w:r w:rsidRPr="00B768AE">
        <w:rPr>
          <w:rFonts w:ascii="Times New Roman" w:hAnsi="Times New Roman" w:cs="Times New Roman"/>
          <w:sz w:val="20"/>
          <w:szCs w:val="20"/>
        </w:rPr>
        <w:t>Paschim</w:t>
      </w:r>
      <w:proofErr w:type="spellEnd"/>
      <w:r w:rsidRPr="00B768AE">
        <w:rPr>
          <w:rFonts w:ascii="Times New Roman" w:hAnsi="Times New Roman" w:cs="Times New Roman"/>
          <w:sz w:val="20"/>
          <w:szCs w:val="20"/>
        </w:rPr>
        <w:t xml:space="preserve"> </w:t>
      </w:r>
      <w:proofErr w:type="spellStart"/>
      <w:r w:rsidRPr="00B768AE">
        <w:rPr>
          <w:rFonts w:ascii="Times New Roman" w:hAnsi="Times New Roman" w:cs="Times New Roman"/>
          <w:sz w:val="20"/>
          <w:szCs w:val="20"/>
        </w:rPr>
        <w:t>Bardhaman</w:t>
      </w:r>
      <w:proofErr w:type="spellEnd"/>
      <w:r w:rsidRPr="00B768AE">
        <w:rPr>
          <w:rFonts w:ascii="Times New Roman" w:hAnsi="Times New Roman" w:cs="Times New Roman"/>
          <w:sz w:val="20"/>
          <w:szCs w:val="20"/>
        </w:rPr>
        <w:t xml:space="preserve">, emerged as the most nutritionally vulnerable regions, whereas districts such as Cooch Behar, Nadia, Hooghly, Howrah, North 24 </w:t>
      </w:r>
      <w:proofErr w:type="spellStart"/>
      <w:r w:rsidRPr="00B768AE">
        <w:rPr>
          <w:rFonts w:ascii="Times New Roman" w:hAnsi="Times New Roman" w:cs="Times New Roman"/>
          <w:sz w:val="20"/>
          <w:szCs w:val="20"/>
        </w:rPr>
        <w:t>Parganas</w:t>
      </w:r>
      <w:proofErr w:type="spellEnd"/>
      <w:r w:rsidRPr="00B768AE">
        <w:rPr>
          <w:rFonts w:ascii="Times New Roman" w:hAnsi="Times New Roman" w:cs="Times New Roman"/>
          <w:sz w:val="20"/>
          <w:szCs w:val="20"/>
        </w:rPr>
        <w:t xml:space="preserve">, and </w:t>
      </w:r>
      <w:proofErr w:type="spellStart"/>
      <w:r w:rsidRPr="00B768AE">
        <w:rPr>
          <w:rFonts w:ascii="Times New Roman" w:hAnsi="Times New Roman" w:cs="Times New Roman"/>
          <w:sz w:val="20"/>
          <w:szCs w:val="20"/>
        </w:rPr>
        <w:t>Purba</w:t>
      </w:r>
      <w:proofErr w:type="spellEnd"/>
      <w:r w:rsidRPr="00B768AE">
        <w:rPr>
          <w:rFonts w:ascii="Times New Roman" w:hAnsi="Times New Roman" w:cs="Times New Roman"/>
          <w:sz w:val="20"/>
          <w:szCs w:val="20"/>
        </w:rPr>
        <w:t xml:space="preserve"> </w:t>
      </w:r>
      <w:proofErr w:type="spellStart"/>
      <w:r w:rsidRPr="00B768AE">
        <w:rPr>
          <w:rFonts w:ascii="Times New Roman" w:hAnsi="Times New Roman" w:cs="Times New Roman"/>
          <w:sz w:val="20"/>
          <w:szCs w:val="20"/>
        </w:rPr>
        <w:t>Medinipur</w:t>
      </w:r>
      <w:proofErr w:type="spellEnd"/>
      <w:r w:rsidRPr="00B768AE">
        <w:rPr>
          <w:rFonts w:ascii="Times New Roman" w:hAnsi="Times New Roman" w:cs="Times New Roman"/>
          <w:sz w:val="20"/>
          <w:szCs w:val="20"/>
        </w:rPr>
        <w:t xml:space="preserve"> exhibited comparatively better nutritional conditions. The analysis further demonstrated that stunting constitutes the most prevalent form of </w:t>
      </w:r>
      <w:proofErr w:type="spellStart"/>
      <w:r w:rsidRPr="00B768AE">
        <w:rPr>
          <w:rFonts w:ascii="Times New Roman" w:hAnsi="Times New Roman" w:cs="Times New Roman"/>
          <w:sz w:val="20"/>
          <w:szCs w:val="20"/>
        </w:rPr>
        <w:t>undernutrition</w:t>
      </w:r>
      <w:proofErr w:type="spellEnd"/>
      <w:r w:rsidRPr="00B768AE">
        <w:rPr>
          <w:rFonts w:ascii="Times New Roman" w:hAnsi="Times New Roman" w:cs="Times New Roman"/>
          <w:sz w:val="20"/>
          <w:szCs w:val="20"/>
        </w:rPr>
        <w:t xml:space="preserve">, highlighting the persistence of chronic nutritional deprivation among children </w:t>
      </w:r>
      <w:proofErr w:type="gramStart"/>
      <w:r w:rsidRPr="00B768AE">
        <w:rPr>
          <w:rFonts w:ascii="Times New Roman" w:hAnsi="Times New Roman" w:cs="Times New Roman"/>
          <w:sz w:val="20"/>
          <w:szCs w:val="20"/>
        </w:rPr>
        <w:t>under</w:t>
      </w:r>
      <w:proofErr w:type="gramEnd"/>
      <w:r w:rsidRPr="00B768AE">
        <w:rPr>
          <w:rFonts w:ascii="Times New Roman" w:hAnsi="Times New Roman" w:cs="Times New Roman"/>
          <w:sz w:val="20"/>
          <w:szCs w:val="20"/>
        </w:rPr>
        <w:t xml:space="preserve"> five years of age.</w:t>
      </w:r>
    </w:p>
    <w:p w:rsidR="00B768AE" w:rsidRPr="00B768AE" w:rsidRDefault="00B768AE" w:rsidP="00B768AE">
      <w:pPr>
        <w:jc w:val="both"/>
        <w:rPr>
          <w:rFonts w:ascii="Times New Roman" w:hAnsi="Times New Roman" w:cs="Times New Roman"/>
          <w:sz w:val="20"/>
          <w:szCs w:val="20"/>
        </w:rPr>
      </w:pPr>
    </w:p>
    <w:p w:rsidR="00B768AE" w:rsidRPr="00B768AE" w:rsidRDefault="00B768AE" w:rsidP="00B768AE">
      <w:pPr>
        <w:jc w:val="both"/>
        <w:rPr>
          <w:rFonts w:ascii="Times New Roman" w:hAnsi="Times New Roman" w:cs="Times New Roman"/>
          <w:sz w:val="20"/>
          <w:szCs w:val="20"/>
        </w:rPr>
      </w:pPr>
      <w:r w:rsidRPr="00B768AE">
        <w:rPr>
          <w:rFonts w:ascii="Times New Roman" w:hAnsi="Times New Roman" w:cs="Times New Roman"/>
          <w:sz w:val="20"/>
          <w:szCs w:val="20"/>
        </w:rPr>
        <w:t>Conditional mapping revealed significant spatial associations among stunting, underweight, and wasting, indicating that different forms of child malnutrition tend to coexist within the same districts. Districts characterized by high levels of one indicator frequently exhibited high levels of the others, reflecting overlapping nutritional disadvantages. Spatial autocorrelation analysis confirmed that child malnutrition is not randomly distributed across the state. The Global Moran’s I value (0.423) indicated moderate positive spatial autocorrelation, while LISA analysis identified significant hotspot and cold-spot clusters. These findings suggest that neighbouring districts often share similar nutritional characteristics and that child malnutrition is influenced by broader regional socio-economic and environmental conditions.</w:t>
      </w:r>
    </w:p>
    <w:p w:rsidR="00B768AE" w:rsidRPr="00B768AE" w:rsidRDefault="00B768AE" w:rsidP="00B768AE">
      <w:pPr>
        <w:jc w:val="both"/>
        <w:rPr>
          <w:rFonts w:ascii="Times New Roman" w:hAnsi="Times New Roman" w:cs="Times New Roman"/>
          <w:sz w:val="20"/>
          <w:szCs w:val="20"/>
        </w:rPr>
      </w:pPr>
    </w:p>
    <w:p w:rsidR="00B768AE" w:rsidRDefault="00B768AE" w:rsidP="00B768AE">
      <w:pPr>
        <w:jc w:val="both"/>
        <w:rPr>
          <w:rFonts w:ascii="Times New Roman" w:hAnsi="Times New Roman" w:cs="Times New Roman"/>
          <w:sz w:val="20"/>
          <w:szCs w:val="20"/>
        </w:rPr>
      </w:pPr>
      <w:r w:rsidRPr="00B768AE">
        <w:rPr>
          <w:rFonts w:ascii="Times New Roman" w:hAnsi="Times New Roman" w:cs="Times New Roman"/>
          <w:sz w:val="20"/>
          <w:szCs w:val="20"/>
        </w:rPr>
        <w:t>Overall, the study highlights that child malnutrition in West Bengal remains a critical public health challenge and that progress toward achieving Sustainable Development Goal 2 (Zero Hunger) requires geographically targeted and multi-</w:t>
      </w:r>
      <w:proofErr w:type="spellStart"/>
      <w:r w:rsidRPr="00B768AE">
        <w:rPr>
          <w:rFonts w:ascii="Times New Roman" w:hAnsi="Times New Roman" w:cs="Times New Roman"/>
          <w:sz w:val="20"/>
          <w:szCs w:val="20"/>
        </w:rPr>
        <w:t>sectoral</w:t>
      </w:r>
      <w:proofErr w:type="spellEnd"/>
      <w:r w:rsidRPr="00B768AE">
        <w:rPr>
          <w:rFonts w:ascii="Times New Roman" w:hAnsi="Times New Roman" w:cs="Times New Roman"/>
          <w:sz w:val="20"/>
          <w:szCs w:val="20"/>
        </w:rPr>
        <w:t xml:space="preserve"> interventions.</w:t>
      </w:r>
    </w:p>
    <w:p w:rsidR="00C04DBE" w:rsidRDefault="00C04DBE">
      <w:pPr>
        <w:rPr>
          <w:rFonts w:ascii="Times New Roman" w:hAnsi="Times New Roman" w:cs="Times New Roman"/>
          <w:sz w:val="20"/>
          <w:szCs w:val="20"/>
        </w:rPr>
      </w:pPr>
    </w:p>
    <w:p w:rsidR="00C04DBE" w:rsidRPr="001C4757" w:rsidRDefault="00C04DBE">
      <w:pPr>
        <w:rPr>
          <w:rFonts w:ascii="Times New Roman" w:hAnsi="Times New Roman" w:cs="Times New Roman"/>
          <w:b/>
          <w:bCs/>
          <w:sz w:val="20"/>
          <w:szCs w:val="20"/>
        </w:rPr>
      </w:pPr>
      <w:r w:rsidRPr="001C4757">
        <w:rPr>
          <w:rFonts w:ascii="Times New Roman" w:hAnsi="Times New Roman" w:cs="Times New Roman"/>
          <w:b/>
          <w:bCs/>
          <w:sz w:val="20"/>
          <w:szCs w:val="20"/>
        </w:rPr>
        <w:t>9. POLICY IMPLICATION</w:t>
      </w:r>
    </w:p>
    <w:p w:rsidR="001C4757" w:rsidRDefault="001C4757" w:rsidP="001C4757">
      <w:pPr>
        <w:rPr>
          <w:rFonts w:ascii="Times New Roman" w:hAnsi="Times New Roman" w:cs="Times New Roman"/>
          <w:sz w:val="20"/>
          <w:szCs w:val="20"/>
        </w:rPr>
      </w:pPr>
    </w:p>
    <w:p w:rsidR="00BB40D3" w:rsidRPr="00BB40D3" w:rsidRDefault="00BB40D3" w:rsidP="001C4757">
      <w:pPr>
        <w:jc w:val="both"/>
        <w:rPr>
          <w:rFonts w:ascii="Times New Roman" w:hAnsi="Times New Roman" w:cs="Times New Roman"/>
          <w:sz w:val="20"/>
          <w:szCs w:val="20"/>
        </w:rPr>
      </w:pPr>
      <w:r w:rsidRPr="00BB40D3">
        <w:rPr>
          <w:rFonts w:ascii="Times New Roman" w:hAnsi="Times New Roman" w:cs="Times New Roman"/>
          <w:sz w:val="20"/>
          <w:szCs w:val="20"/>
        </w:rPr>
        <w:t xml:space="preserve">Districts identified as malnutrition hotspots, particularly </w:t>
      </w:r>
      <w:proofErr w:type="spellStart"/>
      <w:r w:rsidRPr="00BB40D3">
        <w:rPr>
          <w:rFonts w:ascii="Times New Roman" w:hAnsi="Times New Roman" w:cs="Times New Roman"/>
          <w:sz w:val="20"/>
          <w:szCs w:val="20"/>
        </w:rPr>
        <w:t>Purulia</w:t>
      </w:r>
      <w:proofErr w:type="spellEnd"/>
      <w:r w:rsidRPr="00BB40D3">
        <w:rPr>
          <w:rFonts w:ascii="Times New Roman" w:hAnsi="Times New Roman" w:cs="Times New Roman"/>
          <w:sz w:val="20"/>
          <w:szCs w:val="20"/>
        </w:rPr>
        <w:t xml:space="preserve">, </w:t>
      </w:r>
      <w:proofErr w:type="spellStart"/>
      <w:r w:rsidRPr="00BB40D3">
        <w:rPr>
          <w:rFonts w:ascii="Times New Roman" w:hAnsi="Times New Roman" w:cs="Times New Roman"/>
          <w:sz w:val="20"/>
          <w:szCs w:val="20"/>
        </w:rPr>
        <w:t>Paschim</w:t>
      </w:r>
      <w:proofErr w:type="spellEnd"/>
      <w:r w:rsidRPr="00BB40D3">
        <w:rPr>
          <w:rFonts w:ascii="Times New Roman" w:hAnsi="Times New Roman" w:cs="Times New Roman"/>
          <w:sz w:val="20"/>
          <w:szCs w:val="20"/>
        </w:rPr>
        <w:t xml:space="preserve"> </w:t>
      </w:r>
      <w:proofErr w:type="spellStart"/>
      <w:r w:rsidRPr="00BB40D3">
        <w:rPr>
          <w:rFonts w:ascii="Times New Roman" w:hAnsi="Times New Roman" w:cs="Times New Roman"/>
          <w:sz w:val="20"/>
          <w:szCs w:val="20"/>
        </w:rPr>
        <w:t>Medinipur</w:t>
      </w:r>
      <w:proofErr w:type="spellEnd"/>
      <w:r w:rsidRPr="00BB40D3">
        <w:rPr>
          <w:rFonts w:ascii="Times New Roman" w:hAnsi="Times New Roman" w:cs="Times New Roman"/>
          <w:sz w:val="20"/>
          <w:szCs w:val="20"/>
        </w:rPr>
        <w:t xml:space="preserve">, </w:t>
      </w:r>
      <w:proofErr w:type="spellStart"/>
      <w:r w:rsidRPr="00BB40D3">
        <w:rPr>
          <w:rFonts w:ascii="Times New Roman" w:hAnsi="Times New Roman" w:cs="Times New Roman"/>
          <w:sz w:val="20"/>
          <w:szCs w:val="20"/>
        </w:rPr>
        <w:t>Birbhum</w:t>
      </w:r>
      <w:proofErr w:type="spellEnd"/>
      <w:r w:rsidRPr="00BB40D3">
        <w:rPr>
          <w:rFonts w:ascii="Times New Roman" w:hAnsi="Times New Roman" w:cs="Times New Roman"/>
          <w:sz w:val="20"/>
          <w:szCs w:val="20"/>
        </w:rPr>
        <w:t xml:space="preserve">, and </w:t>
      </w:r>
      <w:proofErr w:type="spellStart"/>
      <w:r w:rsidRPr="00BB40D3">
        <w:rPr>
          <w:rFonts w:ascii="Times New Roman" w:hAnsi="Times New Roman" w:cs="Times New Roman"/>
          <w:sz w:val="20"/>
          <w:szCs w:val="20"/>
        </w:rPr>
        <w:t>Paschim</w:t>
      </w:r>
      <w:proofErr w:type="spellEnd"/>
      <w:r w:rsidRPr="00BB40D3">
        <w:rPr>
          <w:rFonts w:ascii="Times New Roman" w:hAnsi="Times New Roman" w:cs="Times New Roman"/>
          <w:sz w:val="20"/>
          <w:szCs w:val="20"/>
        </w:rPr>
        <w:t xml:space="preserve"> </w:t>
      </w:r>
      <w:proofErr w:type="spellStart"/>
      <w:r w:rsidRPr="00BB40D3">
        <w:rPr>
          <w:rFonts w:ascii="Times New Roman" w:hAnsi="Times New Roman" w:cs="Times New Roman"/>
          <w:sz w:val="20"/>
          <w:szCs w:val="20"/>
        </w:rPr>
        <w:t>Bardhaman</w:t>
      </w:r>
      <w:proofErr w:type="spellEnd"/>
      <w:r w:rsidRPr="00BB40D3">
        <w:rPr>
          <w:rFonts w:ascii="Times New Roman" w:hAnsi="Times New Roman" w:cs="Times New Roman"/>
          <w:sz w:val="20"/>
          <w:szCs w:val="20"/>
        </w:rPr>
        <w:t>, should receive priority in nutrition-related programmes and resource allocation.</w:t>
      </w:r>
      <w:r w:rsidR="001C4757">
        <w:rPr>
          <w:rFonts w:ascii="Times New Roman" w:hAnsi="Times New Roman" w:cs="Times New Roman"/>
          <w:sz w:val="20"/>
          <w:szCs w:val="20"/>
        </w:rPr>
        <w:t xml:space="preserve"> </w:t>
      </w:r>
      <w:r w:rsidRPr="00BB40D3">
        <w:rPr>
          <w:rFonts w:ascii="Times New Roman" w:hAnsi="Times New Roman" w:cs="Times New Roman"/>
          <w:sz w:val="20"/>
          <w:szCs w:val="20"/>
        </w:rPr>
        <w:t xml:space="preserve">Expansion and effective monitoring of ICDS centres, </w:t>
      </w:r>
      <w:proofErr w:type="spellStart"/>
      <w:r w:rsidRPr="00BB40D3">
        <w:rPr>
          <w:rFonts w:ascii="Times New Roman" w:hAnsi="Times New Roman" w:cs="Times New Roman"/>
          <w:sz w:val="20"/>
          <w:szCs w:val="20"/>
        </w:rPr>
        <w:t>Anganwadi</w:t>
      </w:r>
      <w:proofErr w:type="spellEnd"/>
      <w:r w:rsidRPr="00BB40D3">
        <w:rPr>
          <w:rFonts w:ascii="Times New Roman" w:hAnsi="Times New Roman" w:cs="Times New Roman"/>
          <w:sz w:val="20"/>
          <w:szCs w:val="20"/>
        </w:rPr>
        <w:t xml:space="preserve"> services, growth monitoring, and supplementary nutrition programmes are essential for reducing chronic </w:t>
      </w:r>
      <w:proofErr w:type="spellStart"/>
      <w:r w:rsidRPr="00BB40D3">
        <w:rPr>
          <w:rFonts w:ascii="Times New Roman" w:hAnsi="Times New Roman" w:cs="Times New Roman"/>
          <w:sz w:val="20"/>
          <w:szCs w:val="20"/>
        </w:rPr>
        <w:t>undernutrition</w:t>
      </w:r>
      <w:proofErr w:type="spellEnd"/>
      <w:r w:rsidRPr="00BB40D3">
        <w:rPr>
          <w:rFonts w:ascii="Times New Roman" w:hAnsi="Times New Roman" w:cs="Times New Roman"/>
          <w:sz w:val="20"/>
          <w:szCs w:val="20"/>
        </w:rPr>
        <w:t xml:space="preserve"> among children.</w:t>
      </w:r>
      <w:r w:rsidR="001C4757">
        <w:rPr>
          <w:rFonts w:ascii="Times New Roman" w:hAnsi="Times New Roman" w:cs="Times New Roman"/>
          <w:sz w:val="20"/>
          <w:szCs w:val="20"/>
        </w:rPr>
        <w:t xml:space="preserve"> </w:t>
      </w:r>
      <w:r w:rsidRPr="00BB40D3">
        <w:rPr>
          <w:rFonts w:ascii="Times New Roman" w:hAnsi="Times New Roman" w:cs="Times New Roman"/>
          <w:sz w:val="20"/>
          <w:szCs w:val="20"/>
        </w:rPr>
        <w:t>Since child nutrition is closely linked to maternal nutritional status, policies should strengthen antenatal care, iron-folic acid supplementation, maternal dietary counselling, and institutional healthcare services.</w:t>
      </w:r>
      <w:r w:rsidR="001C4757">
        <w:rPr>
          <w:rFonts w:ascii="Times New Roman" w:hAnsi="Times New Roman" w:cs="Times New Roman"/>
          <w:sz w:val="20"/>
          <w:szCs w:val="20"/>
        </w:rPr>
        <w:t xml:space="preserve"> </w:t>
      </w:r>
      <w:r w:rsidRPr="00BB40D3">
        <w:rPr>
          <w:rFonts w:ascii="Times New Roman" w:hAnsi="Times New Roman" w:cs="Times New Roman"/>
          <w:sz w:val="20"/>
          <w:szCs w:val="20"/>
        </w:rPr>
        <w:t>Targeted food security programmes should focus on nutritionally vulnerable households through improved access to diversified diets, micronutrient supplementation, and nutrition-sensitive agriculture.</w:t>
      </w:r>
      <w:r w:rsidR="001C4757">
        <w:rPr>
          <w:rFonts w:ascii="Times New Roman" w:hAnsi="Times New Roman" w:cs="Times New Roman"/>
          <w:sz w:val="20"/>
          <w:szCs w:val="20"/>
        </w:rPr>
        <w:t xml:space="preserve"> </w:t>
      </w:r>
      <w:r w:rsidRPr="00BB40D3">
        <w:rPr>
          <w:rFonts w:ascii="Times New Roman" w:hAnsi="Times New Roman" w:cs="Times New Roman"/>
          <w:sz w:val="20"/>
          <w:szCs w:val="20"/>
        </w:rPr>
        <w:t>Improved access to safe drinking water, sanitation facilities, and hygiene practices is crucial for reducing recurrent infections that contribute to stunting and wasting.</w:t>
      </w:r>
      <w:r w:rsidR="001C4757">
        <w:rPr>
          <w:rFonts w:ascii="Times New Roman" w:hAnsi="Times New Roman" w:cs="Times New Roman"/>
          <w:sz w:val="20"/>
          <w:szCs w:val="20"/>
        </w:rPr>
        <w:t xml:space="preserve"> </w:t>
      </w:r>
      <w:r w:rsidRPr="00BB40D3">
        <w:rPr>
          <w:rFonts w:ascii="Times New Roman" w:hAnsi="Times New Roman" w:cs="Times New Roman"/>
          <w:sz w:val="20"/>
          <w:szCs w:val="20"/>
        </w:rPr>
        <w:t>Community-based nutrition education programmes should be implemented to improve breastfeeding practices, complementary feeding, child-care behaviours, and awareness regarding balanced diets.</w:t>
      </w:r>
    </w:p>
    <w:p w:rsidR="00BB40D3" w:rsidRPr="00BB40D3" w:rsidRDefault="00BB40D3" w:rsidP="001C4757">
      <w:pPr>
        <w:jc w:val="both"/>
        <w:rPr>
          <w:rFonts w:ascii="Times New Roman" w:hAnsi="Times New Roman" w:cs="Times New Roman"/>
          <w:sz w:val="20"/>
          <w:szCs w:val="20"/>
        </w:rPr>
      </w:pPr>
    </w:p>
    <w:p w:rsidR="00C04DBE" w:rsidRDefault="00BB40D3" w:rsidP="001C4757">
      <w:pPr>
        <w:jc w:val="both"/>
        <w:rPr>
          <w:rFonts w:ascii="Times New Roman" w:hAnsi="Times New Roman" w:cs="Times New Roman"/>
          <w:sz w:val="20"/>
          <w:szCs w:val="20"/>
        </w:rPr>
      </w:pPr>
      <w:r w:rsidRPr="00BB40D3">
        <w:rPr>
          <w:rFonts w:ascii="Times New Roman" w:hAnsi="Times New Roman" w:cs="Times New Roman"/>
          <w:sz w:val="20"/>
          <w:szCs w:val="20"/>
        </w:rPr>
        <w:lastRenderedPageBreak/>
        <w:t>The presence of significant spatial clustering suggests that district-specific and region-specific interventions will be more effective than uniform state-wide policies.</w:t>
      </w:r>
    </w:p>
    <w:p w:rsidR="00C04DBE" w:rsidRDefault="00C04DBE" w:rsidP="001C4757">
      <w:pPr>
        <w:jc w:val="both"/>
        <w:rPr>
          <w:rFonts w:ascii="Times New Roman" w:hAnsi="Times New Roman" w:cs="Times New Roman"/>
          <w:sz w:val="20"/>
          <w:szCs w:val="20"/>
        </w:rPr>
      </w:pPr>
    </w:p>
    <w:p w:rsidR="00C04DBE" w:rsidRPr="001C4757" w:rsidRDefault="00C04DBE">
      <w:pPr>
        <w:rPr>
          <w:rFonts w:ascii="Times New Roman" w:hAnsi="Times New Roman" w:cs="Times New Roman"/>
          <w:b/>
          <w:bCs/>
          <w:sz w:val="20"/>
          <w:szCs w:val="20"/>
        </w:rPr>
      </w:pPr>
      <w:r w:rsidRPr="001C4757">
        <w:rPr>
          <w:rFonts w:ascii="Times New Roman" w:hAnsi="Times New Roman" w:cs="Times New Roman"/>
          <w:b/>
          <w:bCs/>
          <w:sz w:val="20"/>
          <w:szCs w:val="20"/>
        </w:rPr>
        <w:t>10. FUTURE RESEARCH</w:t>
      </w:r>
    </w:p>
    <w:p w:rsidR="00C04DBE" w:rsidRDefault="00C04DBE" w:rsidP="001C4757">
      <w:pPr>
        <w:jc w:val="both"/>
        <w:rPr>
          <w:rFonts w:ascii="Times New Roman" w:hAnsi="Times New Roman" w:cs="Times New Roman"/>
          <w:sz w:val="20"/>
          <w:szCs w:val="20"/>
        </w:rPr>
      </w:pPr>
    </w:p>
    <w:p w:rsidR="001C4757" w:rsidRDefault="001C4757" w:rsidP="001C4757">
      <w:pPr>
        <w:jc w:val="both"/>
        <w:rPr>
          <w:rFonts w:ascii="Times New Roman" w:hAnsi="Times New Roman" w:cs="Times New Roman"/>
          <w:sz w:val="20"/>
          <w:szCs w:val="20"/>
        </w:rPr>
      </w:pPr>
      <w:r w:rsidRPr="001C4757">
        <w:rPr>
          <w:rFonts w:ascii="Times New Roman" w:hAnsi="Times New Roman" w:cs="Times New Roman"/>
          <w:sz w:val="20"/>
          <w:szCs w:val="20"/>
        </w:rPr>
        <w:t>Future studies should examine the socio-economic, demographic, environmental, and healthcare determinants influencing district-level variations in child malnutrition.</w:t>
      </w:r>
      <w:r>
        <w:rPr>
          <w:rFonts w:ascii="Times New Roman" w:hAnsi="Times New Roman" w:cs="Times New Roman"/>
          <w:sz w:val="20"/>
          <w:szCs w:val="20"/>
        </w:rPr>
        <w:t xml:space="preserve"> </w:t>
      </w:r>
      <w:r w:rsidRPr="001C4757">
        <w:rPr>
          <w:rFonts w:ascii="Times New Roman" w:hAnsi="Times New Roman" w:cs="Times New Roman"/>
          <w:sz w:val="20"/>
          <w:szCs w:val="20"/>
        </w:rPr>
        <w:t>Further research may investigate the relationship between child malnutrition, WASH conditions, poverty, maternal education, and healthcare accessibility using multivariate spatial models.</w:t>
      </w:r>
      <w:r>
        <w:rPr>
          <w:rFonts w:ascii="Times New Roman" w:hAnsi="Times New Roman" w:cs="Times New Roman"/>
          <w:sz w:val="20"/>
          <w:szCs w:val="20"/>
        </w:rPr>
        <w:t xml:space="preserve"> </w:t>
      </w:r>
      <w:r w:rsidRPr="001C4757">
        <w:rPr>
          <w:rFonts w:ascii="Times New Roman" w:hAnsi="Times New Roman" w:cs="Times New Roman"/>
          <w:sz w:val="20"/>
          <w:szCs w:val="20"/>
        </w:rPr>
        <w:t>A comparative analysis using multiple rounds of NFHS data (NFHS-3, NFHS-4, and NFHS-5) could provide deeper insights into trends and changes in child nutritional outcomes over time.</w:t>
      </w:r>
      <w:r>
        <w:rPr>
          <w:rFonts w:ascii="Times New Roman" w:hAnsi="Times New Roman" w:cs="Times New Roman"/>
          <w:sz w:val="20"/>
          <w:szCs w:val="20"/>
        </w:rPr>
        <w:t xml:space="preserve"> </w:t>
      </w:r>
      <w:r w:rsidRPr="001C4757">
        <w:rPr>
          <w:rFonts w:ascii="Times New Roman" w:hAnsi="Times New Roman" w:cs="Times New Roman"/>
          <w:sz w:val="20"/>
          <w:szCs w:val="20"/>
        </w:rPr>
        <w:t>Future studies may employ spatial regression models such as Spatial Lag Models (SLM), Spatial Error Models (SEM), and Geographically Weighted Regression (GWR) to better understand spatial determinants of malnutrition.</w:t>
      </w:r>
      <w:r>
        <w:rPr>
          <w:rFonts w:ascii="Times New Roman" w:hAnsi="Times New Roman" w:cs="Times New Roman"/>
          <w:sz w:val="20"/>
          <w:szCs w:val="20"/>
        </w:rPr>
        <w:t xml:space="preserve"> </w:t>
      </w:r>
      <w:r w:rsidRPr="001C4757">
        <w:rPr>
          <w:rFonts w:ascii="Times New Roman" w:hAnsi="Times New Roman" w:cs="Times New Roman"/>
          <w:sz w:val="20"/>
          <w:szCs w:val="20"/>
        </w:rPr>
        <w:t>Block-level or village-level analyses would help identify local nutritional inequalities that may remain hidden in district-level studies.</w:t>
      </w:r>
      <w:r>
        <w:rPr>
          <w:rFonts w:ascii="Times New Roman" w:hAnsi="Times New Roman" w:cs="Times New Roman"/>
          <w:sz w:val="20"/>
          <w:szCs w:val="20"/>
        </w:rPr>
        <w:t xml:space="preserve"> </w:t>
      </w:r>
      <w:r w:rsidRPr="001C4757">
        <w:rPr>
          <w:rFonts w:ascii="Times New Roman" w:hAnsi="Times New Roman" w:cs="Times New Roman"/>
          <w:sz w:val="20"/>
          <w:szCs w:val="20"/>
        </w:rPr>
        <w:t xml:space="preserve">Future research could incorporate the Composite Index of Anthropometric Failure (CIAF) to capture the multidimensional nature of child </w:t>
      </w:r>
      <w:proofErr w:type="spellStart"/>
      <w:r w:rsidRPr="001C4757">
        <w:rPr>
          <w:rFonts w:ascii="Times New Roman" w:hAnsi="Times New Roman" w:cs="Times New Roman"/>
          <w:sz w:val="20"/>
          <w:szCs w:val="20"/>
        </w:rPr>
        <w:t>undernutrition</w:t>
      </w:r>
      <w:proofErr w:type="spellEnd"/>
      <w:r w:rsidRPr="001C4757">
        <w:rPr>
          <w:rFonts w:ascii="Times New Roman" w:hAnsi="Times New Roman" w:cs="Times New Roman"/>
          <w:sz w:val="20"/>
          <w:szCs w:val="20"/>
        </w:rPr>
        <w:t xml:space="preserve"> more comprehensively.</w:t>
      </w:r>
      <w:r>
        <w:rPr>
          <w:rFonts w:ascii="Times New Roman" w:hAnsi="Times New Roman" w:cs="Times New Roman"/>
          <w:sz w:val="20"/>
          <w:szCs w:val="20"/>
        </w:rPr>
        <w:t xml:space="preserve"> </w:t>
      </w:r>
      <w:r w:rsidRPr="001C4757">
        <w:rPr>
          <w:rFonts w:ascii="Times New Roman" w:hAnsi="Times New Roman" w:cs="Times New Roman"/>
          <w:sz w:val="20"/>
          <w:szCs w:val="20"/>
        </w:rPr>
        <w:t>The influence of climate variability, agricultural productivity, drought, flooding, and environmental vulnerability on child nutritional outcomes should be explored to support climate-resilient nutrition polici</w:t>
      </w:r>
      <w:r>
        <w:rPr>
          <w:rFonts w:ascii="Times New Roman" w:hAnsi="Times New Roman" w:cs="Times New Roman"/>
          <w:sz w:val="20"/>
          <w:szCs w:val="20"/>
        </w:rPr>
        <w:t>es.</w:t>
      </w:r>
    </w:p>
    <w:p w:rsidR="001C4757" w:rsidRDefault="001C4757">
      <w:pPr>
        <w:rPr>
          <w:rFonts w:ascii="Times New Roman" w:hAnsi="Times New Roman" w:cs="Times New Roman"/>
          <w:sz w:val="20"/>
          <w:szCs w:val="20"/>
        </w:rPr>
      </w:pPr>
    </w:p>
    <w:p w:rsidR="00C04DBE" w:rsidRPr="001C4757" w:rsidRDefault="00C04DBE">
      <w:pPr>
        <w:rPr>
          <w:rFonts w:ascii="Times New Roman" w:hAnsi="Times New Roman" w:cs="Times New Roman"/>
          <w:b/>
          <w:bCs/>
          <w:sz w:val="20"/>
          <w:szCs w:val="20"/>
        </w:rPr>
      </w:pPr>
      <w:r w:rsidRPr="001C4757">
        <w:rPr>
          <w:rFonts w:ascii="Times New Roman" w:hAnsi="Times New Roman" w:cs="Times New Roman"/>
          <w:b/>
          <w:bCs/>
          <w:sz w:val="20"/>
          <w:szCs w:val="20"/>
        </w:rPr>
        <w:t>References</w:t>
      </w:r>
    </w:p>
    <w:p w:rsidR="008F241A" w:rsidRDefault="008F241A">
      <w:pPr>
        <w:rPr>
          <w:rFonts w:ascii="Times New Roman" w:hAnsi="Times New Roman" w:cs="Times New Roman"/>
          <w:sz w:val="20"/>
          <w:szCs w:val="20"/>
        </w:rPr>
      </w:pPr>
    </w:p>
    <w:p w:rsidR="008F241A" w:rsidRPr="008F241A" w:rsidRDefault="008F241A" w:rsidP="008F241A">
      <w:pPr>
        <w:jc w:val="both"/>
        <w:rPr>
          <w:rFonts w:ascii="Times New Roman" w:hAnsi="Times New Roman" w:cs="Times New Roman"/>
          <w:sz w:val="20"/>
          <w:szCs w:val="20"/>
        </w:rPr>
      </w:pPr>
      <w:r w:rsidRPr="008F241A">
        <w:rPr>
          <w:rFonts w:ascii="Times New Roman" w:hAnsi="Times New Roman" w:cs="Times New Roman"/>
          <w:sz w:val="20"/>
          <w:szCs w:val="20"/>
        </w:rPr>
        <w:t xml:space="preserve">Bose, K., </w:t>
      </w:r>
      <w:proofErr w:type="spellStart"/>
      <w:r w:rsidRPr="008F241A">
        <w:rPr>
          <w:rFonts w:ascii="Times New Roman" w:hAnsi="Times New Roman" w:cs="Times New Roman"/>
          <w:sz w:val="20"/>
          <w:szCs w:val="20"/>
        </w:rPr>
        <w:t>Bisai</w:t>
      </w:r>
      <w:proofErr w:type="spellEnd"/>
      <w:r w:rsidRPr="008F241A">
        <w:rPr>
          <w:rFonts w:ascii="Times New Roman" w:hAnsi="Times New Roman" w:cs="Times New Roman"/>
          <w:sz w:val="20"/>
          <w:szCs w:val="20"/>
        </w:rPr>
        <w:t xml:space="preserve">, S., Mukherjee, S., &amp; </w:t>
      </w:r>
      <w:proofErr w:type="spellStart"/>
      <w:r w:rsidRPr="008F241A">
        <w:rPr>
          <w:rFonts w:ascii="Times New Roman" w:hAnsi="Times New Roman" w:cs="Times New Roman"/>
          <w:sz w:val="20"/>
          <w:szCs w:val="20"/>
        </w:rPr>
        <w:t>Khatun</w:t>
      </w:r>
      <w:proofErr w:type="spellEnd"/>
      <w:r w:rsidRPr="008F241A">
        <w:rPr>
          <w:rFonts w:ascii="Times New Roman" w:hAnsi="Times New Roman" w:cs="Times New Roman"/>
          <w:sz w:val="20"/>
          <w:szCs w:val="20"/>
        </w:rPr>
        <w:t xml:space="preserve">, A. (2007). </w:t>
      </w:r>
      <w:proofErr w:type="gramStart"/>
      <w:r w:rsidRPr="008F241A">
        <w:rPr>
          <w:rFonts w:ascii="Times New Roman" w:hAnsi="Times New Roman" w:cs="Times New Roman"/>
          <w:sz w:val="20"/>
          <w:szCs w:val="20"/>
        </w:rPr>
        <w:t>Assessment of nutritional status among preschool children of Nadia District, West Bengal, India.</w:t>
      </w:r>
      <w:proofErr w:type="gramEnd"/>
    </w:p>
    <w:p w:rsidR="008F241A" w:rsidRPr="008F241A" w:rsidRDefault="008F241A" w:rsidP="008F241A">
      <w:pPr>
        <w:jc w:val="both"/>
        <w:rPr>
          <w:rFonts w:ascii="Times New Roman" w:hAnsi="Times New Roman" w:cs="Times New Roman"/>
          <w:sz w:val="20"/>
          <w:szCs w:val="20"/>
        </w:rPr>
      </w:pPr>
      <w:proofErr w:type="spellStart"/>
      <w:r w:rsidRPr="008F241A">
        <w:rPr>
          <w:rFonts w:ascii="Times New Roman" w:hAnsi="Times New Roman" w:cs="Times New Roman"/>
          <w:sz w:val="20"/>
          <w:szCs w:val="20"/>
        </w:rPr>
        <w:t>Biswas</w:t>
      </w:r>
      <w:proofErr w:type="spellEnd"/>
      <w:r w:rsidRPr="008F241A">
        <w:rPr>
          <w:rFonts w:ascii="Times New Roman" w:hAnsi="Times New Roman" w:cs="Times New Roman"/>
          <w:sz w:val="20"/>
          <w:szCs w:val="20"/>
        </w:rPr>
        <w:t xml:space="preserve">, S., Bose, K., &amp; </w:t>
      </w:r>
      <w:proofErr w:type="spellStart"/>
      <w:r w:rsidRPr="008F241A">
        <w:rPr>
          <w:rFonts w:ascii="Times New Roman" w:hAnsi="Times New Roman" w:cs="Times New Roman"/>
          <w:sz w:val="20"/>
          <w:szCs w:val="20"/>
        </w:rPr>
        <w:t>Mukhopadhyay</w:t>
      </w:r>
      <w:proofErr w:type="spellEnd"/>
      <w:r w:rsidRPr="008F241A">
        <w:rPr>
          <w:rFonts w:ascii="Times New Roman" w:hAnsi="Times New Roman" w:cs="Times New Roman"/>
          <w:sz w:val="20"/>
          <w:szCs w:val="20"/>
        </w:rPr>
        <w:t xml:space="preserve">, A. (2010). </w:t>
      </w:r>
      <w:proofErr w:type="gramStart"/>
      <w:r w:rsidRPr="008F241A">
        <w:rPr>
          <w:rFonts w:ascii="Times New Roman" w:hAnsi="Times New Roman" w:cs="Times New Roman"/>
          <w:sz w:val="20"/>
          <w:szCs w:val="20"/>
        </w:rPr>
        <w:t xml:space="preserve">Assessment of </w:t>
      </w:r>
      <w:proofErr w:type="spellStart"/>
      <w:r w:rsidRPr="008F241A">
        <w:rPr>
          <w:rFonts w:ascii="Times New Roman" w:hAnsi="Times New Roman" w:cs="Times New Roman"/>
          <w:sz w:val="20"/>
          <w:szCs w:val="20"/>
        </w:rPr>
        <w:t>undernutrition</w:t>
      </w:r>
      <w:proofErr w:type="spellEnd"/>
      <w:r w:rsidRPr="008F241A">
        <w:rPr>
          <w:rFonts w:ascii="Times New Roman" w:hAnsi="Times New Roman" w:cs="Times New Roman"/>
          <w:sz w:val="20"/>
          <w:szCs w:val="20"/>
        </w:rPr>
        <w:t xml:space="preserve"> by Composite Index of Anthropometric Failure (CIAF) among preschool children in Nadia District, West Bengal, India.</w:t>
      </w:r>
      <w:proofErr w:type="gramEnd"/>
    </w:p>
    <w:p w:rsidR="008F241A" w:rsidRPr="008F241A" w:rsidRDefault="008F241A" w:rsidP="008F241A">
      <w:pPr>
        <w:jc w:val="both"/>
        <w:rPr>
          <w:rFonts w:ascii="Times New Roman" w:hAnsi="Times New Roman" w:cs="Times New Roman"/>
          <w:sz w:val="20"/>
          <w:szCs w:val="20"/>
        </w:rPr>
      </w:pPr>
      <w:r w:rsidRPr="008F241A">
        <w:rPr>
          <w:rFonts w:ascii="Times New Roman" w:hAnsi="Times New Roman" w:cs="Times New Roman"/>
          <w:sz w:val="20"/>
          <w:szCs w:val="20"/>
        </w:rPr>
        <w:t xml:space="preserve">De, K., </w:t>
      </w:r>
      <w:proofErr w:type="spellStart"/>
      <w:r w:rsidRPr="008F241A">
        <w:rPr>
          <w:rFonts w:ascii="Times New Roman" w:hAnsi="Times New Roman" w:cs="Times New Roman"/>
          <w:sz w:val="20"/>
          <w:szCs w:val="20"/>
        </w:rPr>
        <w:t>Dasgupta</w:t>
      </w:r>
      <w:proofErr w:type="spellEnd"/>
      <w:r w:rsidRPr="008F241A">
        <w:rPr>
          <w:rFonts w:ascii="Times New Roman" w:hAnsi="Times New Roman" w:cs="Times New Roman"/>
          <w:sz w:val="20"/>
          <w:szCs w:val="20"/>
        </w:rPr>
        <w:t xml:space="preserve">, A., &amp; </w:t>
      </w:r>
      <w:proofErr w:type="spellStart"/>
      <w:r w:rsidRPr="008F241A">
        <w:rPr>
          <w:rFonts w:ascii="Times New Roman" w:hAnsi="Times New Roman" w:cs="Times New Roman"/>
          <w:sz w:val="20"/>
          <w:szCs w:val="20"/>
        </w:rPr>
        <w:t>Sahoo</w:t>
      </w:r>
      <w:proofErr w:type="spellEnd"/>
      <w:r w:rsidRPr="008F241A">
        <w:rPr>
          <w:rFonts w:ascii="Times New Roman" w:hAnsi="Times New Roman" w:cs="Times New Roman"/>
          <w:sz w:val="20"/>
          <w:szCs w:val="20"/>
        </w:rPr>
        <w:t>, S. (2019). Malnutrition and child development: Evidence from a backward district of India.</w:t>
      </w:r>
    </w:p>
    <w:p w:rsidR="008F241A" w:rsidRPr="008F241A" w:rsidRDefault="008F241A" w:rsidP="008F241A">
      <w:pPr>
        <w:jc w:val="both"/>
        <w:rPr>
          <w:rFonts w:ascii="Times New Roman" w:hAnsi="Times New Roman" w:cs="Times New Roman"/>
          <w:sz w:val="20"/>
          <w:szCs w:val="20"/>
        </w:rPr>
      </w:pPr>
      <w:proofErr w:type="gramStart"/>
      <w:r w:rsidRPr="008F241A">
        <w:rPr>
          <w:rFonts w:ascii="Times New Roman" w:hAnsi="Times New Roman" w:cs="Times New Roman"/>
          <w:sz w:val="20"/>
          <w:szCs w:val="20"/>
        </w:rPr>
        <w:t xml:space="preserve">Manna, P. K., De, D., &amp; </w:t>
      </w:r>
      <w:proofErr w:type="spellStart"/>
      <w:r w:rsidRPr="008F241A">
        <w:rPr>
          <w:rFonts w:ascii="Times New Roman" w:hAnsi="Times New Roman" w:cs="Times New Roman"/>
          <w:sz w:val="20"/>
          <w:szCs w:val="20"/>
        </w:rPr>
        <w:t>Bera</w:t>
      </w:r>
      <w:proofErr w:type="spellEnd"/>
      <w:r w:rsidRPr="008F241A">
        <w:rPr>
          <w:rFonts w:ascii="Times New Roman" w:hAnsi="Times New Roman" w:cs="Times New Roman"/>
          <w:sz w:val="20"/>
          <w:szCs w:val="20"/>
        </w:rPr>
        <w:t>, T. K. (2011).</w:t>
      </w:r>
      <w:proofErr w:type="gramEnd"/>
      <w:r w:rsidRPr="008F241A">
        <w:rPr>
          <w:rFonts w:ascii="Times New Roman" w:hAnsi="Times New Roman" w:cs="Times New Roman"/>
          <w:sz w:val="20"/>
          <w:szCs w:val="20"/>
        </w:rPr>
        <w:t xml:space="preserve"> </w:t>
      </w:r>
      <w:proofErr w:type="gramStart"/>
      <w:r w:rsidRPr="008F241A">
        <w:rPr>
          <w:rFonts w:ascii="Times New Roman" w:hAnsi="Times New Roman" w:cs="Times New Roman"/>
          <w:sz w:val="20"/>
          <w:szCs w:val="20"/>
        </w:rPr>
        <w:t>Physical growth and nutritional status among school-aged children in North Bengal, India.</w:t>
      </w:r>
      <w:proofErr w:type="gramEnd"/>
    </w:p>
    <w:p w:rsidR="008F241A" w:rsidRPr="008F241A" w:rsidRDefault="008F241A" w:rsidP="008F241A">
      <w:pPr>
        <w:jc w:val="both"/>
        <w:rPr>
          <w:rFonts w:ascii="Times New Roman" w:hAnsi="Times New Roman" w:cs="Times New Roman"/>
          <w:sz w:val="20"/>
          <w:szCs w:val="20"/>
        </w:rPr>
      </w:pPr>
      <w:proofErr w:type="spellStart"/>
      <w:r w:rsidRPr="008F241A">
        <w:rPr>
          <w:rFonts w:ascii="Times New Roman" w:hAnsi="Times New Roman" w:cs="Times New Roman"/>
          <w:sz w:val="20"/>
          <w:szCs w:val="20"/>
        </w:rPr>
        <w:t>Mukhopadhyay</w:t>
      </w:r>
      <w:proofErr w:type="spellEnd"/>
      <w:r w:rsidRPr="008F241A">
        <w:rPr>
          <w:rFonts w:ascii="Times New Roman" w:hAnsi="Times New Roman" w:cs="Times New Roman"/>
          <w:sz w:val="20"/>
          <w:szCs w:val="20"/>
        </w:rPr>
        <w:t xml:space="preserve">, D. K., </w:t>
      </w:r>
      <w:proofErr w:type="spellStart"/>
      <w:r w:rsidRPr="008F241A">
        <w:rPr>
          <w:rFonts w:ascii="Times New Roman" w:hAnsi="Times New Roman" w:cs="Times New Roman"/>
          <w:sz w:val="20"/>
          <w:szCs w:val="20"/>
        </w:rPr>
        <w:t>Biswas</w:t>
      </w:r>
      <w:proofErr w:type="spellEnd"/>
      <w:r w:rsidRPr="008F241A">
        <w:rPr>
          <w:rFonts w:ascii="Times New Roman" w:hAnsi="Times New Roman" w:cs="Times New Roman"/>
          <w:sz w:val="20"/>
          <w:szCs w:val="20"/>
        </w:rPr>
        <w:t xml:space="preserve">, A. B., &amp; </w:t>
      </w:r>
      <w:proofErr w:type="spellStart"/>
      <w:r w:rsidRPr="008F241A">
        <w:rPr>
          <w:rFonts w:ascii="Times New Roman" w:hAnsi="Times New Roman" w:cs="Times New Roman"/>
          <w:sz w:val="20"/>
          <w:szCs w:val="20"/>
        </w:rPr>
        <w:t>Chakraborty</w:t>
      </w:r>
      <w:proofErr w:type="spellEnd"/>
      <w:r w:rsidRPr="008F241A">
        <w:rPr>
          <w:rFonts w:ascii="Times New Roman" w:hAnsi="Times New Roman" w:cs="Times New Roman"/>
          <w:sz w:val="20"/>
          <w:szCs w:val="20"/>
        </w:rPr>
        <w:t xml:space="preserve">, S. (2013). </w:t>
      </w:r>
      <w:proofErr w:type="gramStart"/>
      <w:r w:rsidRPr="008F241A">
        <w:rPr>
          <w:rFonts w:ascii="Times New Roman" w:hAnsi="Times New Roman" w:cs="Times New Roman"/>
          <w:sz w:val="20"/>
          <w:szCs w:val="20"/>
        </w:rPr>
        <w:t xml:space="preserve">Child feeding practices and nutritional status among under-two children in urban slums of </w:t>
      </w:r>
      <w:proofErr w:type="spellStart"/>
      <w:r w:rsidRPr="008F241A">
        <w:rPr>
          <w:rFonts w:ascii="Times New Roman" w:hAnsi="Times New Roman" w:cs="Times New Roman"/>
          <w:sz w:val="20"/>
          <w:szCs w:val="20"/>
        </w:rPr>
        <w:t>Bankura</w:t>
      </w:r>
      <w:proofErr w:type="spellEnd"/>
      <w:r w:rsidRPr="008F241A">
        <w:rPr>
          <w:rFonts w:ascii="Times New Roman" w:hAnsi="Times New Roman" w:cs="Times New Roman"/>
          <w:sz w:val="20"/>
          <w:szCs w:val="20"/>
        </w:rPr>
        <w:t>, West Bengal.</w:t>
      </w:r>
      <w:proofErr w:type="gramEnd"/>
    </w:p>
    <w:p w:rsidR="008F241A" w:rsidRPr="008F241A" w:rsidRDefault="008F241A" w:rsidP="008F241A">
      <w:pPr>
        <w:jc w:val="both"/>
        <w:rPr>
          <w:rFonts w:ascii="Times New Roman" w:hAnsi="Times New Roman" w:cs="Times New Roman"/>
          <w:sz w:val="20"/>
          <w:szCs w:val="20"/>
        </w:rPr>
      </w:pPr>
      <w:proofErr w:type="spellStart"/>
      <w:r w:rsidRPr="008F241A">
        <w:rPr>
          <w:rFonts w:ascii="Times New Roman" w:hAnsi="Times New Roman" w:cs="Times New Roman"/>
          <w:sz w:val="20"/>
          <w:szCs w:val="20"/>
        </w:rPr>
        <w:t>Sen</w:t>
      </w:r>
      <w:proofErr w:type="spellEnd"/>
      <w:r w:rsidRPr="008F241A">
        <w:rPr>
          <w:rFonts w:ascii="Times New Roman" w:hAnsi="Times New Roman" w:cs="Times New Roman"/>
          <w:sz w:val="20"/>
          <w:szCs w:val="20"/>
        </w:rPr>
        <w:t xml:space="preserve">, J., </w:t>
      </w:r>
      <w:proofErr w:type="spellStart"/>
      <w:r w:rsidRPr="008F241A">
        <w:rPr>
          <w:rFonts w:ascii="Times New Roman" w:hAnsi="Times New Roman" w:cs="Times New Roman"/>
          <w:sz w:val="20"/>
          <w:szCs w:val="20"/>
        </w:rPr>
        <w:t>Mondal</w:t>
      </w:r>
      <w:proofErr w:type="spellEnd"/>
      <w:r w:rsidRPr="008F241A">
        <w:rPr>
          <w:rFonts w:ascii="Times New Roman" w:hAnsi="Times New Roman" w:cs="Times New Roman"/>
          <w:sz w:val="20"/>
          <w:szCs w:val="20"/>
        </w:rPr>
        <w:t xml:space="preserve">, N., &amp; </w:t>
      </w:r>
      <w:proofErr w:type="spellStart"/>
      <w:r w:rsidRPr="008F241A">
        <w:rPr>
          <w:rFonts w:ascii="Times New Roman" w:hAnsi="Times New Roman" w:cs="Times New Roman"/>
          <w:sz w:val="20"/>
          <w:szCs w:val="20"/>
        </w:rPr>
        <w:t>Dutta</w:t>
      </w:r>
      <w:proofErr w:type="spellEnd"/>
      <w:r w:rsidRPr="008F241A">
        <w:rPr>
          <w:rFonts w:ascii="Times New Roman" w:hAnsi="Times New Roman" w:cs="Times New Roman"/>
          <w:sz w:val="20"/>
          <w:szCs w:val="20"/>
        </w:rPr>
        <w:t xml:space="preserve">, S. (2011). </w:t>
      </w:r>
      <w:proofErr w:type="gramStart"/>
      <w:r w:rsidRPr="008F241A">
        <w:rPr>
          <w:rFonts w:ascii="Times New Roman" w:hAnsi="Times New Roman" w:cs="Times New Roman"/>
          <w:sz w:val="20"/>
          <w:szCs w:val="20"/>
        </w:rPr>
        <w:t>Nutritional assessment of children using upper arm anthropometry in West Bengal, India.</w:t>
      </w:r>
      <w:proofErr w:type="gramEnd"/>
    </w:p>
    <w:p w:rsidR="008F241A" w:rsidRDefault="008F241A" w:rsidP="008F241A">
      <w:pPr>
        <w:jc w:val="both"/>
        <w:rPr>
          <w:rFonts w:ascii="Times New Roman" w:hAnsi="Times New Roman" w:cs="Times New Roman"/>
          <w:sz w:val="20"/>
          <w:szCs w:val="20"/>
        </w:rPr>
      </w:pPr>
      <w:proofErr w:type="spellStart"/>
      <w:r w:rsidRPr="008F241A">
        <w:rPr>
          <w:rFonts w:ascii="Times New Roman" w:hAnsi="Times New Roman" w:cs="Times New Roman"/>
          <w:sz w:val="20"/>
          <w:szCs w:val="20"/>
        </w:rPr>
        <w:t>Som</w:t>
      </w:r>
      <w:proofErr w:type="spellEnd"/>
      <w:r w:rsidRPr="008F241A">
        <w:rPr>
          <w:rFonts w:ascii="Times New Roman" w:hAnsi="Times New Roman" w:cs="Times New Roman"/>
          <w:sz w:val="20"/>
          <w:szCs w:val="20"/>
        </w:rPr>
        <w:t xml:space="preserve">, S., Pal, M., &amp; </w:t>
      </w:r>
      <w:proofErr w:type="spellStart"/>
      <w:r w:rsidRPr="008F241A">
        <w:rPr>
          <w:rFonts w:ascii="Times New Roman" w:hAnsi="Times New Roman" w:cs="Times New Roman"/>
          <w:sz w:val="20"/>
          <w:szCs w:val="20"/>
        </w:rPr>
        <w:t>Bharati</w:t>
      </w:r>
      <w:proofErr w:type="spellEnd"/>
      <w:r w:rsidRPr="008F241A">
        <w:rPr>
          <w:rFonts w:ascii="Times New Roman" w:hAnsi="Times New Roman" w:cs="Times New Roman"/>
          <w:sz w:val="20"/>
          <w:szCs w:val="20"/>
        </w:rPr>
        <w:t>, P. (2007). Role of socio-economic and demographic factors in childhood stunting: Evidence from NFHS data in eastern India.</w:t>
      </w:r>
    </w:p>
    <w:p w:rsidR="008F241A" w:rsidRPr="008F241A" w:rsidRDefault="008F241A" w:rsidP="008F241A">
      <w:pPr>
        <w:jc w:val="both"/>
        <w:rPr>
          <w:rFonts w:ascii="Times New Roman" w:hAnsi="Times New Roman" w:cs="Times New Roman"/>
          <w:sz w:val="20"/>
          <w:szCs w:val="20"/>
        </w:rPr>
      </w:pPr>
      <w:proofErr w:type="gramStart"/>
      <w:r w:rsidRPr="008F241A">
        <w:rPr>
          <w:rFonts w:ascii="Times New Roman" w:hAnsi="Times New Roman" w:cs="Times New Roman"/>
          <w:sz w:val="20"/>
          <w:szCs w:val="20"/>
        </w:rPr>
        <w:t>Das, P., Roy, R., Das, T., &amp; Roy, T. B. (2021).</w:t>
      </w:r>
      <w:proofErr w:type="gramEnd"/>
      <w:r w:rsidRPr="008F241A">
        <w:rPr>
          <w:rFonts w:ascii="Times New Roman" w:hAnsi="Times New Roman" w:cs="Times New Roman"/>
          <w:sz w:val="20"/>
          <w:szCs w:val="20"/>
        </w:rPr>
        <w:t xml:space="preserve"> Prevalence and change detection of child growth failure phenomena among under-5 children: A comparative scrutiny from NFHS-4 and NFHS-5 in West Bengal, India. </w:t>
      </w:r>
      <w:proofErr w:type="gramStart"/>
      <w:r w:rsidRPr="008F241A">
        <w:rPr>
          <w:rFonts w:ascii="Times New Roman" w:hAnsi="Times New Roman" w:cs="Times New Roman"/>
          <w:sz w:val="20"/>
          <w:szCs w:val="20"/>
        </w:rPr>
        <w:t>Clinical Epidemiology and Global Health, 12, 100857.</w:t>
      </w:r>
      <w:proofErr w:type="gramEnd"/>
      <w:r w:rsidRPr="008F241A">
        <w:rPr>
          <w:rFonts w:ascii="Times New Roman" w:hAnsi="Times New Roman" w:cs="Times New Roman"/>
          <w:sz w:val="20"/>
          <w:szCs w:val="20"/>
        </w:rPr>
        <w:t xml:space="preserve"> https://doi.org/10.1016/j.cegh.2021.100857</w:t>
      </w:r>
    </w:p>
    <w:p w:rsidR="008F241A" w:rsidRPr="008F241A" w:rsidRDefault="008F241A" w:rsidP="008F241A">
      <w:pPr>
        <w:jc w:val="both"/>
        <w:rPr>
          <w:rFonts w:ascii="Times New Roman" w:hAnsi="Times New Roman" w:cs="Times New Roman"/>
          <w:sz w:val="20"/>
          <w:szCs w:val="20"/>
        </w:rPr>
      </w:pPr>
      <w:proofErr w:type="spellStart"/>
      <w:proofErr w:type="gramStart"/>
      <w:r w:rsidRPr="008F241A">
        <w:rPr>
          <w:rFonts w:ascii="Times New Roman" w:hAnsi="Times New Roman" w:cs="Times New Roman"/>
          <w:sz w:val="20"/>
          <w:szCs w:val="20"/>
        </w:rPr>
        <w:lastRenderedPageBreak/>
        <w:t>Ghosh</w:t>
      </w:r>
      <w:proofErr w:type="spellEnd"/>
      <w:r w:rsidRPr="008F241A">
        <w:rPr>
          <w:rFonts w:ascii="Times New Roman" w:hAnsi="Times New Roman" w:cs="Times New Roman"/>
          <w:sz w:val="20"/>
          <w:szCs w:val="20"/>
        </w:rPr>
        <w:t xml:space="preserve">, S., &amp; </w:t>
      </w:r>
      <w:proofErr w:type="spellStart"/>
      <w:r w:rsidRPr="008F241A">
        <w:rPr>
          <w:rFonts w:ascii="Times New Roman" w:hAnsi="Times New Roman" w:cs="Times New Roman"/>
          <w:sz w:val="20"/>
          <w:szCs w:val="20"/>
        </w:rPr>
        <w:t>Arokiasamy</w:t>
      </w:r>
      <w:proofErr w:type="spellEnd"/>
      <w:r w:rsidRPr="008F241A">
        <w:rPr>
          <w:rFonts w:ascii="Times New Roman" w:hAnsi="Times New Roman" w:cs="Times New Roman"/>
          <w:sz w:val="20"/>
          <w:szCs w:val="20"/>
        </w:rPr>
        <w:t>, P. (2010).</w:t>
      </w:r>
      <w:proofErr w:type="gramEnd"/>
      <w:r w:rsidRPr="008F241A">
        <w:rPr>
          <w:rFonts w:ascii="Times New Roman" w:hAnsi="Times New Roman" w:cs="Times New Roman"/>
          <w:sz w:val="20"/>
          <w:szCs w:val="20"/>
        </w:rPr>
        <w:t xml:space="preserve"> </w:t>
      </w:r>
      <w:proofErr w:type="gramStart"/>
      <w:r w:rsidRPr="008F241A">
        <w:rPr>
          <w:rFonts w:ascii="Times New Roman" w:hAnsi="Times New Roman" w:cs="Times New Roman"/>
          <w:sz w:val="20"/>
          <w:szCs w:val="20"/>
        </w:rPr>
        <w:t>Socio-economic determinants of underweight children in West Bengal, India.</w:t>
      </w:r>
      <w:proofErr w:type="gramEnd"/>
      <w:r w:rsidRPr="008F241A">
        <w:rPr>
          <w:rFonts w:ascii="Times New Roman" w:hAnsi="Times New Roman" w:cs="Times New Roman"/>
          <w:sz w:val="20"/>
          <w:szCs w:val="20"/>
        </w:rPr>
        <w:t xml:space="preserve"> Asian Pacific Journal of Tropical Medicine, 3(4), 322–327. https://doi.org/10.1016/S1995-</w:t>
      </w:r>
      <w:proofErr w:type="gramStart"/>
      <w:r w:rsidRPr="008F241A">
        <w:rPr>
          <w:rFonts w:ascii="Times New Roman" w:hAnsi="Times New Roman" w:cs="Times New Roman"/>
          <w:sz w:val="20"/>
          <w:szCs w:val="20"/>
        </w:rPr>
        <w:t>7645(</w:t>
      </w:r>
      <w:proofErr w:type="gramEnd"/>
      <w:r w:rsidRPr="008F241A">
        <w:rPr>
          <w:rFonts w:ascii="Times New Roman" w:hAnsi="Times New Roman" w:cs="Times New Roman"/>
          <w:sz w:val="20"/>
          <w:szCs w:val="20"/>
        </w:rPr>
        <w:t>10)60078-8</w:t>
      </w:r>
    </w:p>
    <w:p w:rsidR="008F241A" w:rsidRPr="008F241A" w:rsidRDefault="008F241A" w:rsidP="008F241A">
      <w:pPr>
        <w:jc w:val="both"/>
        <w:rPr>
          <w:rFonts w:ascii="Times New Roman" w:hAnsi="Times New Roman" w:cs="Times New Roman"/>
          <w:sz w:val="20"/>
          <w:szCs w:val="20"/>
        </w:rPr>
      </w:pPr>
      <w:proofErr w:type="spellStart"/>
      <w:r w:rsidRPr="008F241A">
        <w:rPr>
          <w:rFonts w:ascii="Times New Roman" w:hAnsi="Times New Roman" w:cs="Times New Roman"/>
          <w:sz w:val="20"/>
          <w:szCs w:val="20"/>
        </w:rPr>
        <w:t>Hoque</w:t>
      </w:r>
      <w:proofErr w:type="spellEnd"/>
      <w:r w:rsidRPr="008F241A">
        <w:rPr>
          <w:rFonts w:ascii="Times New Roman" w:hAnsi="Times New Roman" w:cs="Times New Roman"/>
          <w:sz w:val="20"/>
          <w:szCs w:val="20"/>
        </w:rPr>
        <w:t xml:space="preserve">, S. A., </w:t>
      </w:r>
      <w:proofErr w:type="spellStart"/>
      <w:r w:rsidRPr="008F241A">
        <w:rPr>
          <w:rFonts w:ascii="Times New Roman" w:hAnsi="Times New Roman" w:cs="Times New Roman"/>
          <w:sz w:val="20"/>
          <w:szCs w:val="20"/>
        </w:rPr>
        <w:t>Anisujjaman</w:t>
      </w:r>
      <w:proofErr w:type="spellEnd"/>
      <w:r w:rsidRPr="008F241A">
        <w:rPr>
          <w:rFonts w:ascii="Times New Roman" w:hAnsi="Times New Roman" w:cs="Times New Roman"/>
          <w:sz w:val="20"/>
          <w:szCs w:val="20"/>
        </w:rPr>
        <w:t xml:space="preserve">, M., &amp; </w:t>
      </w:r>
      <w:proofErr w:type="spellStart"/>
      <w:r w:rsidRPr="008F241A">
        <w:rPr>
          <w:rFonts w:ascii="Times New Roman" w:hAnsi="Times New Roman" w:cs="Times New Roman"/>
          <w:sz w:val="20"/>
          <w:szCs w:val="20"/>
        </w:rPr>
        <w:t>Biswas</w:t>
      </w:r>
      <w:proofErr w:type="spellEnd"/>
      <w:r w:rsidRPr="008F241A">
        <w:rPr>
          <w:rFonts w:ascii="Times New Roman" w:hAnsi="Times New Roman" w:cs="Times New Roman"/>
          <w:sz w:val="20"/>
          <w:szCs w:val="20"/>
        </w:rPr>
        <w:t xml:space="preserve">, S. (2025). The spatial distribution of </w:t>
      </w:r>
      <w:proofErr w:type="spellStart"/>
      <w:r w:rsidRPr="008F241A">
        <w:rPr>
          <w:rFonts w:ascii="Times New Roman" w:hAnsi="Times New Roman" w:cs="Times New Roman"/>
          <w:sz w:val="20"/>
          <w:szCs w:val="20"/>
        </w:rPr>
        <w:t>undernutrition</w:t>
      </w:r>
      <w:proofErr w:type="spellEnd"/>
      <w:r w:rsidRPr="008F241A">
        <w:rPr>
          <w:rFonts w:ascii="Times New Roman" w:hAnsi="Times New Roman" w:cs="Times New Roman"/>
          <w:sz w:val="20"/>
          <w:szCs w:val="20"/>
        </w:rPr>
        <w:t xml:space="preserve"> among young children in West Bengal: A report from the National Family Health Survey (NFHS), India. </w:t>
      </w:r>
      <w:proofErr w:type="spellStart"/>
      <w:r w:rsidRPr="008F241A">
        <w:rPr>
          <w:rFonts w:ascii="Times New Roman" w:hAnsi="Times New Roman" w:cs="Times New Roman"/>
          <w:sz w:val="20"/>
          <w:szCs w:val="20"/>
        </w:rPr>
        <w:t>Antrocom</w:t>
      </w:r>
      <w:proofErr w:type="spellEnd"/>
      <w:r w:rsidRPr="008F241A">
        <w:rPr>
          <w:rFonts w:ascii="Times New Roman" w:hAnsi="Times New Roman" w:cs="Times New Roman"/>
          <w:sz w:val="20"/>
          <w:szCs w:val="20"/>
        </w:rPr>
        <w:t>: Online Journal of Anthropology, 21(2), 533–542.</w:t>
      </w:r>
    </w:p>
    <w:p w:rsidR="008F241A" w:rsidRPr="008F241A" w:rsidRDefault="008F241A" w:rsidP="008F241A">
      <w:pPr>
        <w:jc w:val="both"/>
        <w:rPr>
          <w:rFonts w:ascii="Times New Roman" w:hAnsi="Times New Roman" w:cs="Times New Roman"/>
          <w:sz w:val="20"/>
          <w:szCs w:val="20"/>
        </w:rPr>
      </w:pPr>
      <w:r w:rsidRPr="008F241A">
        <w:rPr>
          <w:rFonts w:ascii="Times New Roman" w:hAnsi="Times New Roman" w:cs="Times New Roman"/>
          <w:sz w:val="20"/>
          <w:szCs w:val="20"/>
        </w:rPr>
        <w:t>International Institute for Population Sciences (</w:t>
      </w:r>
      <w:proofErr w:type="gramStart"/>
      <w:r w:rsidRPr="008F241A">
        <w:rPr>
          <w:rFonts w:ascii="Times New Roman" w:hAnsi="Times New Roman" w:cs="Times New Roman"/>
          <w:sz w:val="20"/>
          <w:szCs w:val="20"/>
        </w:rPr>
        <w:t>IIPS),</w:t>
      </w:r>
      <w:proofErr w:type="gramEnd"/>
      <w:r w:rsidRPr="008F241A">
        <w:rPr>
          <w:rFonts w:ascii="Times New Roman" w:hAnsi="Times New Roman" w:cs="Times New Roman"/>
          <w:sz w:val="20"/>
          <w:szCs w:val="20"/>
        </w:rPr>
        <w:t xml:space="preserve"> &amp; ICF. (2021). National Family Health Survey (NFHS-5), 2019–21: West Bengal fact sheet. Mumbai: IIPS.</w:t>
      </w:r>
    </w:p>
    <w:p w:rsidR="008F241A" w:rsidRPr="00C04DBE" w:rsidRDefault="008F241A" w:rsidP="008F241A">
      <w:pPr>
        <w:jc w:val="both"/>
        <w:rPr>
          <w:rFonts w:ascii="Times New Roman" w:hAnsi="Times New Roman" w:cs="Times New Roman"/>
          <w:sz w:val="20"/>
          <w:szCs w:val="20"/>
        </w:rPr>
      </w:pPr>
      <w:proofErr w:type="spellStart"/>
      <w:proofErr w:type="gramStart"/>
      <w:r w:rsidRPr="008F241A">
        <w:rPr>
          <w:rFonts w:ascii="Times New Roman" w:hAnsi="Times New Roman" w:cs="Times New Roman"/>
          <w:sz w:val="20"/>
          <w:szCs w:val="20"/>
        </w:rPr>
        <w:t>Biswas</w:t>
      </w:r>
      <w:proofErr w:type="spellEnd"/>
      <w:r w:rsidRPr="008F241A">
        <w:rPr>
          <w:rFonts w:ascii="Times New Roman" w:hAnsi="Times New Roman" w:cs="Times New Roman"/>
          <w:sz w:val="20"/>
          <w:szCs w:val="20"/>
        </w:rPr>
        <w:t xml:space="preserve">, A., &amp; </w:t>
      </w:r>
      <w:proofErr w:type="spellStart"/>
      <w:r w:rsidRPr="008F241A">
        <w:rPr>
          <w:rFonts w:ascii="Times New Roman" w:hAnsi="Times New Roman" w:cs="Times New Roman"/>
          <w:sz w:val="20"/>
          <w:szCs w:val="20"/>
        </w:rPr>
        <w:t>Biswas</w:t>
      </w:r>
      <w:proofErr w:type="spellEnd"/>
      <w:r w:rsidRPr="008F241A">
        <w:rPr>
          <w:rFonts w:ascii="Times New Roman" w:hAnsi="Times New Roman" w:cs="Times New Roman"/>
          <w:sz w:val="20"/>
          <w:szCs w:val="20"/>
        </w:rPr>
        <w:t>, B. (2023).</w:t>
      </w:r>
      <w:proofErr w:type="gramEnd"/>
      <w:r w:rsidRPr="008F241A">
        <w:rPr>
          <w:rFonts w:ascii="Times New Roman" w:hAnsi="Times New Roman" w:cs="Times New Roman"/>
          <w:sz w:val="20"/>
          <w:szCs w:val="20"/>
        </w:rPr>
        <w:t xml:space="preserve"> Anthropometric assessment of nutritional status among under-five children attending government immunization centres in </w:t>
      </w:r>
      <w:proofErr w:type="spellStart"/>
      <w:r w:rsidRPr="008F241A">
        <w:rPr>
          <w:rFonts w:ascii="Times New Roman" w:hAnsi="Times New Roman" w:cs="Times New Roman"/>
          <w:sz w:val="20"/>
          <w:szCs w:val="20"/>
        </w:rPr>
        <w:t>Bankura</w:t>
      </w:r>
      <w:proofErr w:type="spellEnd"/>
      <w:r w:rsidRPr="008F241A">
        <w:rPr>
          <w:rFonts w:ascii="Times New Roman" w:hAnsi="Times New Roman" w:cs="Times New Roman"/>
          <w:sz w:val="20"/>
          <w:szCs w:val="20"/>
        </w:rPr>
        <w:t xml:space="preserve"> Municipality, West Bengal. </w:t>
      </w:r>
      <w:proofErr w:type="gramStart"/>
      <w:r w:rsidRPr="008F241A">
        <w:rPr>
          <w:rFonts w:ascii="Times New Roman" w:hAnsi="Times New Roman" w:cs="Times New Roman"/>
          <w:sz w:val="20"/>
          <w:szCs w:val="20"/>
        </w:rPr>
        <w:t>Indian Journal of Public Health Research &amp; Development, 14(4).</w:t>
      </w:r>
      <w:proofErr w:type="gramEnd"/>
      <w:r w:rsidRPr="008F241A">
        <w:rPr>
          <w:rFonts w:ascii="Times New Roman" w:hAnsi="Times New Roman" w:cs="Times New Roman"/>
          <w:sz w:val="20"/>
          <w:szCs w:val="20"/>
        </w:rPr>
        <w:t xml:space="preserve"> https://doi.org/10.37506/ijphrd.v14i4.19758</w:t>
      </w:r>
    </w:p>
    <w:sectPr w:rsidR="008F241A" w:rsidRPr="00C04D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72A2"/>
    <w:multiLevelType w:val="hybridMultilevel"/>
    <w:tmpl w:val="DE7A93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8020D10"/>
    <w:multiLevelType w:val="multilevel"/>
    <w:tmpl w:val="B144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857A0F"/>
    <w:multiLevelType w:val="hybridMultilevel"/>
    <w:tmpl w:val="CBC83F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F47011A"/>
    <w:multiLevelType w:val="multilevel"/>
    <w:tmpl w:val="CD36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DBE"/>
    <w:rsid w:val="00073CBA"/>
    <w:rsid w:val="0018725B"/>
    <w:rsid w:val="001C4757"/>
    <w:rsid w:val="001D31B3"/>
    <w:rsid w:val="00203CAC"/>
    <w:rsid w:val="00307482"/>
    <w:rsid w:val="00314F79"/>
    <w:rsid w:val="00356E59"/>
    <w:rsid w:val="0041053D"/>
    <w:rsid w:val="00536F35"/>
    <w:rsid w:val="00557C82"/>
    <w:rsid w:val="006E68BD"/>
    <w:rsid w:val="007972C0"/>
    <w:rsid w:val="007A4372"/>
    <w:rsid w:val="008C57F1"/>
    <w:rsid w:val="008F0078"/>
    <w:rsid w:val="008F241A"/>
    <w:rsid w:val="00A16A9E"/>
    <w:rsid w:val="00A20606"/>
    <w:rsid w:val="00B55F9C"/>
    <w:rsid w:val="00B768AE"/>
    <w:rsid w:val="00BB40D3"/>
    <w:rsid w:val="00C04DBE"/>
    <w:rsid w:val="00D3052A"/>
    <w:rsid w:val="00D8136F"/>
    <w:rsid w:val="00EE4760"/>
    <w:rsid w:val="00FC3570"/>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F0078"/>
    <w:pPr>
      <w:spacing w:before="100" w:beforeAutospacing="1" w:after="100" w:afterAutospacing="1" w:line="240" w:lineRule="auto"/>
      <w:outlineLvl w:val="2"/>
    </w:pPr>
    <w:rPr>
      <w:rFonts w:ascii="Times New Roman" w:eastAsia="Times New Roman" w:hAnsi="Times New Roman" w:cs="Times New Roman"/>
      <w:b/>
      <w:bCs/>
      <w:sz w:val="27"/>
      <w:szCs w:val="27"/>
      <w:lang w:eastAsia="en-IN"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31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D31B3"/>
    <w:rPr>
      <w:b/>
      <w:bCs/>
    </w:rPr>
  </w:style>
  <w:style w:type="paragraph" w:styleId="BalloonText">
    <w:name w:val="Balloon Text"/>
    <w:basedOn w:val="Normal"/>
    <w:link w:val="BalloonTextChar"/>
    <w:uiPriority w:val="99"/>
    <w:semiHidden/>
    <w:unhideWhenUsed/>
    <w:rsid w:val="00FC3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570"/>
    <w:rPr>
      <w:rFonts w:ascii="Tahoma" w:hAnsi="Tahoma" w:cs="Tahoma"/>
      <w:sz w:val="16"/>
      <w:szCs w:val="16"/>
    </w:rPr>
  </w:style>
  <w:style w:type="paragraph" w:styleId="NormalWeb">
    <w:name w:val="Normal (Web)"/>
    <w:basedOn w:val="Normal"/>
    <w:uiPriority w:val="99"/>
    <w:semiHidden/>
    <w:unhideWhenUsed/>
    <w:rsid w:val="00073CBA"/>
    <w:pPr>
      <w:spacing w:before="100" w:beforeAutospacing="1" w:after="100" w:afterAutospacing="1" w:line="240" w:lineRule="auto"/>
    </w:pPr>
    <w:rPr>
      <w:rFonts w:ascii="Times New Roman" w:eastAsia="Times New Roman" w:hAnsi="Times New Roman" w:cs="Times New Roman"/>
      <w:sz w:val="24"/>
      <w:szCs w:val="24"/>
      <w:lang w:eastAsia="en-IN" w:bidi="bn-IN"/>
    </w:rPr>
  </w:style>
  <w:style w:type="character" w:customStyle="1" w:styleId="Heading3Char">
    <w:name w:val="Heading 3 Char"/>
    <w:basedOn w:val="DefaultParagraphFont"/>
    <w:link w:val="Heading3"/>
    <w:uiPriority w:val="9"/>
    <w:rsid w:val="008F0078"/>
    <w:rPr>
      <w:rFonts w:ascii="Times New Roman" w:eastAsia="Times New Roman" w:hAnsi="Times New Roman" w:cs="Times New Roman"/>
      <w:b/>
      <w:bCs/>
      <w:sz w:val="27"/>
      <w:szCs w:val="27"/>
      <w:lang w:eastAsia="en-IN" w:bidi="bn-IN"/>
    </w:rPr>
  </w:style>
  <w:style w:type="paragraph" w:styleId="ListParagraph">
    <w:name w:val="List Paragraph"/>
    <w:basedOn w:val="Normal"/>
    <w:uiPriority w:val="34"/>
    <w:qFormat/>
    <w:rsid w:val="00A20606"/>
    <w:pPr>
      <w:ind w:left="720"/>
      <w:contextualSpacing/>
    </w:pPr>
  </w:style>
  <w:style w:type="character" w:styleId="Hyperlink">
    <w:name w:val="Hyperlink"/>
    <w:basedOn w:val="DefaultParagraphFont"/>
    <w:uiPriority w:val="99"/>
    <w:unhideWhenUsed/>
    <w:rsid w:val="00356E59"/>
    <w:rPr>
      <w:color w:val="0000FF" w:themeColor="hyperlink"/>
      <w:u w:val="single"/>
    </w:rPr>
  </w:style>
  <w:style w:type="character" w:styleId="FootnoteReference">
    <w:name w:val="footnote reference"/>
    <w:basedOn w:val="DefaultParagraphFont"/>
    <w:uiPriority w:val="99"/>
    <w:semiHidden/>
    <w:unhideWhenUsed/>
    <w:rsid w:val="00356E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F0078"/>
    <w:pPr>
      <w:spacing w:before="100" w:beforeAutospacing="1" w:after="100" w:afterAutospacing="1" w:line="240" w:lineRule="auto"/>
      <w:outlineLvl w:val="2"/>
    </w:pPr>
    <w:rPr>
      <w:rFonts w:ascii="Times New Roman" w:eastAsia="Times New Roman" w:hAnsi="Times New Roman" w:cs="Times New Roman"/>
      <w:b/>
      <w:bCs/>
      <w:sz w:val="27"/>
      <w:szCs w:val="27"/>
      <w:lang w:eastAsia="en-IN"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31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D31B3"/>
    <w:rPr>
      <w:b/>
      <w:bCs/>
    </w:rPr>
  </w:style>
  <w:style w:type="paragraph" w:styleId="BalloonText">
    <w:name w:val="Balloon Text"/>
    <w:basedOn w:val="Normal"/>
    <w:link w:val="BalloonTextChar"/>
    <w:uiPriority w:val="99"/>
    <w:semiHidden/>
    <w:unhideWhenUsed/>
    <w:rsid w:val="00FC3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570"/>
    <w:rPr>
      <w:rFonts w:ascii="Tahoma" w:hAnsi="Tahoma" w:cs="Tahoma"/>
      <w:sz w:val="16"/>
      <w:szCs w:val="16"/>
    </w:rPr>
  </w:style>
  <w:style w:type="paragraph" w:styleId="NormalWeb">
    <w:name w:val="Normal (Web)"/>
    <w:basedOn w:val="Normal"/>
    <w:uiPriority w:val="99"/>
    <w:semiHidden/>
    <w:unhideWhenUsed/>
    <w:rsid w:val="00073CBA"/>
    <w:pPr>
      <w:spacing w:before="100" w:beforeAutospacing="1" w:after="100" w:afterAutospacing="1" w:line="240" w:lineRule="auto"/>
    </w:pPr>
    <w:rPr>
      <w:rFonts w:ascii="Times New Roman" w:eastAsia="Times New Roman" w:hAnsi="Times New Roman" w:cs="Times New Roman"/>
      <w:sz w:val="24"/>
      <w:szCs w:val="24"/>
      <w:lang w:eastAsia="en-IN" w:bidi="bn-IN"/>
    </w:rPr>
  </w:style>
  <w:style w:type="character" w:customStyle="1" w:styleId="Heading3Char">
    <w:name w:val="Heading 3 Char"/>
    <w:basedOn w:val="DefaultParagraphFont"/>
    <w:link w:val="Heading3"/>
    <w:uiPriority w:val="9"/>
    <w:rsid w:val="008F0078"/>
    <w:rPr>
      <w:rFonts w:ascii="Times New Roman" w:eastAsia="Times New Roman" w:hAnsi="Times New Roman" w:cs="Times New Roman"/>
      <w:b/>
      <w:bCs/>
      <w:sz w:val="27"/>
      <w:szCs w:val="27"/>
      <w:lang w:eastAsia="en-IN" w:bidi="bn-IN"/>
    </w:rPr>
  </w:style>
  <w:style w:type="paragraph" w:styleId="ListParagraph">
    <w:name w:val="List Paragraph"/>
    <w:basedOn w:val="Normal"/>
    <w:uiPriority w:val="34"/>
    <w:qFormat/>
    <w:rsid w:val="00A20606"/>
    <w:pPr>
      <w:ind w:left="720"/>
      <w:contextualSpacing/>
    </w:pPr>
  </w:style>
  <w:style w:type="character" w:styleId="Hyperlink">
    <w:name w:val="Hyperlink"/>
    <w:basedOn w:val="DefaultParagraphFont"/>
    <w:uiPriority w:val="99"/>
    <w:unhideWhenUsed/>
    <w:rsid w:val="00356E59"/>
    <w:rPr>
      <w:color w:val="0000FF" w:themeColor="hyperlink"/>
      <w:u w:val="single"/>
    </w:rPr>
  </w:style>
  <w:style w:type="character" w:styleId="FootnoteReference">
    <w:name w:val="footnote reference"/>
    <w:basedOn w:val="DefaultParagraphFont"/>
    <w:uiPriority w:val="99"/>
    <w:semiHidden/>
    <w:unhideWhenUsed/>
    <w:rsid w:val="00356E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6162">
      <w:bodyDiv w:val="1"/>
      <w:marLeft w:val="0"/>
      <w:marRight w:val="0"/>
      <w:marTop w:val="0"/>
      <w:marBottom w:val="0"/>
      <w:divBdr>
        <w:top w:val="none" w:sz="0" w:space="0" w:color="auto"/>
        <w:left w:val="none" w:sz="0" w:space="0" w:color="auto"/>
        <w:bottom w:val="none" w:sz="0" w:space="0" w:color="auto"/>
        <w:right w:val="none" w:sz="0" w:space="0" w:color="auto"/>
      </w:divBdr>
    </w:div>
    <w:div w:id="62259962">
      <w:bodyDiv w:val="1"/>
      <w:marLeft w:val="0"/>
      <w:marRight w:val="0"/>
      <w:marTop w:val="0"/>
      <w:marBottom w:val="0"/>
      <w:divBdr>
        <w:top w:val="none" w:sz="0" w:space="0" w:color="auto"/>
        <w:left w:val="none" w:sz="0" w:space="0" w:color="auto"/>
        <w:bottom w:val="none" w:sz="0" w:space="0" w:color="auto"/>
        <w:right w:val="none" w:sz="0" w:space="0" w:color="auto"/>
      </w:divBdr>
      <w:divsChild>
        <w:div w:id="18436819">
          <w:marLeft w:val="0"/>
          <w:marRight w:val="0"/>
          <w:marTop w:val="0"/>
          <w:marBottom w:val="0"/>
          <w:divBdr>
            <w:top w:val="none" w:sz="0" w:space="0" w:color="auto"/>
            <w:left w:val="none" w:sz="0" w:space="0" w:color="auto"/>
            <w:bottom w:val="none" w:sz="0" w:space="0" w:color="auto"/>
            <w:right w:val="none" w:sz="0" w:space="0" w:color="auto"/>
          </w:divBdr>
          <w:divsChild>
            <w:div w:id="370880909">
              <w:marLeft w:val="0"/>
              <w:marRight w:val="0"/>
              <w:marTop w:val="0"/>
              <w:marBottom w:val="0"/>
              <w:divBdr>
                <w:top w:val="none" w:sz="0" w:space="0" w:color="auto"/>
                <w:left w:val="none" w:sz="0" w:space="0" w:color="auto"/>
                <w:bottom w:val="none" w:sz="0" w:space="0" w:color="auto"/>
                <w:right w:val="none" w:sz="0" w:space="0" w:color="auto"/>
              </w:divBdr>
              <w:divsChild>
                <w:div w:id="1035501324">
                  <w:marLeft w:val="0"/>
                  <w:marRight w:val="0"/>
                  <w:marTop w:val="0"/>
                  <w:marBottom w:val="0"/>
                  <w:divBdr>
                    <w:top w:val="none" w:sz="0" w:space="0" w:color="auto"/>
                    <w:left w:val="none" w:sz="0" w:space="0" w:color="auto"/>
                    <w:bottom w:val="none" w:sz="0" w:space="0" w:color="auto"/>
                    <w:right w:val="none" w:sz="0" w:space="0" w:color="auto"/>
                  </w:divBdr>
                  <w:divsChild>
                    <w:div w:id="438336369">
                      <w:marLeft w:val="0"/>
                      <w:marRight w:val="0"/>
                      <w:marTop w:val="0"/>
                      <w:marBottom w:val="0"/>
                      <w:divBdr>
                        <w:top w:val="none" w:sz="0" w:space="0" w:color="auto"/>
                        <w:left w:val="none" w:sz="0" w:space="0" w:color="auto"/>
                        <w:bottom w:val="none" w:sz="0" w:space="0" w:color="auto"/>
                        <w:right w:val="none" w:sz="0" w:space="0" w:color="auto"/>
                      </w:divBdr>
                      <w:divsChild>
                        <w:div w:id="1108354498">
                          <w:marLeft w:val="0"/>
                          <w:marRight w:val="0"/>
                          <w:marTop w:val="0"/>
                          <w:marBottom w:val="0"/>
                          <w:divBdr>
                            <w:top w:val="none" w:sz="0" w:space="0" w:color="auto"/>
                            <w:left w:val="none" w:sz="0" w:space="0" w:color="auto"/>
                            <w:bottom w:val="none" w:sz="0" w:space="0" w:color="auto"/>
                            <w:right w:val="none" w:sz="0" w:space="0" w:color="auto"/>
                          </w:divBdr>
                          <w:divsChild>
                            <w:div w:id="442119600">
                              <w:marLeft w:val="0"/>
                              <w:marRight w:val="0"/>
                              <w:marTop w:val="0"/>
                              <w:marBottom w:val="0"/>
                              <w:divBdr>
                                <w:top w:val="none" w:sz="0" w:space="0" w:color="auto"/>
                                <w:left w:val="none" w:sz="0" w:space="0" w:color="auto"/>
                                <w:bottom w:val="none" w:sz="0" w:space="0" w:color="auto"/>
                                <w:right w:val="none" w:sz="0" w:space="0" w:color="auto"/>
                              </w:divBdr>
                              <w:divsChild>
                                <w:div w:id="1524398940">
                                  <w:marLeft w:val="0"/>
                                  <w:marRight w:val="0"/>
                                  <w:marTop w:val="0"/>
                                  <w:marBottom w:val="0"/>
                                  <w:divBdr>
                                    <w:top w:val="none" w:sz="0" w:space="0" w:color="auto"/>
                                    <w:left w:val="none" w:sz="0" w:space="0" w:color="auto"/>
                                    <w:bottom w:val="none" w:sz="0" w:space="0" w:color="auto"/>
                                    <w:right w:val="none" w:sz="0" w:space="0" w:color="auto"/>
                                  </w:divBdr>
                                  <w:divsChild>
                                    <w:div w:id="6595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17906">
      <w:bodyDiv w:val="1"/>
      <w:marLeft w:val="0"/>
      <w:marRight w:val="0"/>
      <w:marTop w:val="0"/>
      <w:marBottom w:val="0"/>
      <w:divBdr>
        <w:top w:val="none" w:sz="0" w:space="0" w:color="auto"/>
        <w:left w:val="none" w:sz="0" w:space="0" w:color="auto"/>
        <w:bottom w:val="none" w:sz="0" w:space="0" w:color="auto"/>
        <w:right w:val="none" w:sz="0" w:space="0" w:color="auto"/>
      </w:divBdr>
    </w:div>
    <w:div w:id="254368798">
      <w:bodyDiv w:val="1"/>
      <w:marLeft w:val="0"/>
      <w:marRight w:val="0"/>
      <w:marTop w:val="0"/>
      <w:marBottom w:val="0"/>
      <w:divBdr>
        <w:top w:val="none" w:sz="0" w:space="0" w:color="auto"/>
        <w:left w:val="none" w:sz="0" w:space="0" w:color="auto"/>
        <w:bottom w:val="none" w:sz="0" w:space="0" w:color="auto"/>
        <w:right w:val="none" w:sz="0" w:space="0" w:color="auto"/>
      </w:divBdr>
    </w:div>
    <w:div w:id="316539951">
      <w:bodyDiv w:val="1"/>
      <w:marLeft w:val="0"/>
      <w:marRight w:val="0"/>
      <w:marTop w:val="0"/>
      <w:marBottom w:val="0"/>
      <w:divBdr>
        <w:top w:val="none" w:sz="0" w:space="0" w:color="auto"/>
        <w:left w:val="none" w:sz="0" w:space="0" w:color="auto"/>
        <w:bottom w:val="none" w:sz="0" w:space="0" w:color="auto"/>
        <w:right w:val="none" w:sz="0" w:space="0" w:color="auto"/>
      </w:divBdr>
    </w:div>
    <w:div w:id="577252316">
      <w:bodyDiv w:val="1"/>
      <w:marLeft w:val="0"/>
      <w:marRight w:val="0"/>
      <w:marTop w:val="0"/>
      <w:marBottom w:val="0"/>
      <w:divBdr>
        <w:top w:val="none" w:sz="0" w:space="0" w:color="auto"/>
        <w:left w:val="none" w:sz="0" w:space="0" w:color="auto"/>
        <w:bottom w:val="none" w:sz="0" w:space="0" w:color="auto"/>
        <w:right w:val="none" w:sz="0" w:space="0" w:color="auto"/>
      </w:divBdr>
    </w:div>
    <w:div w:id="727073337">
      <w:bodyDiv w:val="1"/>
      <w:marLeft w:val="0"/>
      <w:marRight w:val="0"/>
      <w:marTop w:val="0"/>
      <w:marBottom w:val="0"/>
      <w:divBdr>
        <w:top w:val="none" w:sz="0" w:space="0" w:color="auto"/>
        <w:left w:val="none" w:sz="0" w:space="0" w:color="auto"/>
        <w:bottom w:val="none" w:sz="0" w:space="0" w:color="auto"/>
        <w:right w:val="none" w:sz="0" w:space="0" w:color="auto"/>
      </w:divBdr>
    </w:div>
    <w:div w:id="833371957">
      <w:bodyDiv w:val="1"/>
      <w:marLeft w:val="0"/>
      <w:marRight w:val="0"/>
      <w:marTop w:val="0"/>
      <w:marBottom w:val="0"/>
      <w:divBdr>
        <w:top w:val="none" w:sz="0" w:space="0" w:color="auto"/>
        <w:left w:val="none" w:sz="0" w:space="0" w:color="auto"/>
        <w:bottom w:val="none" w:sz="0" w:space="0" w:color="auto"/>
        <w:right w:val="none" w:sz="0" w:space="0" w:color="auto"/>
      </w:divBdr>
    </w:div>
    <w:div w:id="1073511102">
      <w:bodyDiv w:val="1"/>
      <w:marLeft w:val="0"/>
      <w:marRight w:val="0"/>
      <w:marTop w:val="0"/>
      <w:marBottom w:val="0"/>
      <w:divBdr>
        <w:top w:val="none" w:sz="0" w:space="0" w:color="auto"/>
        <w:left w:val="none" w:sz="0" w:space="0" w:color="auto"/>
        <w:bottom w:val="none" w:sz="0" w:space="0" w:color="auto"/>
        <w:right w:val="none" w:sz="0" w:space="0" w:color="auto"/>
      </w:divBdr>
    </w:div>
    <w:div w:id="1090278727">
      <w:bodyDiv w:val="1"/>
      <w:marLeft w:val="0"/>
      <w:marRight w:val="0"/>
      <w:marTop w:val="0"/>
      <w:marBottom w:val="0"/>
      <w:divBdr>
        <w:top w:val="none" w:sz="0" w:space="0" w:color="auto"/>
        <w:left w:val="none" w:sz="0" w:space="0" w:color="auto"/>
        <w:bottom w:val="none" w:sz="0" w:space="0" w:color="auto"/>
        <w:right w:val="none" w:sz="0" w:space="0" w:color="auto"/>
      </w:divBdr>
    </w:div>
    <w:div w:id="1532262705">
      <w:bodyDiv w:val="1"/>
      <w:marLeft w:val="0"/>
      <w:marRight w:val="0"/>
      <w:marTop w:val="0"/>
      <w:marBottom w:val="0"/>
      <w:divBdr>
        <w:top w:val="none" w:sz="0" w:space="0" w:color="auto"/>
        <w:left w:val="none" w:sz="0" w:space="0" w:color="auto"/>
        <w:bottom w:val="none" w:sz="0" w:space="0" w:color="auto"/>
        <w:right w:val="none" w:sz="0" w:space="0" w:color="auto"/>
      </w:divBdr>
    </w:div>
    <w:div w:id="1612084805">
      <w:bodyDiv w:val="1"/>
      <w:marLeft w:val="0"/>
      <w:marRight w:val="0"/>
      <w:marTop w:val="0"/>
      <w:marBottom w:val="0"/>
      <w:divBdr>
        <w:top w:val="none" w:sz="0" w:space="0" w:color="auto"/>
        <w:left w:val="none" w:sz="0" w:space="0" w:color="auto"/>
        <w:bottom w:val="none" w:sz="0" w:space="0" w:color="auto"/>
        <w:right w:val="none" w:sz="0" w:space="0" w:color="auto"/>
      </w:divBdr>
    </w:div>
    <w:div w:id="2029022282">
      <w:bodyDiv w:val="1"/>
      <w:marLeft w:val="0"/>
      <w:marRight w:val="0"/>
      <w:marTop w:val="0"/>
      <w:marBottom w:val="0"/>
      <w:divBdr>
        <w:top w:val="none" w:sz="0" w:space="0" w:color="auto"/>
        <w:left w:val="none" w:sz="0" w:space="0" w:color="auto"/>
        <w:bottom w:val="none" w:sz="0" w:space="0" w:color="auto"/>
        <w:right w:val="none" w:sz="0" w:space="0" w:color="auto"/>
      </w:divBdr>
    </w:div>
    <w:div w:id="2081438694">
      <w:bodyDiv w:val="1"/>
      <w:marLeft w:val="0"/>
      <w:marRight w:val="0"/>
      <w:marTop w:val="0"/>
      <w:marBottom w:val="0"/>
      <w:divBdr>
        <w:top w:val="none" w:sz="0" w:space="0" w:color="auto"/>
        <w:left w:val="none" w:sz="0" w:space="0" w:color="auto"/>
        <w:bottom w:val="none" w:sz="0" w:space="0" w:color="auto"/>
        <w:right w:val="none" w:sz="0" w:space="0" w:color="auto"/>
      </w:divBdr>
    </w:div>
    <w:div w:id="211066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hyperlink" Target="https://orcid.org/0000-0002-6062-374X"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undan.das20@gmail.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12</Pages>
  <Words>4520</Words>
  <Characters>25765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Kundan</dc:creator>
  <cp:lastModifiedBy>Kundan</cp:lastModifiedBy>
  <cp:revision>11</cp:revision>
  <cp:lastPrinted>2026-06-15T02:52:00Z</cp:lastPrinted>
  <dcterms:created xsi:type="dcterms:W3CDTF">2026-06-14T14:56:00Z</dcterms:created>
  <dcterms:modified xsi:type="dcterms:W3CDTF">2026-06-15T03:21:00Z</dcterms:modified>
</cp:coreProperties>
</file>