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1E4895F6">
      <w:pPr>
        <w:pStyle w:val="style0"/>
        <w:spacing w:lineRule="auto" w:line="360"/>
        <w:jc w:val="center"/>
        <w:rPr>
          <w:b/>
          <w:bCs/>
          <w:sz w:val="24"/>
          <w:szCs w:val="24"/>
          <w:lang w:val="en-US"/>
        </w:rPr>
      </w:pPr>
      <w:bookmarkStart w:id="0" w:name="_GoBack"/>
      <w:bookmarkEnd w:id="0"/>
      <w:r>
        <w:rPr>
          <w:b/>
          <w:bCs/>
          <w:sz w:val="24"/>
          <w:szCs w:val="24"/>
          <w:lang w:val="en-US"/>
        </w:rPr>
        <w:t>The Politics of Memory: Restitution, Reparation, and the Ethics of Historical Injustice</w:t>
      </w:r>
    </w:p>
    <w:p w14:paraId="6F35A278">
      <w:pPr>
        <w:pStyle w:val="style0"/>
        <w:spacing w:lineRule="auto" w:line="360"/>
        <w:jc w:val="center"/>
        <w:rPr>
          <w:b/>
          <w:bCs/>
          <w:sz w:val="24"/>
          <w:szCs w:val="24"/>
          <w:lang w:val="en-US"/>
        </w:rPr>
      </w:pPr>
      <w:r>
        <w:rPr>
          <w:b/>
          <w:bCs/>
          <w:sz w:val="24"/>
          <w:szCs w:val="24"/>
          <w:lang w:val="en-US"/>
        </w:rPr>
        <w:t/>
      </w:r>
    </w:p>
    <w:p w14:paraId="65D44E53">
      <w:pPr>
        <w:pStyle w:val="style0"/>
        <w:spacing w:lineRule="auto" w:line="360"/>
        <w:jc w:val="center"/>
        <w:rPr>
          <w:b/>
          <w:bCs/>
          <w:sz w:val="24"/>
          <w:szCs w:val="24"/>
          <w:u w:val="single"/>
          <w:lang w:val="en-US"/>
        </w:rPr>
      </w:pPr>
      <w:r>
        <w:rPr>
          <w:b/>
          <w:bCs/>
          <w:sz w:val="24"/>
          <w:szCs w:val="24"/>
          <w:u w:val="single"/>
          <w:lang w:val="en-US"/>
        </w:rPr>
        <w:t/>
      </w:r>
    </w:p>
    <w:p w14:paraId="EE8427B6">
      <w:pPr>
        <w:pStyle w:val="style0"/>
        <w:spacing w:lineRule="auto" w:line="360"/>
        <w:jc w:val="center"/>
        <w:rPr>
          <w:b/>
          <w:bCs/>
          <w:sz w:val="24"/>
          <w:szCs w:val="24"/>
          <w:lang w:val="en-US"/>
        </w:rPr>
      </w:pPr>
      <w:r>
        <w:rPr>
          <w:b/>
          <w:bCs/>
          <w:sz w:val="24"/>
          <w:szCs w:val="24"/>
          <w:lang w:val="en-US"/>
        </w:rPr>
        <w:t/>
      </w:r>
    </w:p>
    <w:p w14:paraId="9AED80BF">
      <w:pPr>
        <w:pStyle w:val="style0"/>
        <w:spacing w:lineRule="auto" w:line="360"/>
        <w:jc w:val="center"/>
        <w:rPr>
          <w:b/>
          <w:bCs/>
          <w:sz w:val="24"/>
          <w:szCs w:val="24"/>
          <w:lang w:val="en-US"/>
        </w:rPr>
      </w:pPr>
      <w:r>
        <w:rPr>
          <w:b/>
          <w:bCs/>
          <w:sz w:val="24"/>
          <w:szCs w:val="24"/>
          <w:lang w:val="en-US"/>
        </w:rPr>
        <w:t/>
      </w:r>
    </w:p>
    <w:p w14:paraId="BD250BB2">
      <w:pPr>
        <w:pStyle w:val="style0"/>
        <w:spacing w:lineRule="auto" w:line="360"/>
        <w:jc w:val="center"/>
        <w:rPr>
          <w:sz w:val="24"/>
          <w:szCs w:val="24"/>
          <w:lang w:val="en-US"/>
        </w:rPr>
      </w:pPr>
      <w:r>
        <w:rPr>
          <w:sz w:val="24"/>
          <w:szCs w:val="24"/>
          <w:lang w:val="en-US"/>
        </w:rPr>
        <w:t/>
      </w:r>
    </w:p>
    <w:p w14:paraId="6D45B3BB">
      <w:pPr>
        <w:pStyle w:val="style0"/>
        <w:spacing w:lineRule="auto" w:line="360"/>
        <w:jc w:val="center"/>
        <w:rPr>
          <w:b/>
          <w:bCs/>
          <w:sz w:val="24"/>
          <w:szCs w:val="24"/>
          <w:u w:val="none"/>
          <w:lang w:val="en-US"/>
        </w:rPr>
      </w:pPr>
      <w:r>
        <w:rPr>
          <w:b/>
          <w:bCs/>
          <w:sz w:val="24"/>
          <w:szCs w:val="24"/>
          <w:u w:val="none"/>
          <w:lang w:val="en-US"/>
        </w:rPr>
        <w:t/>
      </w:r>
    </w:p>
    <w:p w14:paraId="A575C252">
      <w:pPr>
        <w:pStyle w:val="style0"/>
        <w:spacing w:lineRule="auto" w:line="360"/>
        <w:jc w:val="center"/>
        <w:rPr>
          <w:sz w:val="24"/>
          <w:szCs w:val="24"/>
          <w:lang w:val="en-US"/>
        </w:rPr>
      </w:pPr>
      <w:r>
        <w:rPr>
          <w:sz w:val="24"/>
          <w:szCs w:val="24"/>
          <w:lang w:val="en-US"/>
        </w:rPr>
        <w:t/>
      </w:r>
    </w:p>
    <w:p w14:paraId="3DFF7087">
      <w:pPr>
        <w:pStyle w:val="style0"/>
        <w:spacing w:lineRule="auto" w:line="360"/>
        <w:jc w:val="center"/>
        <w:rPr>
          <w:sz w:val="24"/>
          <w:szCs w:val="24"/>
          <w:lang w:val="en-US"/>
        </w:rPr>
      </w:pPr>
      <w:r>
        <w:rPr>
          <w:sz w:val="24"/>
          <w:szCs w:val="24"/>
          <w:lang w:val="en-US"/>
        </w:rPr>
        <w:t/>
      </w:r>
    </w:p>
    <w:p w14:paraId="255AFFCB">
      <w:pPr>
        <w:pStyle w:val="style0"/>
        <w:spacing w:lineRule="auto" w:line="360"/>
        <w:jc w:val="center"/>
        <w:rPr>
          <w:sz w:val="24"/>
          <w:szCs w:val="24"/>
          <w:u w:val="single"/>
          <w:lang w:val="en-US"/>
        </w:rPr>
      </w:pPr>
      <w:r>
        <w:rPr>
          <w:sz w:val="24"/>
          <w:szCs w:val="24"/>
          <w:u w:val="single"/>
          <w:lang w:val="en-US"/>
        </w:rPr>
        <w:t/>
      </w:r>
    </w:p>
    <w:p w14:paraId="CC86F55D">
      <w:pPr>
        <w:pStyle w:val="style0"/>
        <w:spacing w:lineRule="auto" w:line="360"/>
        <w:jc w:val="center"/>
        <w:rPr>
          <w:sz w:val="24"/>
          <w:szCs w:val="24"/>
        </w:rPr>
      </w:pPr>
      <w:r>
        <w:rPr>
          <w:sz w:val="24"/>
          <w:szCs w:val="24"/>
          <w:lang w:val="en-US"/>
        </w:rPr>
        <w:t/>
      </w:r>
    </w:p>
    <w:p w14:paraId="DEC290FD">
      <w:pPr>
        <w:pStyle w:val="style0"/>
        <w:spacing w:lineRule="auto" w:line="360"/>
        <w:jc w:val="both"/>
        <w:rPr>
          <w:sz w:val="24"/>
          <w:szCs w:val="24"/>
        </w:rPr>
      </w:pPr>
      <w:r>
        <w:rPr>
          <w:b/>
          <w:bCs/>
          <w:sz w:val="24"/>
          <w:szCs w:val="24"/>
          <w:lang w:val="en-US"/>
        </w:rPr>
        <w:t>Abstract</w:t>
      </w:r>
    </w:p>
    <w:p w14:paraId="1B92378F">
      <w:pPr>
        <w:pStyle w:val="style0"/>
        <w:spacing w:lineRule="auto" w:line="240"/>
        <w:jc w:val="both"/>
        <w:rPr>
          <w:sz w:val="24"/>
          <w:szCs w:val="24"/>
        </w:rPr>
      </w:pPr>
      <w:r>
        <w:rPr>
          <w:sz w:val="24"/>
          <w:szCs w:val="24"/>
          <w:lang w:val="en-US"/>
        </w:rPr>
        <w:t>The background of this study is the resurgence of public demands for redress of historical wrongs, including colonialism, slavery, and genocide. From the return of cultural artefacts to calls for financial compensation, these demands have moved from the margins to the centre of political discourse in Europe, Africa, and the Americas. The problem addressed is that the ethical framework for evaluating such claims remains contested, with critics arguing that contemporary actors bear no responsibility for the actions of their ancestors. The aim of this article is to develop a coherent ethical account of historical injustice, distinguishing between restitution, the return of property or artefacts, and reparation, the compensation for harms that cannot be undone. The method employed is a philosophical analysis of key concepts including intergenerational justice, collective responsibility, and corrective justice, combined with examination of recent cases such as the Benin Bronzes and German Namibian genocide negotiations. The contemporary relevance is acute, as museums, governments, and international bodies face increasing pressure to address historical wrongs. The conclusion argues that the politics of memory is not merely about the past but about the present distribution of power, wealth, and dignity. A just response to historical injustice requires both material restitution and symbolic reparation, grounded in an ethics that recognises the living consequences of past wrongs.</w:t>
      </w:r>
    </w:p>
    <w:p w14:paraId="2F631CAB">
      <w:pPr>
        <w:pStyle w:val="style0"/>
        <w:spacing w:lineRule="auto" w:line="360"/>
        <w:jc w:val="both"/>
        <w:rPr>
          <w:sz w:val="24"/>
          <w:szCs w:val="24"/>
        </w:rPr>
      </w:pPr>
    </w:p>
    <w:p w14:paraId="AD2AB055">
      <w:pPr>
        <w:pStyle w:val="style0"/>
        <w:spacing w:lineRule="auto" w:line="360"/>
        <w:jc w:val="both"/>
        <w:rPr>
          <w:sz w:val="24"/>
          <w:szCs w:val="24"/>
        </w:rPr>
      </w:pPr>
      <w:r>
        <w:rPr>
          <w:sz w:val="24"/>
          <w:szCs w:val="24"/>
          <w:lang w:val="en-US"/>
        </w:rPr>
        <w:t>Keywords: restitution, reparation, historical injustice, collective memory, intergenerational justice, colonialism.</w:t>
      </w:r>
    </w:p>
    <w:p w14:paraId="66AF58EF">
      <w:pPr>
        <w:pStyle w:val="style0"/>
        <w:spacing w:lineRule="auto" w:line="360"/>
        <w:jc w:val="both"/>
        <w:rPr>
          <w:sz w:val="24"/>
          <w:szCs w:val="24"/>
        </w:rPr>
      </w:pPr>
    </w:p>
    <w:p w14:paraId="74C3B516">
      <w:pPr>
        <w:pStyle w:val="style0"/>
        <w:spacing w:lineRule="auto" w:line="360"/>
        <w:jc w:val="both"/>
        <w:rPr>
          <w:sz w:val="24"/>
          <w:szCs w:val="24"/>
        </w:rPr>
      </w:pPr>
    </w:p>
    <w:p w14:paraId="BDF4542C">
      <w:pPr>
        <w:pStyle w:val="style0"/>
        <w:spacing w:lineRule="auto" w:line="360"/>
        <w:jc w:val="both"/>
        <w:rPr>
          <w:b/>
          <w:bCs/>
          <w:sz w:val="24"/>
          <w:szCs w:val="24"/>
        </w:rPr>
      </w:pPr>
      <w:r>
        <w:rPr>
          <w:b/>
          <w:bCs/>
          <w:sz w:val="24"/>
          <w:szCs w:val="24"/>
          <w:lang w:val="en-US"/>
        </w:rPr>
        <w:t>1. Introduction</w:t>
      </w:r>
    </w:p>
    <w:p w14:paraId="AF01C6A3">
      <w:pPr>
        <w:pStyle w:val="style0"/>
        <w:spacing w:lineRule="auto" w:line="360"/>
        <w:jc w:val="both"/>
        <w:rPr>
          <w:sz w:val="24"/>
          <w:szCs w:val="24"/>
        </w:rPr>
      </w:pPr>
      <w:r>
        <w:rPr>
          <w:sz w:val="24"/>
          <w:szCs w:val="24"/>
          <w:lang w:val="en-US"/>
        </w:rPr>
        <w:t>In recent years, the question of what is owed to the descendants of those who suffered historical injustices has become unavoidable. Statues of colonial figures have been toppled. Museums have begun to return artefacts looted during military campaigns. Governments have issued formal apologies for atrocities committed centuries ago. And in international forums, the demand for reparations for slavery and colonialism has gained unprecedented traction. These developments have been met with both enthusiasm and resistance. For advocates, they represent a long overdue reckoning with the past. For critics, they threaten to impose the moral standards of the present on actions that were once considered acceptable, and to hold living people responsible for the deeds of the dead.</w:t>
      </w:r>
    </w:p>
    <w:p w14:paraId="E944418C">
      <w:pPr>
        <w:pStyle w:val="style0"/>
        <w:spacing w:lineRule="auto" w:line="360"/>
        <w:jc w:val="both"/>
        <w:rPr>
          <w:sz w:val="24"/>
          <w:szCs w:val="24"/>
        </w:rPr>
      </w:pPr>
      <w:r>
        <w:rPr>
          <w:sz w:val="24"/>
          <w:szCs w:val="24"/>
          <w:lang w:val="en-US"/>
        </w:rPr>
        <w:t>This article argues that the politics of memory, the struggle over how the past is remembered, commemorated, and redressed, is not a distraction from the real business of politics but central to it. How societies remember their histories shapes their present identities, their distributions of wealth and status, and their aspirations for the future. The demands for restitution and reparation are not merely about correcting ancient wrongs. They are about addressing the ongoing effects of those wrongs, effects that are embedded in institutions, landscapes, and bodies. To refuse to engage with these demands is not to remain neutral but to endorse the status quo, which is itself the product of historical injustice.</w:t>
      </w:r>
    </w:p>
    <w:p w14:paraId="725CBBF4">
      <w:pPr>
        <w:pStyle w:val="style0"/>
        <w:spacing w:lineRule="auto" w:line="360"/>
        <w:jc w:val="both"/>
        <w:rPr>
          <w:sz w:val="24"/>
          <w:szCs w:val="24"/>
        </w:rPr>
      </w:pPr>
      <w:r>
        <w:rPr>
          <w:sz w:val="24"/>
          <w:szCs w:val="24"/>
          <w:lang w:val="en-US"/>
        </w:rPr>
        <w:t>The article proceeds as follows. It first defines the key terms of the debate: restitution, reparation, and historical injustice. It then examines the principal philosophical objections to reparation claims, including the non identity problem and the argument from non responsibility. Subsequently, it develops an ethical framework grounded in corrective justice and intergenerational obligation. Two case studies are then examined in detail: the campaign for the return of the Benin Bronzes and the negotiations between Germany and Namibia over the Herero and Nama genocide. The contemporary relevance of these cases is explored, and the article concludes by arguing that the politics of memory requires not only material compensation but also a transformation of the narratives through which societies understand themselves.</w:t>
      </w:r>
    </w:p>
    <w:p w14:paraId="9EB0EFB4">
      <w:pPr>
        <w:pStyle w:val="style0"/>
        <w:spacing w:lineRule="auto" w:line="360"/>
        <w:jc w:val="both"/>
        <w:rPr>
          <w:b/>
          <w:bCs/>
          <w:sz w:val="24"/>
          <w:szCs w:val="24"/>
        </w:rPr>
      </w:pPr>
      <w:r>
        <w:rPr>
          <w:b/>
          <w:bCs/>
          <w:sz w:val="24"/>
          <w:szCs w:val="24"/>
          <w:lang w:val="en-US"/>
        </w:rPr>
        <w:t>2. Defining the Terms: Restitution, Reparation, and Historical Injustice</w:t>
      </w:r>
    </w:p>
    <w:p w14:paraId="C75602AD">
      <w:pPr>
        <w:pStyle w:val="style0"/>
        <w:spacing w:lineRule="auto" w:line="360"/>
        <w:jc w:val="both"/>
        <w:rPr>
          <w:sz w:val="24"/>
          <w:szCs w:val="24"/>
        </w:rPr>
      </w:pPr>
      <w:r>
        <w:rPr>
          <w:sz w:val="24"/>
          <w:szCs w:val="24"/>
          <w:lang w:val="en-US"/>
        </w:rPr>
        <w:t>Before proceeding to the ethical analysis, it is necessary to clarify the central concepts. Historical injustice refers to wrongs committed in the past against individuals or groups, wrongs that were unjust by the standards of their time or by any reasonable moral standard, and that continue to have measurable effects on the present. Colonial conquest, the transatlantic slave trade, the dispossession of indigenous peoples, and genocidal violence are paradigmatic examples. The distinctive feature of historical injustice, as opposed to ordinary crimes, is that the direct victims are dead, but their descendants and the social structures they inhabit bear the scars.</w:t>
      </w:r>
    </w:p>
    <w:p w14:paraId="6E5ED041">
      <w:pPr>
        <w:pStyle w:val="style0"/>
        <w:spacing w:lineRule="auto" w:line="360"/>
        <w:jc w:val="both"/>
        <w:rPr>
          <w:sz w:val="24"/>
          <w:szCs w:val="24"/>
        </w:rPr>
      </w:pPr>
      <w:r>
        <w:rPr>
          <w:sz w:val="24"/>
          <w:szCs w:val="24"/>
          <w:lang w:val="en-US"/>
        </w:rPr>
        <w:t>Restitution refers to the return of something that was taken. In the context of historical injustice, restitution most often concerns cultural artefacts, such as the Benin Bronzes taken by British forces in 1897, or human remains taken for scientific study. Restitution can also apply to land, property, or financial assets that were expropriated unjustly. The logic of restitution is backward looking. It seeks to restore, as far as possible, the situation that existed before the injustice occurred. This logic is compelling when the objects in question are unique, irreplaceable, and central to the identity and cultural practice of the descendant community.</w:t>
      </w:r>
    </w:p>
    <w:p w14:paraId="52D05A70">
      <w:pPr>
        <w:pStyle w:val="style0"/>
        <w:spacing w:lineRule="auto" w:line="360"/>
        <w:jc w:val="both"/>
        <w:rPr>
          <w:sz w:val="24"/>
          <w:szCs w:val="24"/>
        </w:rPr>
      </w:pPr>
      <w:r>
        <w:rPr>
          <w:sz w:val="24"/>
          <w:szCs w:val="24"/>
          <w:lang w:val="en-US"/>
        </w:rPr>
        <w:t>Reparation is a broader term. It encompasses all measures taken to repair the harms caused by historical injustice, including restitution but also compensation, rehabilitation, satisfaction, and guarantees of non repetition. The United Nations Basic Principles on the Right to a Remedy and Reparation list five forms of reparation: restitution, compensation, rehabilitation, satisfaction (including apologies and memorials), and guarantees of non repetition. Reparation is therefore both material and symbolic. It includes financial payments, but it also includes truth commissions, public apologies, the naming of streets, the erection of memorials, and educational reforms. The logic of reparation is partly backward looking, acknowledging and redressing past wrongs, and partly forward looking, seeking to transform the conditions that allow historical injustices to persist into the present.</w:t>
      </w:r>
    </w:p>
    <w:p w14:paraId="C912AB65">
      <w:pPr>
        <w:pStyle w:val="style0"/>
        <w:spacing w:lineRule="auto" w:line="360"/>
        <w:jc w:val="both"/>
        <w:rPr>
          <w:sz w:val="24"/>
          <w:szCs w:val="24"/>
        </w:rPr>
      </w:pPr>
      <w:r>
        <w:rPr>
          <w:sz w:val="24"/>
          <w:szCs w:val="24"/>
          <w:lang w:val="en-US"/>
        </w:rPr>
        <w:t>The distinction between restitution and reparation is important because the two raise different ethical questions. Restitution asks: who owns this object, legitimately? Reparation asks: what is owed to the descendants of those who were wronged? The former is often a question of legal title and provenance research. The latter is a question of distributive and corrective justice. Both are essential to the politics of memory.</w:t>
      </w:r>
    </w:p>
    <w:p w14:paraId="9F1A00B5">
      <w:pPr>
        <w:pStyle w:val="style0"/>
        <w:spacing w:lineRule="auto" w:line="360"/>
        <w:jc w:val="both"/>
        <w:rPr>
          <w:b/>
          <w:bCs/>
          <w:sz w:val="24"/>
          <w:szCs w:val="24"/>
        </w:rPr>
      </w:pPr>
      <w:r>
        <w:rPr>
          <w:b/>
          <w:bCs/>
          <w:sz w:val="24"/>
          <w:szCs w:val="24"/>
          <w:lang w:val="en-US"/>
        </w:rPr>
        <w:t>3. Philosophical Objections and Responses</w:t>
      </w:r>
    </w:p>
    <w:p w14:paraId="4A45F7BF">
      <w:pPr>
        <w:pStyle w:val="style0"/>
        <w:spacing w:lineRule="auto" w:line="360"/>
        <w:jc w:val="both"/>
        <w:rPr>
          <w:sz w:val="24"/>
          <w:szCs w:val="24"/>
        </w:rPr>
      </w:pPr>
      <w:r>
        <w:rPr>
          <w:sz w:val="24"/>
          <w:szCs w:val="24"/>
          <w:lang w:val="en-US"/>
        </w:rPr>
        <w:t>The most serious philosophical challenge to claims for restitution and reparation is the argument from non responsibility. This argument holds that contemporary individuals cannot be held responsible for the actions of their ancestors because they did not commit those actions and did not consent to them. To require a German citizen born in 1985 to pay reparations for the Holocaust, or a British citizen born in 2000 to return artefacts taken in 1897, is to violate the principle that responsibility requires agency. A person is only responsible for what they themselves have done or caused.</w:t>
      </w:r>
    </w:p>
    <w:p w14:paraId="387B3A71">
      <w:pPr>
        <w:pStyle w:val="style0"/>
        <w:spacing w:lineRule="auto" w:line="360"/>
        <w:jc w:val="both"/>
        <w:rPr>
          <w:sz w:val="24"/>
          <w:szCs w:val="24"/>
        </w:rPr>
      </w:pPr>
      <w:r>
        <w:rPr>
          <w:sz w:val="24"/>
          <w:szCs w:val="24"/>
          <w:lang w:val="en-US"/>
        </w:rPr>
        <w:t>A second challenge is the non identity problem, first formulated by the philosopher Derek Parfit (1984). If the historical injustice had not occurred, the descendants of the victims would not exist at all. Different people would have been born. Therefore, the current descendants cannot claim that they would have been better off if the injustice had not occurred, because they would not have existed. The problem is not that they have been made worse off relative to a counterfactual. The problem is that they exist at all, and their existence is causally dependent on the very injustice they complain about.</w:t>
      </w:r>
    </w:p>
    <w:p w14:paraId="3B8A45C4">
      <w:pPr>
        <w:pStyle w:val="style0"/>
        <w:spacing w:lineRule="auto" w:line="360"/>
        <w:jc w:val="both"/>
        <w:rPr>
          <w:sz w:val="24"/>
          <w:szCs w:val="24"/>
        </w:rPr>
      </w:pPr>
      <w:r>
        <w:rPr>
          <w:sz w:val="24"/>
          <w:szCs w:val="24"/>
          <w:lang w:val="en-US"/>
        </w:rPr>
        <w:t>These objections are powerful, but they are not decisive. The argument from non responsibility fails to account for the ongoing structures that perpetuate the effects of historical injustice. A contemporary British citizen did not personally loot the Benin Bronzes, but they live in a society whose museums continue to display those bronzes, whose laws recognise the museum’s title, and whose public discourse often justifies the retention of the bronzes on grounds that echo colonial ideologies. To benefit from an unjust status quo is not the same as having committed the original injustice, but it may generate obligations to rectify that status quo. This is the logic of unjust enrichment. If you receive a benefit that was obtained through injustice, you have an obligation to return it, even if you did not participate in the original taking.</w:t>
      </w:r>
    </w:p>
    <w:p w14:paraId="7375E6AA">
      <w:pPr>
        <w:pStyle w:val="style0"/>
        <w:spacing w:lineRule="auto" w:line="360"/>
        <w:jc w:val="both"/>
        <w:rPr>
          <w:sz w:val="24"/>
          <w:szCs w:val="24"/>
        </w:rPr>
      </w:pPr>
      <w:r>
        <w:rPr>
          <w:sz w:val="24"/>
          <w:szCs w:val="24"/>
          <w:lang w:val="en-US"/>
        </w:rPr>
        <w:t>The non identity problem is more difficult, but several responses are available. One response is to shift the basis of the claim from comparative harm to non comparative justice. The descendants of victims may not be able to say that they are worse off than they would have been, but they can say that they have been wronged in a way that violates their dignity. A person who is denied access to their cultural heritage, or who lives in a society structured by racial hierarchy inherited from colonialism, suffers an injustice that does not depend on a counterfactual comparison. Another response is to focus on the collective, rather than the individual. Groups, such as nations, ethnic communities, or cultural traditions, have identities that persist across generations. The wrong done to the group is not erased by the fact that individual members come and go. The group is the same group, and the group is owed repair.</w:t>
      </w:r>
    </w:p>
    <w:p w14:paraId="58CE2428">
      <w:pPr>
        <w:pStyle w:val="style0"/>
        <w:spacing w:lineRule="auto" w:line="360"/>
        <w:jc w:val="both"/>
        <w:rPr>
          <w:b/>
          <w:bCs/>
          <w:sz w:val="24"/>
          <w:szCs w:val="24"/>
        </w:rPr>
      </w:pPr>
      <w:r>
        <w:rPr>
          <w:b/>
          <w:bCs/>
          <w:sz w:val="24"/>
          <w:szCs w:val="24"/>
          <w:lang w:val="en-US"/>
        </w:rPr>
        <w:t>4. An Ethical Framework for Restitution and Reparation</w:t>
      </w:r>
    </w:p>
    <w:p w14:paraId="ACAD4BAD">
      <w:pPr>
        <w:pStyle w:val="style0"/>
        <w:spacing w:lineRule="auto" w:line="360"/>
        <w:jc w:val="both"/>
        <w:rPr>
          <w:sz w:val="24"/>
          <w:szCs w:val="24"/>
        </w:rPr>
      </w:pPr>
      <w:r>
        <w:rPr>
          <w:sz w:val="24"/>
          <w:szCs w:val="24"/>
          <w:lang w:val="en-US"/>
        </w:rPr>
        <w:t>Drawing on the work of political theorists such as Iris Marion Young (2011) and David Lyons (1977), this article proposes an ethical framework for evaluating claims of historical injustice. The framework has four components: the harm principle, the benefit principle, the connection principle, and the feasibility principle.</w:t>
      </w:r>
    </w:p>
    <w:p w14:paraId="8FF21D88">
      <w:pPr>
        <w:pStyle w:val="style0"/>
        <w:spacing w:lineRule="auto" w:line="360"/>
        <w:jc w:val="both"/>
        <w:rPr>
          <w:sz w:val="24"/>
          <w:szCs w:val="24"/>
        </w:rPr>
      </w:pPr>
      <w:r>
        <w:rPr>
          <w:sz w:val="24"/>
          <w:szCs w:val="24"/>
          <w:lang w:val="en-US"/>
        </w:rPr>
        <w:t>The harm principle states that reparation is owed when a historical injustice continues to cause identifiable harm to living people. The harm need not be direct physical injury. It can be cultural, psychological, or structural. For example, the loss of cultural artefacts diminishes the capacity of a community to transmit its traditions and to maintain its sense of identity. That is a real harm, even if it cannot be measured in economic terms.</w:t>
      </w:r>
    </w:p>
    <w:p w14:paraId="75871E88">
      <w:pPr>
        <w:pStyle w:val="style0"/>
        <w:spacing w:lineRule="auto" w:line="360"/>
        <w:jc w:val="both"/>
        <w:rPr>
          <w:sz w:val="24"/>
          <w:szCs w:val="24"/>
        </w:rPr>
      </w:pPr>
      <w:r>
        <w:rPr>
          <w:sz w:val="24"/>
          <w:szCs w:val="24"/>
          <w:lang w:val="en-US"/>
        </w:rPr>
        <w:t>The benefit principle states that reparation is owed when contemporary individuals or institutions have benefited from the historical injustice. The British Museum has benefited from the presence of the Benin Bronzes, which attract visitors and confer prestige. British taxpayers have benefited from the wealth generated by colonial extraction. Those who benefit are obliged to disgorge those benefits, or to compensate those who were deprived.</w:t>
      </w:r>
    </w:p>
    <w:p w14:paraId="B4C15715">
      <w:pPr>
        <w:pStyle w:val="style0"/>
        <w:spacing w:lineRule="auto" w:line="360"/>
        <w:jc w:val="both"/>
        <w:rPr>
          <w:sz w:val="24"/>
          <w:szCs w:val="24"/>
        </w:rPr>
      </w:pPr>
      <w:r>
        <w:rPr>
          <w:sz w:val="24"/>
          <w:szCs w:val="24"/>
          <w:lang w:val="en-US"/>
        </w:rPr>
        <w:t>The connection principle states that reparation is owed when there is a continuous chain of transmission linking the original injustice to the present. This chain can be causal, as when a colonial land grab is followed by generations of dispossession. It can also be institutional, as when a museum continues to assert ownership over looted artefacts. The longer and more attenuated the chain, the weaker the claim becomes. But a direct institutional chain, as in the case of the Benin Bronzes held by the British Museum since 1897, is strong.</w:t>
      </w:r>
    </w:p>
    <w:p w14:paraId="EDBF3F33">
      <w:pPr>
        <w:pStyle w:val="style0"/>
        <w:spacing w:lineRule="auto" w:line="360"/>
        <w:jc w:val="both"/>
        <w:rPr>
          <w:sz w:val="24"/>
          <w:szCs w:val="24"/>
        </w:rPr>
      </w:pPr>
      <w:r>
        <w:rPr>
          <w:sz w:val="24"/>
          <w:szCs w:val="24"/>
          <w:lang w:val="en-US"/>
        </w:rPr>
        <w:t>The feasibility principle states that reparation should be limited by what is practically possible. It is not feasible to reverse every historical injustice. Some harms are irreparable. Some perpetrators and victims have no identifiable descendants. Some claims would require the wholesale restructuring of the global economy. Feasibility is not a reason to do nothing, but it is a reason to prioritise claims that are clear, that have identifiable beneficiaries and burden bearers, and that can be addressed without causing catastrophic unintended consequences.</w:t>
      </w:r>
    </w:p>
    <w:p w14:paraId="8436EBA9">
      <w:pPr>
        <w:pStyle w:val="style0"/>
        <w:spacing w:lineRule="auto" w:line="360"/>
        <w:jc w:val="both"/>
        <w:rPr>
          <w:b/>
          <w:bCs/>
          <w:sz w:val="24"/>
          <w:szCs w:val="24"/>
        </w:rPr>
      </w:pPr>
      <w:r>
        <w:rPr>
          <w:b/>
          <w:bCs/>
          <w:sz w:val="24"/>
          <w:szCs w:val="24"/>
          <w:lang w:val="en-US"/>
        </w:rPr>
        <w:t>5. Case Study One: The Benin Bronzes</w:t>
      </w:r>
    </w:p>
    <w:p w14:paraId="A6983AA1">
      <w:pPr>
        <w:pStyle w:val="style0"/>
        <w:spacing w:lineRule="auto" w:line="360"/>
        <w:jc w:val="both"/>
        <w:rPr>
          <w:sz w:val="24"/>
          <w:szCs w:val="24"/>
        </w:rPr>
      </w:pPr>
      <w:r>
        <w:rPr>
          <w:sz w:val="24"/>
          <w:szCs w:val="24"/>
          <w:lang w:val="en-US"/>
        </w:rPr>
        <w:t>The Benin Bronzes are a collection of thousands of brass plaques, sculptures, and ivory objects taken by British forces during the punitive expedition of 1897. The objects were looted from the royal palace of the Kingdom of Benin, in what is now Nigeria. They were then sold to museums across Europe and North America, with the largest collections held by the British Museum in London. For more than a century, Nigeria has requested the return of the bronzes. For most of that period, the requests were ignored or refused.</w:t>
      </w:r>
    </w:p>
    <w:p w14:paraId="7BDCD42C">
      <w:pPr>
        <w:pStyle w:val="style0"/>
        <w:spacing w:lineRule="auto" w:line="360"/>
        <w:jc w:val="both"/>
        <w:rPr>
          <w:sz w:val="24"/>
          <w:szCs w:val="24"/>
        </w:rPr>
      </w:pPr>
      <w:r>
        <w:rPr>
          <w:sz w:val="24"/>
          <w:szCs w:val="24"/>
          <w:lang w:val="en-US"/>
        </w:rPr>
        <w:t>The ethical case for restitution is exceptionally strong. The taking was clearly an act of military looting, prohibited even by the laws of war in 1897. The objects are of profound cultural and religious significance to the Edo people, the descendants of the Kingdom of Benin. The British Museum has no legitimate claim to ownership. It holds the objects as a result of a violent act of colonial aggression. The benefit principle applies directly: the British Museum has benefited from the prestige and revenue generated by displaying objects it has no right to possess. The connection principle is satisfied because the museum is the same institution that acquired the objects in 1897.</w:t>
      </w:r>
    </w:p>
    <w:p w14:paraId="6A90206A">
      <w:pPr>
        <w:pStyle w:val="style0"/>
        <w:spacing w:lineRule="auto" w:line="360"/>
        <w:jc w:val="both"/>
        <w:rPr>
          <w:sz w:val="24"/>
          <w:szCs w:val="24"/>
        </w:rPr>
      </w:pPr>
      <w:r>
        <w:rPr>
          <w:sz w:val="24"/>
          <w:szCs w:val="24"/>
          <w:lang w:val="en-US"/>
        </w:rPr>
        <w:t>In recent years, the tide has turned. Several European museums have agreed to return bronzes in their collections. Germany announced in 2021 that it would begin transferring ownership of its Benin Bronzes. The British Museum, constrained by legislation that prohibits deaccessioning, has been slower to act, but it has acknowledged the moral case for return and has returned some objects on loan. The politics of memory in this case has shifted decisively towards restitution. What remains is the practical work of negotiating the terms of transfer, the ownership of objects that are currently held by multiple institutions, and the establishment of a museum in Benin City to receive and display the returned bronzes.</w:t>
      </w:r>
    </w:p>
    <w:p w14:paraId="8F029270">
      <w:pPr>
        <w:pStyle w:val="style0"/>
        <w:spacing w:lineRule="auto" w:line="360"/>
        <w:jc w:val="both"/>
        <w:rPr>
          <w:sz w:val="24"/>
          <w:szCs w:val="24"/>
        </w:rPr>
      </w:pPr>
      <w:r>
        <w:rPr>
          <w:b/>
          <w:bCs/>
          <w:sz w:val="24"/>
          <w:szCs w:val="24"/>
          <w:lang w:val="en-US"/>
        </w:rPr>
        <w:t>6. Case Study Two: Germany and the Herero and Nama Genocide</w:t>
      </w:r>
    </w:p>
    <w:p w14:paraId="D6E64CF6">
      <w:pPr>
        <w:pStyle w:val="style0"/>
        <w:spacing w:lineRule="auto" w:line="360"/>
        <w:jc w:val="both"/>
        <w:rPr>
          <w:sz w:val="24"/>
          <w:szCs w:val="24"/>
        </w:rPr>
      </w:pPr>
      <w:r>
        <w:rPr>
          <w:sz w:val="24"/>
          <w:szCs w:val="24"/>
          <w:lang w:val="en-US"/>
        </w:rPr>
        <w:t>The second case study concerns a different form of historical injustice: genocide. Between 1904 and 1908, German colonial forces in South West Africa, now Namibia, committed atrocities against the Herero and Nama peoples. Scholars estimate that up to 80 per cent of the Herero population and 50 per cent of the Nama population were killed in a campaign that included forced displacement, concentration camps, and deliberate starvation. The German government has since acknowledged the events as a genocide, but the question of reparation remains contested.</w:t>
      </w:r>
    </w:p>
    <w:p w14:paraId="36161563">
      <w:pPr>
        <w:pStyle w:val="style0"/>
        <w:spacing w:lineRule="auto" w:line="360"/>
        <w:jc w:val="both"/>
        <w:rPr>
          <w:sz w:val="24"/>
          <w:szCs w:val="24"/>
        </w:rPr>
      </w:pPr>
      <w:r>
        <w:rPr>
          <w:sz w:val="24"/>
          <w:szCs w:val="24"/>
          <w:lang w:val="en-US"/>
        </w:rPr>
        <w:t>In 2021, Germany and Namibia reached a joint declaration acknowledging the genocide and agreeing to a financial package of 1.1 billion euro over 30 years. The money is designated for infrastructure, healthcare, and land reform projects in Namibia. Notably, the agreement does not use the word reparation. It describes the payment as a gesture of recognition of the immense suffering inflicted. The German government also issued a formal apology and pledged to work with Namibia to address the colonial past in education and commemoration.</w:t>
      </w:r>
    </w:p>
    <w:p w14:paraId="77DE6559">
      <w:pPr>
        <w:pStyle w:val="style0"/>
        <w:spacing w:lineRule="auto" w:line="360"/>
        <w:jc w:val="both"/>
        <w:rPr>
          <w:sz w:val="24"/>
          <w:szCs w:val="24"/>
        </w:rPr>
      </w:pPr>
      <w:r>
        <w:rPr>
          <w:sz w:val="24"/>
          <w:szCs w:val="24"/>
          <w:lang w:val="en-US"/>
        </w:rPr>
        <w:t>The agreement has been controversial. Some Herero and Nama representatives argue that they were excluded from the negotiations, which were conducted between the two states. They demand direct compensation to the affected communities, not development aid channelled through the Namibian government. They also object to the absence of individual payments, arguing that the genocide caused specific harms to identifiable families that require individual redress. The German position is that direct payments to individuals would set a precedent for other reparation claims that would be financially unsustainable.</w:t>
      </w:r>
    </w:p>
    <w:p w14:paraId="FA91E0AE">
      <w:pPr>
        <w:pStyle w:val="style0"/>
        <w:spacing w:lineRule="auto" w:line="360"/>
        <w:jc w:val="both"/>
        <w:rPr>
          <w:sz w:val="24"/>
          <w:szCs w:val="24"/>
        </w:rPr>
      </w:pPr>
      <w:r>
        <w:rPr>
          <w:sz w:val="24"/>
          <w:szCs w:val="24"/>
          <w:lang w:val="en-US"/>
        </w:rPr>
        <w:t>This case illustrates the difficulty of applying the ethical framework to genocide. The harm principle is clearly satisfied: the genocide has ongoing effects on the economic and social position of Herero and Nama communities. The benefit principle is more complex, because contemporary German citizens and institutions are several generations removed from the colonial period. The connection principle is satisfied by the continuity of the German state, which is the same legal entity that conducted the colonial campaign. The feasibility principle is at the heart of the dispute: is it feasible to make direct payments to individuals, and if so, how would eligibility be determined? The politics of memory in this case remains unresolved, with the agreement of 2021 representing a step forward but not a final settlement.</w:t>
      </w:r>
    </w:p>
    <w:p w14:paraId="F7FA0A4B">
      <w:pPr>
        <w:pStyle w:val="style0"/>
        <w:spacing w:lineRule="auto" w:line="360"/>
        <w:jc w:val="both"/>
        <w:rPr>
          <w:b/>
          <w:bCs/>
          <w:sz w:val="24"/>
          <w:szCs w:val="24"/>
        </w:rPr>
      </w:pPr>
      <w:r>
        <w:rPr>
          <w:b/>
          <w:bCs/>
          <w:sz w:val="24"/>
          <w:szCs w:val="24"/>
          <w:lang w:val="en-US"/>
        </w:rPr>
        <w:t>7. Contemporary Relevance and Future Directions</w:t>
      </w:r>
    </w:p>
    <w:p w14:paraId="35FF5B29">
      <w:pPr>
        <w:pStyle w:val="style0"/>
        <w:spacing w:lineRule="auto" w:line="360"/>
        <w:jc w:val="both"/>
        <w:rPr>
          <w:sz w:val="24"/>
          <w:szCs w:val="24"/>
        </w:rPr>
      </w:pPr>
      <w:r>
        <w:rPr>
          <w:sz w:val="24"/>
          <w:szCs w:val="24"/>
          <w:lang w:val="en-US"/>
        </w:rPr>
        <w:t>The politics of memory is not a passing fashion. It is likely to intensify in the coming decades for several reasons. First, the demographic and political weight of formerly colonized peoples is increasing within former colonial powers. Diaspora communities in Europe and North America are pressing for a more honest accounting of colonial history and for redress. Second, the rise of populist and nationalist movements has often involved the defence of colonial legacies against what is perceived as excessive guilt. The resulting conflicts have made the politics of memory more visible and more contested. Third, international legal norms are evolving. The United Nations has increasingly recognised the right to remedy for historical injustices, and regional bodies such as the Inter American Court of Human Rights have issued landmark rulings on indigenous land rights.</w:t>
      </w:r>
    </w:p>
    <w:p w14:paraId="C0510349">
      <w:pPr>
        <w:pStyle w:val="style0"/>
        <w:spacing w:lineRule="auto" w:line="360"/>
        <w:jc w:val="both"/>
        <w:rPr>
          <w:sz w:val="24"/>
          <w:szCs w:val="24"/>
        </w:rPr>
      </w:pPr>
      <w:r>
        <w:rPr>
          <w:sz w:val="24"/>
          <w:szCs w:val="24"/>
          <w:lang w:val="en-US"/>
        </w:rPr>
        <w:t>Future directions for research and policy include the development of more robust mechanisms for evaluating and adjudicating reparation claims. One promising approach is the creation of independent truth and reconciliation commissions with mandates to investigate historical injustices and to recommend reparation measures. Another is the establishment of international funds for restorative justice, financed by contributions from former colonial powers and distributed to affected communities through participatory processes. A third is the integration of restitution and reparation into the mandates of museums, universities, and other cultural institutions, requiring them to conduct provenance research and to engage in good faith negotiations with source communities.</w:t>
      </w:r>
    </w:p>
    <w:p w14:paraId="7042B891">
      <w:pPr>
        <w:pStyle w:val="style0"/>
        <w:spacing w:lineRule="auto" w:line="360"/>
        <w:jc w:val="both"/>
        <w:rPr>
          <w:sz w:val="24"/>
          <w:szCs w:val="24"/>
        </w:rPr>
      </w:pPr>
      <w:r>
        <w:rPr>
          <w:sz w:val="24"/>
          <w:szCs w:val="24"/>
          <w:lang w:val="en-US"/>
        </w:rPr>
        <w:t>None of these mechanisms will be perfect. The ethics of historical injustice is characterised by tragic choices, imperfect remedies, and the impossibility of full restoration. But the alternative, silence and inaction, is worse. It leaves the injustices of the past to fester in the present, poisoning relationships and perpetuating inequalities. The politics of memory, properly understood, is not about dwelling on the past. It is about building a more just future by acknowledging and repairing the wrongs that have shaped the present.</w:t>
      </w:r>
    </w:p>
    <w:p w14:paraId="501BDB29">
      <w:pPr>
        <w:pStyle w:val="style0"/>
        <w:spacing w:lineRule="auto" w:line="360"/>
        <w:jc w:val="both"/>
        <w:rPr>
          <w:sz w:val="24"/>
          <w:szCs w:val="24"/>
        </w:rPr>
      </w:pPr>
      <w:r>
        <w:rPr>
          <w:b/>
          <w:bCs/>
          <w:sz w:val="24"/>
          <w:szCs w:val="24"/>
          <w:lang w:val="en-US"/>
        </w:rPr>
        <w:t>8. Conclusion</w:t>
      </w:r>
    </w:p>
    <w:p w14:paraId="0C3D8336">
      <w:pPr>
        <w:pStyle w:val="style0"/>
        <w:spacing w:lineRule="auto" w:line="360"/>
        <w:jc w:val="both"/>
        <w:rPr>
          <w:sz w:val="24"/>
          <w:szCs w:val="24"/>
        </w:rPr>
      </w:pPr>
      <w:r>
        <w:rPr>
          <w:sz w:val="24"/>
          <w:szCs w:val="24"/>
          <w:lang w:val="en-US"/>
        </w:rPr>
        <w:t>This article has argued that the demands for restitution and reparation arising from historical injustices are ethically serious and politically unavoidable. The objections to such claims, including the argument from non responsibility and the non identity problem, are not decisive. They fail to account for the ongoing harms, the continuing benefits, and the institutional continuities that link the present to the past. An ethical framework grounded in corrective justice, collective responsibility, and the principle of unjust enrichment provides a basis for evaluating specific claims. The cases of the Benin Bronzes and the German Namibian genocide illustrate the complexities and the possibilities of such evaluation.</w:t>
      </w:r>
    </w:p>
    <w:p w14:paraId="5D1E8C50">
      <w:pPr>
        <w:pStyle w:val="style0"/>
        <w:spacing w:lineRule="auto" w:line="360"/>
        <w:jc w:val="both"/>
        <w:rPr>
          <w:sz w:val="24"/>
          <w:szCs w:val="24"/>
        </w:rPr>
      </w:pPr>
      <w:r>
        <w:rPr>
          <w:sz w:val="24"/>
          <w:szCs w:val="24"/>
          <w:lang w:val="en-US"/>
        </w:rPr>
        <w:t>The politics of memory is not merely about the past. It is about who has the power to define the past, who has the standing to speak for the dead, and who has the authority to decide what is owed to the living. To engage with these questions is to engage with the most fundamental issues of political philosophy: justice, identity, and the obligations that bind generations together across time. The conclusion of this article is that restitution and reparation are not charitable gifts to be granted at the discretion of the powerful. They are obligations that arise from the very structure of historical injustice. To refuse them is not to be neutral. It is to side with the continuance of injustice. The politics of memory therefore demands not only ethical reflection but also political action, action that is long overdue.</w:t>
      </w:r>
    </w:p>
    <w:p w14:paraId="21005DE4">
      <w:pPr>
        <w:pStyle w:val="style0"/>
        <w:spacing w:lineRule="auto" w:line="360"/>
        <w:jc w:val="both"/>
        <w:rPr>
          <w:sz w:val="24"/>
          <w:szCs w:val="24"/>
        </w:rPr>
      </w:pPr>
    </w:p>
    <w:p w14:paraId="D3B28394">
      <w:pPr>
        <w:pStyle w:val="style0"/>
        <w:spacing w:lineRule="auto" w:line="360"/>
        <w:jc w:val="both"/>
        <w:rPr>
          <w:sz w:val="24"/>
          <w:szCs w:val="24"/>
        </w:rPr>
      </w:pPr>
    </w:p>
    <w:p w14:paraId="A1FB06BF">
      <w:pPr>
        <w:pStyle w:val="style0"/>
        <w:spacing w:lineRule="auto" w:line="360"/>
        <w:jc w:val="center"/>
        <w:rPr>
          <w:b/>
          <w:bCs/>
          <w:sz w:val="24"/>
          <w:szCs w:val="24"/>
        </w:rPr>
      </w:pPr>
      <w:r>
        <w:rPr>
          <w:b/>
          <w:bCs/>
          <w:sz w:val="24"/>
          <w:szCs w:val="24"/>
          <w:lang w:val="en-US"/>
        </w:rPr>
        <w:t>References</w:t>
      </w:r>
    </w:p>
    <w:p w14:paraId="E088D630">
      <w:pPr>
        <w:pStyle w:val="style0"/>
        <w:spacing w:lineRule="auto" w:line="360"/>
        <w:jc w:val="both"/>
        <w:rPr>
          <w:sz w:val="24"/>
          <w:szCs w:val="24"/>
        </w:rPr>
      </w:pPr>
      <w:r>
        <w:rPr>
          <w:sz w:val="24"/>
          <w:szCs w:val="24"/>
          <w:lang w:val="en-US"/>
        </w:rPr>
        <w:t xml:space="preserve">Lyons, D. 1977. 'The New Indian Claims and Original Rights to Land'. </w:t>
      </w:r>
      <w:r>
        <w:rPr>
          <w:i/>
          <w:iCs/>
          <w:sz w:val="24"/>
          <w:szCs w:val="24"/>
          <w:lang w:val="en-US"/>
        </w:rPr>
        <w:t>Social Theory</w:t>
      </w:r>
      <w:r>
        <w:rPr>
          <w:sz w:val="24"/>
          <w:szCs w:val="24"/>
          <w:lang w:val="en-US"/>
        </w:rPr>
        <w:t xml:space="preserve"> </w:t>
      </w:r>
      <w:r>
        <w:rPr>
          <w:i/>
          <w:iCs/>
          <w:sz w:val="24"/>
          <w:szCs w:val="24"/>
          <w:lang w:val="en-US"/>
        </w:rPr>
        <w:t>and Practic</w:t>
      </w:r>
      <w:r>
        <w:rPr>
          <w:sz w:val="24"/>
          <w:szCs w:val="24"/>
          <w:lang w:val="en-US"/>
        </w:rPr>
        <w:t>e, vol. 4, no. 3, pp. 249–272.</w:t>
      </w:r>
    </w:p>
    <w:p w14:paraId="F1ED75A7">
      <w:pPr>
        <w:pStyle w:val="style0"/>
        <w:spacing w:lineRule="auto" w:line="360"/>
        <w:jc w:val="both"/>
        <w:rPr>
          <w:sz w:val="24"/>
          <w:szCs w:val="24"/>
        </w:rPr>
      </w:pPr>
      <w:r>
        <w:rPr>
          <w:sz w:val="24"/>
          <w:szCs w:val="24"/>
          <w:lang w:val="en-US"/>
        </w:rPr>
        <w:t xml:space="preserve">Parfit, D. </w:t>
      </w:r>
      <w:r>
        <w:rPr>
          <w:i/>
          <w:iCs/>
          <w:sz w:val="24"/>
          <w:szCs w:val="24"/>
          <w:lang w:val="en-US"/>
        </w:rPr>
        <w:t>Reasons and Persons</w:t>
      </w:r>
      <w:r>
        <w:rPr>
          <w:sz w:val="24"/>
          <w:szCs w:val="24"/>
          <w:lang w:val="en-US"/>
        </w:rPr>
        <w:t>. Oxford: Oxford University Press, 1984.</w:t>
      </w:r>
    </w:p>
    <w:p w14:paraId="5F73286D">
      <w:pPr>
        <w:pStyle w:val="style0"/>
        <w:spacing w:lineRule="auto" w:line="360"/>
        <w:jc w:val="both"/>
        <w:rPr>
          <w:sz w:val="24"/>
          <w:szCs w:val="24"/>
        </w:rPr>
      </w:pPr>
      <w:r>
        <w:rPr>
          <w:sz w:val="24"/>
          <w:szCs w:val="24"/>
          <w:lang w:val="en-US"/>
        </w:rPr>
        <w:t xml:space="preserve">United Nations. </w:t>
      </w:r>
      <w:r>
        <w:rPr>
          <w:i/>
          <w:iCs/>
          <w:sz w:val="24"/>
          <w:szCs w:val="24"/>
          <w:lang w:val="en-US"/>
        </w:rPr>
        <w:t>Basic Principles and Guidelines on the Right to a Remedy and Reparation for Victims of Gross Violations of International Human Rights Law and Serious Violations of International Humanitarian Law. Resolution 60/147</w:t>
      </w:r>
      <w:r>
        <w:rPr>
          <w:sz w:val="24"/>
          <w:szCs w:val="24"/>
          <w:lang w:val="en-US"/>
        </w:rPr>
        <w:t>. New York: United Nations, 2006.</w:t>
      </w:r>
    </w:p>
    <w:p w14:paraId="4BFADC3B">
      <w:pPr>
        <w:pStyle w:val="style0"/>
        <w:spacing w:lineRule="auto" w:line="360"/>
        <w:jc w:val="both"/>
        <w:rPr>
          <w:sz w:val="24"/>
          <w:szCs w:val="24"/>
        </w:rPr>
      </w:pPr>
      <w:r>
        <w:rPr>
          <w:sz w:val="24"/>
          <w:szCs w:val="24"/>
          <w:lang w:val="en-US"/>
        </w:rPr>
        <w:t xml:space="preserve">Young, I. M. </w:t>
      </w:r>
      <w:r>
        <w:rPr>
          <w:i/>
          <w:iCs/>
          <w:sz w:val="24"/>
          <w:szCs w:val="24"/>
          <w:lang w:val="en-US"/>
        </w:rPr>
        <w:t>Responsibility for Justice</w:t>
      </w:r>
      <w:r>
        <w:rPr>
          <w:sz w:val="24"/>
          <w:szCs w:val="24"/>
          <w:lang w:val="en-US"/>
        </w:rPr>
        <w:t>. Oxford: Oxford University Press, 2011.</w:t>
      </w:r>
    </w:p>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A7F15443">
    <w:pPr>
      <w:pStyle w:val="style31"/>
      <w:jc w:val="right"/>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6B2A8C8">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31">
    <w:name w:val="header"/>
    <w:basedOn w:val="style0"/>
    <w:next w:val="style31"/>
    <w:link w:val="style4097"/>
    <w:uiPriority w:val="99"/>
    <w:pPr>
      <w:tabs>
        <w:tab w:val="center" w:leader="none" w:pos="4320"/>
        <w:tab w:val="right" w:leader="none" w:pos="8640"/>
      </w:tabs>
      <w:spacing w:after="0" w:lineRule="auto" w:line="240"/>
    </w:pPr>
    <w:rPr/>
  </w:style>
  <w:style w:type="character" w:customStyle="1" w:styleId="style4097">
    <w:name w:val="Header Char_16e41e02-5982-408e-b78e-5a9dfa4f71db"/>
    <w:basedOn w:val="style65"/>
    <w:next w:val="style4097"/>
    <w:link w:val="style3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3249</Words>
  <Characters>18228</Characters>
  <Application>WPS Office</Application>
  <Paragraphs>64</Paragraphs>
  <CharactersWithSpaces>21421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2026-03-28T13:38:24Z</dcterms:created>
  <dc:creator>Infinix X6716B</dc:creator>
  <lastModifiedBy>TECNO CM6</lastModifiedBy>
  <dcterms:modified xsi:type="dcterms:W3CDTF">2026-06-10T08:33:22Z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01d176741f7a42eea0e43e7919df8a84_23</vt:lpwstr>
  </property>
</Properties>
</file>