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ACFB6">
      <w:pPr>
        <w:jc w:val="center"/>
        <w:rPr>
          <w:rFonts w:hint="default" w:ascii="Times New Roman" w:hAnsi="Times New Roman" w:cs="Times New Roman"/>
          <w:b/>
          <w:bCs/>
          <w:sz w:val="36"/>
          <w:szCs w:val="36"/>
        </w:rPr>
      </w:pPr>
      <w:r>
        <w:rPr>
          <w:rFonts w:hint="default" w:ascii="Times New Roman" w:hAnsi="Times New Roman" w:cs="Times New Roman"/>
          <w:b/>
          <w:bCs/>
          <w:sz w:val="36"/>
          <w:szCs w:val="36"/>
        </w:rPr>
        <w:t>Determinants of Modern Family Planning Commodity Distribution in Public Health Facilities in Imo State, Nigeria: A Cross-Sectional Analytical Study</w:t>
      </w:r>
    </w:p>
    <w:p w14:paraId="0DAF0AC2">
      <w:pPr>
        <w:rPr>
          <w:rFonts w:hint="default" w:ascii="Times New Roman" w:hAnsi="Times New Roman" w:cs="Times New Roman"/>
          <w:sz w:val="24"/>
          <w:szCs w:val="24"/>
        </w:rPr>
      </w:pPr>
    </w:p>
    <w:p w14:paraId="462BE51C">
      <w:pPr>
        <w:pStyle w:val="3"/>
        <w:keepNext w:val="0"/>
        <w:keepLines w:val="0"/>
        <w:widowControl/>
        <w:suppressLineNumbers w:val="0"/>
        <w:jc w:val="center"/>
        <w:rPr>
          <w:rFonts w:hint="default" w:ascii="Times New Roman" w:hAnsi="Times New Roman" w:cs="Times New Roman"/>
          <w:i w:val="0"/>
          <w:iCs w:val="0"/>
          <w:sz w:val="24"/>
          <w:szCs w:val="24"/>
          <w:vertAlign w:val="baseline"/>
          <w:lang w:val="en-US"/>
        </w:rPr>
      </w:pPr>
      <w:r>
        <w:rPr>
          <w:rFonts w:hint="default" w:ascii="Times New Roman" w:hAnsi="Times New Roman" w:cs="Times New Roman"/>
          <w:sz w:val="24"/>
          <w:szCs w:val="24"/>
          <w:lang w:val="en-US"/>
        </w:rPr>
        <w:t>Darlington Chukwudinma Obi</w:t>
      </w:r>
      <w:r>
        <w:rPr>
          <w:rFonts w:hint="default" w:ascii="Times New Roman" w:hAnsi="Times New Roman" w:cs="Times New Roman"/>
          <w:sz w:val="24"/>
          <w:szCs w:val="24"/>
          <w:vertAlign w:val="superscript"/>
          <w:lang w:val="en-US"/>
        </w:rPr>
        <w:t>1</w:t>
      </w:r>
      <w:r>
        <w:rPr>
          <w:rFonts w:hint="default" w:ascii="Times New Roman" w:hAnsi="Times New Roman" w:cs="Times New Roman"/>
          <w:sz w:val="24"/>
          <w:szCs w:val="24"/>
          <w:vertAlign w:val="baseline"/>
          <w:lang w:val="en-US"/>
        </w:rPr>
        <w:t>, Patrick Emeka Iroegbu</w:t>
      </w:r>
      <w:r>
        <w:rPr>
          <w:rFonts w:hint="default" w:ascii="Times New Roman" w:hAnsi="Times New Roman" w:cs="Times New Roman"/>
          <w:sz w:val="24"/>
          <w:szCs w:val="24"/>
          <w:vertAlign w:val="superscript"/>
          <w:lang w:val="en-US"/>
        </w:rPr>
        <w:t>1</w:t>
      </w:r>
      <w:r>
        <w:rPr>
          <w:rFonts w:hint="default" w:ascii="Times New Roman" w:hAnsi="Times New Roman" w:cs="Times New Roman"/>
          <w:sz w:val="24"/>
          <w:szCs w:val="24"/>
          <w:vertAlign w:val="baseline"/>
          <w:lang w:val="en-US"/>
        </w:rPr>
        <w:t>, Echendu Dolly Adinma</w:t>
      </w:r>
      <w:r>
        <w:rPr>
          <w:rFonts w:hint="default" w:ascii="Times New Roman" w:hAnsi="Times New Roman" w:cs="Times New Roman"/>
          <w:sz w:val="24"/>
          <w:szCs w:val="24"/>
          <w:vertAlign w:val="superscript"/>
          <w:lang w:val="en-US"/>
        </w:rPr>
        <w:t>1</w:t>
      </w:r>
      <w:r>
        <w:rPr>
          <w:rFonts w:hint="default" w:ascii="Times New Roman" w:hAnsi="Times New Roman" w:cs="Times New Roman"/>
          <w:sz w:val="24"/>
          <w:szCs w:val="24"/>
          <w:vertAlign w:val="baseline"/>
          <w:lang w:val="en-US"/>
        </w:rPr>
        <w:t>, Chinelo Cynthia Nduka</w:t>
      </w:r>
      <w:r>
        <w:rPr>
          <w:rFonts w:hint="default" w:ascii="Times New Roman" w:hAnsi="Times New Roman" w:cs="Times New Roman"/>
          <w:i w:val="0"/>
          <w:iCs w:val="0"/>
          <w:sz w:val="24"/>
          <w:szCs w:val="24"/>
          <w:vertAlign w:val="superscript"/>
          <w:lang w:val="en-US"/>
        </w:rPr>
        <w:t>2*</w:t>
      </w:r>
      <w:r>
        <w:rPr>
          <w:rFonts w:hint="default" w:ascii="Times New Roman" w:hAnsi="Times New Roman" w:cs="Times New Roman"/>
          <w:i w:val="0"/>
          <w:iCs w:val="0"/>
          <w:sz w:val="24"/>
          <w:szCs w:val="24"/>
          <w:vertAlign w:val="baseline"/>
          <w:lang w:val="en-US"/>
        </w:rPr>
        <w:t>.</w:t>
      </w:r>
    </w:p>
    <w:p w14:paraId="38DB1E5C">
      <w:pPr>
        <w:pStyle w:val="3"/>
        <w:keepNext w:val="0"/>
        <w:keepLines w:val="0"/>
        <w:widowControl/>
        <w:suppressLineNumbers w:val="0"/>
        <w:jc w:val="center"/>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lang w:val="en-US"/>
        </w:rPr>
        <w:t>1</w:t>
      </w:r>
      <w:r>
        <w:rPr>
          <w:rFonts w:hint="default" w:ascii="Times New Roman" w:hAnsi="Times New Roman" w:cs="Times New Roman"/>
          <w:sz w:val="24"/>
          <w:szCs w:val="24"/>
          <w:lang w:val="en-US"/>
        </w:rPr>
        <w:t>Department of Community Medicine, Faculty of Medicine, Nnamdi Azikiwe University, Nnewi Campus.</w:t>
      </w:r>
    </w:p>
    <w:p w14:paraId="47ED61A0">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vertAlign w:val="superscript"/>
          <w:lang w:val="en-US"/>
        </w:rPr>
        <w:t>2</w:t>
      </w:r>
      <w:r>
        <w:rPr>
          <w:rFonts w:hint="default" w:ascii="Times New Roman" w:hAnsi="Times New Roman" w:cs="Times New Roman"/>
          <w:b/>
          <w:bCs/>
          <w:sz w:val="24"/>
          <w:szCs w:val="24"/>
          <w:lang w:val="en-US"/>
        </w:rPr>
        <w:t>Department of Community Medicine, Nnamdi Azikiwe University Teaching Hospital, Nnewi.</w:t>
      </w:r>
    </w:p>
    <w:p w14:paraId="68D8418B">
      <w:pPr>
        <w:jc w:val="center"/>
        <w:rPr>
          <w:rFonts w:hint="default" w:ascii="Times New Roman" w:hAnsi="Times New Roman" w:cs="Times New Roman"/>
          <w:b/>
          <w:bCs/>
          <w:sz w:val="24"/>
          <w:szCs w:val="24"/>
          <w:lang w:val="en-US"/>
        </w:rPr>
      </w:pPr>
    </w:p>
    <w:p w14:paraId="5A1FE651">
      <w:pPr>
        <w:jc w:val="center"/>
        <w:rPr>
          <w:rFonts w:hint="default" w:ascii="Times New Roman" w:hAnsi="Times New Roman" w:cs="Times New Roman"/>
          <w:b/>
          <w:bCs/>
          <w:sz w:val="24"/>
          <w:szCs w:val="24"/>
          <w:lang w:val="en-US"/>
        </w:rPr>
      </w:pPr>
    </w:p>
    <w:p w14:paraId="4DFEE883">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Corresonding author: Chinelo Cynthia Nduka, nwokeabiachinelo@yahoo.com</w:t>
      </w:r>
    </w:p>
    <w:p w14:paraId="44713848">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Abstract</w:t>
      </w:r>
    </w:p>
    <w:p w14:paraId="0D79FA71">
      <w:pPr>
        <w:pStyle w:val="10"/>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sz w:val="24"/>
          <w:szCs w:val="24"/>
        </w:rPr>
        <w:t>Background:</w:t>
      </w:r>
      <w:r>
        <w:rPr>
          <w:rFonts w:hint="default" w:ascii="Times New Roman" w:hAnsi="Times New Roman" w:cs="Times New Roman"/>
          <w:sz w:val="24"/>
          <w:szCs w:val="24"/>
        </w:rPr>
        <w:br w:type="textWrapping"/>
      </w:r>
      <w:r>
        <w:rPr>
          <w:rFonts w:hint="default" w:ascii="Times New Roman" w:hAnsi="Times New Roman" w:cs="Times New Roman"/>
          <w:sz w:val="24"/>
          <w:szCs w:val="24"/>
        </w:rPr>
        <w:t>Effective distribution of modern family planning commodities is essential for improving contraceptive access and advancing reproductive health outcomes. Despite policy commitments to increase contraceptive prevalence in Nigeria, distribution inefficiencies persist, particularly at subnational levels. This study assessed the influence of quality of management decisions (QOD), facility operational practices (FOP), and distribution constraints (DC) on the performance of modern family planning commodity distribution in public health facilities in Imo State, Nigeria.</w:t>
      </w:r>
    </w:p>
    <w:p w14:paraId="7DACB087">
      <w:pPr>
        <w:pStyle w:val="10"/>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sz w:val="24"/>
          <w:szCs w:val="24"/>
        </w:rPr>
        <w:t>Methods:</w:t>
      </w:r>
      <w:r>
        <w:rPr>
          <w:rFonts w:hint="default" w:ascii="Times New Roman" w:hAnsi="Times New Roman" w:cs="Times New Roman"/>
          <w:sz w:val="24"/>
          <w:szCs w:val="24"/>
        </w:rPr>
        <w:br w:type="textWrapping"/>
      </w:r>
      <w:r>
        <w:rPr>
          <w:rFonts w:hint="default" w:ascii="Times New Roman" w:hAnsi="Times New Roman" w:cs="Times New Roman"/>
          <w:sz w:val="24"/>
          <w:szCs w:val="24"/>
        </w:rPr>
        <w:t>A facility-based cross-sectional analytical study was conducted among 130 family planning service providers across 70 public health facilities in the 27 Local Government Areas of Imo State, selected using a multistage sampling technique. Data were collected using a pre-tested, semi-structured interviewer-administered questionnaire. Key management decision domains included procurement (P), product selection (PS), product range (PR), and cost-burden responsibility (CBR). Data were analyzed using Multiple Regression and Correlation Analysis (MRCA). Associations between categorical variables were tested using Chi-square at 5% significance level.</w:t>
      </w:r>
    </w:p>
    <w:p w14:paraId="270A4894">
      <w:pPr>
        <w:pStyle w:val="10"/>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sz w:val="24"/>
          <w:szCs w:val="24"/>
        </w:rPr>
        <w:t>Results:</w:t>
      </w:r>
      <w:r>
        <w:rPr>
          <w:rFonts w:hint="default" w:ascii="Times New Roman" w:hAnsi="Times New Roman" w:cs="Times New Roman"/>
          <w:sz w:val="24"/>
          <w:szCs w:val="24"/>
        </w:rPr>
        <w:br w:type="textWrapping"/>
      </w:r>
      <w:r>
        <w:rPr>
          <w:rFonts w:hint="default" w:ascii="Times New Roman" w:hAnsi="Times New Roman" w:cs="Times New Roman"/>
          <w:sz w:val="24"/>
          <w:szCs w:val="24"/>
        </w:rPr>
        <w:t>The quality of management decisions on procurement, product range, and cost-burden responsibility demonstrated significant linear influence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both individually and collectively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on family planning commodity distribution performance (p &lt; 0.05). Facility operational practices were suboptimal: limited brand utilization (23.7%), high stock expiry rates (63%), low personnel productivity (&lt;2 hours/day dedicated to FP services), low client service coverage (&lt;30%), prescription compliance index of 0.68, and high product delivery time and cost. Distribution constraints exerted a significant negative effect on commodity distribution performance (p &lt; 0.05).</w:t>
      </w:r>
    </w:p>
    <w:p w14:paraId="474B8F52">
      <w:pPr>
        <w:pStyle w:val="10"/>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sz w:val="24"/>
          <w:szCs w:val="24"/>
        </w:rPr>
        <w:t>Conclusion:</w:t>
      </w:r>
      <w:r>
        <w:rPr>
          <w:rFonts w:hint="default" w:ascii="Times New Roman" w:hAnsi="Times New Roman" w:cs="Times New Roman"/>
          <w:sz w:val="24"/>
          <w:szCs w:val="24"/>
        </w:rPr>
        <w:br w:type="textWrapping"/>
      </w:r>
      <w:r>
        <w:rPr>
          <w:rFonts w:hint="default" w:ascii="Times New Roman" w:hAnsi="Times New Roman" w:cs="Times New Roman"/>
          <w:sz w:val="24"/>
          <w:szCs w:val="24"/>
        </w:rPr>
        <w:t>Distribution performance of modern family planning commodities in Imo State is significantly influenced by the quality of policy and management decisions, efficiency of facility-level operational practices, and prevailing systemic constraints. Strengthening evidence-based procurement planning, optimizing product range decisions, clarifying cost-burden responsibilities, improving facility productivity, and addressing distribution bottlenecks are critical for enhancing contraceptive security and reproductive health outcomes.</w:t>
      </w:r>
    </w:p>
    <w:p w14:paraId="5B300F03">
      <w:pPr>
        <w:pStyle w:val="10"/>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sz w:val="24"/>
          <w:szCs w:val="24"/>
        </w:rPr>
        <w:t>Keywords:</w:t>
      </w:r>
      <w:r>
        <w:rPr>
          <w:rFonts w:hint="default" w:ascii="Times New Roman" w:hAnsi="Times New Roman" w:cs="Times New Roman"/>
          <w:sz w:val="24"/>
          <w:szCs w:val="24"/>
        </w:rPr>
        <w:t xml:space="preserve"> Modern family planning commodities; distribution performance; procurement; facility operational practices; contraceptive security; Nigeria.</w:t>
      </w:r>
    </w:p>
    <w:p w14:paraId="659D4C8F">
      <w:pPr>
        <w:rPr>
          <w:rFonts w:hint="default" w:ascii="Times New Roman" w:hAnsi="Times New Roman" w:cs="Times New Roman"/>
          <w:sz w:val="24"/>
          <w:szCs w:val="24"/>
        </w:rPr>
      </w:pPr>
    </w:p>
    <w:p w14:paraId="1FC9111C">
      <w:pPr>
        <w:rPr>
          <w:rFonts w:hint="default" w:ascii="Times New Roman" w:hAnsi="Times New Roman" w:cs="Times New Roman"/>
          <w:sz w:val="24"/>
          <w:szCs w:val="24"/>
        </w:rPr>
      </w:pPr>
    </w:p>
    <w:p w14:paraId="19C69465">
      <w:pPr>
        <w:rPr>
          <w:rFonts w:hint="default" w:ascii="Times New Roman" w:hAnsi="Times New Roman" w:cs="Times New Roman"/>
          <w:sz w:val="24"/>
          <w:szCs w:val="24"/>
        </w:rPr>
      </w:pPr>
    </w:p>
    <w:p w14:paraId="5D7FFE8D">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8"/>
          <w:szCs w:val="28"/>
        </w:rPr>
        <w:t>1. Introduction</w:t>
      </w:r>
    </w:p>
    <w:p w14:paraId="5CF75957">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Access to modern family planning (FP) commodities is a cornerstone of reproductive health, maternal survival, and socioeconomic development. Contraceptive use reduces unintended pregnancies, unsafe abortions, and short birth intervals associated with adverse maternal and neonatal outcomes (Rutstein, 2008; Singh &amp; Darroch, 2012). Globally, investments in contraceptive services yield substantial health and economic returns, making commodity security a critical public health priority (Darroch et al., 2011; UNFPA, 2011).</w:t>
      </w:r>
    </w:p>
    <w:p w14:paraId="7DEC1BEA">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Despite progress in many low- and middle-income countries (LMICs), sub-Saharan Africa continues to experience comparatively low contraceptive prevalence and high unmet need (UNFPA, 2012). Nigeria, the most populous country in Africa (Worldometer, 2021), faces persistent reproductive health challenges characterized by high fertility rates and uneven contraceptive uptake (National Population Commission [NPC], 2008; NPC, 2010). National demographic data indicate modest improvements in contraceptive use over time, yet utilization remains below global and regional targets (Atoyebi et al., 2025; Duru et al., 2018). These gaps underscore systemic weaknesses in both demand-generation and supply chain performance.</w:t>
      </w:r>
    </w:p>
    <w:p w14:paraId="28931AF6">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Family planning commodity security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defined as the consistent availability of quality contraceptive products to meet client needs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depends on effective forecasting, procurement, warehousing, distribution, and service delivery systems (UNFPA, 2012; USAID/DELIVER PROJECT, 2011a). Weaknesses in selection, quantification, and inventory control within Nigeria’s public health sector have been previously documented (Auta &amp; Banwat, 2011). Similarly, assessments of Nigeria’s contraceptive logistics management system identified forecasting inaccuracies, transportation inefficiencies, and fragmented distribution structures as key constraints to commodity availability (Kolapo et al., 2007; USAID/DELIVER PROJECT, 2011b).</w:t>
      </w:r>
    </w:p>
    <w:p w14:paraId="71C44CFD">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Beyond technical supply chain components, management decision quality plays a critical role in shaping distribution outcomes. Decisions regarding procurement timing, product selection, method mix (product range), and cost-burden responsibility influence both supply stability and accessibility. Global longitudinal analyses demonstrate that national policies supporting broader contraceptive method mix are positively associated with improvements in contraceptive prevalence (Cohen et al., 2024). Conversely, narrow product range or poor alignment between supply and user preferences may suppress uptake even when commodities are physically available (Singh &amp; Darroch, 2012).</w:t>
      </w:r>
    </w:p>
    <w:p w14:paraId="65F8A533">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Financing sustainability remains another structural determinant of commodity distribution. Nigeria’s FP commodity procurement has historically relied on donor funding, raising concerns about long-term sustainability (Adewoyin, 2021). Recent analyses highlight weak subnational commitment and inconsistent domestic allocations as ongoing barriers to achieving FP2030 goals (Schmidt et al., 2025; Nigeria Health Watch, 2025). Fragmented cost-sharing responsibilities across federal, state, and local government levels may delay procurement cycles and compromise distribution continuity (The African Network for Strategic Communication on Health and Development, 2013).</w:t>
      </w:r>
    </w:p>
    <w:p w14:paraId="4F971B81">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Operational efficiency at the facility level further mediates distribution effectiveness. Evidence shows that commodity availability alone does not guarantee service utilization; provider productivity, counseling quality, inventory management, and prescription compliance are critical determinants of client uptake (Assaf et al., 2015; Acre et al., 2022). In Nigeria, variations in service delivery modalities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facility-based versus community-based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have demonstrated differential impacts on contraceptive utilization (Osaro et al., 2018). Provider bias and inadequate counseling can also constrain method choice, limiting effective use of available commodities (Solo &amp; Festin, 2019).</w:t>
      </w:r>
    </w:p>
    <w:p w14:paraId="657F345D">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Logistical and infrastructural constraints compound these challenges. Transportation inefficiencies and high distribution costs have been documented as major impediments to contraceptive commodity flow in Nigeria (O’Hearn &amp; Healy, 2003). Broader logistics literature affirms that warehouse management practices, capacity utilization, and distribution coordination directly affect supply chain performance (Rushton &amp; Oxley, 1991; Disabantino, 2025). Where these systems are weak, stock expiries and service interruptions become more frequent.</w:t>
      </w:r>
    </w:p>
    <w:p w14:paraId="65BCC0B9">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Imo State, located in southeastern Nigeria, operates within a decentralized public health framework that places significant responsibility for service delivery at the local government level (Survey, 2009). Although prior studies have examined contraceptive utilization patterns and socio-demographic determinants within the state (Duru et al., 2018; Azubuike, 2023), empirical evidence examining the performance of FP commodity distribution systems and the influence of management decisions remains limited.</w:t>
      </w:r>
    </w:p>
    <w:p w14:paraId="30499CEF">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While earlier research in Nigeria has explored barriers to contraceptive distribution (Abdul-Azeez et al., 2009) and the role of alternative delivery channels such as patent medicine vendors (Hadiza Alhamdu et al., 2011; Corroon et al., 2016; Akila et al., 2024), few studies have quantitatively modeled the combined effects of procurement decision quality, method mix, financing responsibility, facility operational practices, and distribution constraints on commodity distribution performance at subnational level.</w:t>
      </w:r>
    </w:p>
    <w:p w14:paraId="46A96B42">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Given Nigeria’s renewed commitments under FP2030 and growing emphasis on domestic resource mobilization (Justin Ngong, 2024; Schmidt et al., 2025), understanding how management and operational determinants interact to influence distribution outcomes is essential. Without strengthening the decision architecture underpinning supply systems, improvements in contraceptive access may remain constrained.</w:t>
      </w:r>
    </w:p>
    <w:p w14:paraId="2EF6CA78">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This study therefore assesses the effect of key management decisions</w:t>
      </w:r>
      <w:r>
        <w:rPr>
          <w:rFonts w:hint="default" w:ascii="Times New Roman" w:hAnsi="Times New Roman" w:cs="Times New Roman"/>
          <w:sz w:val="24"/>
          <w:szCs w:val="24"/>
          <w:lang w:val="en-US"/>
        </w:rPr>
        <w:t xml:space="preserve"> such as </w:t>
      </w:r>
      <w:r>
        <w:rPr>
          <w:rFonts w:hint="default" w:ascii="Times New Roman" w:hAnsi="Times New Roman" w:cs="Times New Roman"/>
          <w:sz w:val="24"/>
          <w:szCs w:val="24"/>
        </w:rPr>
        <w:t>procurement, product selection, product range, and cost-burden responsibility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on modern family planning commodity distribution in public health facilities in Imo State. It further evaluates facility operational practices and distribution constraints influencing performance. By applying multivariate analytical modeling within a cross-sectional framework (Bangdiwala, 2019; Onwasigwe, 2010), the study contributes empirical evidence to inform policy refinement, strengthen subnational supply chain governance, and enhance contraceptive security in Nigeria.</w:t>
      </w:r>
    </w:p>
    <w:p w14:paraId="7B715CBB">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2. </w:t>
      </w:r>
      <w:r>
        <w:rPr>
          <w:rFonts w:hint="default" w:ascii="Times New Roman" w:hAnsi="Times New Roman" w:cs="Times New Roman"/>
          <w:sz w:val="28"/>
          <w:szCs w:val="28"/>
        </w:rPr>
        <w:t>Methods</w:t>
      </w:r>
    </w:p>
    <w:p w14:paraId="48C8C807">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2.1 Study Design</w:t>
      </w:r>
    </w:p>
    <w:p w14:paraId="1D9470F4">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This study employed a </w:t>
      </w:r>
      <w:r>
        <w:rPr>
          <w:rStyle w:val="11"/>
          <w:rFonts w:hint="default" w:ascii="Times New Roman" w:hAnsi="Times New Roman" w:cs="Times New Roman"/>
          <w:b w:val="0"/>
          <w:bCs w:val="0"/>
          <w:sz w:val="24"/>
          <w:szCs w:val="24"/>
        </w:rPr>
        <w:t>facility-based cross-sectional analytical design</w:t>
      </w:r>
      <w:r>
        <w:rPr>
          <w:rFonts w:hint="default" w:ascii="Times New Roman" w:hAnsi="Times New Roman" w:cs="Times New Roman"/>
          <w:sz w:val="24"/>
          <w:szCs w:val="24"/>
        </w:rPr>
        <w:t xml:space="preserve"> to assess the influence of management decision quality, facility operational practices, and distribution constraints on modern family planning commodity distribution in public health facilities in Imo State, Nigeria. The design enabled quantitative evaluation of associations between independent decision variables and distribution performance outcomes at a single point in time.</w:t>
      </w:r>
    </w:p>
    <w:p w14:paraId="62690481">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2.2 Study Area</w:t>
      </w:r>
    </w:p>
    <w:p w14:paraId="26C71885">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study was conducted in Imo State, located in South-East Nigeria. The state comprises 27 Local Government Areas (LGAs) and operates a decentralized public health system consisting of primary and secondary public health facilities under the oversight of the State Ministry of Health and Local Government Health Authorities. Public health facilities serve as major distribution points for modern family planning commodities, particularly at the primary healthcare level.</w:t>
      </w:r>
    </w:p>
    <w:p w14:paraId="1AAAEF97">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2.3 Study Population</w:t>
      </w:r>
    </w:p>
    <w:p w14:paraId="732D3958">
      <w:pPr>
        <w:pStyle w:val="10"/>
        <w:keepNext w:val="0"/>
        <w:keepLines w:val="0"/>
        <w:widowControl/>
        <w:suppressLineNumbers w:val="0"/>
        <w:rPr>
          <w:rFonts w:hint="default" w:ascii="Times New Roman" w:hAnsi="Times New Roman" w:cs="Times New Roman"/>
          <w:sz w:val="24"/>
          <w:szCs w:val="24"/>
          <w:lang w:val="en-US"/>
        </w:rPr>
      </w:pPr>
      <w:r>
        <w:rPr>
          <w:rFonts w:hint="default" w:ascii="Times New Roman" w:hAnsi="Times New Roman" w:cs="Times New Roman"/>
          <w:sz w:val="24"/>
          <w:szCs w:val="24"/>
        </w:rPr>
        <w:t>The study population consisted of family planning (FP) service providers working in public health facilities across the 27 LGAs of Imo State. Eligible participants included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Nurses and midwives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Community Health Officers (CHOs)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Community Health Extension Workers (CHEWs)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Pharmacists and pharmacy technicians involved in FP commodity management</w:t>
      </w:r>
      <w:r>
        <w:rPr>
          <w:rFonts w:hint="default" w:ascii="Times New Roman" w:hAnsi="Times New Roman" w:cs="Times New Roman"/>
          <w:sz w:val="24"/>
          <w:szCs w:val="24"/>
          <w:lang w:val="en-US"/>
        </w:rPr>
        <w:t>.</w:t>
      </w:r>
    </w:p>
    <w:p w14:paraId="27D92AD1">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Participants were required to have been directly involved in family planning service delivery or commodity handling for at least six months prior to the study.</w:t>
      </w:r>
    </w:p>
    <w:p w14:paraId="2DD7647E">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2.4 Sample Size Determination</w:t>
      </w:r>
    </w:p>
    <w:p w14:paraId="3E3EC2BD">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A total of </w:t>
      </w:r>
      <w:r>
        <w:rPr>
          <w:rStyle w:val="11"/>
          <w:rFonts w:hint="default" w:ascii="Times New Roman" w:hAnsi="Times New Roman" w:cs="Times New Roman"/>
          <w:b w:val="0"/>
          <w:bCs w:val="0"/>
          <w:sz w:val="24"/>
          <w:szCs w:val="24"/>
        </w:rPr>
        <w:t>130 family planning service providers</w:t>
      </w:r>
      <w:r>
        <w:rPr>
          <w:rFonts w:hint="default" w:ascii="Times New Roman" w:hAnsi="Times New Roman" w:cs="Times New Roman"/>
          <w:b w:val="0"/>
          <w:bCs w:val="0"/>
          <w:sz w:val="24"/>
          <w:szCs w:val="24"/>
        </w:rPr>
        <w:t xml:space="preserve"> were included in the study across </w:t>
      </w:r>
      <w:r>
        <w:rPr>
          <w:rStyle w:val="11"/>
          <w:rFonts w:hint="default" w:ascii="Times New Roman" w:hAnsi="Times New Roman" w:cs="Times New Roman"/>
          <w:b w:val="0"/>
          <w:bCs w:val="0"/>
          <w:sz w:val="24"/>
          <w:szCs w:val="24"/>
        </w:rPr>
        <w:t>70 public health facilities</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Sample size adequacy was determined to provide sufficient power for multivariate regression modeling, following the rule of thumb for multiple regression requiring a minimum of 10–15 observations per predictor variable to ensure statistical stability.</w:t>
      </w:r>
    </w:p>
    <w:p w14:paraId="240D9066">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2.5 Sampling Technique</w:t>
      </w:r>
    </w:p>
    <w:p w14:paraId="52CFF013">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Style w:val="11"/>
          <w:rFonts w:hint="default" w:ascii="Times New Roman" w:hAnsi="Times New Roman" w:cs="Times New Roman"/>
          <w:b w:val="0"/>
          <w:bCs w:val="0"/>
          <w:sz w:val="24"/>
          <w:szCs w:val="24"/>
        </w:rPr>
        <w:t>multistage sampling technique</w:t>
      </w:r>
      <w:r>
        <w:rPr>
          <w:rFonts w:hint="default" w:ascii="Times New Roman" w:hAnsi="Times New Roman" w:cs="Times New Roman"/>
          <w:b w:val="0"/>
          <w:bCs w:val="0"/>
          <w:sz w:val="24"/>
          <w:szCs w:val="24"/>
        </w:rPr>
        <w:t xml:space="preserve"> w</w:t>
      </w:r>
      <w:r>
        <w:rPr>
          <w:rFonts w:hint="default" w:ascii="Times New Roman" w:hAnsi="Times New Roman" w:cs="Times New Roman"/>
          <w:sz w:val="24"/>
          <w:szCs w:val="24"/>
        </w:rPr>
        <w:t>as employed:</w:t>
      </w:r>
    </w:p>
    <w:p w14:paraId="04B905D8">
      <w:pPr>
        <w:pStyle w:val="10"/>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val="0"/>
          <w:bCs w:val="0"/>
          <w:sz w:val="24"/>
          <w:szCs w:val="24"/>
        </w:rPr>
        <w:t>Stage 1 – LGA Inclusion:</w:t>
      </w:r>
      <w:r>
        <w:rPr>
          <w:rStyle w:val="11"/>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All 27 LGAs in Imo State were included to ensure statewide representation.</w:t>
      </w:r>
    </w:p>
    <w:p w14:paraId="17FCB551">
      <w:pPr>
        <w:pStyle w:val="10"/>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val="0"/>
          <w:bCs w:val="0"/>
          <w:sz w:val="24"/>
          <w:szCs w:val="24"/>
        </w:rPr>
        <w:t>Stage 2 – Facility Selection:</w:t>
      </w:r>
      <w:r>
        <w:rPr>
          <w:rStyle w:val="11"/>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rPr>
        <w:t>Public health facilities offering family planning services were listed within each LGA. Facilities were proportionately selected using simple random sampling to ensure equitable representation across LGAs.</w:t>
      </w:r>
    </w:p>
    <w:p w14:paraId="34384A81">
      <w:pPr>
        <w:pStyle w:val="10"/>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val="0"/>
          <w:bCs w:val="0"/>
          <w:sz w:val="24"/>
          <w:szCs w:val="24"/>
        </w:rPr>
        <w:t>Stage 3 – Respondent Selection:</w:t>
      </w:r>
      <w:r>
        <w:rPr>
          <w:rStyle w:val="11"/>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rPr>
        <w:t>Within selected facilities, eligible FP service providers were identified. Where more than one eligible provider was available, simple random sampling was applied to select participants.</w:t>
      </w:r>
    </w:p>
    <w:p w14:paraId="4F5659F3">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2.6 Data Collection Instrument</w:t>
      </w:r>
    </w:p>
    <w:p w14:paraId="50C12888">
      <w:pPr>
        <w:pStyle w:val="10"/>
        <w:keepNext w:val="0"/>
        <w:keepLines w:val="0"/>
        <w:widowControl/>
        <w:suppressLineNumbers w:val="0"/>
        <w:rPr>
          <w:rFonts w:hint="default" w:ascii="Times New Roman" w:hAnsi="Times New Roman" w:cs="Times New Roman"/>
          <w:b w:val="0"/>
          <w:bCs w:val="0"/>
          <w:sz w:val="24"/>
          <w:szCs w:val="24"/>
          <w:lang w:val="en-US"/>
        </w:rPr>
      </w:pPr>
      <w:r>
        <w:rPr>
          <w:rFonts w:hint="default" w:ascii="Times New Roman" w:hAnsi="Times New Roman" w:cs="Times New Roman"/>
          <w:sz w:val="24"/>
          <w:szCs w:val="24"/>
        </w:rPr>
        <w:t xml:space="preserve">Data were collected using a </w:t>
      </w:r>
      <w:r>
        <w:rPr>
          <w:rStyle w:val="11"/>
          <w:rFonts w:hint="default" w:ascii="Times New Roman" w:hAnsi="Times New Roman" w:cs="Times New Roman"/>
          <w:b w:val="0"/>
          <w:bCs w:val="0"/>
          <w:sz w:val="24"/>
          <w:szCs w:val="24"/>
        </w:rPr>
        <w:t>pre-tested, semi-structured, interviewer-administered questionnaire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developed specifically for this study.</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rPr>
        <w:t>The instrument comprised five sections:</w:t>
      </w:r>
      <w:r>
        <w:rPr>
          <w:rFonts w:hint="default" w:ascii="Times New Roman" w:hAnsi="Times New Roman" w:cs="Times New Roman"/>
          <w:b w:val="0"/>
          <w:bCs w:val="0"/>
          <w:sz w:val="24"/>
          <w:szCs w:val="24"/>
          <w:lang w:val="en-US"/>
        </w:rPr>
        <w:t xml:space="preserve"> </w:t>
      </w:r>
      <w:r>
        <w:rPr>
          <w:rStyle w:val="11"/>
          <w:rFonts w:hint="default" w:ascii="Times New Roman" w:hAnsi="Times New Roman" w:cs="Times New Roman"/>
          <w:b w:val="0"/>
          <w:bCs w:val="0"/>
          <w:sz w:val="24"/>
          <w:szCs w:val="24"/>
        </w:rPr>
        <w:t>Socio-demographic characteristics</w:t>
      </w:r>
      <w:r>
        <w:rPr>
          <w:rStyle w:val="11"/>
          <w:rFonts w:hint="default" w:ascii="Times New Roman" w:hAnsi="Times New Roman" w:cs="Times New Roman"/>
          <w:b w:val="0"/>
          <w:bCs w:val="0"/>
          <w:sz w:val="24"/>
          <w:szCs w:val="24"/>
          <w:lang w:val="en-US"/>
        </w:rPr>
        <w:t xml:space="preserve">; </w:t>
      </w:r>
      <w:r>
        <w:rPr>
          <w:rStyle w:val="11"/>
          <w:rFonts w:hint="default" w:ascii="Times New Roman" w:hAnsi="Times New Roman" w:cs="Times New Roman"/>
          <w:b w:val="0"/>
          <w:bCs w:val="0"/>
          <w:sz w:val="24"/>
          <w:szCs w:val="24"/>
        </w:rPr>
        <w:t>Key Management Decisions (KMD) domains</w:t>
      </w:r>
      <w:r>
        <w:rPr>
          <w:rStyle w:val="11"/>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Procurement (P)</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Product Selection (PS)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Product Range (PR)</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Cost-Burden Responsibility (CBR)</w:t>
      </w:r>
      <w:r>
        <w:rPr>
          <w:rFonts w:hint="default" w:ascii="Times New Roman" w:hAnsi="Times New Roman" w:cs="Times New Roman"/>
          <w:b w:val="0"/>
          <w:bCs w:val="0"/>
          <w:sz w:val="24"/>
          <w:szCs w:val="24"/>
          <w:lang w:val="en-US"/>
        </w:rPr>
        <w:t xml:space="preserve">]; </w:t>
      </w:r>
      <w:r>
        <w:rPr>
          <w:rStyle w:val="11"/>
          <w:rFonts w:hint="default" w:ascii="Times New Roman" w:hAnsi="Times New Roman" w:cs="Times New Roman"/>
          <w:b w:val="0"/>
          <w:bCs w:val="0"/>
          <w:sz w:val="24"/>
          <w:szCs w:val="24"/>
        </w:rPr>
        <w:t>Facility Operational Practices (FOP)</w:t>
      </w:r>
      <w:r>
        <w:rPr>
          <w:rStyle w:val="11"/>
          <w:rFonts w:hint="default" w:ascii="Times New Roman" w:hAnsi="Times New Roman" w:cs="Times New Roman"/>
          <w:b w:val="0"/>
          <w:bCs w:val="0"/>
          <w:sz w:val="24"/>
          <w:szCs w:val="24"/>
          <w:lang w:val="en-US"/>
        </w:rPr>
        <w:t xml:space="preserve">; </w:t>
      </w:r>
      <w:r>
        <w:rPr>
          <w:rStyle w:val="11"/>
          <w:rFonts w:hint="default" w:ascii="Times New Roman" w:hAnsi="Times New Roman" w:cs="Times New Roman"/>
          <w:b w:val="0"/>
          <w:bCs w:val="0"/>
          <w:sz w:val="24"/>
          <w:szCs w:val="24"/>
        </w:rPr>
        <w:t>Distribution Constraints (DC)</w:t>
      </w:r>
      <w:r>
        <w:rPr>
          <w:rStyle w:val="11"/>
          <w:rFonts w:hint="default" w:ascii="Times New Roman" w:hAnsi="Times New Roman" w:cs="Times New Roman"/>
          <w:b w:val="0"/>
          <w:bCs w:val="0"/>
          <w:sz w:val="24"/>
          <w:szCs w:val="24"/>
          <w:lang w:val="en-US"/>
        </w:rPr>
        <w:t xml:space="preserve">; </w:t>
      </w:r>
      <w:r>
        <w:rPr>
          <w:rStyle w:val="11"/>
          <w:rFonts w:hint="default" w:ascii="Times New Roman" w:hAnsi="Times New Roman" w:cs="Times New Roman"/>
          <w:b w:val="0"/>
          <w:bCs w:val="0"/>
          <w:sz w:val="24"/>
          <w:szCs w:val="24"/>
        </w:rPr>
        <w:t>Distribution Performance Indicators</w:t>
      </w:r>
      <w:r>
        <w:rPr>
          <w:rStyle w:val="11"/>
          <w:rFonts w:hint="default" w:ascii="Times New Roman" w:hAnsi="Times New Roman" w:cs="Times New Roman"/>
          <w:b w:val="0"/>
          <w:bCs w:val="0"/>
          <w:sz w:val="24"/>
          <w:szCs w:val="24"/>
          <w:lang w:val="en-US"/>
        </w:rPr>
        <w:t>.</w:t>
      </w:r>
    </w:p>
    <w:p w14:paraId="1DE87662">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questionnaire was pre-tested in public health facilities outside the sampled LGAs to assess clarity, reliability, and internal consistency. Necessary modifications were made prior to final data collection.</w:t>
      </w:r>
    </w:p>
    <w:p w14:paraId="3F1D0245">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2.7 Study Variables and Operational Definitions</w:t>
      </w:r>
    </w:p>
    <w:p w14:paraId="71ECFB2E">
      <w:pPr>
        <w:pStyle w:val="4"/>
        <w:keepNext w:val="0"/>
        <w:keepLines w:val="0"/>
        <w:widowControl/>
        <w:suppressLineNumbers w:val="0"/>
        <w:rPr>
          <w:rFonts w:hint="default" w:ascii="Times New Roman" w:hAnsi="Times New Roman" w:cs="Times New Roman"/>
          <w:sz w:val="24"/>
          <w:szCs w:val="24"/>
          <w:lang w:val="en-US"/>
        </w:rPr>
      </w:pPr>
      <w:r>
        <w:rPr>
          <w:rFonts w:hint="default" w:ascii="Times New Roman" w:hAnsi="Times New Roman" w:cs="Times New Roman"/>
          <w:b w:val="0"/>
          <w:bCs w:val="0"/>
          <w:sz w:val="24"/>
          <w:szCs w:val="24"/>
        </w:rPr>
        <w:t xml:space="preserve">2.7.1 </w:t>
      </w:r>
      <w:r>
        <w:rPr>
          <w:rFonts w:hint="default" w:ascii="Times New Roman" w:hAnsi="Times New Roman" w:cs="Times New Roman"/>
          <w:b w:val="0"/>
          <w:bCs w:val="0"/>
          <w:sz w:val="24"/>
          <w:szCs w:val="24"/>
          <w:lang w:val="en-US"/>
        </w:rPr>
        <w:t>The d</w:t>
      </w:r>
      <w:r>
        <w:rPr>
          <w:rFonts w:hint="default" w:ascii="Times New Roman" w:hAnsi="Times New Roman" w:cs="Times New Roman"/>
          <w:b w:val="0"/>
          <w:bCs w:val="0"/>
          <w:sz w:val="24"/>
          <w:szCs w:val="24"/>
        </w:rPr>
        <w:t xml:space="preserve">ependent </w:t>
      </w:r>
      <w:r>
        <w:rPr>
          <w:rFonts w:hint="default" w:ascii="Times New Roman" w:hAnsi="Times New Roman" w:cs="Times New Roman"/>
          <w:b w:val="0"/>
          <w:bCs w:val="0"/>
          <w:sz w:val="24"/>
          <w:szCs w:val="24"/>
          <w:lang w:val="en-US"/>
        </w:rPr>
        <w:t>v</w:t>
      </w:r>
      <w:r>
        <w:rPr>
          <w:rFonts w:hint="default" w:ascii="Times New Roman" w:hAnsi="Times New Roman" w:cs="Times New Roman"/>
          <w:b w:val="0"/>
          <w:bCs w:val="0"/>
          <w:sz w:val="24"/>
          <w:szCs w:val="24"/>
        </w:rPr>
        <w:t>ariable</w:t>
      </w:r>
      <w:r>
        <w:rPr>
          <w:rFonts w:hint="default" w:ascii="Times New Roman" w:hAnsi="Times New Roman" w:cs="Times New Roman"/>
          <w:b w:val="0"/>
          <w:bCs w:val="0"/>
          <w:sz w:val="24"/>
          <w:szCs w:val="24"/>
          <w:lang w:val="en-US"/>
        </w:rPr>
        <w:t xml:space="preserve"> was </w:t>
      </w:r>
      <w:r>
        <w:rPr>
          <w:rStyle w:val="11"/>
          <w:rFonts w:hint="default" w:ascii="Times New Roman" w:hAnsi="Times New Roman" w:cs="Times New Roman"/>
          <w:b w:val="0"/>
          <w:bCs w:val="0"/>
          <w:sz w:val="24"/>
          <w:szCs w:val="24"/>
        </w:rPr>
        <w:t>Family Planning Commodity Distribution Performance (FPCDP)</w:t>
      </w:r>
      <w:r>
        <w:rPr>
          <w:rStyle w:val="11"/>
          <w:rFonts w:hint="default" w:ascii="Times New Roman" w:hAnsi="Times New Roman" w:cs="Times New Roman"/>
          <w:b w:val="0"/>
          <w:bCs w:val="0"/>
          <w:sz w:val="24"/>
          <w:szCs w:val="24"/>
          <w:lang w:val="en-US"/>
        </w:rPr>
        <w:t xml:space="preserve"> which</w:t>
      </w:r>
      <w:r>
        <w:rPr>
          <w:rFonts w:hint="default" w:ascii="Times New Roman" w:hAnsi="Times New Roman" w:cs="Times New Roman"/>
          <w:b w:val="0"/>
          <w:bCs w:val="0"/>
          <w:sz w:val="24"/>
          <w:szCs w:val="24"/>
        </w:rPr>
        <w:t xml:space="preserve"> was assessed using composite indicators including:</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Brand utilization rate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Stock expiry rate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Personnel productivity (hours/day dedicated to FP services)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Average client service coverage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Prescription compliance index</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Delivery time and cost indicators</w:t>
      </w:r>
      <w:r>
        <w:rPr>
          <w:rFonts w:hint="default" w:ascii="Times New Roman" w:hAnsi="Times New Roman" w:cs="Times New Roman"/>
          <w:b w:val="0"/>
          <w:bCs w:val="0"/>
          <w:sz w:val="24"/>
          <w:szCs w:val="24"/>
          <w:lang w:val="en-US"/>
        </w:rPr>
        <w:t>.</w:t>
      </w:r>
    </w:p>
    <w:p w14:paraId="516827E9">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 composite performance index was generated to quantify overall distribution effectiveness.</w:t>
      </w:r>
    </w:p>
    <w:p w14:paraId="1AB2167B">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2.7.2 </w:t>
      </w:r>
      <w:r>
        <w:rPr>
          <w:rFonts w:hint="default" w:ascii="Times New Roman" w:hAnsi="Times New Roman" w:cs="Times New Roman"/>
          <w:b w:val="0"/>
          <w:bCs w:val="0"/>
          <w:sz w:val="24"/>
          <w:szCs w:val="24"/>
          <w:lang w:val="en-US"/>
        </w:rPr>
        <w:t>The i</w:t>
      </w:r>
      <w:r>
        <w:rPr>
          <w:rFonts w:hint="default" w:ascii="Times New Roman" w:hAnsi="Times New Roman" w:cs="Times New Roman"/>
          <w:b w:val="0"/>
          <w:bCs w:val="0"/>
          <w:sz w:val="24"/>
          <w:szCs w:val="24"/>
        </w:rPr>
        <w:t xml:space="preserve">ndependent </w:t>
      </w:r>
      <w:r>
        <w:rPr>
          <w:rFonts w:hint="default" w:ascii="Times New Roman" w:hAnsi="Times New Roman" w:cs="Times New Roman"/>
          <w:b w:val="0"/>
          <w:bCs w:val="0"/>
          <w:sz w:val="24"/>
          <w:szCs w:val="24"/>
          <w:lang w:val="en-US"/>
        </w:rPr>
        <w:t>v</w:t>
      </w:r>
      <w:r>
        <w:rPr>
          <w:rFonts w:hint="default" w:ascii="Times New Roman" w:hAnsi="Times New Roman" w:cs="Times New Roman"/>
          <w:b w:val="0"/>
          <w:bCs w:val="0"/>
          <w:sz w:val="24"/>
          <w:szCs w:val="24"/>
        </w:rPr>
        <w:t>ariables</w:t>
      </w:r>
      <w:r>
        <w:rPr>
          <w:rFonts w:hint="default" w:ascii="Times New Roman" w:hAnsi="Times New Roman" w:cs="Times New Roman"/>
          <w:b w:val="0"/>
          <w:bCs w:val="0"/>
          <w:sz w:val="24"/>
          <w:szCs w:val="24"/>
          <w:lang w:val="en-US"/>
        </w:rPr>
        <w:t xml:space="preserve"> were</w:t>
      </w:r>
      <w:r>
        <w:rPr>
          <w:rFonts w:hint="default" w:ascii="Times New Roman" w:hAnsi="Times New Roman" w:cs="Times New Roman"/>
          <w:sz w:val="24"/>
          <w:szCs w:val="24"/>
        </w:rPr>
        <w:t xml:space="preserve"> </w:t>
      </w:r>
    </w:p>
    <w:p w14:paraId="5C541F4E">
      <w:pPr>
        <w:pStyle w:val="4"/>
        <w:keepNext w:val="0"/>
        <w:keepLines w:val="0"/>
        <w:widowControl/>
        <w:suppressLineNumbers w:val="0"/>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1) </w:t>
      </w:r>
      <w:r>
        <w:rPr>
          <w:rFonts w:hint="default" w:ascii="Times New Roman" w:hAnsi="Times New Roman" w:cs="Times New Roman"/>
          <w:b w:val="0"/>
          <w:bCs w:val="0"/>
          <w:sz w:val="24"/>
          <w:szCs w:val="24"/>
        </w:rPr>
        <w:t>Key Management Decisions (KMD)</w:t>
      </w:r>
      <w:r>
        <w:rPr>
          <w:rFonts w:hint="default" w:ascii="Times New Roman" w:hAnsi="Times New Roman" w:cs="Times New Roman"/>
          <w:b w:val="0"/>
          <w:bCs w:val="0"/>
          <w:sz w:val="24"/>
          <w:szCs w:val="24"/>
          <w:lang w:val="en-US"/>
        </w:rPr>
        <w:t xml:space="preserve"> such as: </w:t>
      </w:r>
    </w:p>
    <w:p w14:paraId="1C1B112F">
      <w:pPr>
        <w:pStyle w:val="4"/>
        <w:keepNext w:val="0"/>
        <w:keepLines w:val="0"/>
        <w:widowControl/>
        <w:numPr>
          <w:ilvl w:val="0"/>
          <w:numId w:val="1"/>
        </w:numPr>
        <w:suppressLineNumbers w:val="0"/>
        <w:ind w:left="425" w:leftChars="0" w:hanging="425" w:firstLineChars="0"/>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Procurement (P):</w:t>
      </w:r>
      <w:r>
        <w:rPr>
          <w:rStyle w:val="11"/>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Decisions relating to forecasting, quantity determination, sourcing, and</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procurement cycles.</w:t>
      </w:r>
    </w:p>
    <w:p w14:paraId="6B0E4F71">
      <w:pPr>
        <w:pStyle w:val="10"/>
        <w:keepNext w:val="0"/>
        <w:keepLines w:val="0"/>
        <w:widowControl/>
        <w:numPr>
          <w:ilvl w:val="0"/>
          <w:numId w:val="1"/>
        </w:numPr>
        <w:suppressLineNumbers w:val="0"/>
        <w:ind w:left="425" w:leftChars="0" w:hanging="425" w:firstLineChars="0"/>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Product Selection (PS):</w:t>
      </w:r>
      <w:r>
        <w:rPr>
          <w:rStyle w:val="11"/>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Criteria guiding selection of contraceptive brands and methods.</w:t>
      </w:r>
    </w:p>
    <w:p w14:paraId="24412B02">
      <w:pPr>
        <w:pStyle w:val="10"/>
        <w:keepNext w:val="0"/>
        <w:keepLines w:val="0"/>
        <w:widowControl/>
        <w:numPr>
          <w:ilvl w:val="0"/>
          <w:numId w:val="1"/>
        </w:numPr>
        <w:suppressLineNumbers w:val="0"/>
        <w:ind w:left="425" w:leftChars="0" w:hanging="425" w:firstLineChars="0"/>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Product Range (PR):</w:t>
      </w:r>
      <w:r>
        <w:rPr>
          <w:rStyle w:val="11"/>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Breadth of contraceptive method mix available at facility level.</w:t>
      </w:r>
    </w:p>
    <w:p w14:paraId="45AD12EF">
      <w:pPr>
        <w:pStyle w:val="10"/>
        <w:keepNext w:val="0"/>
        <w:keepLines w:val="0"/>
        <w:widowControl/>
        <w:numPr>
          <w:ilvl w:val="0"/>
          <w:numId w:val="1"/>
        </w:numPr>
        <w:suppressLineNumbers w:val="0"/>
        <w:ind w:left="425" w:leftChars="0" w:hanging="425" w:firstLineChars="0"/>
        <w:rPr>
          <w:rFonts w:hint="default" w:ascii="Times New Roman" w:hAnsi="Times New Roman" w:cs="Times New Roman"/>
          <w:b w:val="0"/>
          <w:bCs w:val="0"/>
          <w:sz w:val="24"/>
          <w:szCs w:val="24"/>
        </w:rPr>
      </w:pPr>
      <w:r>
        <w:rPr>
          <w:rStyle w:val="11"/>
          <w:rFonts w:hint="default" w:ascii="Times New Roman" w:hAnsi="Times New Roman" w:cs="Times New Roman"/>
          <w:b w:val="0"/>
          <w:bCs w:val="0"/>
          <w:sz w:val="24"/>
          <w:szCs w:val="24"/>
        </w:rPr>
        <w:t>Cost-Burden Responsibility (CBR):</w:t>
      </w:r>
      <w:r>
        <w:rPr>
          <w:rFonts w:hint="default" w:ascii="Times New Roman" w:hAnsi="Times New Roman" w:cs="Times New Roman"/>
          <w:b w:val="0"/>
          <w:bCs w:val="0"/>
          <w:sz w:val="24"/>
          <w:szCs w:val="24"/>
        </w:rPr>
        <w:br w:type="textWrapping"/>
      </w:r>
      <w:r>
        <w:rPr>
          <w:rFonts w:hint="default" w:ascii="Times New Roman" w:hAnsi="Times New Roman" w:cs="Times New Roman"/>
          <w:b w:val="0"/>
          <w:bCs w:val="0"/>
          <w:sz w:val="24"/>
          <w:szCs w:val="24"/>
        </w:rPr>
        <w:t>Clarity and allocation of financial responsibility for commodity procurement, distribution, and client-level payment.</w:t>
      </w:r>
    </w:p>
    <w:p w14:paraId="0B3B0AAA">
      <w:pPr>
        <w:pStyle w:val="10"/>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 </w:t>
      </w:r>
      <w:r>
        <w:rPr>
          <w:rStyle w:val="11"/>
          <w:rFonts w:hint="default" w:ascii="Times New Roman" w:hAnsi="Times New Roman" w:cs="Times New Roman"/>
          <w:b w:val="0"/>
          <w:bCs w:val="0"/>
          <w:sz w:val="24"/>
          <w:szCs w:val="24"/>
        </w:rPr>
        <w:t>Quality of Decision (QOD)</w:t>
      </w:r>
      <w:r>
        <w:rPr>
          <w:rFonts w:hint="default" w:ascii="Times New Roman" w:hAnsi="Times New Roman" w:cs="Times New Roman"/>
          <w:b w:val="0"/>
          <w:bCs w:val="0"/>
          <w:sz w:val="24"/>
          <w:szCs w:val="24"/>
        </w:rPr>
        <w:t xml:space="preserve"> score was constructed to assess the effectiveness, consistency, and evidence-basis of decisions within each domain.</w:t>
      </w:r>
    </w:p>
    <w:p w14:paraId="36E39748">
      <w:pPr>
        <w:keepNext w:val="0"/>
        <w:keepLines w:val="0"/>
        <w:widowControl/>
        <w:suppressLineNumbers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Facility Operational Practices (FOP)</w:t>
      </w:r>
      <w:r>
        <w:rPr>
          <w:rFonts w:hint="default" w:ascii="Times New Roman" w:hAnsi="Times New Roman" w:cs="Times New Roman"/>
          <w:b w:val="0"/>
          <w:bCs w:val="0"/>
          <w:sz w:val="24"/>
          <w:szCs w:val="24"/>
          <w:lang w:val="en-US"/>
        </w:rPr>
        <w:t xml:space="preserve"> m</w:t>
      </w:r>
      <w:r>
        <w:rPr>
          <w:rFonts w:hint="default" w:ascii="Times New Roman" w:hAnsi="Times New Roman" w:cs="Times New Roman"/>
          <w:b w:val="0"/>
          <w:bCs w:val="0"/>
          <w:sz w:val="24"/>
          <w:szCs w:val="24"/>
        </w:rPr>
        <w:t>easured indicators included:</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Time allocation to FP services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Personnel productivity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Inventory management practices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Compliance with prescription protocols</w:t>
      </w:r>
      <w:r>
        <w:rPr>
          <w:rFonts w:hint="default" w:ascii="Times New Roman" w:hAnsi="Times New Roman" w:cs="Times New Roman"/>
          <w:b w:val="0"/>
          <w:bCs w:val="0"/>
          <w:sz w:val="24"/>
          <w:szCs w:val="24"/>
          <w:lang w:val="en-US"/>
        </w:rPr>
        <w:t xml:space="preserve">; and </w:t>
      </w:r>
      <w:r>
        <w:rPr>
          <w:rFonts w:hint="default" w:ascii="Times New Roman" w:hAnsi="Times New Roman" w:cs="Times New Roman"/>
          <w:b w:val="0"/>
          <w:bCs w:val="0"/>
          <w:sz w:val="24"/>
          <w:szCs w:val="24"/>
        </w:rPr>
        <w:t>Client service coverage</w:t>
      </w:r>
    </w:p>
    <w:p w14:paraId="63A13D38">
      <w:pPr>
        <w:pStyle w:val="5"/>
        <w:keepNext w:val="0"/>
        <w:keepLines w:val="0"/>
        <w:widowControl/>
        <w:suppressLineNumbers w:val="0"/>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Distribution Constraints (DC)</w:t>
      </w:r>
      <w:r>
        <w:rPr>
          <w:rFonts w:hint="default" w:ascii="Times New Roman" w:hAnsi="Times New Roman" w:cs="Times New Roman"/>
          <w:b w:val="0"/>
          <w:bCs w:val="0"/>
          <w:sz w:val="24"/>
          <w:szCs w:val="24"/>
          <w:lang w:val="en-US"/>
        </w:rPr>
        <w:t xml:space="preserve"> a</w:t>
      </w:r>
      <w:r>
        <w:rPr>
          <w:rFonts w:hint="default" w:ascii="Times New Roman" w:hAnsi="Times New Roman" w:cs="Times New Roman"/>
          <w:b w:val="0"/>
          <w:bCs w:val="0"/>
          <w:sz w:val="24"/>
          <w:szCs w:val="24"/>
        </w:rPr>
        <w:t xml:space="preserve">ssessed barriers </w:t>
      </w:r>
      <w:r>
        <w:rPr>
          <w:rFonts w:hint="default" w:ascii="Times New Roman" w:hAnsi="Times New Roman" w:cs="Times New Roman"/>
          <w:b w:val="0"/>
          <w:bCs w:val="0"/>
          <w:sz w:val="24"/>
          <w:szCs w:val="24"/>
          <w:lang w:val="en-US"/>
        </w:rPr>
        <w:t>such as</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High delivery cost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Transportation delays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Stock management challenges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Bureaucratic bottlenecks</w:t>
      </w:r>
      <w:r>
        <w:rPr>
          <w:rFonts w:hint="default" w:ascii="Times New Roman" w:hAnsi="Times New Roman" w:cs="Times New Roman"/>
          <w:b w:val="0"/>
          <w:bCs w:val="0"/>
          <w:sz w:val="24"/>
          <w:szCs w:val="24"/>
          <w:lang w:val="en-US"/>
        </w:rPr>
        <w:t xml:space="preserve">; and </w:t>
      </w:r>
      <w:r>
        <w:rPr>
          <w:rFonts w:hint="default" w:ascii="Times New Roman" w:hAnsi="Times New Roman" w:cs="Times New Roman"/>
          <w:b w:val="0"/>
          <w:bCs w:val="0"/>
          <w:sz w:val="24"/>
          <w:szCs w:val="24"/>
        </w:rPr>
        <w:t>Infrastructure limitations</w:t>
      </w:r>
      <w:r>
        <w:rPr>
          <w:rFonts w:hint="default" w:ascii="Times New Roman" w:hAnsi="Times New Roman" w:cs="Times New Roman"/>
          <w:b w:val="0"/>
          <w:bCs w:val="0"/>
          <w:sz w:val="24"/>
          <w:szCs w:val="24"/>
          <w:lang w:val="en-US"/>
        </w:rPr>
        <w:t>.</w:t>
      </w:r>
    </w:p>
    <w:p w14:paraId="6EBDE45F">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2.8 Data Management and Statistical Analysis</w:t>
      </w:r>
    </w:p>
    <w:p w14:paraId="7FB6C41C">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Data were coded and entered into </w:t>
      </w:r>
      <w:r>
        <w:rPr>
          <w:rFonts w:hint="default" w:ascii="Times New Roman" w:hAnsi="Times New Roman" w:cs="Times New Roman"/>
          <w:sz w:val="24"/>
          <w:szCs w:val="24"/>
          <w:lang w:val="en-US"/>
        </w:rPr>
        <w:t>SPSS version 23</w:t>
      </w:r>
      <w:r>
        <w:rPr>
          <w:rFonts w:hint="default" w:ascii="Times New Roman" w:hAnsi="Times New Roman" w:cs="Times New Roman"/>
          <w:sz w:val="24"/>
          <w:szCs w:val="24"/>
        </w:rPr>
        <w:t xml:space="preserve"> for analysis.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Frequencies and percentages were computed for categorical variables.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Means and standard deviations were calculated for continuous variables.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Associations between categorical variables were tested using the Chi-square (χ²) test at a 5% level of significance.</w:t>
      </w:r>
    </w:p>
    <w:p w14:paraId="15A11B12">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To determine the collective and individual influence of independent variables on distribution performanc</w:t>
      </w:r>
      <w:r>
        <w:rPr>
          <w:rFonts w:hint="default" w:ascii="Times New Roman" w:hAnsi="Times New Roman" w:cs="Times New Roman"/>
          <w:b w:val="0"/>
          <w:bCs w:val="0"/>
          <w:sz w:val="24"/>
          <w:szCs w:val="24"/>
        </w:rPr>
        <w:t xml:space="preserve">e, </w:t>
      </w:r>
      <w:r>
        <w:rPr>
          <w:rStyle w:val="11"/>
          <w:rFonts w:hint="default" w:ascii="Times New Roman" w:hAnsi="Times New Roman" w:cs="Times New Roman"/>
          <w:b w:val="0"/>
          <w:bCs w:val="0"/>
          <w:sz w:val="24"/>
          <w:szCs w:val="24"/>
        </w:rPr>
        <w:t>Multiple Regression and Correlation Analysis (MRCA)</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was conducted.</w:t>
      </w:r>
    </w:p>
    <w:p w14:paraId="483FD967">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regression model was specified as:</w:t>
      </w:r>
    </w:p>
    <w:p w14:paraId="20F0A63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FPCDP=β0+β1(P)+β2(PS)+β3(PR)+β4(CBR)+β5(FOP)+β6(DC)+εFPCDP = β₀ + β₁(P) + β₂(PS) + β₃(PR) + β₄(CBR) + β₅(FOP) + β₆(DC) + εFPCDP=β0​+β1​(P)+β2​(PS)+β3​(PR)+β4​(CBR)+β5​(FOP)+β6​(DC)+ε </w:t>
      </w:r>
    </w:p>
    <w:p w14:paraId="61A37267">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Where:</w:t>
      </w:r>
    </w:p>
    <w:p w14:paraId="2B6C7C4C">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FPCDP = Family Planning Commodity Distribution Performance</w:t>
      </w:r>
    </w:p>
    <w:p w14:paraId="0DC58601">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 = Procurement decision quality</w:t>
      </w:r>
    </w:p>
    <w:p w14:paraId="482ADC84">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PS = Product Selection decision quality</w:t>
      </w:r>
    </w:p>
    <w:p w14:paraId="794D08C4">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PR = Product Range decision quality</w:t>
      </w:r>
    </w:p>
    <w:p w14:paraId="7CE54AD0">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CBR = Cost-Burden Responsibility decision quality</w:t>
      </w:r>
    </w:p>
    <w:p w14:paraId="792710F9">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FOP = Facility Operational Practices</w:t>
      </w:r>
    </w:p>
    <w:p w14:paraId="37667920">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DC = Distribution Constraints</w:t>
      </w:r>
    </w:p>
    <w:p w14:paraId="2F589BF2">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β₀ = Intercept</w:t>
      </w:r>
    </w:p>
    <w:p w14:paraId="3002435A">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β₁–β₆ = Regression coefficients</w:t>
      </w:r>
    </w:p>
    <w:p w14:paraId="20E38AFA">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ε = Error term</w:t>
      </w:r>
    </w:p>
    <w:p w14:paraId="4E63EE28">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Statistical significance was set at </w:t>
      </w:r>
      <w:r>
        <w:rPr>
          <w:rStyle w:val="11"/>
          <w:rFonts w:hint="default" w:ascii="Times New Roman" w:hAnsi="Times New Roman" w:cs="Times New Roman"/>
          <w:sz w:val="24"/>
          <w:szCs w:val="24"/>
        </w:rPr>
        <w:t>p &lt; 0.05</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Model fitness was assessed using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 and R² statistics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Adjusted R²</w:t>
      </w:r>
      <w:r>
        <w:rPr>
          <w:rFonts w:hint="default" w:ascii="Times New Roman" w:hAnsi="Times New Roman" w:cs="Times New Roman"/>
          <w:sz w:val="24"/>
          <w:szCs w:val="24"/>
          <w:lang w:val="en-US"/>
        </w:rPr>
        <w:t xml:space="preserve"> and </w:t>
      </w:r>
      <w:r>
        <w:rPr>
          <w:rFonts w:hint="default" w:ascii="Times New Roman" w:hAnsi="Times New Roman" w:cs="Times New Roman"/>
          <w:sz w:val="24"/>
          <w:szCs w:val="24"/>
        </w:rPr>
        <w:t>F-statistic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Multicollinearity diagnostics were conducted to ensure independence among predictor variables.</w:t>
      </w:r>
    </w:p>
    <w:p w14:paraId="05C0C421">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2.9 Ethical Considerations</w:t>
      </w:r>
    </w:p>
    <w:p w14:paraId="4A9E78D1">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Ethical approval was obtained from the State Health Research Ethics Committee prior to commencement of the study. Permission was also secured from the Imo State Ministry of Health and relevant Local Government Health Authorities.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Participation was voluntary. Written informed consent was obtained from all respondents. Confidentiality and anonymity were strictly maintained throughout data collection, analysis, and reporting.</w:t>
      </w:r>
    </w:p>
    <w:p w14:paraId="3F27B368">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3. </w:t>
      </w:r>
      <w:r>
        <w:rPr>
          <w:rFonts w:hint="default" w:ascii="Times New Roman" w:hAnsi="Times New Roman" w:cs="Times New Roman"/>
          <w:sz w:val="28"/>
          <w:szCs w:val="28"/>
        </w:rPr>
        <w:t>Results</w:t>
      </w:r>
    </w:p>
    <w:p w14:paraId="1F704A38">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3.1 Socio-Demographic Characteristics of Respondents</w:t>
      </w:r>
    </w:p>
    <w:p w14:paraId="17949333">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 total of 130 family planning service providers from 70 public health facilities across 27 Local Government Areas participated in the study. All respondents were female. The majority were aged 40–49 years (33.8%), followed by 50–59 years (29.2%) and 30–39 years (27.7%). Nurses constituted 78.5% of respondents, while 20.0% were Community Health Extension Workers (CHEWs) or other cadres. Most respondents (90.0%) had tertiary education, and 76.2% occupied senior-level positions</w:t>
      </w:r>
      <w:r>
        <w:rPr>
          <w:rFonts w:hint="default" w:ascii="Times New Roman" w:hAnsi="Times New Roman" w:cs="Times New Roman"/>
          <w:sz w:val="24"/>
          <w:szCs w:val="24"/>
          <w:lang w:val="en-US"/>
        </w:rPr>
        <w:t xml:space="preserve"> (see Table 1)</w:t>
      </w:r>
      <w:r>
        <w:rPr>
          <w:rFonts w:hint="default" w:ascii="Times New Roman" w:hAnsi="Times New Roman" w:cs="Times New Roman"/>
          <w:sz w:val="24"/>
          <w:szCs w:val="24"/>
        </w:rPr>
        <w:t>.</w:t>
      </w:r>
    </w:p>
    <w:p w14:paraId="4F0C9840">
      <w:pPr>
        <w:pStyle w:val="4"/>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Table 1. Socio-Demographic Characteristics of Respondents</w:t>
      </w:r>
    </w:p>
    <w:tbl>
      <w:tblPr>
        <w:tblStyle w:val="7"/>
        <w:tblW w:w="4998"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650"/>
        <w:gridCol w:w="3990"/>
        <w:gridCol w:w="1078"/>
        <w:gridCol w:w="675"/>
      </w:tblGrid>
      <w:tr w14:paraId="5403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552" w:type="pct"/>
            <w:shd w:val="clear" w:color="auto" w:fill="auto"/>
            <w:vAlign w:val="center"/>
          </w:tcPr>
          <w:p w14:paraId="71D41BDB">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Variable</w:t>
            </w:r>
          </w:p>
        </w:tc>
        <w:tc>
          <w:tcPr>
            <w:tcW w:w="2358" w:type="pct"/>
            <w:shd w:val="clear" w:color="auto" w:fill="auto"/>
            <w:vAlign w:val="center"/>
          </w:tcPr>
          <w:p w14:paraId="31685B58">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Category</w:t>
            </w:r>
          </w:p>
        </w:tc>
        <w:tc>
          <w:tcPr>
            <w:tcW w:w="624" w:type="pct"/>
            <w:shd w:val="clear" w:color="auto" w:fill="auto"/>
            <w:vAlign w:val="center"/>
          </w:tcPr>
          <w:p w14:paraId="6D0F1101">
            <w:pPr>
              <w:keepNext w:val="0"/>
              <w:keepLines w:val="0"/>
              <w:widowControl/>
              <w:suppressLineNumbers w:val="0"/>
              <w:jc w:val="center"/>
              <w:rPr>
                <w:rFonts w:hint="default" w:ascii="Times New Roman" w:hAnsi="Times New Roman" w:cs="Times New Roman"/>
                <w:b/>
                <w:bCs/>
                <w:sz w:val="24"/>
                <w:szCs w:val="24"/>
                <w:lang w:val="en-US"/>
              </w:rPr>
            </w:pPr>
            <w:r>
              <w:rPr>
                <w:rFonts w:hint="default" w:ascii="Times New Roman" w:hAnsi="Times New Roman" w:eastAsia="SimSun" w:cs="Times New Roman"/>
                <w:b/>
                <w:bCs/>
                <w:kern w:val="0"/>
                <w:sz w:val="24"/>
                <w:szCs w:val="24"/>
                <w:lang w:val="en-US" w:eastAsia="zh-CN" w:bidi="ar"/>
              </w:rPr>
              <w:t>N = 130</w:t>
            </w:r>
          </w:p>
        </w:tc>
        <w:tc>
          <w:tcPr>
            <w:tcW w:w="375" w:type="pct"/>
            <w:shd w:val="clear" w:color="auto" w:fill="auto"/>
            <w:vAlign w:val="center"/>
          </w:tcPr>
          <w:p w14:paraId="4CE91899">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w:t>
            </w:r>
          </w:p>
        </w:tc>
      </w:tr>
      <w:tr w14:paraId="0C8B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52" w:type="pct"/>
            <w:shd w:val="clear" w:color="auto" w:fill="auto"/>
            <w:vAlign w:val="center"/>
          </w:tcPr>
          <w:p w14:paraId="21CC69E5">
            <w:pPr>
              <w:keepNext w:val="0"/>
              <w:keepLines w:val="0"/>
              <w:widowControl/>
              <w:suppressLineNumbers w:val="0"/>
              <w:jc w:val="left"/>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Gender</w:t>
            </w:r>
          </w:p>
        </w:tc>
        <w:tc>
          <w:tcPr>
            <w:tcW w:w="2358" w:type="pct"/>
            <w:shd w:val="clear" w:color="auto" w:fill="auto"/>
            <w:vAlign w:val="center"/>
          </w:tcPr>
          <w:p w14:paraId="0EC7D66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Female</w:t>
            </w:r>
          </w:p>
        </w:tc>
        <w:tc>
          <w:tcPr>
            <w:tcW w:w="624" w:type="pct"/>
            <w:shd w:val="clear" w:color="auto" w:fill="auto"/>
            <w:vAlign w:val="center"/>
          </w:tcPr>
          <w:p w14:paraId="7995AFC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130</w:t>
            </w:r>
          </w:p>
        </w:tc>
        <w:tc>
          <w:tcPr>
            <w:tcW w:w="375" w:type="pct"/>
            <w:shd w:val="clear" w:color="auto" w:fill="auto"/>
            <w:vAlign w:val="center"/>
          </w:tcPr>
          <w:p w14:paraId="7857AC2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w:t>
            </w:r>
          </w:p>
        </w:tc>
      </w:tr>
      <w:tr w14:paraId="2FBC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52" w:type="pct"/>
            <w:shd w:val="clear" w:color="auto" w:fill="auto"/>
            <w:vAlign w:val="center"/>
          </w:tcPr>
          <w:p w14:paraId="355B07E7">
            <w:pPr>
              <w:rPr>
                <w:rFonts w:hint="default" w:ascii="Times New Roman" w:hAnsi="Times New Roman" w:cs="Times New Roman"/>
                <w:sz w:val="24"/>
                <w:szCs w:val="24"/>
              </w:rPr>
            </w:pPr>
          </w:p>
        </w:tc>
        <w:tc>
          <w:tcPr>
            <w:tcW w:w="2358" w:type="pct"/>
            <w:shd w:val="clear" w:color="auto" w:fill="auto"/>
            <w:vAlign w:val="center"/>
          </w:tcPr>
          <w:p w14:paraId="4E83F0E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Male</w:t>
            </w:r>
          </w:p>
        </w:tc>
        <w:tc>
          <w:tcPr>
            <w:tcW w:w="624" w:type="pct"/>
            <w:shd w:val="clear" w:color="auto" w:fill="auto"/>
            <w:vAlign w:val="center"/>
          </w:tcPr>
          <w:p w14:paraId="6CA28EB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w:t>
            </w:r>
          </w:p>
        </w:tc>
        <w:tc>
          <w:tcPr>
            <w:tcW w:w="375" w:type="pct"/>
            <w:shd w:val="clear" w:color="auto" w:fill="auto"/>
            <w:vAlign w:val="center"/>
          </w:tcPr>
          <w:p w14:paraId="07C1B7F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w:t>
            </w:r>
          </w:p>
        </w:tc>
      </w:tr>
      <w:tr w14:paraId="5A97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52" w:type="pct"/>
            <w:shd w:val="clear" w:color="auto" w:fill="auto"/>
            <w:vAlign w:val="center"/>
          </w:tcPr>
          <w:p w14:paraId="1B5E6A3E">
            <w:pPr>
              <w:keepNext w:val="0"/>
              <w:keepLines w:val="0"/>
              <w:widowControl/>
              <w:suppressLineNumbers w:val="0"/>
              <w:jc w:val="left"/>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Age (years)</w:t>
            </w:r>
          </w:p>
        </w:tc>
        <w:tc>
          <w:tcPr>
            <w:tcW w:w="2358" w:type="pct"/>
            <w:shd w:val="clear" w:color="auto" w:fill="auto"/>
            <w:vAlign w:val="center"/>
          </w:tcPr>
          <w:p w14:paraId="3971E26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20–29</w:t>
            </w:r>
          </w:p>
        </w:tc>
        <w:tc>
          <w:tcPr>
            <w:tcW w:w="624" w:type="pct"/>
            <w:shd w:val="clear" w:color="auto" w:fill="auto"/>
            <w:vAlign w:val="center"/>
          </w:tcPr>
          <w:p w14:paraId="68C1FA9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375" w:type="pct"/>
            <w:shd w:val="clear" w:color="auto" w:fill="auto"/>
            <w:vAlign w:val="center"/>
          </w:tcPr>
          <w:p w14:paraId="6AD4CC0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9.2</w:t>
            </w:r>
          </w:p>
        </w:tc>
      </w:tr>
      <w:tr w14:paraId="4A58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52" w:type="pct"/>
            <w:shd w:val="clear" w:color="auto" w:fill="auto"/>
            <w:vAlign w:val="center"/>
          </w:tcPr>
          <w:p w14:paraId="55934F30">
            <w:pPr>
              <w:rPr>
                <w:rFonts w:hint="default" w:ascii="Times New Roman" w:hAnsi="Times New Roman" w:cs="Times New Roman"/>
                <w:sz w:val="24"/>
                <w:szCs w:val="24"/>
              </w:rPr>
            </w:pPr>
          </w:p>
        </w:tc>
        <w:tc>
          <w:tcPr>
            <w:tcW w:w="2358" w:type="pct"/>
            <w:shd w:val="clear" w:color="auto" w:fill="auto"/>
            <w:vAlign w:val="center"/>
          </w:tcPr>
          <w:p w14:paraId="4F87EBF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30–39</w:t>
            </w:r>
          </w:p>
        </w:tc>
        <w:tc>
          <w:tcPr>
            <w:tcW w:w="624" w:type="pct"/>
            <w:shd w:val="clear" w:color="auto" w:fill="auto"/>
            <w:vAlign w:val="center"/>
          </w:tcPr>
          <w:p w14:paraId="062F7E1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36</w:t>
            </w:r>
          </w:p>
        </w:tc>
        <w:tc>
          <w:tcPr>
            <w:tcW w:w="375" w:type="pct"/>
            <w:shd w:val="clear" w:color="auto" w:fill="auto"/>
            <w:vAlign w:val="center"/>
          </w:tcPr>
          <w:p w14:paraId="637C404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27.7</w:t>
            </w:r>
          </w:p>
        </w:tc>
      </w:tr>
      <w:tr w14:paraId="46C4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52" w:type="pct"/>
            <w:shd w:val="clear" w:color="auto" w:fill="auto"/>
            <w:vAlign w:val="center"/>
          </w:tcPr>
          <w:p w14:paraId="493378F8">
            <w:pPr>
              <w:rPr>
                <w:rFonts w:hint="default" w:ascii="Times New Roman" w:hAnsi="Times New Roman" w:cs="Times New Roman"/>
                <w:sz w:val="24"/>
                <w:szCs w:val="24"/>
              </w:rPr>
            </w:pPr>
          </w:p>
        </w:tc>
        <w:tc>
          <w:tcPr>
            <w:tcW w:w="2358" w:type="pct"/>
            <w:shd w:val="clear" w:color="auto" w:fill="auto"/>
            <w:vAlign w:val="center"/>
          </w:tcPr>
          <w:p w14:paraId="4E79940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40–49</w:t>
            </w:r>
          </w:p>
        </w:tc>
        <w:tc>
          <w:tcPr>
            <w:tcW w:w="624" w:type="pct"/>
            <w:shd w:val="clear" w:color="auto" w:fill="auto"/>
            <w:vAlign w:val="center"/>
          </w:tcPr>
          <w:p w14:paraId="688F0F4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w:t>
            </w:r>
          </w:p>
        </w:tc>
        <w:tc>
          <w:tcPr>
            <w:tcW w:w="375" w:type="pct"/>
            <w:shd w:val="clear" w:color="auto" w:fill="auto"/>
            <w:vAlign w:val="center"/>
          </w:tcPr>
          <w:p w14:paraId="1FBD5E1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33.8</w:t>
            </w:r>
          </w:p>
        </w:tc>
      </w:tr>
      <w:tr w14:paraId="1501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52" w:type="pct"/>
            <w:shd w:val="clear" w:color="auto" w:fill="auto"/>
            <w:vAlign w:val="center"/>
          </w:tcPr>
          <w:p w14:paraId="709A8B26">
            <w:pPr>
              <w:rPr>
                <w:rFonts w:hint="default" w:ascii="Times New Roman" w:hAnsi="Times New Roman" w:cs="Times New Roman"/>
                <w:sz w:val="24"/>
                <w:szCs w:val="24"/>
              </w:rPr>
            </w:pPr>
          </w:p>
        </w:tc>
        <w:tc>
          <w:tcPr>
            <w:tcW w:w="2358" w:type="pct"/>
            <w:shd w:val="clear" w:color="auto" w:fill="auto"/>
            <w:vAlign w:val="center"/>
          </w:tcPr>
          <w:p w14:paraId="7A846EC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50–59</w:t>
            </w:r>
          </w:p>
        </w:tc>
        <w:tc>
          <w:tcPr>
            <w:tcW w:w="624" w:type="pct"/>
            <w:shd w:val="clear" w:color="auto" w:fill="auto"/>
            <w:vAlign w:val="center"/>
          </w:tcPr>
          <w:p w14:paraId="535A4C7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w:t>
            </w:r>
          </w:p>
        </w:tc>
        <w:tc>
          <w:tcPr>
            <w:tcW w:w="375" w:type="pct"/>
            <w:shd w:val="clear" w:color="auto" w:fill="auto"/>
            <w:vAlign w:val="center"/>
          </w:tcPr>
          <w:p w14:paraId="3F29A91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29.2</w:t>
            </w:r>
          </w:p>
        </w:tc>
      </w:tr>
      <w:tr w14:paraId="312C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52" w:type="pct"/>
            <w:shd w:val="clear" w:color="auto" w:fill="auto"/>
            <w:vAlign w:val="center"/>
          </w:tcPr>
          <w:p w14:paraId="54751B3E">
            <w:pPr>
              <w:keepNext w:val="0"/>
              <w:keepLines w:val="0"/>
              <w:widowControl/>
              <w:suppressLineNumbers w:val="0"/>
              <w:jc w:val="left"/>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Occupation</w:t>
            </w:r>
          </w:p>
        </w:tc>
        <w:tc>
          <w:tcPr>
            <w:tcW w:w="2358" w:type="pct"/>
            <w:shd w:val="clear" w:color="auto" w:fill="auto"/>
            <w:vAlign w:val="center"/>
          </w:tcPr>
          <w:p w14:paraId="74270AF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Physician</w:t>
            </w:r>
          </w:p>
        </w:tc>
        <w:tc>
          <w:tcPr>
            <w:tcW w:w="624" w:type="pct"/>
            <w:shd w:val="clear" w:color="auto" w:fill="auto"/>
            <w:vAlign w:val="center"/>
          </w:tcPr>
          <w:p w14:paraId="1A9C97B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c>
          <w:tcPr>
            <w:tcW w:w="375" w:type="pct"/>
            <w:shd w:val="clear" w:color="auto" w:fill="auto"/>
            <w:vAlign w:val="center"/>
          </w:tcPr>
          <w:p w14:paraId="75F3650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r>
      <w:tr w14:paraId="2050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52" w:type="pct"/>
            <w:shd w:val="clear" w:color="auto" w:fill="auto"/>
            <w:vAlign w:val="center"/>
          </w:tcPr>
          <w:p w14:paraId="58FED852">
            <w:pPr>
              <w:rPr>
                <w:rFonts w:hint="default" w:ascii="Times New Roman" w:hAnsi="Times New Roman" w:cs="Times New Roman"/>
                <w:sz w:val="24"/>
                <w:szCs w:val="24"/>
              </w:rPr>
            </w:pPr>
          </w:p>
        </w:tc>
        <w:tc>
          <w:tcPr>
            <w:tcW w:w="2358" w:type="pct"/>
            <w:shd w:val="clear" w:color="auto" w:fill="auto"/>
            <w:vAlign w:val="center"/>
          </w:tcPr>
          <w:p w14:paraId="40AB0AB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Nurse</w:t>
            </w:r>
          </w:p>
        </w:tc>
        <w:tc>
          <w:tcPr>
            <w:tcW w:w="624" w:type="pct"/>
            <w:shd w:val="clear" w:color="auto" w:fill="auto"/>
            <w:vAlign w:val="center"/>
          </w:tcPr>
          <w:p w14:paraId="6BA1461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102</w:t>
            </w:r>
          </w:p>
        </w:tc>
        <w:tc>
          <w:tcPr>
            <w:tcW w:w="375" w:type="pct"/>
            <w:shd w:val="clear" w:color="auto" w:fill="auto"/>
            <w:vAlign w:val="center"/>
          </w:tcPr>
          <w:p w14:paraId="761FC2D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78.5</w:t>
            </w:r>
          </w:p>
        </w:tc>
      </w:tr>
      <w:tr w14:paraId="70B4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52" w:type="pct"/>
            <w:shd w:val="clear" w:color="auto" w:fill="auto"/>
            <w:vAlign w:val="center"/>
          </w:tcPr>
          <w:p w14:paraId="59AB1263">
            <w:pPr>
              <w:rPr>
                <w:rFonts w:hint="default" w:ascii="Times New Roman" w:hAnsi="Times New Roman" w:cs="Times New Roman"/>
                <w:sz w:val="24"/>
                <w:szCs w:val="24"/>
              </w:rPr>
            </w:pPr>
          </w:p>
        </w:tc>
        <w:tc>
          <w:tcPr>
            <w:tcW w:w="2358" w:type="pct"/>
            <w:shd w:val="clear" w:color="auto" w:fill="auto"/>
            <w:vAlign w:val="center"/>
          </w:tcPr>
          <w:p w14:paraId="045DBFE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CHEW/others</w:t>
            </w:r>
          </w:p>
        </w:tc>
        <w:tc>
          <w:tcPr>
            <w:tcW w:w="624" w:type="pct"/>
            <w:shd w:val="clear" w:color="auto" w:fill="auto"/>
            <w:vAlign w:val="center"/>
          </w:tcPr>
          <w:p w14:paraId="6A4363E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w:t>
            </w:r>
          </w:p>
        </w:tc>
        <w:tc>
          <w:tcPr>
            <w:tcW w:w="375" w:type="pct"/>
            <w:shd w:val="clear" w:color="auto" w:fill="auto"/>
            <w:vAlign w:val="center"/>
          </w:tcPr>
          <w:p w14:paraId="68636A2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20.0</w:t>
            </w:r>
          </w:p>
        </w:tc>
      </w:tr>
      <w:tr w14:paraId="7C9F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52" w:type="pct"/>
            <w:shd w:val="clear" w:color="auto" w:fill="auto"/>
            <w:vAlign w:val="center"/>
          </w:tcPr>
          <w:p w14:paraId="6D67CF22">
            <w:pPr>
              <w:rPr>
                <w:rFonts w:hint="default" w:ascii="Times New Roman" w:hAnsi="Times New Roman" w:cs="Times New Roman"/>
                <w:sz w:val="24"/>
                <w:szCs w:val="24"/>
              </w:rPr>
            </w:pPr>
          </w:p>
        </w:tc>
        <w:tc>
          <w:tcPr>
            <w:tcW w:w="2358" w:type="pct"/>
            <w:shd w:val="clear" w:color="auto" w:fill="auto"/>
            <w:vAlign w:val="center"/>
          </w:tcPr>
          <w:p w14:paraId="460778C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Pharmacist/Pharmacy Technician</w:t>
            </w:r>
          </w:p>
        </w:tc>
        <w:tc>
          <w:tcPr>
            <w:tcW w:w="624" w:type="pct"/>
            <w:shd w:val="clear" w:color="auto" w:fill="auto"/>
            <w:vAlign w:val="center"/>
          </w:tcPr>
          <w:p w14:paraId="4B1D1D7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w:t>
            </w:r>
          </w:p>
        </w:tc>
        <w:tc>
          <w:tcPr>
            <w:tcW w:w="375" w:type="pct"/>
            <w:shd w:val="clear" w:color="auto" w:fill="auto"/>
            <w:vAlign w:val="center"/>
          </w:tcPr>
          <w:p w14:paraId="5D69521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w:t>
            </w:r>
          </w:p>
        </w:tc>
      </w:tr>
      <w:tr w14:paraId="2DCE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52" w:type="pct"/>
            <w:shd w:val="clear" w:color="auto" w:fill="auto"/>
            <w:vAlign w:val="center"/>
          </w:tcPr>
          <w:p w14:paraId="74EAC984">
            <w:pPr>
              <w:keepNext w:val="0"/>
              <w:keepLines w:val="0"/>
              <w:widowControl/>
              <w:suppressLineNumbers w:val="0"/>
              <w:jc w:val="left"/>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Educational Level</w:t>
            </w:r>
          </w:p>
        </w:tc>
        <w:tc>
          <w:tcPr>
            <w:tcW w:w="2358" w:type="pct"/>
            <w:shd w:val="clear" w:color="auto" w:fill="auto"/>
            <w:vAlign w:val="center"/>
          </w:tcPr>
          <w:p w14:paraId="37D07B6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Secondary</w:t>
            </w:r>
          </w:p>
        </w:tc>
        <w:tc>
          <w:tcPr>
            <w:tcW w:w="624" w:type="pct"/>
            <w:shd w:val="clear" w:color="auto" w:fill="auto"/>
            <w:vAlign w:val="center"/>
          </w:tcPr>
          <w:p w14:paraId="4BABC0E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w:t>
            </w:r>
          </w:p>
        </w:tc>
        <w:tc>
          <w:tcPr>
            <w:tcW w:w="375" w:type="pct"/>
            <w:shd w:val="clear" w:color="auto" w:fill="auto"/>
            <w:vAlign w:val="center"/>
          </w:tcPr>
          <w:p w14:paraId="54DF8B0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w:t>
            </w:r>
          </w:p>
        </w:tc>
      </w:tr>
      <w:tr w14:paraId="733B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52" w:type="pct"/>
            <w:shd w:val="clear" w:color="auto" w:fill="auto"/>
            <w:vAlign w:val="center"/>
          </w:tcPr>
          <w:p w14:paraId="06EFEAB3">
            <w:pPr>
              <w:rPr>
                <w:rFonts w:hint="default" w:ascii="Times New Roman" w:hAnsi="Times New Roman" w:cs="Times New Roman"/>
                <w:sz w:val="24"/>
                <w:szCs w:val="24"/>
              </w:rPr>
            </w:pPr>
          </w:p>
        </w:tc>
        <w:tc>
          <w:tcPr>
            <w:tcW w:w="2358" w:type="pct"/>
            <w:shd w:val="clear" w:color="auto" w:fill="auto"/>
            <w:vAlign w:val="center"/>
          </w:tcPr>
          <w:p w14:paraId="33B3E90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Tertiary</w:t>
            </w:r>
          </w:p>
        </w:tc>
        <w:tc>
          <w:tcPr>
            <w:tcW w:w="624" w:type="pct"/>
            <w:shd w:val="clear" w:color="auto" w:fill="auto"/>
            <w:vAlign w:val="center"/>
          </w:tcPr>
          <w:p w14:paraId="666CF75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117</w:t>
            </w:r>
          </w:p>
        </w:tc>
        <w:tc>
          <w:tcPr>
            <w:tcW w:w="375" w:type="pct"/>
            <w:shd w:val="clear" w:color="auto" w:fill="auto"/>
            <w:vAlign w:val="center"/>
          </w:tcPr>
          <w:p w14:paraId="2930266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90.0</w:t>
            </w:r>
          </w:p>
        </w:tc>
      </w:tr>
      <w:tr w14:paraId="5A17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52" w:type="pct"/>
            <w:shd w:val="clear" w:color="auto" w:fill="auto"/>
            <w:vAlign w:val="center"/>
          </w:tcPr>
          <w:p w14:paraId="73CDFD5E">
            <w:pPr>
              <w:keepNext w:val="0"/>
              <w:keepLines w:val="0"/>
              <w:widowControl/>
              <w:suppressLineNumbers w:val="0"/>
              <w:jc w:val="left"/>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Position Level</w:t>
            </w:r>
          </w:p>
        </w:tc>
        <w:tc>
          <w:tcPr>
            <w:tcW w:w="2358" w:type="pct"/>
            <w:shd w:val="clear" w:color="auto" w:fill="auto"/>
            <w:vAlign w:val="center"/>
          </w:tcPr>
          <w:p w14:paraId="5A58520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Junior</w:t>
            </w:r>
          </w:p>
        </w:tc>
        <w:tc>
          <w:tcPr>
            <w:tcW w:w="624" w:type="pct"/>
            <w:shd w:val="clear" w:color="auto" w:fill="auto"/>
            <w:vAlign w:val="center"/>
          </w:tcPr>
          <w:p w14:paraId="2EAFFF0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w:t>
            </w:r>
          </w:p>
        </w:tc>
        <w:tc>
          <w:tcPr>
            <w:tcW w:w="375" w:type="pct"/>
            <w:shd w:val="clear" w:color="auto" w:fill="auto"/>
            <w:vAlign w:val="center"/>
          </w:tcPr>
          <w:p w14:paraId="1EDD116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6.9</w:t>
            </w:r>
          </w:p>
        </w:tc>
      </w:tr>
      <w:tr w14:paraId="2381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52" w:type="pct"/>
            <w:shd w:val="clear" w:color="auto" w:fill="auto"/>
            <w:vAlign w:val="center"/>
          </w:tcPr>
          <w:p w14:paraId="02A4C3FE">
            <w:pPr>
              <w:rPr>
                <w:rFonts w:hint="default" w:ascii="Times New Roman" w:hAnsi="Times New Roman" w:cs="Times New Roman"/>
                <w:sz w:val="24"/>
                <w:szCs w:val="24"/>
              </w:rPr>
            </w:pPr>
          </w:p>
        </w:tc>
        <w:tc>
          <w:tcPr>
            <w:tcW w:w="2358" w:type="pct"/>
            <w:shd w:val="clear" w:color="auto" w:fill="auto"/>
            <w:vAlign w:val="center"/>
          </w:tcPr>
          <w:p w14:paraId="587228F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Middle</w:t>
            </w:r>
          </w:p>
        </w:tc>
        <w:tc>
          <w:tcPr>
            <w:tcW w:w="624" w:type="pct"/>
            <w:shd w:val="clear" w:color="auto" w:fill="auto"/>
            <w:vAlign w:val="center"/>
          </w:tcPr>
          <w:p w14:paraId="48DE7EB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w:t>
            </w:r>
          </w:p>
        </w:tc>
        <w:tc>
          <w:tcPr>
            <w:tcW w:w="375" w:type="pct"/>
            <w:shd w:val="clear" w:color="auto" w:fill="auto"/>
            <w:vAlign w:val="center"/>
          </w:tcPr>
          <w:p w14:paraId="2B67AA5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16.9</w:t>
            </w:r>
          </w:p>
        </w:tc>
      </w:tr>
      <w:tr w14:paraId="741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552" w:type="pct"/>
            <w:shd w:val="clear" w:color="auto" w:fill="auto"/>
            <w:vAlign w:val="center"/>
          </w:tcPr>
          <w:p w14:paraId="6EEAEDCA">
            <w:pPr>
              <w:rPr>
                <w:rFonts w:hint="default" w:ascii="Times New Roman" w:hAnsi="Times New Roman" w:cs="Times New Roman"/>
                <w:sz w:val="24"/>
                <w:szCs w:val="24"/>
              </w:rPr>
            </w:pPr>
          </w:p>
        </w:tc>
        <w:tc>
          <w:tcPr>
            <w:tcW w:w="2358" w:type="pct"/>
            <w:shd w:val="clear" w:color="auto" w:fill="auto"/>
            <w:vAlign w:val="center"/>
          </w:tcPr>
          <w:p w14:paraId="1686E3E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Senior</w:t>
            </w:r>
          </w:p>
        </w:tc>
        <w:tc>
          <w:tcPr>
            <w:tcW w:w="624" w:type="pct"/>
            <w:shd w:val="clear" w:color="auto" w:fill="auto"/>
            <w:vAlign w:val="center"/>
          </w:tcPr>
          <w:p w14:paraId="15081A0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99</w:t>
            </w:r>
          </w:p>
        </w:tc>
        <w:tc>
          <w:tcPr>
            <w:tcW w:w="375" w:type="pct"/>
            <w:shd w:val="clear" w:color="auto" w:fill="auto"/>
            <w:vAlign w:val="center"/>
          </w:tcPr>
          <w:p w14:paraId="16D1E1A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76.2</w:t>
            </w:r>
          </w:p>
        </w:tc>
      </w:tr>
    </w:tbl>
    <w:p w14:paraId="6A929AD1">
      <w:pPr>
        <w:keepNext w:val="0"/>
        <w:keepLines w:val="0"/>
        <w:widowControl/>
        <w:suppressLineNumbers w:val="0"/>
        <w:rPr>
          <w:rFonts w:hint="default" w:ascii="Times New Roman" w:hAnsi="Times New Roman" w:cs="Times New Roman"/>
          <w:sz w:val="24"/>
          <w:szCs w:val="24"/>
        </w:rPr>
      </w:pPr>
    </w:p>
    <w:p w14:paraId="7EA70AB0">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3.2 Descriptive Statistics and Correlation Analysis</w:t>
      </w:r>
    </w:p>
    <w:p w14:paraId="609D703F">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Table 2 presents descriptive statistics and Pearson correlation coefficients for distribution performance (Y) and key management decision variables (X1–X4). The mean distribution performance score was 34.75 (SD = 2.58). Procurement decision (X1) recorded the highest mean score (22.69 ± 2.08), while product selection (X2), product range (X3), and cost burden responsibility (X4) recorded mean scores of 18.52 ± 3.80, 19.15 ± 3.20, and 19.17 ± 3.40, respectively.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All </w:t>
      </w:r>
      <w:r>
        <w:rPr>
          <w:rFonts w:hint="default" w:ascii="Times New Roman" w:hAnsi="Times New Roman" w:cs="Times New Roman"/>
          <w:sz w:val="24"/>
          <w:szCs w:val="24"/>
          <w:lang w:val="en-US"/>
        </w:rPr>
        <w:t>key management decision</w:t>
      </w:r>
      <w:r>
        <w:rPr>
          <w:rFonts w:hint="default" w:ascii="Times New Roman" w:hAnsi="Times New Roman" w:cs="Times New Roman"/>
          <w:sz w:val="24"/>
          <w:szCs w:val="24"/>
        </w:rPr>
        <w:t xml:space="preserve"> variables demonstrated positive and statistically significant correlations with distribution performance (p &lt; 0.05).</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Procurement decision demonstrated the strongest correlation (r = 0.824).</w:t>
      </w:r>
    </w:p>
    <w:p w14:paraId="01DFF455">
      <w:pPr>
        <w:pStyle w:val="4"/>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Table 2. Descriptive Statistics and Pearson Correlation Matrix (N = 130)</w:t>
      </w:r>
    </w:p>
    <w:tbl>
      <w:tblPr>
        <w:tblStyle w:val="7"/>
        <w:tblW w:w="4997"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35"/>
        <w:gridCol w:w="712"/>
        <w:gridCol w:w="527"/>
        <w:gridCol w:w="660"/>
        <w:gridCol w:w="660"/>
        <w:gridCol w:w="660"/>
        <w:gridCol w:w="660"/>
        <w:gridCol w:w="677"/>
      </w:tblGrid>
      <w:tr w14:paraId="76B5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2257" w:type="pct"/>
            <w:shd w:val="clear" w:color="auto" w:fill="auto"/>
            <w:vAlign w:val="center"/>
          </w:tcPr>
          <w:p w14:paraId="45A0B96F">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Variable</w:t>
            </w:r>
          </w:p>
        </w:tc>
        <w:tc>
          <w:tcPr>
            <w:tcW w:w="406" w:type="pct"/>
            <w:shd w:val="clear" w:color="auto" w:fill="auto"/>
            <w:vAlign w:val="center"/>
          </w:tcPr>
          <w:p w14:paraId="2160EF20">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Mean</w:t>
            </w:r>
          </w:p>
        </w:tc>
        <w:tc>
          <w:tcPr>
            <w:tcW w:w="296" w:type="pct"/>
            <w:shd w:val="clear" w:color="auto" w:fill="auto"/>
            <w:vAlign w:val="center"/>
          </w:tcPr>
          <w:p w14:paraId="3AAFA82D">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SD</w:t>
            </w:r>
          </w:p>
        </w:tc>
        <w:tc>
          <w:tcPr>
            <w:tcW w:w="375" w:type="pct"/>
            <w:shd w:val="clear" w:color="auto" w:fill="auto"/>
            <w:vAlign w:val="center"/>
          </w:tcPr>
          <w:p w14:paraId="3258265E">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1</w:t>
            </w:r>
          </w:p>
        </w:tc>
        <w:tc>
          <w:tcPr>
            <w:tcW w:w="375" w:type="pct"/>
            <w:shd w:val="clear" w:color="auto" w:fill="auto"/>
            <w:vAlign w:val="center"/>
          </w:tcPr>
          <w:p w14:paraId="73250E2C">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2</w:t>
            </w:r>
          </w:p>
        </w:tc>
        <w:tc>
          <w:tcPr>
            <w:tcW w:w="375" w:type="pct"/>
            <w:shd w:val="clear" w:color="auto" w:fill="auto"/>
            <w:vAlign w:val="center"/>
          </w:tcPr>
          <w:p w14:paraId="52947DDD">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3</w:t>
            </w:r>
          </w:p>
        </w:tc>
        <w:tc>
          <w:tcPr>
            <w:tcW w:w="375" w:type="pct"/>
            <w:shd w:val="clear" w:color="auto" w:fill="auto"/>
            <w:vAlign w:val="center"/>
          </w:tcPr>
          <w:p w14:paraId="337FAED9">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4</w:t>
            </w:r>
          </w:p>
        </w:tc>
        <w:tc>
          <w:tcPr>
            <w:tcW w:w="376" w:type="pct"/>
            <w:shd w:val="clear" w:color="auto" w:fill="auto"/>
            <w:vAlign w:val="center"/>
          </w:tcPr>
          <w:p w14:paraId="75172508">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5</w:t>
            </w:r>
          </w:p>
        </w:tc>
      </w:tr>
      <w:tr w14:paraId="474B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257" w:type="pct"/>
            <w:shd w:val="clear" w:color="auto" w:fill="auto"/>
            <w:vAlign w:val="center"/>
          </w:tcPr>
          <w:p w14:paraId="2D3A4FF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 Y (Distribution Performance)</w:t>
            </w:r>
          </w:p>
        </w:tc>
        <w:tc>
          <w:tcPr>
            <w:tcW w:w="406" w:type="pct"/>
            <w:shd w:val="clear" w:color="auto" w:fill="auto"/>
            <w:vAlign w:val="center"/>
          </w:tcPr>
          <w:p w14:paraId="2C1770D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34.75</w:t>
            </w:r>
          </w:p>
        </w:tc>
        <w:tc>
          <w:tcPr>
            <w:tcW w:w="296" w:type="pct"/>
            <w:shd w:val="clear" w:color="auto" w:fill="auto"/>
            <w:vAlign w:val="center"/>
          </w:tcPr>
          <w:p w14:paraId="4F8C66A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2.58</w:t>
            </w:r>
          </w:p>
        </w:tc>
        <w:tc>
          <w:tcPr>
            <w:tcW w:w="375" w:type="pct"/>
            <w:shd w:val="clear" w:color="auto" w:fill="auto"/>
            <w:vAlign w:val="center"/>
          </w:tcPr>
          <w:p w14:paraId="74110E2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1.000</w:t>
            </w:r>
          </w:p>
        </w:tc>
        <w:tc>
          <w:tcPr>
            <w:tcW w:w="375" w:type="pct"/>
            <w:shd w:val="clear" w:color="auto" w:fill="auto"/>
            <w:vAlign w:val="center"/>
          </w:tcPr>
          <w:p w14:paraId="75F476A1">
            <w:pPr>
              <w:rPr>
                <w:rFonts w:hint="default" w:ascii="Times New Roman" w:hAnsi="Times New Roman" w:cs="Times New Roman"/>
                <w:sz w:val="24"/>
                <w:szCs w:val="24"/>
              </w:rPr>
            </w:pPr>
          </w:p>
        </w:tc>
        <w:tc>
          <w:tcPr>
            <w:tcW w:w="375" w:type="pct"/>
            <w:shd w:val="clear" w:color="auto" w:fill="auto"/>
            <w:vAlign w:val="center"/>
          </w:tcPr>
          <w:p w14:paraId="7ED9F313">
            <w:pPr>
              <w:rPr>
                <w:rFonts w:hint="default" w:ascii="Times New Roman" w:hAnsi="Times New Roman" w:cs="Times New Roman"/>
                <w:sz w:val="24"/>
                <w:szCs w:val="24"/>
              </w:rPr>
            </w:pPr>
          </w:p>
        </w:tc>
        <w:tc>
          <w:tcPr>
            <w:tcW w:w="375" w:type="pct"/>
            <w:shd w:val="clear" w:color="auto" w:fill="auto"/>
            <w:vAlign w:val="center"/>
          </w:tcPr>
          <w:p w14:paraId="36BEAE45">
            <w:pPr>
              <w:rPr>
                <w:rFonts w:hint="default" w:ascii="Times New Roman" w:hAnsi="Times New Roman" w:cs="Times New Roman"/>
                <w:sz w:val="24"/>
                <w:szCs w:val="24"/>
              </w:rPr>
            </w:pPr>
          </w:p>
        </w:tc>
        <w:tc>
          <w:tcPr>
            <w:tcW w:w="376" w:type="pct"/>
            <w:shd w:val="clear" w:color="auto" w:fill="auto"/>
            <w:vAlign w:val="center"/>
          </w:tcPr>
          <w:p w14:paraId="263EA7E7">
            <w:pPr>
              <w:rPr>
                <w:rFonts w:hint="default" w:ascii="Times New Roman" w:hAnsi="Times New Roman" w:cs="Times New Roman"/>
                <w:sz w:val="24"/>
                <w:szCs w:val="24"/>
              </w:rPr>
            </w:pPr>
          </w:p>
        </w:tc>
      </w:tr>
      <w:tr w14:paraId="6E75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57" w:type="pct"/>
            <w:shd w:val="clear" w:color="auto" w:fill="auto"/>
            <w:vAlign w:val="center"/>
          </w:tcPr>
          <w:p w14:paraId="5ABB430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 X1 (Procurement Decision)</w:t>
            </w:r>
          </w:p>
        </w:tc>
        <w:tc>
          <w:tcPr>
            <w:tcW w:w="406" w:type="pct"/>
            <w:shd w:val="clear" w:color="auto" w:fill="auto"/>
            <w:vAlign w:val="center"/>
          </w:tcPr>
          <w:p w14:paraId="528C4F6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22.69</w:t>
            </w:r>
          </w:p>
        </w:tc>
        <w:tc>
          <w:tcPr>
            <w:tcW w:w="296" w:type="pct"/>
            <w:shd w:val="clear" w:color="auto" w:fill="auto"/>
            <w:vAlign w:val="center"/>
          </w:tcPr>
          <w:p w14:paraId="578D47D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2.08</w:t>
            </w:r>
          </w:p>
        </w:tc>
        <w:tc>
          <w:tcPr>
            <w:tcW w:w="375" w:type="pct"/>
            <w:shd w:val="clear" w:color="auto" w:fill="auto"/>
            <w:vAlign w:val="center"/>
          </w:tcPr>
          <w:p w14:paraId="6E58CA3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.824*</w:t>
            </w:r>
          </w:p>
        </w:tc>
        <w:tc>
          <w:tcPr>
            <w:tcW w:w="375" w:type="pct"/>
            <w:shd w:val="clear" w:color="auto" w:fill="auto"/>
            <w:vAlign w:val="center"/>
          </w:tcPr>
          <w:p w14:paraId="563D27E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1.000</w:t>
            </w:r>
          </w:p>
        </w:tc>
        <w:tc>
          <w:tcPr>
            <w:tcW w:w="375" w:type="pct"/>
            <w:shd w:val="clear" w:color="auto" w:fill="auto"/>
            <w:vAlign w:val="center"/>
          </w:tcPr>
          <w:p w14:paraId="6B9C35CD">
            <w:pPr>
              <w:rPr>
                <w:rFonts w:hint="default" w:ascii="Times New Roman" w:hAnsi="Times New Roman" w:cs="Times New Roman"/>
                <w:sz w:val="24"/>
                <w:szCs w:val="24"/>
              </w:rPr>
            </w:pPr>
          </w:p>
        </w:tc>
        <w:tc>
          <w:tcPr>
            <w:tcW w:w="375" w:type="pct"/>
            <w:shd w:val="clear" w:color="auto" w:fill="auto"/>
            <w:vAlign w:val="center"/>
          </w:tcPr>
          <w:p w14:paraId="4FFD240C">
            <w:pPr>
              <w:rPr>
                <w:rFonts w:hint="default" w:ascii="Times New Roman" w:hAnsi="Times New Roman" w:cs="Times New Roman"/>
                <w:sz w:val="24"/>
                <w:szCs w:val="24"/>
              </w:rPr>
            </w:pPr>
          </w:p>
        </w:tc>
        <w:tc>
          <w:tcPr>
            <w:tcW w:w="376" w:type="pct"/>
            <w:shd w:val="clear" w:color="auto" w:fill="auto"/>
            <w:vAlign w:val="center"/>
          </w:tcPr>
          <w:p w14:paraId="2A2566F1">
            <w:pPr>
              <w:rPr>
                <w:rFonts w:hint="default" w:ascii="Times New Roman" w:hAnsi="Times New Roman" w:cs="Times New Roman"/>
                <w:sz w:val="24"/>
                <w:szCs w:val="24"/>
              </w:rPr>
            </w:pPr>
          </w:p>
        </w:tc>
      </w:tr>
      <w:tr w14:paraId="01D0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257" w:type="pct"/>
            <w:shd w:val="clear" w:color="auto" w:fill="auto"/>
            <w:vAlign w:val="center"/>
          </w:tcPr>
          <w:p w14:paraId="0A46A67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 X2 (Product Selection)</w:t>
            </w:r>
          </w:p>
        </w:tc>
        <w:tc>
          <w:tcPr>
            <w:tcW w:w="406" w:type="pct"/>
            <w:shd w:val="clear" w:color="auto" w:fill="auto"/>
            <w:vAlign w:val="center"/>
          </w:tcPr>
          <w:p w14:paraId="10380F3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18.52</w:t>
            </w:r>
          </w:p>
        </w:tc>
        <w:tc>
          <w:tcPr>
            <w:tcW w:w="296" w:type="pct"/>
            <w:shd w:val="clear" w:color="auto" w:fill="auto"/>
            <w:vAlign w:val="center"/>
          </w:tcPr>
          <w:p w14:paraId="374537C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3.80</w:t>
            </w:r>
          </w:p>
        </w:tc>
        <w:tc>
          <w:tcPr>
            <w:tcW w:w="375" w:type="pct"/>
            <w:shd w:val="clear" w:color="auto" w:fill="auto"/>
            <w:vAlign w:val="center"/>
          </w:tcPr>
          <w:p w14:paraId="6DE7A3A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.732*</w:t>
            </w:r>
          </w:p>
        </w:tc>
        <w:tc>
          <w:tcPr>
            <w:tcW w:w="375" w:type="pct"/>
            <w:shd w:val="clear" w:color="auto" w:fill="auto"/>
            <w:vAlign w:val="center"/>
          </w:tcPr>
          <w:p w14:paraId="6E3C1C3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.251*</w:t>
            </w:r>
          </w:p>
        </w:tc>
        <w:tc>
          <w:tcPr>
            <w:tcW w:w="375" w:type="pct"/>
            <w:shd w:val="clear" w:color="auto" w:fill="auto"/>
            <w:vAlign w:val="center"/>
          </w:tcPr>
          <w:p w14:paraId="39AFE4C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1.000</w:t>
            </w:r>
          </w:p>
        </w:tc>
        <w:tc>
          <w:tcPr>
            <w:tcW w:w="375" w:type="pct"/>
            <w:shd w:val="clear" w:color="auto" w:fill="auto"/>
            <w:vAlign w:val="center"/>
          </w:tcPr>
          <w:p w14:paraId="35F7BB58">
            <w:pPr>
              <w:rPr>
                <w:rFonts w:hint="default" w:ascii="Times New Roman" w:hAnsi="Times New Roman" w:cs="Times New Roman"/>
                <w:sz w:val="24"/>
                <w:szCs w:val="24"/>
              </w:rPr>
            </w:pPr>
          </w:p>
        </w:tc>
        <w:tc>
          <w:tcPr>
            <w:tcW w:w="376" w:type="pct"/>
            <w:shd w:val="clear" w:color="auto" w:fill="auto"/>
            <w:vAlign w:val="center"/>
          </w:tcPr>
          <w:p w14:paraId="22C2BCE5">
            <w:pPr>
              <w:rPr>
                <w:rFonts w:hint="default" w:ascii="Times New Roman" w:hAnsi="Times New Roman" w:cs="Times New Roman"/>
                <w:sz w:val="24"/>
                <w:szCs w:val="24"/>
              </w:rPr>
            </w:pPr>
          </w:p>
        </w:tc>
      </w:tr>
      <w:tr w14:paraId="2F6A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57" w:type="pct"/>
            <w:shd w:val="clear" w:color="auto" w:fill="auto"/>
            <w:vAlign w:val="center"/>
          </w:tcPr>
          <w:p w14:paraId="3021DA2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 X3 (Product Range)</w:t>
            </w:r>
          </w:p>
        </w:tc>
        <w:tc>
          <w:tcPr>
            <w:tcW w:w="406" w:type="pct"/>
            <w:shd w:val="clear" w:color="auto" w:fill="auto"/>
            <w:vAlign w:val="center"/>
          </w:tcPr>
          <w:p w14:paraId="3CA1C8F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19.15</w:t>
            </w:r>
          </w:p>
        </w:tc>
        <w:tc>
          <w:tcPr>
            <w:tcW w:w="296" w:type="pct"/>
            <w:shd w:val="clear" w:color="auto" w:fill="auto"/>
            <w:vAlign w:val="center"/>
          </w:tcPr>
          <w:p w14:paraId="37FC3DB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3.20</w:t>
            </w:r>
          </w:p>
        </w:tc>
        <w:tc>
          <w:tcPr>
            <w:tcW w:w="375" w:type="pct"/>
            <w:shd w:val="clear" w:color="auto" w:fill="auto"/>
            <w:vAlign w:val="center"/>
          </w:tcPr>
          <w:p w14:paraId="48F3932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.313*</w:t>
            </w:r>
          </w:p>
        </w:tc>
        <w:tc>
          <w:tcPr>
            <w:tcW w:w="375" w:type="pct"/>
            <w:shd w:val="clear" w:color="auto" w:fill="auto"/>
            <w:vAlign w:val="center"/>
          </w:tcPr>
          <w:p w14:paraId="48A9189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.235*</w:t>
            </w:r>
          </w:p>
        </w:tc>
        <w:tc>
          <w:tcPr>
            <w:tcW w:w="375" w:type="pct"/>
            <w:shd w:val="clear" w:color="auto" w:fill="auto"/>
            <w:vAlign w:val="center"/>
          </w:tcPr>
          <w:p w14:paraId="5D28E05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.598*</w:t>
            </w:r>
          </w:p>
        </w:tc>
        <w:tc>
          <w:tcPr>
            <w:tcW w:w="375" w:type="pct"/>
            <w:shd w:val="clear" w:color="auto" w:fill="auto"/>
            <w:vAlign w:val="center"/>
          </w:tcPr>
          <w:p w14:paraId="786FE19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1.000</w:t>
            </w:r>
          </w:p>
        </w:tc>
        <w:tc>
          <w:tcPr>
            <w:tcW w:w="376" w:type="pct"/>
            <w:shd w:val="clear" w:color="auto" w:fill="auto"/>
            <w:vAlign w:val="center"/>
          </w:tcPr>
          <w:p w14:paraId="5833D28D">
            <w:pPr>
              <w:rPr>
                <w:rFonts w:hint="default" w:ascii="Times New Roman" w:hAnsi="Times New Roman" w:cs="Times New Roman"/>
                <w:sz w:val="24"/>
                <w:szCs w:val="24"/>
              </w:rPr>
            </w:pPr>
          </w:p>
        </w:tc>
      </w:tr>
      <w:tr w14:paraId="0F63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57" w:type="pct"/>
            <w:shd w:val="clear" w:color="auto" w:fill="auto"/>
            <w:vAlign w:val="center"/>
          </w:tcPr>
          <w:p w14:paraId="2EDE224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X4 (Cost Burden Responsibility)</w:t>
            </w:r>
          </w:p>
        </w:tc>
        <w:tc>
          <w:tcPr>
            <w:tcW w:w="406" w:type="pct"/>
            <w:shd w:val="clear" w:color="auto" w:fill="auto"/>
            <w:vAlign w:val="center"/>
          </w:tcPr>
          <w:p w14:paraId="6039828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19.17</w:t>
            </w:r>
          </w:p>
        </w:tc>
        <w:tc>
          <w:tcPr>
            <w:tcW w:w="296" w:type="pct"/>
            <w:shd w:val="clear" w:color="auto" w:fill="auto"/>
            <w:vAlign w:val="center"/>
          </w:tcPr>
          <w:p w14:paraId="310EA2D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3.40</w:t>
            </w:r>
          </w:p>
        </w:tc>
        <w:tc>
          <w:tcPr>
            <w:tcW w:w="375" w:type="pct"/>
            <w:shd w:val="clear" w:color="auto" w:fill="auto"/>
            <w:vAlign w:val="center"/>
          </w:tcPr>
          <w:p w14:paraId="32EEA7C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.538*</w:t>
            </w:r>
          </w:p>
        </w:tc>
        <w:tc>
          <w:tcPr>
            <w:tcW w:w="375" w:type="pct"/>
            <w:shd w:val="clear" w:color="auto" w:fill="auto"/>
            <w:vAlign w:val="center"/>
          </w:tcPr>
          <w:p w14:paraId="2D870CF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.253*</w:t>
            </w:r>
          </w:p>
        </w:tc>
        <w:tc>
          <w:tcPr>
            <w:tcW w:w="375" w:type="pct"/>
            <w:shd w:val="clear" w:color="auto" w:fill="auto"/>
            <w:vAlign w:val="center"/>
          </w:tcPr>
          <w:p w14:paraId="4705123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.524*</w:t>
            </w:r>
          </w:p>
        </w:tc>
        <w:tc>
          <w:tcPr>
            <w:tcW w:w="375" w:type="pct"/>
            <w:shd w:val="clear" w:color="auto" w:fill="auto"/>
            <w:vAlign w:val="center"/>
          </w:tcPr>
          <w:p w14:paraId="331F2B5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.523*</w:t>
            </w:r>
          </w:p>
        </w:tc>
        <w:tc>
          <w:tcPr>
            <w:tcW w:w="376" w:type="pct"/>
            <w:shd w:val="clear" w:color="auto" w:fill="auto"/>
            <w:vAlign w:val="center"/>
          </w:tcPr>
          <w:p w14:paraId="28F91F4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1.000</w:t>
            </w:r>
          </w:p>
        </w:tc>
      </w:tr>
    </w:tbl>
    <w:p w14:paraId="2A377C85">
      <w:pPr>
        <w:pStyle w:val="10"/>
        <w:keepNext w:val="0"/>
        <w:keepLines w:val="0"/>
        <w:widowControl/>
        <w:suppressLineNumbers w:val="0"/>
        <w:rPr>
          <w:rFonts w:hint="default" w:ascii="Times New Roman" w:hAnsi="Times New Roman" w:cs="Times New Roman"/>
          <w:sz w:val="24"/>
          <w:szCs w:val="24"/>
        </w:rPr>
      </w:pPr>
      <w:r>
        <w:rPr>
          <w:rStyle w:val="8"/>
          <w:rFonts w:hint="default" w:ascii="Times New Roman" w:hAnsi="Times New Roman" w:cs="Times New Roman"/>
          <w:sz w:val="24"/>
          <w:szCs w:val="24"/>
        </w:rPr>
        <w:t>All correlations significant at p &lt; 0.05 (1-tailed).</w:t>
      </w:r>
    </w:p>
    <w:p w14:paraId="69072447">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3.3 Multiple Linear Regression Analysis</w:t>
      </w:r>
    </w:p>
    <w:p w14:paraId="415B56B3">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All four key management decision variables were entered simultaneously into the regression model to determine their combined and individual contributions to distribution performance</w:t>
      </w:r>
      <w:r>
        <w:rPr>
          <w:rFonts w:hint="default" w:ascii="Times New Roman" w:hAnsi="Times New Roman" w:cs="Times New Roman"/>
          <w:sz w:val="24"/>
          <w:szCs w:val="24"/>
          <w:lang w:val="en-US"/>
        </w:rPr>
        <w:t xml:space="preserve"> (Table 3)</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The model explained 73.7% of the variance in distribution performance (R² = 0.737). The overall regression model was statistically significant (F = 19.619, p &lt; 0.001). All </w:t>
      </w:r>
      <w:r>
        <w:rPr>
          <w:rFonts w:hint="default" w:ascii="Times New Roman" w:hAnsi="Times New Roman" w:cs="Times New Roman"/>
          <w:sz w:val="24"/>
          <w:szCs w:val="24"/>
          <w:lang w:val="en-US"/>
        </w:rPr>
        <w:t xml:space="preserve">four </w:t>
      </w:r>
      <w:r>
        <w:rPr>
          <w:rFonts w:hint="default" w:ascii="Times New Roman" w:hAnsi="Times New Roman" w:cs="Times New Roman"/>
          <w:sz w:val="24"/>
          <w:szCs w:val="24"/>
        </w:rPr>
        <w:t>predictors were statistically significant contributors (p &lt; 0.01). Procurement decision had the highest standardized beta coefficient (β = 0.314), followed by product selection (β = 0.250), cost burden responsibility (β = 0.240), and product range (β = 0.146).</w:t>
      </w:r>
    </w:p>
    <w:p w14:paraId="0B49D923">
      <w:pPr>
        <w:pStyle w:val="4"/>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Table 3. Multiple Linear Regression Model for Distribution Performance (Y)</w:t>
      </w:r>
    </w:p>
    <w:p w14:paraId="14F5F91F">
      <w:pPr>
        <w:pStyle w:val="10"/>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sz w:val="24"/>
          <w:szCs w:val="24"/>
        </w:rPr>
        <w:t>Model Summary</w:t>
      </w:r>
    </w:p>
    <w:tbl>
      <w:tblPr>
        <w:tblStyle w:val="7"/>
        <w:tblW w:w="4998"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67"/>
        <w:gridCol w:w="945"/>
        <w:gridCol w:w="2046"/>
        <w:gridCol w:w="1775"/>
        <w:gridCol w:w="2660"/>
      </w:tblGrid>
      <w:tr w14:paraId="067D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549" w:type="pct"/>
            <w:shd w:val="clear" w:color="auto" w:fill="auto"/>
            <w:vAlign w:val="center"/>
          </w:tcPr>
          <w:p w14:paraId="625D7E5B">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w:t>
            </w:r>
          </w:p>
        </w:tc>
        <w:tc>
          <w:tcPr>
            <w:tcW w:w="545" w:type="pct"/>
            <w:shd w:val="clear" w:color="auto" w:fill="auto"/>
            <w:vAlign w:val="center"/>
          </w:tcPr>
          <w:p w14:paraId="770AF72E">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R²</w:t>
            </w:r>
          </w:p>
        </w:tc>
        <w:tc>
          <w:tcPr>
            <w:tcW w:w="1200" w:type="pct"/>
            <w:shd w:val="clear" w:color="auto" w:fill="auto"/>
            <w:vAlign w:val="center"/>
          </w:tcPr>
          <w:p w14:paraId="4001A951">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Adjusted R²</w:t>
            </w:r>
          </w:p>
        </w:tc>
        <w:tc>
          <w:tcPr>
            <w:tcW w:w="1039" w:type="pct"/>
            <w:shd w:val="clear" w:color="auto" w:fill="auto"/>
            <w:vAlign w:val="center"/>
          </w:tcPr>
          <w:p w14:paraId="358424AC">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Std. Error</w:t>
            </w:r>
          </w:p>
        </w:tc>
        <w:tc>
          <w:tcPr>
            <w:tcW w:w="1557" w:type="pct"/>
            <w:shd w:val="clear" w:color="auto" w:fill="auto"/>
            <w:vAlign w:val="center"/>
          </w:tcPr>
          <w:p w14:paraId="7E3BD085">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Durbin-Watson</w:t>
            </w:r>
          </w:p>
        </w:tc>
      </w:tr>
      <w:tr w14:paraId="25DE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549" w:type="pct"/>
            <w:shd w:val="clear" w:color="auto" w:fill="auto"/>
            <w:vAlign w:val="center"/>
          </w:tcPr>
          <w:p w14:paraId="1A9F995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0.920</w:t>
            </w:r>
          </w:p>
        </w:tc>
        <w:tc>
          <w:tcPr>
            <w:tcW w:w="545" w:type="pct"/>
            <w:shd w:val="clear" w:color="auto" w:fill="auto"/>
            <w:vAlign w:val="center"/>
          </w:tcPr>
          <w:p w14:paraId="4DEEF26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0.737</w:t>
            </w:r>
          </w:p>
        </w:tc>
        <w:tc>
          <w:tcPr>
            <w:tcW w:w="1200" w:type="pct"/>
            <w:shd w:val="clear" w:color="auto" w:fill="auto"/>
            <w:vAlign w:val="center"/>
          </w:tcPr>
          <w:p w14:paraId="11CB994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0.806</w:t>
            </w:r>
          </w:p>
        </w:tc>
        <w:tc>
          <w:tcPr>
            <w:tcW w:w="1039" w:type="pct"/>
            <w:shd w:val="clear" w:color="auto" w:fill="auto"/>
            <w:vAlign w:val="center"/>
          </w:tcPr>
          <w:p w14:paraId="46F7271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0.574</w:t>
            </w:r>
          </w:p>
        </w:tc>
        <w:tc>
          <w:tcPr>
            <w:tcW w:w="1557" w:type="pct"/>
            <w:shd w:val="clear" w:color="auto" w:fill="auto"/>
            <w:vAlign w:val="center"/>
          </w:tcPr>
          <w:p w14:paraId="65CBFFA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4.420</w:t>
            </w:r>
          </w:p>
        </w:tc>
      </w:tr>
    </w:tbl>
    <w:p w14:paraId="37918790">
      <w:pPr>
        <w:pStyle w:val="10"/>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sz w:val="24"/>
          <w:szCs w:val="24"/>
        </w:rPr>
        <w:t>ANOVA</w:t>
      </w:r>
    </w:p>
    <w:tbl>
      <w:tblPr>
        <w:tblStyle w:val="7"/>
        <w:tblW w:w="4998"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11"/>
        <w:gridCol w:w="1626"/>
        <w:gridCol w:w="813"/>
        <w:gridCol w:w="1393"/>
        <w:gridCol w:w="1393"/>
        <w:gridCol w:w="957"/>
      </w:tblGrid>
      <w:tr w14:paraId="6646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289" w:type="pct"/>
            <w:shd w:val="clear" w:color="auto" w:fill="auto"/>
            <w:vAlign w:val="center"/>
          </w:tcPr>
          <w:p w14:paraId="5B09D4A9">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Source</w:t>
            </w:r>
          </w:p>
        </w:tc>
        <w:tc>
          <w:tcPr>
            <w:tcW w:w="950" w:type="pct"/>
            <w:shd w:val="clear" w:color="auto" w:fill="auto"/>
            <w:vAlign w:val="center"/>
          </w:tcPr>
          <w:p w14:paraId="06B7F8AE">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SS</w:t>
            </w:r>
          </w:p>
        </w:tc>
        <w:tc>
          <w:tcPr>
            <w:tcW w:w="466" w:type="pct"/>
            <w:shd w:val="clear" w:color="auto" w:fill="auto"/>
            <w:vAlign w:val="center"/>
          </w:tcPr>
          <w:p w14:paraId="154106B6">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df</w:t>
            </w:r>
          </w:p>
        </w:tc>
        <w:tc>
          <w:tcPr>
            <w:tcW w:w="811" w:type="pct"/>
            <w:shd w:val="clear" w:color="auto" w:fill="auto"/>
            <w:vAlign w:val="center"/>
          </w:tcPr>
          <w:p w14:paraId="08184D75">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MS</w:t>
            </w:r>
          </w:p>
        </w:tc>
        <w:tc>
          <w:tcPr>
            <w:tcW w:w="811" w:type="pct"/>
            <w:shd w:val="clear" w:color="auto" w:fill="auto"/>
            <w:vAlign w:val="center"/>
          </w:tcPr>
          <w:p w14:paraId="726928CD">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F</w:t>
            </w:r>
          </w:p>
        </w:tc>
        <w:tc>
          <w:tcPr>
            <w:tcW w:w="543" w:type="pct"/>
            <w:shd w:val="clear" w:color="auto" w:fill="auto"/>
            <w:vAlign w:val="center"/>
          </w:tcPr>
          <w:p w14:paraId="41B3DA55">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w:t>
            </w:r>
          </w:p>
        </w:tc>
      </w:tr>
      <w:tr w14:paraId="69F3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 w:type="pct"/>
            <w:shd w:val="clear" w:color="auto" w:fill="auto"/>
            <w:vAlign w:val="center"/>
          </w:tcPr>
          <w:p w14:paraId="009BCBF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Regression</w:t>
            </w:r>
          </w:p>
        </w:tc>
        <w:tc>
          <w:tcPr>
            <w:tcW w:w="950" w:type="pct"/>
            <w:shd w:val="clear" w:color="auto" w:fill="auto"/>
            <w:vAlign w:val="center"/>
          </w:tcPr>
          <w:p w14:paraId="65F7205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331.720</w:t>
            </w:r>
          </w:p>
        </w:tc>
        <w:tc>
          <w:tcPr>
            <w:tcW w:w="466" w:type="pct"/>
            <w:shd w:val="clear" w:color="auto" w:fill="auto"/>
            <w:vAlign w:val="center"/>
          </w:tcPr>
          <w:p w14:paraId="2A00278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c>
          <w:tcPr>
            <w:tcW w:w="811" w:type="pct"/>
            <w:shd w:val="clear" w:color="auto" w:fill="auto"/>
            <w:vAlign w:val="center"/>
          </w:tcPr>
          <w:p w14:paraId="06BDC5C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82.930</w:t>
            </w:r>
          </w:p>
        </w:tc>
        <w:tc>
          <w:tcPr>
            <w:tcW w:w="811" w:type="pct"/>
            <w:shd w:val="clear" w:color="auto" w:fill="auto"/>
            <w:vAlign w:val="center"/>
          </w:tcPr>
          <w:p w14:paraId="2E6154C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19.619</w:t>
            </w:r>
          </w:p>
        </w:tc>
        <w:tc>
          <w:tcPr>
            <w:tcW w:w="543" w:type="pct"/>
            <w:shd w:val="clear" w:color="auto" w:fill="auto"/>
            <w:vAlign w:val="center"/>
          </w:tcPr>
          <w:p w14:paraId="0C3558F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w:t>
            </w:r>
          </w:p>
        </w:tc>
      </w:tr>
      <w:tr w14:paraId="01AA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289" w:type="pct"/>
            <w:shd w:val="clear" w:color="auto" w:fill="auto"/>
            <w:vAlign w:val="center"/>
          </w:tcPr>
          <w:p w14:paraId="673B6EE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Residual</w:t>
            </w:r>
          </w:p>
        </w:tc>
        <w:tc>
          <w:tcPr>
            <w:tcW w:w="950" w:type="pct"/>
            <w:shd w:val="clear" w:color="auto" w:fill="auto"/>
            <w:vAlign w:val="center"/>
          </w:tcPr>
          <w:p w14:paraId="50E72FC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528.404</w:t>
            </w:r>
          </w:p>
        </w:tc>
        <w:tc>
          <w:tcPr>
            <w:tcW w:w="466" w:type="pct"/>
            <w:shd w:val="clear" w:color="auto" w:fill="auto"/>
            <w:vAlign w:val="center"/>
          </w:tcPr>
          <w:p w14:paraId="769181C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125</w:t>
            </w:r>
          </w:p>
        </w:tc>
        <w:tc>
          <w:tcPr>
            <w:tcW w:w="811" w:type="pct"/>
            <w:shd w:val="clear" w:color="auto" w:fill="auto"/>
            <w:vAlign w:val="center"/>
          </w:tcPr>
          <w:p w14:paraId="64ECA72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4.227</w:t>
            </w:r>
          </w:p>
        </w:tc>
        <w:tc>
          <w:tcPr>
            <w:tcW w:w="811" w:type="pct"/>
            <w:shd w:val="clear" w:color="auto" w:fill="auto"/>
            <w:vAlign w:val="center"/>
          </w:tcPr>
          <w:p w14:paraId="54BE528D">
            <w:pPr>
              <w:rPr>
                <w:rFonts w:hint="default" w:ascii="Times New Roman" w:hAnsi="Times New Roman" w:cs="Times New Roman"/>
                <w:sz w:val="24"/>
                <w:szCs w:val="24"/>
              </w:rPr>
            </w:pPr>
          </w:p>
        </w:tc>
        <w:tc>
          <w:tcPr>
            <w:tcW w:w="543" w:type="pct"/>
            <w:shd w:val="clear" w:color="auto" w:fill="auto"/>
            <w:vAlign w:val="center"/>
          </w:tcPr>
          <w:p w14:paraId="525976E9">
            <w:pPr>
              <w:rPr>
                <w:rFonts w:hint="default" w:ascii="Times New Roman" w:hAnsi="Times New Roman" w:cs="Times New Roman"/>
                <w:sz w:val="24"/>
                <w:szCs w:val="24"/>
              </w:rPr>
            </w:pPr>
          </w:p>
        </w:tc>
      </w:tr>
      <w:tr w14:paraId="4506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89" w:type="pct"/>
            <w:shd w:val="clear" w:color="auto" w:fill="auto"/>
            <w:vAlign w:val="center"/>
          </w:tcPr>
          <w:p w14:paraId="0849780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Total</w:t>
            </w:r>
          </w:p>
        </w:tc>
        <w:tc>
          <w:tcPr>
            <w:tcW w:w="950" w:type="pct"/>
            <w:shd w:val="clear" w:color="auto" w:fill="auto"/>
            <w:vAlign w:val="center"/>
          </w:tcPr>
          <w:p w14:paraId="7393AF7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860.123</w:t>
            </w:r>
          </w:p>
        </w:tc>
        <w:tc>
          <w:tcPr>
            <w:tcW w:w="466" w:type="pct"/>
            <w:shd w:val="clear" w:color="auto" w:fill="auto"/>
            <w:vAlign w:val="center"/>
          </w:tcPr>
          <w:p w14:paraId="1757AE2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129</w:t>
            </w:r>
          </w:p>
        </w:tc>
        <w:tc>
          <w:tcPr>
            <w:tcW w:w="811" w:type="pct"/>
            <w:shd w:val="clear" w:color="auto" w:fill="auto"/>
            <w:vAlign w:val="center"/>
          </w:tcPr>
          <w:p w14:paraId="163BF364">
            <w:pPr>
              <w:rPr>
                <w:rFonts w:hint="default" w:ascii="Times New Roman" w:hAnsi="Times New Roman" w:cs="Times New Roman"/>
                <w:sz w:val="24"/>
                <w:szCs w:val="24"/>
              </w:rPr>
            </w:pPr>
          </w:p>
        </w:tc>
        <w:tc>
          <w:tcPr>
            <w:tcW w:w="811" w:type="pct"/>
            <w:shd w:val="clear" w:color="auto" w:fill="auto"/>
            <w:vAlign w:val="center"/>
          </w:tcPr>
          <w:p w14:paraId="038768A4">
            <w:pPr>
              <w:rPr>
                <w:rFonts w:hint="default" w:ascii="Times New Roman" w:hAnsi="Times New Roman" w:cs="Times New Roman"/>
                <w:sz w:val="24"/>
                <w:szCs w:val="24"/>
              </w:rPr>
            </w:pPr>
          </w:p>
        </w:tc>
        <w:tc>
          <w:tcPr>
            <w:tcW w:w="543" w:type="pct"/>
            <w:shd w:val="clear" w:color="auto" w:fill="auto"/>
            <w:vAlign w:val="center"/>
          </w:tcPr>
          <w:p w14:paraId="3EBF27E1">
            <w:pPr>
              <w:rPr>
                <w:rFonts w:hint="default" w:ascii="Times New Roman" w:hAnsi="Times New Roman" w:cs="Times New Roman"/>
                <w:sz w:val="24"/>
                <w:szCs w:val="24"/>
              </w:rPr>
            </w:pPr>
          </w:p>
        </w:tc>
      </w:tr>
    </w:tbl>
    <w:p w14:paraId="67CA1AA5">
      <w:pPr>
        <w:pStyle w:val="10"/>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sz w:val="24"/>
          <w:szCs w:val="24"/>
        </w:rPr>
        <w:t>Regression Coefficients</w:t>
      </w:r>
    </w:p>
    <w:tbl>
      <w:tblPr>
        <w:tblStyle w:val="7"/>
        <w:tblW w:w="4997"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68"/>
        <w:gridCol w:w="947"/>
        <w:gridCol w:w="789"/>
        <w:gridCol w:w="789"/>
        <w:gridCol w:w="947"/>
        <w:gridCol w:w="651"/>
      </w:tblGrid>
      <w:tr w14:paraId="0BD2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2516" w:type="pct"/>
            <w:shd w:val="clear" w:color="auto" w:fill="auto"/>
            <w:vAlign w:val="center"/>
          </w:tcPr>
          <w:p w14:paraId="3FA36705">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Variable</w:t>
            </w:r>
          </w:p>
        </w:tc>
        <w:tc>
          <w:tcPr>
            <w:tcW w:w="546" w:type="pct"/>
            <w:shd w:val="clear" w:color="auto" w:fill="auto"/>
            <w:vAlign w:val="center"/>
          </w:tcPr>
          <w:p w14:paraId="4649A6F4">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B</w:t>
            </w:r>
          </w:p>
        </w:tc>
        <w:tc>
          <w:tcPr>
            <w:tcW w:w="452" w:type="pct"/>
            <w:shd w:val="clear" w:color="auto" w:fill="auto"/>
            <w:vAlign w:val="center"/>
          </w:tcPr>
          <w:p w14:paraId="00B32ED0">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SE</w:t>
            </w:r>
          </w:p>
        </w:tc>
        <w:tc>
          <w:tcPr>
            <w:tcW w:w="452" w:type="pct"/>
            <w:shd w:val="clear" w:color="auto" w:fill="auto"/>
            <w:vAlign w:val="center"/>
          </w:tcPr>
          <w:p w14:paraId="12E009C8">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Beta</w:t>
            </w:r>
          </w:p>
        </w:tc>
        <w:tc>
          <w:tcPr>
            <w:tcW w:w="546" w:type="pct"/>
            <w:shd w:val="clear" w:color="auto" w:fill="auto"/>
            <w:vAlign w:val="center"/>
          </w:tcPr>
          <w:p w14:paraId="7953A6EE">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t</w:t>
            </w:r>
          </w:p>
        </w:tc>
        <w:tc>
          <w:tcPr>
            <w:tcW w:w="361" w:type="pct"/>
            <w:shd w:val="clear" w:color="auto" w:fill="auto"/>
            <w:vAlign w:val="center"/>
          </w:tcPr>
          <w:p w14:paraId="0286CA4B">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p</w:t>
            </w:r>
          </w:p>
        </w:tc>
      </w:tr>
      <w:tr w14:paraId="5D75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516" w:type="pct"/>
            <w:shd w:val="clear" w:color="auto" w:fill="auto"/>
            <w:vAlign w:val="center"/>
          </w:tcPr>
          <w:p w14:paraId="5A37E3C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Constant</w:t>
            </w:r>
          </w:p>
        </w:tc>
        <w:tc>
          <w:tcPr>
            <w:tcW w:w="546" w:type="pct"/>
            <w:shd w:val="clear" w:color="auto" w:fill="auto"/>
            <w:vAlign w:val="center"/>
          </w:tcPr>
          <w:p w14:paraId="706853E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26.013</w:t>
            </w:r>
          </w:p>
        </w:tc>
        <w:tc>
          <w:tcPr>
            <w:tcW w:w="452" w:type="pct"/>
            <w:shd w:val="clear" w:color="auto" w:fill="auto"/>
            <w:vAlign w:val="center"/>
          </w:tcPr>
          <w:p w14:paraId="4DF7623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0.629</w:t>
            </w:r>
          </w:p>
        </w:tc>
        <w:tc>
          <w:tcPr>
            <w:tcW w:w="452" w:type="pct"/>
            <w:shd w:val="clear" w:color="auto" w:fill="auto"/>
            <w:vAlign w:val="center"/>
          </w:tcPr>
          <w:p w14:paraId="02549D8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t>
            </w:r>
          </w:p>
        </w:tc>
        <w:tc>
          <w:tcPr>
            <w:tcW w:w="546" w:type="pct"/>
            <w:shd w:val="clear" w:color="auto" w:fill="auto"/>
            <w:vAlign w:val="center"/>
          </w:tcPr>
          <w:p w14:paraId="0BE3BDB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13.700</w:t>
            </w:r>
          </w:p>
        </w:tc>
        <w:tc>
          <w:tcPr>
            <w:tcW w:w="361" w:type="pct"/>
            <w:shd w:val="clear" w:color="auto" w:fill="auto"/>
            <w:vAlign w:val="center"/>
          </w:tcPr>
          <w:p w14:paraId="7873BBD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w:t>
            </w:r>
          </w:p>
        </w:tc>
      </w:tr>
      <w:tr w14:paraId="3C46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516" w:type="pct"/>
            <w:shd w:val="clear" w:color="auto" w:fill="auto"/>
            <w:vAlign w:val="center"/>
          </w:tcPr>
          <w:p w14:paraId="4A34C70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X1 (Procurement)</w:t>
            </w:r>
          </w:p>
        </w:tc>
        <w:tc>
          <w:tcPr>
            <w:tcW w:w="546" w:type="pct"/>
            <w:shd w:val="clear" w:color="auto" w:fill="auto"/>
            <w:vAlign w:val="center"/>
          </w:tcPr>
          <w:p w14:paraId="6CA2331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0.618</w:t>
            </w:r>
          </w:p>
        </w:tc>
        <w:tc>
          <w:tcPr>
            <w:tcW w:w="452" w:type="pct"/>
            <w:shd w:val="clear" w:color="auto" w:fill="auto"/>
            <w:vAlign w:val="center"/>
          </w:tcPr>
          <w:p w14:paraId="12CADCA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0.014</w:t>
            </w:r>
          </w:p>
        </w:tc>
        <w:tc>
          <w:tcPr>
            <w:tcW w:w="452" w:type="pct"/>
            <w:shd w:val="clear" w:color="auto" w:fill="auto"/>
            <w:vAlign w:val="center"/>
          </w:tcPr>
          <w:p w14:paraId="35E9E6C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0.314</w:t>
            </w:r>
          </w:p>
        </w:tc>
        <w:tc>
          <w:tcPr>
            <w:tcW w:w="546" w:type="pct"/>
            <w:shd w:val="clear" w:color="auto" w:fill="auto"/>
            <w:vAlign w:val="center"/>
          </w:tcPr>
          <w:p w14:paraId="09DB21E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11.154</w:t>
            </w:r>
          </w:p>
        </w:tc>
        <w:tc>
          <w:tcPr>
            <w:tcW w:w="361" w:type="pct"/>
            <w:shd w:val="clear" w:color="auto" w:fill="auto"/>
            <w:vAlign w:val="center"/>
          </w:tcPr>
          <w:p w14:paraId="41A969B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w:t>
            </w:r>
          </w:p>
        </w:tc>
      </w:tr>
      <w:tr w14:paraId="1570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516" w:type="pct"/>
            <w:shd w:val="clear" w:color="auto" w:fill="auto"/>
            <w:vAlign w:val="center"/>
          </w:tcPr>
          <w:p w14:paraId="3C5E9B0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X2 (Product Selection)</w:t>
            </w:r>
          </w:p>
        </w:tc>
        <w:tc>
          <w:tcPr>
            <w:tcW w:w="546" w:type="pct"/>
            <w:shd w:val="clear" w:color="auto" w:fill="auto"/>
            <w:vAlign w:val="center"/>
          </w:tcPr>
          <w:p w14:paraId="2CA564D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0.602</w:t>
            </w:r>
          </w:p>
        </w:tc>
        <w:tc>
          <w:tcPr>
            <w:tcW w:w="452" w:type="pct"/>
            <w:shd w:val="clear" w:color="auto" w:fill="auto"/>
            <w:vAlign w:val="center"/>
          </w:tcPr>
          <w:p w14:paraId="6753122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0.079</w:t>
            </w:r>
          </w:p>
        </w:tc>
        <w:tc>
          <w:tcPr>
            <w:tcW w:w="452" w:type="pct"/>
            <w:shd w:val="clear" w:color="auto" w:fill="auto"/>
            <w:vAlign w:val="center"/>
          </w:tcPr>
          <w:p w14:paraId="6B0B6E6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0.250</w:t>
            </w:r>
          </w:p>
        </w:tc>
        <w:tc>
          <w:tcPr>
            <w:tcW w:w="546" w:type="pct"/>
            <w:shd w:val="clear" w:color="auto" w:fill="auto"/>
            <w:vAlign w:val="center"/>
          </w:tcPr>
          <w:p w14:paraId="386DD5D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7.299</w:t>
            </w:r>
          </w:p>
        </w:tc>
        <w:tc>
          <w:tcPr>
            <w:tcW w:w="361" w:type="pct"/>
            <w:shd w:val="clear" w:color="auto" w:fill="auto"/>
            <w:vAlign w:val="center"/>
          </w:tcPr>
          <w:p w14:paraId="37200FD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w:t>
            </w:r>
          </w:p>
        </w:tc>
      </w:tr>
      <w:tr w14:paraId="26A6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516" w:type="pct"/>
            <w:shd w:val="clear" w:color="auto" w:fill="auto"/>
            <w:vAlign w:val="center"/>
          </w:tcPr>
          <w:p w14:paraId="5BD9A90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X3 (Product Range)</w:t>
            </w:r>
          </w:p>
        </w:tc>
        <w:tc>
          <w:tcPr>
            <w:tcW w:w="546" w:type="pct"/>
            <w:shd w:val="clear" w:color="auto" w:fill="auto"/>
            <w:vAlign w:val="center"/>
          </w:tcPr>
          <w:p w14:paraId="4718563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0.318</w:t>
            </w:r>
          </w:p>
        </w:tc>
        <w:tc>
          <w:tcPr>
            <w:tcW w:w="452" w:type="pct"/>
            <w:shd w:val="clear" w:color="auto" w:fill="auto"/>
            <w:vAlign w:val="center"/>
          </w:tcPr>
          <w:p w14:paraId="3DEF854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0.093</w:t>
            </w:r>
          </w:p>
        </w:tc>
        <w:tc>
          <w:tcPr>
            <w:tcW w:w="452" w:type="pct"/>
            <w:shd w:val="clear" w:color="auto" w:fill="auto"/>
            <w:vAlign w:val="center"/>
          </w:tcPr>
          <w:p w14:paraId="5D629FE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0.146</w:t>
            </w:r>
          </w:p>
        </w:tc>
        <w:tc>
          <w:tcPr>
            <w:tcW w:w="546" w:type="pct"/>
            <w:shd w:val="clear" w:color="auto" w:fill="auto"/>
            <w:vAlign w:val="center"/>
          </w:tcPr>
          <w:p w14:paraId="236EF18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5.269</w:t>
            </w:r>
          </w:p>
        </w:tc>
        <w:tc>
          <w:tcPr>
            <w:tcW w:w="361" w:type="pct"/>
            <w:shd w:val="clear" w:color="auto" w:fill="auto"/>
            <w:vAlign w:val="center"/>
          </w:tcPr>
          <w:p w14:paraId="1B6DCFD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.008</w:t>
            </w:r>
          </w:p>
        </w:tc>
      </w:tr>
      <w:tr w14:paraId="0A32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516" w:type="pct"/>
            <w:shd w:val="clear" w:color="auto" w:fill="auto"/>
            <w:vAlign w:val="center"/>
          </w:tcPr>
          <w:p w14:paraId="61E7672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X4 (Cost Burden Responsibility)</w:t>
            </w:r>
          </w:p>
        </w:tc>
        <w:tc>
          <w:tcPr>
            <w:tcW w:w="546" w:type="pct"/>
            <w:shd w:val="clear" w:color="auto" w:fill="auto"/>
            <w:vAlign w:val="center"/>
          </w:tcPr>
          <w:p w14:paraId="550F6EA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0.406</w:t>
            </w:r>
          </w:p>
        </w:tc>
        <w:tc>
          <w:tcPr>
            <w:tcW w:w="452" w:type="pct"/>
            <w:shd w:val="clear" w:color="auto" w:fill="auto"/>
            <w:vAlign w:val="center"/>
          </w:tcPr>
          <w:p w14:paraId="366023B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0.083</w:t>
            </w:r>
          </w:p>
        </w:tc>
        <w:tc>
          <w:tcPr>
            <w:tcW w:w="452" w:type="pct"/>
            <w:shd w:val="clear" w:color="auto" w:fill="auto"/>
            <w:vAlign w:val="center"/>
          </w:tcPr>
          <w:p w14:paraId="1D99B1D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0.240</w:t>
            </w:r>
          </w:p>
        </w:tc>
        <w:tc>
          <w:tcPr>
            <w:tcW w:w="546" w:type="pct"/>
            <w:shd w:val="clear" w:color="auto" w:fill="auto"/>
            <w:vAlign w:val="center"/>
          </w:tcPr>
          <w:p w14:paraId="321B717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6.279</w:t>
            </w:r>
          </w:p>
        </w:tc>
        <w:tc>
          <w:tcPr>
            <w:tcW w:w="361" w:type="pct"/>
            <w:shd w:val="clear" w:color="auto" w:fill="auto"/>
            <w:vAlign w:val="center"/>
          </w:tcPr>
          <w:p w14:paraId="5B86133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.001</w:t>
            </w:r>
          </w:p>
        </w:tc>
      </w:tr>
    </w:tbl>
    <w:p w14:paraId="1C48D2F9">
      <w:pPr>
        <w:keepNext w:val="0"/>
        <w:keepLines w:val="0"/>
        <w:widowControl/>
        <w:suppressLineNumbers w:val="0"/>
        <w:rPr>
          <w:rFonts w:hint="default" w:ascii="Times New Roman" w:hAnsi="Times New Roman" w:cs="Times New Roman"/>
          <w:sz w:val="24"/>
          <w:szCs w:val="24"/>
        </w:rPr>
      </w:pPr>
    </w:p>
    <w:p w14:paraId="2827A77F">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3.4 Key Management Decision Domains</w:t>
      </w:r>
    </w:p>
    <w:p w14:paraId="5012C8A1">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Table 4 presents mean scores for decision components across procurement, product selection, product range, and cost burden responsibility domains. Within procurement, donor willingness (mean = 4.98) and regulatory agency operations (mean = 4.91) recorded the highest scores. Within product selection, user preference (mean = 4.53) recorded the highest score. Government responsibility (mean = 4.74) had the highest mean under cost burden responsibility.</w:t>
      </w:r>
    </w:p>
    <w:p w14:paraId="7C2AFD9B">
      <w:pPr>
        <w:pStyle w:val="4"/>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Table 4. Mean Scores of Decision Factors</w:t>
      </w:r>
    </w:p>
    <w:tbl>
      <w:tblPr>
        <w:tblStyle w:val="7"/>
        <w:tblW w:w="4999"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746"/>
        <w:gridCol w:w="3223"/>
        <w:gridCol w:w="1425"/>
      </w:tblGrid>
      <w:tr w14:paraId="15BC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2204" w:type="pct"/>
            <w:shd w:val="clear" w:color="auto" w:fill="auto"/>
            <w:vAlign w:val="center"/>
          </w:tcPr>
          <w:p w14:paraId="301750DE">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Decision Domain</w:t>
            </w:r>
          </w:p>
        </w:tc>
        <w:tc>
          <w:tcPr>
            <w:tcW w:w="1901" w:type="pct"/>
            <w:shd w:val="clear" w:color="auto" w:fill="auto"/>
            <w:vAlign w:val="center"/>
          </w:tcPr>
          <w:p w14:paraId="4F870701">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Decision Factor</w:t>
            </w:r>
          </w:p>
        </w:tc>
        <w:tc>
          <w:tcPr>
            <w:tcW w:w="822" w:type="pct"/>
            <w:shd w:val="clear" w:color="auto" w:fill="auto"/>
            <w:vAlign w:val="center"/>
          </w:tcPr>
          <w:p w14:paraId="7EED3D80">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Mean Score</w:t>
            </w:r>
          </w:p>
        </w:tc>
      </w:tr>
      <w:tr w14:paraId="0932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174683B3">
            <w:pPr>
              <w:keepNext w:val="0"/>
              <w:keepLines w:val="0"/>
              <w:widowControl/>
              <w:suppressLineNumbers w:val="0"/>
              <w:jc w:val="left"/>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Procurement (X1)</w:t>
            </w:r>
          </w:p>
        </w:tc>
        <w:tc>
          <w:tcPr>
            <w:tcW w:w="1901" w:type="pct"/>
            <w:shd w:val="clear" w:color="auto" w:fill="auto"/>
            <w:vAlign w:val="center"/>
          </w:tcPr>
          <w:p w14:paraId="5F9DF77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Donor willingness</w:t>
            </w:r>
          </w:p>
        </w:tc>
        <w:tc>
          <w:tcPr>
            <w:tcW w:w="822" w:type="pct"/>
            <w:shd w:val="clear" w:color="auto" w:fill="auto"/>
            <w:vAlign w:val="center"/>
          </w:tcPr>
          <w:p w14:paraId="6DC2232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4.98</w:t>
            </w:r>
          </w:p>
        </w:tc>
      </w:tr>
      <w:tr w14:paraId="6C91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0B4CBAD0">
            <w:pPr>
              <w:rPr>
                <w:rFonts w:hint="default" w:ascii="Times New Roman" w:hAnsi="Times New Roman" w:cs="Times New Roman"/>
                <w:sz w:val="24"/>
                <w:szCs w:val="24"/>
              </w:rPr>
            </w:pPr>
          </w:p>
        </w:tc>
        <w:tc>
          <w:tcPr>
            <w:tcW w:w="1901" w:type="pct"/>
            <w:shd w:val="clear" w:color="auto" w:fill="auto"/>
            <w:vAlign w:val="center"/>
          </w:tcPr>
          <w:p w14:paraId="19CF957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Regulatory agency operations</w:t>
            </w:r>
          </w:p>
        </w:tc>
        <w:tc>
          <w:tcPr>
            <w:tcW w:w="822" w:type="pct"/>
            <w:shd w:val="clear" w:color="auto" w:fill="auto"/>
            <w:vAlign w:val="center"/>
          </w:tcPr>
          <w:p w14:paraId="7629131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4.91</w:t>
            </w:r>
          </w:p>
        </w:tc>
      </w:tr>
      <w:tr w14:paraId="72CC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0DC4236C">
            <w:pPr>
              <w:rPr>
                <w:rFonts w:hint="default" w:ascii="Times New Roman" w:hAnsi="Times New Roman" w:cs="Times New Roman"/>
                <w:sz w:val="24"/>
                <w:szCs w:val="24"/>
              </w:rPr>
            </w:pPr>
          </w:p>
        </w:tc>
        <w:tc>
          <w:tcPr>
            <w:tcW w:w="1901" w:type="pct"/>
            <w:shd w:val="clear" w:color="auto" w:fill="auto"/>
            <w:vAlign w:val="center"/>
          </w:tcPr>
          <w:p w14:paraId="5CFF357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Forecasted FP needs</w:t>
            </w:r>
          </w:p>
        </w:tc>
        <w:tc>
          <w:tcPr>
            <w:tcW w:w="822" w:type="pct"/>
            <w:shd w:val="clear" w:color="auto" w:fill="auto"/>
            <w:vAlign w:val="center"/>
          </w:tcPr>
          <w:p w14:paraId="4280770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4.61</w:t>
            </w:r>
          </w:p>
        </w:tc>
      </w:tr>
      <w:tr w14:paraId="3E1B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204" w:type="pct"/>
            <w:shd w:val="clear" w:color="auto" w:fill="auto"/>
            <w:vAlign w:val="center"/>
          </w:tcPr>
          <w:p w14:paraId="4D468C95">
            <w:pPr>
              <w:rPr>
                <w:rFonts w:hint="default" w:ascii="Times New Roman" w:hAnsi="Times New Roman" w:cs="Times New Roman"/>
                <w:sz w:val="24"/>
                <w:szCs w:val="24"/>
              </w:rPr>
            </w:pPr>
          </w:p>
        </w:tc>
        <w:tc>
          <w:tcPr>
            <w:tcW w:w="1901" w:type="pct"/>
            <w:shd w:val="clear" w:color="auto" w:fill="auto"/>
            <w:vAlign w:val="center"/>
          </w:tcPr>
          <w:p w14:paraId="20B9BB3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Market availability</w:t>
            </w:r>
          </w:p>
        </w:tc>
        <w:tc>
          <w:tcPr>
            <w:tcW w:w="822" w:type="pct"/>
            <w:shd w:val="clear" w:color="auto" w:fill="auto"/>
            <w:vAlign w:val="center"/>
          </w:tcPr>
          <w:p w14:paraId="7CBD556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4.42</w:t>
            </w:r>
          </w:p>
        </w:tc>
      </w:tr>
      <w:tr w14:paraId="322A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204" w:type="pct"/>
            <w:shd w:val="clear" w:color="auto" w:fill="auto"/>
            <w:vAlign w:val="center"/>
          </w:tcPr>
          <w:p w14:paraId="1A8CEEDC">
            <w:pPr>
              <w:rPr>
                <w:rFonts w:hint="default" w:ascii="Times New Roman" w:hAnsi="Times New Roman" w:cs="Times New Roman"/>
                <w:sz w:val="24"/>
                <w:szCs w:val="24"/>
              </w:rPr>
            </w:pPr>
          </w:p>
        </w:tc>
        <w:tc>
          <w:tcPr>
            <w:tcW w:w="1901" w:type="pct"/>
            <w:shd w:val="clear" w:color="auto" w:fill="auto"/>
            <w:vAlign w:val="center"/>
          </w:tcPr>
          <w:p w14:paraId="4AE7AD3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Storage facility status</w:t>
            </w:r>
          </w:p>
        </w:tc>
        <w:tc>
          <w:tcPr>
            <w:tcW w:w="822" w:type="pct"/>
            <w:shd w:val="clear" w:color="auto" w:fill="auto"/>
            <w:vAlign w:val="center"/>
          </w:tcPr>
          <w:p w14:paraId="7774463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3.78</w:t>
            </w:r>
          </w:p>
        </w:tc>
      </w:tr>
      <w:tr w14:paraId="0D11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44274540">
            <w:pPr>
              <w:keepNext w:val="0"/>
              <w:keepLines w:val="0"/>
              <w:widowControl/>
              <w:suppressLineNumbers w:val="0"/>
              <w:jc w:val="left"/>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Product Selection (X2)</w:t>
            </w:r>
          </w:p>
        </w:tc>
        <w:tc>
          <w:tcPr>
            <w:tcW w:w="1901" w:type="pct"/>
            <w:shd w:val="clear" w:color="auto" w:fill="auto"/>
            <w:vAlign w:val="center"/>
          </w:tcPr>
          <w:p w14:paraId="660E4C1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Method mix</w:t>
            </w:r>
          </w:p>
        </w:tc>
        <w:tc>
          <w:tcPr>
            <w:tcW w:w="822" w:type="pct"/>
            <w:shd w:val="clear" w:color="auto" w:fill="auto"/>
            <w:vAlign w:val="center"/>
          </w:tcPr>
          <w:p w14:paraId="2A53642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3.00</w:t>
            </w:r>
          </w:p>
        </w:tc>
      </w:tr>
      <w:tr w14:paraId="55CC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49C9DE11">
            <w:pPr>
              <w:rPr>
                <w:rFonts w:hint="default" w:ascii="Times New Roman" w:hAnsi="Times New Roman" w:cs="Times New Roman"/>
                <w:sz w:val="24"/>
                <w:szCs w:val="24"/>
              </w:rPr>
            </w:pPr>
          </w:p>
        </w:tc>
        <w:tc>
          <w:tcPr>
            <w:tcW w:w="1901" w:type="pct"/>
            <w:shd w:val="clear" w:color="auto" w:fill="auto"/>
            <w:vAlign w:val="center"/>
          </w:tcPr>
          <w:p w14:paraId="6F82B09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Product brand</w:t>
            </w:r>
          </w:p>
        </w:tc>
        <w:tc>
          <w:tcPr>
            <w:tcW w:w="822" w:type="pct"/>
            <w:shd w:val="clear" w:color="auto" w:fill="auto"/>
            <w:vAlign w:val="center"/>
          </w:tcPr>
          <w:p w14:paraId="1FD9179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3.19</w:t>
            </w:r>
          </w:p>
        </w:tc>
      </w:tr>
      <w:tr w14:paraId="18DC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204" w:type="pct"/>
            <w:shd w:val="clear" w:color="auto" w:fill="auto"/>
            <w:vAlign w:val="center"/>
          </w:tcPr>
          <w:p w14:paraId="189C5DCC">
            <w:pPr>
              <w:rPr>
                <w:rFonts w:hint="default" w:ascii="Times New Roman" w:hAnsi="Times New Roman" w:cs="Times New Roman"/>
                <w:sz w:val="24"/>
                <w:szCs w:val="24"/>
              </w:rPr>
            </w:pPr>
          </w:p>
        </w:tc>
        <w:tc>
          <w:tcPr>
            <w:tcW w:w="1901" w:type="pct"/>
            <w:shd w:val="clear" w:color="auto" w:fill="auto"/>
            <w:vAlign w:val="center"/>
          </w:tcPr>
          <w:p w14:paraId="261ADE6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User preference</w:t>
            </w:r>
          </w:p>
        </w:tc>
        <w:tc>
          <w:tcPr>
            <w:tcW w:w="822" w:type="pct"/>
            <w:shd w:val="clear" w:color="auto" w:fill="auto"/>
            <w:vAlign w:val="center"/>
          </w:tcPr>
          <w:p w14:paraId="2578D2E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4.53</w:t>
            </w:r>
          </w:p>
        </w:tc>
      </w:tr>
      <w:tr w14:paraId="1C6E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204" w:type="pct"/>
            <w:shd w:val="clear" w:color="auto" w:fill="auto"/>
            <w:vAlign w:val="center"/>
          </w:tcPr>
          <w:p w14:paraId="7E74E9EE">
            <w:pPr>
              <w:rPr>
                <w:rFonts w:hint="default" w:ascii="Times New Roman" w:hAnsi="Times New Roman" w:cs="Times New Roman"/>
                <w:sz w:val="24"/>
                <w:szCs w:val="24"/>
              </w:rPr>
            </w:pPr>
          </w:p>
        </w:tc>
        <w:tc>
          <w:tcPr>
            <w:tcW w:w="1901" w:type="pct"/>
            <w:shd w:val="clear" w:color="auto" w:fill="auto"/>
            <w:vAlign w:val="center"/>
          </w:tcPr>
          <w:p w14:paraId="693FA1D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Price-cost competitiveness</w:t>
            </w:r>
          </w:p>
        </w:tc>
        <w:tc>
          <w:tcPr>
            <w:tcW w:w="822" w:type="pct"/>
            <w:shd w:val="clear" w:color="auto" w:fill="auto"/>
            <w:vAlign w:val="center"/>
          </w:tcPr>
          <w:p w14:paraId="7F50541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2.75</w:t>
            </w:r>
          </w:p>
        </w:tc>
      </w:tr>
      <w:tr w14:paraId="2853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42C1A7BD">
            <w:pPr>
              <w:rPr>
                <w:rFonts w:hint="default" w:ascii="Times New Roman" w:hAnsi="Times New Roman" w:cs="Times New Roman"/>
                <w:sz w:val="24"/>
                <w:szCs w:val="24"/>
              </w:rPr>
            </w:pPr>
          </w:p>
        </w:tc>
        <w:tc>
          <w:tcPr>
            <w:tcW w:w="1901" w:type="pct"/>
            <w:shd w:val="clear" w:color="auto" w:fill="auto"/>
            <w:vAlign w:val="center"/>
          </w:tcPr>
          <w:p w14:paraId="108A0BE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Policy issues</w:t>
            </w:r>
          </w:p>
        </w:tc>
        <w:tc>
          <w:tcPr>
            <w:tcW w:w="822" w:type="pct"/>
            <w:shd w:val="clear" w:color="auto" w:fill="auto"/>
            <w:vAlign w:val="center"/>
          </w:tcPr>
          <w:p w14:paraId="7BCD925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3.81</w:t>
            </w:r>
          </w:p>
        </w:tc>
      </w:tr>
      <w:tr w14:paraId="1D47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1BDDF28F">
            <w:pPr>
              <w:keepNext w:val="0"/>
              <w:keepLines w:val="0"/>
              <w:widowControl/>
              <w:suppressLineNumbers w:val="0"/>
              <w:jc w:val="left"/>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Product Range (X3)</w:t>
            </w:r>
          </w:p>
        </w:tc>
        <w:tc>
          <w:tcPr>
            <w:tcW w:w="1901" w:type="pct"/>
            <w:shd w:val="clear" w:color="auto" w:fill="auto"/>
            <w:vAlign w:val="center"/>
          </w:tcPr>
          <w:p w14:paraId="48D038F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Complete FP portfolio</w:t>
            </w:r>
          </w:p>
        </w:tc>
        <w:tc>
          <w:tcPr>
            <w:tcW w:w="822" w:type="pct"/>
            <w:shd w:val="clear" w:color="auto" w:fill="auto"/>
            <w:vAlign w:val="center"/>
          </w:tcPr>
          <w:p w14:paraId="1545C2A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4.39</w:t>
            </w:r>
          </w:p>
        </w:tc>
      </w:tr>
      <w:tr w14:paraId="4D60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204" w:type="pct"/>
            <w:shd w:val="clear" w:color="auto" w:fill="auto"/>
            <w:vAlign w:val="center"/>
          </w:tcPr>
          <w:p w14:paraId="7A520BF3">
            <w:pPr>
              <w:rPr>
                <w:rFonts w:hint="default" w:ascii="Times New Roman" w:hAnsi="Times New Roman" w:cs="Times New Roman"/>
                <w:sz w:val="24"/>
                <w:szCs w:val="24"/>
              </w:rPr>
            </w:pPr>
          </w:p>
        </w:tc>
        <w:tc>
          <w:tcPr>
            <w:tcW w:w="1901" w:type="pct"/>
            <w:shd w:val="clear" w:color="auto" w:fill="auto"/>
            <w:vAlign w:val="center"/>
          </w:tcPr>
          <w:p w14:paraId="0BE0388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Community involvement</w:t>
            </w:r>
          </w:p>
        </w:tc>
        <w:tc>
          <w:tcPr>
            <w:tcW w:w="822" w:type="pct"/>
            <w:shd w:val="clear" w:color="auto" w:fill="auto"/>
            <w:vAlign w:val="center"/>
          </w:tcPr>
          <w:p w14:paraId="1FB227F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4.05</w:t>
            </w:r>
          </w:p>
        </w:tc>
      </w:tr>
      <w:tr w14:paraId="28B3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59905C2F">
            <w:pPr>
              <w:rPr>
                <w:rFonts w:hint="default" w:ascii="Times New Roman" w:hAnsi="Times New Roman" w:cs="Times New Roman"/>
                <w:sz w:val="24"/>
                <w:szCs w:val="24"/>
              </w:rPr>
            </w:pPr>
          </w:p>
        </w:tc>
        <w:tc>
          <w:tcPr>
            <w:tcW w:w="1901" w:type="pct"/>
            <w:shd w:val="clear" w:color="auto" w:fill="auto"/>
            <w:vAlign w:val="center"/>
          </w:tcPr>
          <w:p w14:paraId="7352E86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Clinic care operation</w:t>
            </w:r>
          </w:p>
        </w:tc>
        <w:tc>
          <w:tcPr>
            <w:tcW w:w="822" w:type="pct"/>
            <w:shd w:val="clear" w:color="auto" w:fill="auto"/>
            <w:vAlign w:val="center"/>
          </w:tcPr>
          <w:p w14:paraId="38C780C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3.86</w:t>
            </w:r>
          </w:p>
        </w:tc>
      </w:tr>
      <w:tr w14:paraId="74BA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67016584">
            <w:pPr>
              <w:rPr>
                <w:rFonts w:hint="default" w:ascii="Times New Roman" w:hAnsi="Times New Roman" w:cs="Times New Roman"/>
                <w:sz w:val="24"/>
                <w:szCs w:val="24"/>
              </w:rPr>
            </w:pPr>
          </w:p>
        </w:tc>
        <w:tc>
          <w:tcPr>
            <w:tcW w:w="1901" w:type="pct"/>
            <w:shd w:val="clear" w:color="auto" w:fill="auto"/>
            <w:vAlign w:val="center"/>
          </w:tcPr>
          <w:p w14:paraId="0D8C5D5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Product quality availability</w:t>
            </w:r>
          </w:p>
        </w:tc>
        <w:tc>
          <w:tcPr>
            <w:tcW w:w="822" w:type="pct"/>
            <w:shd w:val="clear" w:color="auto" w:fill="auto"/>
            <w:vAlign w:val="center"/>
          </w:tcPr>
          <w:p w14:paraId="5480601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3.54</w:t>
            </w:r>
          </w:p>
        </w:tc>
      </w:tr>
      <w:tr w14:paraId="19AB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204" w:type="pct"/>
            <w:shd w:val="clear" w:color="auto" w:fill="auto"/>
            <w:vAlign w:val="center"/>
          </w:tcPr>
          <w:p w14:paraId="209E6DE5">
            <w:pPr>
              <w:rPr>
                <w:rFonts w:hint="default" w:ascii="Times New Roman" w:hAnsi="Times New Roman" w:cs="Times New Roman"/>
                <w:sz w:val="24"/>
                <w:szCs w:val="24"/>
              </w:rPr>
            </w:pPr>
          </w:p>
        </w:tc>
        <w:tc>
          <w:tcPr>
            <w:tcW w:w="1901" w:type="pct"/>
            <w:shd w:val="clear" w:color="auto" w:fill="auto"/>
            <w:vAlign w:val="center"/>
          </w:tcPr>
          <w:p w14:paraId="5C25E5E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Product quantity availability</w:t>
            </w:r>
          </w:p>
        </w:tc>
        <w:tc>
          <w:tcPr>
            <w:tcW w:w="822" w:type="pct"/>
            <w:shd w:val="clear" w:color="auto" w:fill="auto"/>
            <w:vAlign w:val="center"/>
          </w:tcPr>
          <w:p w14:paraId="6407251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3.32</w:t>
            </w:r>
          </w:p>
        </w:tc>
      </w:tr>
      <w:tr w14:paraId="2FD3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204" w:type="pct"/>
            <w:shd w:val="clear" w:color="auto" w:fill="auto"/>
            <w:vAlign w:val="center"/>
          </w:tcPr>
          <w:p w14:paraId="1E30AA77">
            <w:pPr>
              <w:keepNext w:val="0"/>
              <w:keepLines w:val="0"/>
              <w:widowControl/>
              <w:suppressLineNumbers w:val="0"/>
              <w:jc w:val="left"/>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Cost Burden Responsibility (X4)</w:t>
            </w:r>
          </w:p>
        </w:tc>
        <w:tc>
          <w:tcPr>
            <w:tcW w:w="1901" w:type="pct"/>
            <w:shd w:val="clear" w:color="auto" w:fill="auto"/>
            <w:vAlign w:val="center"/>
          </w:tcPr>
          <w:p w14:paraId="0CE08D8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On patients</w:t>
            </w:r>
          </w:p>
        </w:tc>
        <w:tc>
          <w:tcPr>
            <w:tcW w:w="822" w:type="pct"/>
            <w:shd w:val="clear" w:color="auto" w:fill="auto"/>
            <w:vAlign w:val="center"/>
          </w:tcPr>
          <w:p w14:paraId="6D9E50A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3.75</w:t>
            </w:r>
          </w:p>
        </w:tc>
      </w:tr>
      <w:tr w14:paraId="6F82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330259FB">
            <w:pPr>
              <w:rPr>
                <w:rFonts w:hint="default" w:ascii="Times New Roman" w:hAnsi="Times New Roman" w:cs="Times New Roman"/>
                <w:sz w:val="24"/>
                <w:szCs w:val="24"/>
              </w:rPr>
            </w:pPr>
          </w:p>
        </w:tc>
        <w:tc>
          <w:tcPr>
            <w:tcW w:w="1901" w:type="pct"/>
            <w:shd w:val="clear" w:color="auto" w:fill="auto"/>
            <w:vAlign w:val="center"/>
          </w:tcPr>
          <w:p w14:paraId="16941EC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On government</w:t>
            </w:r>
          </w:p>
        </w:tc>
        <w:tc>
          <w:tcPr>
            <w:tcW w:w="822" w:type="pct"/>
            <w:shd w:val="clear" w:color="auto" w:fill="auto"/>
            <w:vAlign w:val="center"/>
          </w:tcPr>
          <w:p w14:paraId="7FC4ED9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4.74</w:t>
            </w:r>
          </w:p>
        </w:tc>
      </w:tr>
      <w:tr w14:paraId="4378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04A4906C">
            <w:pPr>
              <w:rPr>
                <w:rFonts w:hint="default" w:ascii="Times New Roman" w:hAnsi="Times New Roman" w:cs="Times New Roman"/>
                <w:sz w:val="24"/>
                <w:szCs w:val="24"/>
              </w:rPr>
            </w:pPr>
          </w:p>
        </w:tc>
        <w:tc>
          <w:tcPr>
            <w:tcW w:w="1901" w:type="pct"/>
            <w:shd w:val="clear" w:color="auto" w:fill="auto"/>
            <w:vAlign w:val="center"/>
          </w:tcPr>
          <w:p w14:paraId="0D901BF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On suppliers</w:t>
            </w:r>
          </w:p>
        </w:tc>
        <w:tc>
          <w:tcPr>
            <w:tcW w:w="822" w:type="pct"/>
            <w:shd w:val="clear" w:color="auto" w:fill="auto"/>
            <w:vAlign w:val="center"/>
          </w:tcPr>
          <w:p w14:paraId="1DD5749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3.35</w:t>
            </w:r>
          </w:p>
        </w:tc>
      </w:tr>
      <w:tr w14:paraId="05DE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075067AF">
            <w:pPr>
              <w:rPr>
                <w:rFonts w:hint="default" w:ascii="Times New Roman" w:hAnsi="Times New Roman" w:cs="Times New Roman"/>
                <w:sz w:val="24"/>
                <w:szCs w:val="24"/>
              </w:rPr>
            </w:pPr>
          </w:p>
        </w:tc>
        <w:tc>
          <w:tcPr>
            <w:tcW w:w="1901" w:type="pct"/>
            <w:shd w:val="clear" w:color="auto" w:fill="auto"/>
            <w:vAlign w:val="center"/>
          </w:tcPr>
          <w:p w14:paraId="5C72E0B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On private investment</w:t>
            </w:r>
          </w:p>
        </w:tc>
        <w:tc>
          <w:tcPr>
            <w:tcW w:w="822" w:type="pct"/>
            <w:shd w:val="clear" w:color="auto" w:fill="auto"/>
            <w:vAlign w:val="center"/>
          </w:tcPr>
          <w:p w14:paraId="70CD87D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2.94</w:t>
            </w:r>
          </w:p>
        </w:tc>
      </w:tr>
      <w:tr w14:paraId="6ECA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04" w:type="pct"/>
            <w:shd w:val="clear" w:color="auto" w:fill="auto"/>
            <w:vAlign w:val="center"/>
          </w:tcPr>
          <w:p w14:paraId="4F141556">
            <w:pPr>
              <w:rPr>
                <w:rFonts w:hint="default" w:ascii="Times New Roman" w:hAnsi="Times New Roman" w:cs="Times New Roman"/>
                <w:sz w:val="24"/>
                <w:szCs w:val="24"/>
              </w:rPr>
            </w:pPr>
          </w:p>
        </w:tc>
        <w:tc>
          <w:tcPr>
            <w:tcW w:w="1901" w:type="pct"/>
            <w:shd w:val="clear" w:color="auto" w:fill="auto"/>
            <w:vAlign w:val="center"/>
          </w:tcPr>
          <w:p w14:paraId="12D165A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Specified by policy</w:t>
            </w:r>
          </w:p>
        </w:tc>
        <w:tc>
          <w:tcPr>
            <w:tcW w:w="822" w:type="pct"/>
            <w:shd w:val="clear" w:color="auto" w:fill="auto"/>
            <w:vAlign w:val="center"/>
          </w:tcPr>
          <w:p w14:paraId="5943378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4.39</w:t>
            </w:r>
          </w:p>
        </w:tc>
      </w:tr>
    </w:tbl>
    <w:p w14:paraId="2CF84C93">
      <w:pPr>
        <w:keepNext w:val="0"/>
        <w:keepLines w:val="0"/>
        <w:widowControl/>
        <w:suppressLineNumbers w:val="0"/>
        <w:rPr>
          <w:rFonts w:hint="default" w:ascii="Times New Roman" w:hAnsi="Times New Roman" w:cs="Times New Roman"/>
          <w:sz w:val="24"/>
          <w:szCs w:val="24"/>
        </w:rPr>
      </w:pPr>
    </w:p>
    <w:p w14:paraId="1F1BB13A">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3.5 Facility Operational Indicators and Service Output</w:t>
      </w:r>
    </w:p>
    <w:p w14:paraId="1B86574D">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Barrier, oral, and injectable contraceptives were dispensed in 98.5% of facilities. Implants were dispensed in 10.8% of facilities, IUDs in 29.2%, and emergency methods in 3.1%. Stock expiry was reported by 63.1% of facilities, while 6.9% reported stock-outs.</w:t>
      </w:r>
    </w:p>
    <w:p w14:paraId="3E629676">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Operational performance indicators are summarized in Table 5A. Mean stock arrival time was 5.47 hours, and order processing time averaged 6.97 hours. Facilities reported an average of 9.6 patient visits per day and 57 patients per month. The clinic care operations management index was −0.68.</w:t>
      </w:r>
    </w:p>
    <w:p w14:paraId="387E435A">
      <w:pPr>
        <w:pStyle w:val="4"/>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Table 5A. Facility Operational and Service Output Indicators (N = 130)</w:t>
      </w:r>
    </w:p>
    <w:tbl>
      <w:tblPr>
        <w:tblStyle w:val="7"/>
        <w:tblW w:w="4999"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50"/>
        <w:gridCol w:w="1644"/>
      </w:tblGrid>
      <w:tr w14:paraId="553F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3993" w:type="pct"/>
            <w:shd w:val="clear" w:color="auto" w:fill="auto"/>
            <w:vAlign w:val="center"/>
          </w:tcPr>
          <w:p w14:paraId="7A951476">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Indicator</w:t>
            </w:r>
          </w:p>
        </w:tc>
        <w:tc>
          <w:tcPr>
            <w:tcW w:w="952" w:type="pct"/>
            <w:shd w:val="clear" w:color="auto" w:fill="auto"/>
            <w:vAlign w:val="center"/>
          </w:tcPr>
          <w:p w14:paraId="52B76736">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Mean / %</w:t>
            </w:r>
          </w:p>
        </w:tc>
      </w:tr>
      <w:tr w14:paraId="1FAF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993" w:type="pct"/>
            <w:shd w:val="clear" w:color="auto" w:fill="auto"/>
            <w:vAlign w:val="center"/>
          </w:tcPr>
          <w:p w14:paraId="6210578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Stock arrival time (hrs)</w:t>
            </w:r>
          </w:p>
        </w:tc>
        <w:tc>
          <w:tcPr>
            <w:tcW w:w="952" w:type="pct"/>
            <w:shd w:val="clear" w:color="auto" w:fill="auto"/>
            <w:vAlign w:val="center"/>
          </w:tcPr>
          <w:p w14:paraId="2FCE868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5.47</w:t>
            </w:r>
          </w:p>
        </w:tc>
      </w:tr>
      <w:tr w14:paraId="55C5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993" w:type="pct"/>
            <w:shd w:val="clear" w:color="auto" w:fill="auto"/>
            <w:vAlign w:val="center"/>
          </w:tcPr>
          <w:p w14:paraId="7691770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Stock sorting time (hrs)</w:t>
            </w:r>
          </w:p>
        </w:tc>
        <w:tc>
          <w:tcPr>
            <w:tcW w:w="952" w:type="pct"/>
            <w:shd w:val="clear" w:color="auto" w:fill="auto"/>
            <w:vAlign w:val="center"/>
          </w:tcPr>
          <w:p w14:paraId="1828736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4.32</w:t>
            </w:r>
          </w:p>
        </w:tc>
      </w:tr>
      <w:tr w14:paraId="3665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993" w:type="pct"/>
            <w:shd w:val="clear" w:color="auto" w:fill="auto"/>
            <w:vAlign w:val="center"/>
          </w:tcPr>
          <w:p w14:paraId="0FE244D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Order processing time (hrs)</w:t>
            </w:r>
          </w:p>
        </w:tc>
        <w:tc>
          <w:tcPr>
            <w:tcW w:w="952" w:type="pct"/>
            <w:shd w:val="clear" w:color="auto" w:fill="auto"/>
            <w:vAlign w:val="center"/>
          </w:tcPr>
          <w:p w14:paraId="4D6B42B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6.97</w:t>
            </w:r>
          </w:p>
        </w:tc>
      </w:tr>
      <w:tr w14:paraId="42CC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993" w:type="pct"/>
            <w:shd w:val="clear" w:color="auto" w:fill="auto"/>
            <w:vAlign w:val="center"/>
          </w:tcPr>
          <w:p w14:paraId="28B3E75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Delivery distance (km)</w:t>
            </w:r>
          </w:p>
        </w:tc>
        <w:tc>
          <w:tcPr>
            <w:tcW w:w="952" w:type="pct"/>
            <w:shd w:val="clear" w:color="auto" w:fill="auto"/>
            <w:vAlign w:val="center"/>
          </w:tcPr>
          <w:p w14:paraId="0D54B4C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32</w:t>
            </w:r>
          </w:p>
        </w:tc>
      </w:tr>
      <w:tr w14:paraId="44F2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993" w:type="pct"/>
            <w:shd w:val="clear" w:color="auto" w:fill="auto"/>
            <w:vAlign w:val="center"/>
          </w:tcPr>
          <w:p w14:paraId="52BEB3A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Cost per trip (₦)</w:t>
            </w:r>
          </w:p>
        </w:tc>
        <w:tc>
          <w:tcPr>
            <w:tcW w:w="952" w:type="pct"/>
            <w:shd w:val="clear" w:color="auto" w:fill="auto"/>
            <w:vAlign w:val="center"/>
          </w:tcPr>
          <w:p w14:paraId="523315D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2,100</w:t>
            </w:r>
          </w:p>
        </w:tc>
      </w:tr>
      <w:tr w14:paraId="6309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993" w:type="pct"/>
            <w:shd w:val="clear" w:color="auto" w:fill="auto"/>
            <w:vAlign w:val="center"/>
          </w:tcPr>
          <w:p w14:paraId="7551FFD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Alternate dispensing outlets served</w:t>
            </w:r>
          </w:p>
        </w:tc>
        <w:tc>
          <w:tcPr>
            <w:tcW w:w="952" w:type="pct"/>
            <w:shd w:val="clear" w:color="auto" w:fill="auto"/>
            <w:vAlign w:val="center"/>
          </w:tcPr>
          <w:p w14:paraId="36AC9E2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1.6</w:t>
            </w:r>
          </w:p>
        </w:tc>
      </w:tr>
      <w:tr w14:paraId="5C1D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993" w:type="pct"/>
            <w:shd w:val="clear" w:color="auto" w:fill="auto"/>
            <w:vAlign w:val="center"/>
          </w:tcPr>
          <w:p w14:paraId="4C4DE7D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Personnel per day</w:t>
            </w:r>
          </w:p>
        </w:tc>
        <w:tc>
          <w:tcPr>
            <w:tcW w:w="952" w:type="pct"/>
            <w:shd w:val="clear" w:color="auto" w:fill="auto"/>
            <w:vAlign w:val="center"/>
          </w:tcPr>
          <w:p w14:paraId="6ABF7AB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w:t>
            </w:r>
          </w:p>
        </w:tc>
      </w:tr>
      <w:tr w14:paraId="1818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993" w:type="pct"/>
            <w:shd w:val="clear" w:color="auto" w:fill="auto"/>
            <w:vAlign w:val="center"/>
          </w:tcPr>
          <w:p w14:paraId="2A50845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Patient visits per day</w:t>
            </w:r>
          </w:p>
        </w:tc>
        <w:tc>
          <w:tcPr>
            <w:tcW w:w="952" w:type="pct"/>
            <w:shd w:val="clear" w:color="auto" w:fill="auto"/>
            <w:vAlign w:val="center"/>
          </w:tcPr>
          <w:p w14:paraId="7B6995F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9.6</w:t>
            </w:r>
          </w:p>
        </w:tc>
      </w:tr>
      <w:tr w14:paraId="0BB3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993" w:type="pct"/>
            <w:shd w:val="clear" w:color="auto" w:fill="auto"/>
            <w:vAlign w:val="center"/>
          </w:tcPr>
          <w:p w14:paraId="5F51629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Patients per month</w:t>
            </w:r>
          </w:p>
        </w:tc>
        <w:tc>
          <w:tcPr>
            <w:tcW w:w="952" w:type="pct"/>
            <w:shd w:val="clear" w:color="auto" w:fill="auto"/>
            <w:vAlign w:val="center"/>
          </w:tcPr>
          <w:p w14:paraId="5CF3464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57</w:t>
            </w:r>
          </w:p>
        </w:tc>
      </w:tr>
      <w:tr w14:paraId="3D92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993" w:type="pct"/>
            <w:shd w:val="clear" w:color="auto" w:fill="auto"/>
            <w:vAlign w:val="center"/>
          </w:tcPr>
          <w:p w14:paraId="2D81A07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Service time per patient (mins)</w:t>
            </w:r>
          </w:p>
        </w:tc>
        <w:tc>
          <w:tcPr>
            <w:tcW w:w="952" w:type="pct"/>
            <w:shd w:val="clear" w:color="auto" w:fill="auto"/>
            <w:vAlign w:val="center"/>
          </w:tcPr>
          <w:p w14:paraId="786E123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21</w:t>
            </w:r>
          </w:p>
        </w:tc>
      </w:tr>
      <w:tr w14:paraId="05F6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993" w:type="pct"/>
            <w:shd w:val="clear" w:color="auto" w:fill="auto"/>
            <w:vAlign w:val="center"/>
          </w:tcPr>
          <w:p w14:paraId="177A6BA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Clinic Care Operations Index</w:t>
            </w:r>
          </w:p>
        </w:tc>
        <w:tc>
          <w:tcPr>
            <w:tcW w:w="952" w:type="pct"/>
            <w:shd w:val="clear" w:color="auto" w:fill="auto"/>
            <w:vAlign w:val="center"/>
          </w:tcPr>
          <w:p w14:paraId="59E577E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−0.68</w:t>
            </w:r>
          </w:p>
        </w:tc>
      </w:tr>
      <w:tr w14:paraId="77EF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993" w:type="pct"/>
            <w:shd w:val="clear" w:color="auto" w:fill="auto"/>
            <w:vAlign w:val="center"/>
          </w:tcPr>
          <w:p w14:paraId="080155D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Stock-out experienced (%)</w:t>
            </w:r>
          </w:p>
        </w:tc>
        <w:tc>
          <w:tcPr>
            <w:tcW w:w="952" w:type="pct"/>
            <w:shd w:val="clear" w:color="auto" w:fill="auto"/>
            <w:vAlign w:val="center"/>
          </w:tcPr>
          <w:p w14:paraId="5A1AA3F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6.9</w:t>
            </w:r>
          </w:p>
        </w:tc>
      </w:tr>
      <w:tr w14:paraId="4175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3993" w:type="pct"/>
            <w:shd w:val="clear" w:color="auto" w:fill="auto"/>
            <w:vAlign w:val="center"/>
          </w:tcPr>
          <w:p w14:paraId="3FA1003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Stock expiry experienced (%)</w:t>
            </w:r>
          </w:p>
        </w:tc>
        <w:tc>
          <w:tcPr>
            <w:tcW w:w="952" w:type="pct"/>
            <w:shd w:val="clear" w:color="auto" w:fill="auto"/>
            <w:vAlign w:val="center"/>
          </w:tcPr>
          <w:p w14:paraId="2F9F01D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63.1</w:t>
            </w:r>
          </w:p>
        </w:tc>
      </w:tr>
    </w:tbl>
    <w:p w14:paraId="56C9D9CC">
      <w:pPr>
        <w:keepNext w:val="0"/>
        <w:keepLines w:val="0"/>
        <w:widowControl/>
        <w:suppressLineNumbers w:val="0"/>
        <w:rPr>
          <w:rFonts w:hint="default" w:ascii="Times New Roman" w:hAnsi="Times New Roman" w:cs="Times New Roman"/>
          <w:sz w:val="24"/>
          <w:szCs w:val="24"/>
        </w:rPr>
      </w:pPr>
    </w:p>
    <w:p w14:paraId="7E6A70F1">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3.6 Distribution Constraints</w:t>
      </w:r>
    </w:p>
    <w:p w14:paraId="7E5CE9B2">
      <w:pPr>
        <w:rPr>
          <w:rFonts w:hint="default" w:ascii="Times New Roman" w:hAnsi="Times New Roman" w:cs="Times New Roman"/>
          <w:sz w:val="24"/>
          <w:szCs w:val="24"/>
        </w:rPr>
      </w:pPr>
      <w:r>
        <w:rPr>
          <w:rFonts w:hint="default" w:ascii="Times New Roman" w:hAnsi="Times New Roman" w:cs="Times New Roman"/>
          <w:sz w:val="24"/>
          <w:szCs w:val="24"/>
        </w:rPr>
        <w:t>Reported distribution constraints are presented in Figure 2. The most frequently reported constraint was product fluctuation (93.1%), followed by lack of procurement officer (86.9%) and brand preference (83.1%). Documentation delays were reported by 41.5% of facilities.</w:t>
      </w:r>
    </w:p>
    <w:p w14:paraId="19099B7D">
      <w:pPr>
        <w:rPr>
          <w:rFonts w:hint="default" w:ascii="Times New Roman" w:hAnsi="Times New Roman" w:cs="Times New Roman"/>
          <w:sz w:val="24"/>
          <w:szCs w:val="24"/>
        </w:rPr>
      </w:pPr>
    </w:p>
    <w:p w14:paraId="73C09EFE">
      <w:pPr>
        <w:rPr>
          <w:rFonts w:hint="default" w:ascii="Times New Roman" w:hAnsi="Times New Roman" w:cs="Times New Roman"/>
          <w:sz w:val="24"/>
          <w:szCs w:val="24"/>
        </w:rPr>
      </w:pPr>
      <w:r>
        <w:rPr>
          <w:rFonts w:hint="default" w:ascii="Times New Roman" w:hAnsi="Times New Roman" w:cs="Times New Roman"/>
          <w:sz w:val="24"/>
          <w:szCs w:val="24"/>
        </w:rPr>
        <w:t>Figure 2. Reported Distribution Constraints in Public Health Facilities (N = 130)</w:t>
      </w:r>
    </w:p>
    <w:p w14:paraId="37E22FA7">
      <w:pPr>
        <w:pStyle w:val="10"/>
        <w:keepNext w:val="0"/>
        <w:keepLines w:val="0"/>
        <w:widowControl/>
        <w:suppressLineNumbers w:val="0"/>
        <w:rPr>
          <w:rFonts w:hint="default" w:ascii="Times New Roman" w:hAnsi="Times New Roman" w:cs="Times New Roman"/>
          <w:sz w:val="24"/>
          <w:szCs w:val="24"/>
        </w:rPr>
      </w:pPr>
      <w:r>
        <w:rPr>
          <w:rFonts w:hint="default" w:ascii="SimSun" w:hAnsi="SimSun" w:eastAsia="SimSun" w:cs="SimSun"/>
          <w:sz w:val="24"/>
          <w:lang w:val="en-US"/>
        </w:rPr>
        <w:drawing>
          <wp:inline distT="0" distB="0" distL="114300" distR="114300">
            <wp:extent cx="5256530" cy="2988310"/>
            <wp:effectExtent l="5080" t="4445" r="889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F76C17D">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4. </w:t>
      </w:r>
      <w:r>
        <w:rPr>
          <w:rFonts w:hint="default" w:ascii="Times New Roman" w:hAnsi="Times New Roman" w:cs="Times New Roman"/>
          <w:sz w:val="28"/>
          <w:szCs w:val="28"/>
        </w:rPr>
        <w:t>Discussion</w:t>
      </w:r>
    </w:p>
    <w:p w14:paraId="4BFFA361">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This study assessed the influence of key management decisions, facility operational practices, and distribution constraints on modern family planning (FP) commodity distribution in public health facilities in Imo State, Nigeria. The findings demonstrate that procurement decision quality, product range, and cost-burden responsibility significantly influence distribution performance, while operational inefficiencies and logistical constraints exert significant negative effects. These results reinforce the interconnectedness of governance, financing, logistics management, and service delivery quality within contraceptive supply systems.</w:t>
      </w:r>
    </w:p>
    <w:p w14:paraId="466EFD77">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4.1 Procurement Decision Quality and Forecasting Efficiency</w:t>
      </w:r>
    </w:p>
    <w:p w14:paraId="42E09234">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significant influence of procurement decision quality on distribution performance highlights the importance of accurate forecasting, quantification, and timely replenishment systems. Weak selection, forecasting, and inventory control mechanisms in Nigeria’s public health sector have previously been documented by Auta and Banwat (2011), who reported inconsistencies in stock management and quantification processes in rural settings. Similarly, the USAID/DELIVER PROJECT (2011a, 2011b) emphasized that systematic quantification, consumption tracking, and coordinated procurement cycles are central to avoiding both stock-outs and expiries.</w:t>
      </w:r>
    </w:p>
    <w:p w14:paraId="4E7301DE">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63% stock expiry rate observed in this study reflects serious forecasting misalignment and inventory inefficiencies. Expiry-related wastage has also been linked to poor warehouse management and inadequate stock rotation systems (Disabantino, 2025). In addition, O’Hearn and Healy (2003) identified transportation inefficiencies and fragmented distribution channels as contributors to cost inflation and delays in Nigeria’s contraceptive supply chain. Collectively, these findings suggest that procurement decisions must be supported by strengthened logistics management information systems (LMIS) and real-time consumption data to improve alignment between supply and demand.</w:t>
      </w:r>
    </w:p>
    <w:p w14:paraId="16613B03">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Recent global evidence further underscores the importance of adaptive forecasting mechanisms, especially when introducing or scaling contraceptive technologies (LaCroix et al., 2023). Without demand-responsive quantification approaches, procurement systems risk inefficiencies that directly compromise commodity security.</w:t>
      </w:r>
    </w:p>
    <w:p w14:paraId="7C1BC979">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4.2 Product Range (Method Mix) and Distribution Outcomes</w:t>
      </w:r>
    </w:p>
    <w:p w14:paraId="46DC1B2D">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significant influence of product range on distribution performance is consistent with international evidence demonstrating that broader contraceptive method mix increases uptake and continuation rates (Cohen et al., 2024; Singh &amp; Darroch, 2012). Method mix diversity enhances user autonomy and aligns supply with heterogeneous preferences across populations.</w:t>
      </w:r>
    </w:p>
    <w:p w14:paraId="246E029B">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National-level analyses across 59 LMICs found that supportive policies expanding method mix were positively associated with improvements in contraceptive prevalence (Cohen et al., 2024). In Nigeria, trends in contraceptive use show variability in method preference across regions and demographic groups (Atoyebi et al., 2025; Duru et al., 2018). Therefore, limited product range at facility level may suppress utilization even when commodities are technically available.</w:t>
      </w:r>
    </w:p>
    <w:p w14:paraId="1A9F8188">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Low brand utilization (23.7%) in this study suggests constrained choice or weak demand stimulation. Provider bias and inadequate counseling have also been shown to restrict method uptake (Solo &amp; Festin, 2019). Where providers disproportionately promote certain methods or lack training in counseling for full method mix, availability alone does not translate into effective distribution.</w:t>
      </w:r>
    </w:p>
    <w:p w14:paraId="459768E5">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4.3 Cost-Burden Responsibility and Financing Sustainability</w:t>
      </w:r>
    </w:p>
    <w:p w14:paraId="0E66FC58">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significant association between cost-burden responsibility and distribution performance highlights financing as a structural determinant of commodity flow. Sustainable financing for FP commodities remains a pressing challenge in Nigeria (Adewoyin, 2021; Adewoyin, 2021b). While donor contributions have historically supported procurement, inconsistent domestic allocations at state level have created vulnerabilities in supply continuity (Nigeria Health Watch, 2025).</w:t>
      </w:r>
    </w:p>
    <w:p w14:paraId="75FFB67A">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Recent policy analyses emphasize that Nigeria’s FP2030 commitments require stronger state-level financial ownership to reduce donor dependency (Schmidt et al., 2025; Justin Ngong, 2024). Fragmented cost-sharing arrangements between federal, state, and LGA levels may delay procurement cycles and increase distribution inefficiencies. The African Network for Strategic Communication on Health and Development (2013) similarly reported variability in state commitments to funding condom distribution.</w:t>
      </w:r>
    </w:p>
    <w:p w14:paraId="005ED434">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findings of this study therefore reinforce the argument that financing clarity and domestic resource mobilization are central to achieving contraceptive security and long-term sustainability.</w:t>
      </w:r>
    </w:p>
    <w:p w14:paraId="49D1F64D">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4.4 Facility Operational Practices and Service Delivery Efficiency</w:t>
      </w:r>
    </w:p>
    <w:p w14:paraId="04BFE4F6">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Operational inefficiencies observed</w:t>
      </w:r>
      <w:r>
        <w:rPr>
          <w:rFonts w:hint="default" w:ascii="Times New Roman" w:hAnsi="Times New Roman" w:cs="Times New Roman"/>
          <w:sz w:val="24"/>
          <w:szCs w:val="24"/>
          <w:lang w:val="en-US"/>
        </w:rPr>
        <w:t xml:space="preserve"> include </w:t>
      </w:r>
      <w:r>
        <w:rPr>
          <w:rFonts w:hint="default" w:ascii="Times New Roman" w:hAnsi="Times New Roman" w:cs="Times New Roman"/>
          <w:sz w:val="24"/>
          <w:szCs w:val="24"/>
        </w:rPr>
        <w:t>limited personnel productivity (&lt;2 hours/day), low client service coverage (&lt;30%), and moderate prescription compliance (0.68)</w:t>
      </w:r>
      <w:r>
        <w:rPr>
          <w:rFonts w:hint="default" w:ascii="Times New Roman" w:hAnsi="Times New Roman" w:cs="Times New Roman"/>
          <w:sz w:val="24"/>
          <w:szCs w:val="24"/>
          <w:lang w:val="en-US"/>
        </w:rPr>
        <w:t xml:space="preserve"> which </w:t>
      </w:r>
      <w:r>
        <w:rPr>
          <w:rFonts w:hint="default" w:ascii="Times New Roman" w:hAnsi="Times New Roman" w:cs="Times New Roman"/>
          <w:sz w:val="24"/>
          <w:szCs w:val="24"/>
        </w:rPr>
        <w:t>indicate service delivery gaps beyond supply chain issues. Human resource allocation challenges have long been recognized as barriers to effective primary healthcare delivery in Nigeria (Brearley et al., 2011).</w:t>
      </w:r>
    </w:p>
    <w:p w14:paraId="5AE8C740">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Low time allocation to FP services may reflect competing service priorities within facilities. Sharma et al. (2018) emphasized that structured community engagement and service organization improvements significantly increase contraceptive uptake. Similarly, Osaro et al. (2018) found that service delivery modality influences utilization patterns.</w:t>
      </w:r>
    </w:p>
    <w:p w14:paraId="7847F1AF">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prescription compliance index of 0.68 suggests moderate adherence to protocols. Evidence from primary care settings shows that provider-patient relationships and adherence to clinical standards significantly affect medication compliance and trust (Kerse et al., 2004). In FP contexts, counseling quality strongly influences post-abortion and routine contraceptive acceptance (Acre et al., 2022; Assaf et al., 2015). Therefore, operational strengthening must include continuous provider training, supervision, and quality improvement initiatives.</w:t>
      </w:r>
    </w:p>
    <w:p w14:paraId="6EFB5537">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4.5 Distribution Constraints and Structural Barriers</w:t>
      </w:r>
    </w:p>
    <w:p w14:paraId="09D56DB0">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Distribution constraints d</w:t>
      </w:r>
      <w:bookmarkStart w:id="0" w:name="_GoBack"/>
      <w:bookmarkEnd w:id="0"/>
      <w:r>
        <w:rPr>
          <w:rFonts w:hint="default" w:ascii="Times New Roman" w:hAnsi="Times New Roman" w:cs="Times New Roman"/>
          <w:sz w:val="24"/>
          <w:szCs w:val="24"/>
        </w:rPr>
        <w:t>emonstrated a significant negative effect on performance. High transportation costs and prolonged delivery times align with earlier assessments of Nigeria’s logistics system (Kolapo et al., 2007; O’Hearn &amp; Healy, 2003). Supply chain fragmentation and infrastructure weaknesses continue to impede efficient last-mile delivery.</w:t>
      </w:r>
    </w:p>
    <w:p w14:paraId="7C23850E">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Comparative analyses from other public health commodity systems, including Uganda (Raja et al., 2000), demonstrate that integrated logistics reforms can substantially improve availability and reduce wastage. Furthermore, broader logistics literature underscores that distribution efficiency directly influences product availability and utilization (Rushton &amp; Oxley, 1991).</w:t>
      </w:r>
    </w:p>
    <w:p w14:paraId="7BAFE604">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Nigerian context also presents sociocultural influences affecting demand (All Africa, 2011; Catholic Bishops Conference of Nigeria, n.d.). Where demand is suppressed due to misinformation or socioreligious resistance, forecasting becomes more complex, increasing the risk of stock imbalance.</w:t>
      </w:r>
    </w:p>
    <w:p w14:paraId="6A2D5D2B">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4.6 Systems-Level Interpretation</w:t>
      </w:r>
    </w:p>
    <w:p w14:paraId="02DFB4A2">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findings collectively support a systems perspective: distribution performance is not solely a function of commodity availability but results from the interaction between governance quality, financing clarity, operational capacity, and logistical infrastructure.</w:t>
      </w:r>
    </w:p>
    <w:p w14:paraId="041B5500">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Historical analyses of family planning programs in developing countries emphasize that sustainable programs require institutional coherence across these domains (Seltzer, 2002). Nigeria’s evolving FP landscape, including renewed commitments under FP2030 (Justin Ngong, 2024; Schmidt et al., 2025), provides a policy window for strengthening subnational supply chain governance.</w:t>
      </w:r>
    </w:p>
    <w:p w14:paraId="1F40160F">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lang w:val="en-US"/>
        </w:rPr>
        <w:t>7</w:t>
      </w:r>
      <w:r>
        <w:rPr>
          <w:rFonts w:hint="default" w:ascii="Times New Roman" w:hAnsi="Times New Roman" w:cs="Times New Roman"/>
          <w:sz w:val="24"/>
          <w:szCs w:val="24"/>
        </w:rPr>
        <w:t xml:space="preserve"> Strengths and Limitations</w:t>
      </w:r>
    </w:p>
    <w:p w14:paraId="22E22A66">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This study provides rare subnational empirical evidence linking decision quality and operational practices to commodity distribution outcomes. The application of multivariate modeling strengthens analytical rigor.</w:t>
      </w:r>
    </w:p>
    <w:p w14:paraId="4518C24A">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However, as a cross-sectional study (Bangdiwala, 2019), causal inferences remain limited. Additionally, reliance on facility-reported operational data may introduce reporting bias. Longitudinal supply chain audits and mixed-methods approaches are recommended for future research.</w:t>
      </w:r>
    </w:p>
    <w:p w14:paraId="545B9E9C">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lang w:val="en-US"/>
        </w:rPr>
        <w:t>8</w:t>
      </w:r>
      <w:r>
        <w:rPr>
          <w:rFonts w:hint="default" w:ascii="Times New Roman" w:hAnsi="Times New Roman" w:cs="Times New Roman"/>
          <w:sz w:val="24"/>
          <w:szCs w:val="24"/>
        </w:rPr>
        <w:t xml:space="preserve"> Conclusion</w:t>
      </w:r>
    </w:p>
    <w:p w14:paraId="7059D9F8">
      <w:pPr>
        <w:pStyle w:val="10"/>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Modern family planning commodity distribution in Imo State is significantly shaped by procurement decision quality, method mix breadth, financing clarity, operational efficiency, and logistical infrastructure. Strengthening these interdependent components is essential to achieving sustainable contraceptive security in Nigeria. Without systemic reforms across governance, financing, and service delivery domains, improvements in contraceptive access will remain constrained.</w:t>
      </w:r>
    </w:p>
    <w:p w14:paraId="4CA1220F">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13C4278D">
      <w:pPr>
        <w:rPr>
          <w:rFonts w:hint="default" w:ascii="Times New Roman" w:hAnsi="Times New Roman" w:cs="Times New Roman"/>
          <w:sz w:val="24"/>
          <w:szCs w:val="24"/>
          <w:lang w:val="en-US"/>
        </w:rPr>
      </w:pPr>
      <w:r>
        <w:rPr>
          <w:rFonts w:hint="default" w:ascii="Times New Roman" w:hAnsi="Times New Roman" w:cs="Times New Roman"/>
          <w:b/>
          <w:bCs/>
          <w:sz w:val="28"/>
          <w:szCs w:val="28"/>
          <w:lang w:val="en-US"/>
        </w:rPr>
        <w:t>References</w:t>
      </w:r>
      <w:r>
        <w:rPr>
          <w:rFonts w:hint="default" w:ascii="Times New Roman" w:hAnsi="Times New Roman" w:cs="Times New Roman"/>
          <w:sz w:val="24"/>
          <w:szCs w:val="24"/>
          <w:lang w:val="en-US"/>
        </w:rPr>
        <w:t>:</w:t>
      </w:r>
    </w:p>
    <w:p w14:paraId="02E52102">
      <w:pPr>
        <w:pStyle w:val="10"/>
        <w:keepNext w:val="0"/>
        <w:keepLines w:val="0"/>
        <w:widowControl/>
        <w:suppressLineNumbers w:val="0"/>
      </w:pPr>
      <w:r>
        <w:t xml:space="preserve">Abdul-Azeez, I. A., Aworemi, J. R., &amp; Ajiboye, A. O. (2009). A study of the factors militating against the distribution of family planning products in Oyo State of Nigeria. </w:t>
      </w:r>
      <w:r>
        <w:rPr>
          <w:rStyle w:val="8"/>
        </w:rPr>
        <w:t>European Journal of Social Sciences, 11</w:t>
      </w:r>
      <w:r>
        <w:t>(1), 129–135.</w:t>
      </w:r>
    </w:p>
    <w:p w14:paraId="355F6B36">
      <w:pPr>
        <w:pStyle w:val="10"/>
        <w:keepNext w:val="0"/>
        <w:keepLines w:val="0"/>
        <w:widowControl/>
        <w:suppressLineNumbers w:val="0"/>
      </w:pPr>
      <w:r>
        <w:t xml:space="preserve">Acre, V. N., Dijkerman, S., Calhoun, L. M., et al. (2022). The association of quality contraceptive counseling measure with post-abortion contraceptive method acceptance and choice: Results from client exit interviews across eight countries. </w:t>
      </w:r>
      <w:r>
        <w:rPr>
          <w:rStyle w:val="8"/>
        </w:rPr>
        <w:t>BMC Health Services Research, 22</w:t>
      </w:r>
      <w:r>
        <w:t xml:space="preserve">, 1519. </w:t>
      </w:r>
      <w:r>
        <w:fldChar w:fldCharType="begin"/>
      </w:r>
      <w:r>
        <w:instrText xml:space="preserve"> HYPERLINK "https://doi.org/10.1186/s12913-022-08851-0" </w:instrText>
      </w:r>
      <w:r>
        <w:fldChar w:fldCharType="separate"/>
      </w:r>
      <w:r>
        <w:rPr>
          <w:rStyle w:val="9"/>
        </w:rPr>
        <w:t>https://doi.org/10.1186/s12913-022-08851-0</w:t>
      </w:r>
      <w:r>
        <w:fldChar w:fldCharType="end"/>
      </w:r>
    </w:p>
    <w:p w14:paraId="3BA7D35F">
      <w:pPr>
        <w:pStyle w:val="10"/>
        <w:keepNext w:val="0"/>
        <w:keepLines w:val="0"/>
        <w:widowControl/>
        <w:suppressLineNumbers w:val="0"/>
      </w:pPr>
      <w:r>
        <w:t xml:space="preserve">Adewoyin, A. (2021). </w:t>
      </w:r>
      <w:r>
        <w:rPr>
          <w:rStyle w:val="8"/>
        </w:rPr>
        <w:t>Sustainable financing for family planning commodity in Nigeria: Where will the resources come from?</w:t>
      </w:r>
      <w:r>
        <w:t xml:space="preserve"> DGI Consult.</w:t>
      </w:r>
    </w:p>
    <w:p w14:paraId="47EE7CA8">
      <w:pPr>
        <w:pStyle w:val="10"/>
        <w:keepNext w:val="0"/>
        <w:keepLines w:val="0"/>
        <w:widowControl/>
        <w:suppressLineNumbers w:val="0"/>
      </w:pPr>
      <w:r>
        <w:t xml:space="preserve">Akila, D., Akinda, O., Omatosho, O., Okhubo, S., Adefila, A., et al. (2024). Improving contraceptive service quality and accessibility for adolescents and youth through proprietary patent medicine vendors in four Nigerian states. </w:t>
      </w:r>
      <w:r>
        <w:rPr>
          <w:rStyle w:val="8"/>
        </w:rPr>
        <w:t>Global Health: Science and Practice, 12</w:t>
      </w:r>
      <w:r>
        <w:t xml:space="preserve">(Suppl 2), e2200225. </w:t>
      </w:r>
      <w:r>
        <w:fldChar w:fldCharType="begin"/>
      </w:r>
      <w:r>
        <w:instrText xml:space="preserve"> HYPERLINK "https://doi.org/10.9745/GHSP-D-22-00225" </w:instrText>
      </w:r>
      <w:r>
        <w:fldChar w:fldCharType="separate"/>
      </w:r>
      <w:r>
        <w:rPr>
          <w:rStyle w:val="9"/>
        </w:rPr>
        <w:t>https://doi.org/10.9745/GHSP-D-22-00225</w:t>
      </w:r>
      <w:r>
        <w:fldChar w:fldCharType="end"/>
      </w:r>
    </w:p>
    <w:p w14:paraId="29E3CC94">
      <w:pPr>
        <w:pStyle w:val="10"/>
        <w:keepNext w:val="0"/>
        <w:keepLines w:val="0"/>
        <w:widowControl/>
        <w:suppressLineNumbers w:val="0"/>
      </w:pPr>
      <w:r>
        <w:t xml:space="preserve">All Africa. (2011, July 11). Nigeria: We need awareness for family planning methods. </w:t>
      </w:r>
      <w:r>
        <w:fldChar w:fldCharType="begin"/>
      </w:r>
      <w:r>
        <w:instrText xml:space="preserve"> HYPERLINK "https://allafrica.com/" </w:instrText>
      </w:r>
      <w:r>
        <w:fldChar w:fldCharType="separate"/>
      </w:r>
      <w:r>
        <w:rPr>
          <w:rStyle w:val="9"/>
        </w:rPr>
        <w:t>https://allafrica.com</w:t>
      </w:r>
      <w:r>
        <w:fldChar w:fldCharType="end"/>
      </w:r>
    </w:p>
    <w:p w14:paraId="75AEDC98">
      <w:pPr>
        <w:pStyle w:val="10"/>
        <w:keepNext w:val="0"/>
        <w:keepLines w:val="0"/>
        <w:widowControl/>
        <w:suppressLineNumbers w:val="0"/>
      </w:pPr>
      <w:r>
        <w:t xml:space="preserve">Assaf, S., Wang, W., &amp; Mallick, L. (2015). </w:t>
      </w:r>
      <w:r>
        <w:rPr>
          <w:rStyle w:val="8"/>
        </w:rPr>
        <w:t>Quality of care in family planning services at health facilities in Senegal</w:t>
      </w:r>
      <w:r>
        <w:t xml:space="preserve"> (DHS Analytical Studies No. 55). ICF International.</w:t>
      </w:r>
    </w:p>
    <w:p w14:paraId="2AA707D1">
      <w:pPr>
        <w:pStyle w:val="10"/>
        <w:keepNext w:val="0"/>
        <w:keepLines w:val="0"/>
        <w:widowControl/>
        <w:suppressLineNumbers w:val="0"/>
      </w:pPr>
      <w:r>
        <w:t xml:space="preserve">Atoyebi, A. O., Olaoye, S. O., Okunola, M. A., et al. (2025). Trends and pattern of contraceptive use among women attending a family planning clinic at a tertiary health facility in Ibadan, Nigeria. </w:t>
      </w:r>
      <w:r>
        <w:rPr>
          <w:rStyle w:val="8"/>
        </w:rPr>
        <w:t>BMC Public Health, 25</w:t>
      </w:r>
      <w:r>
        <w:t xml:space="preserve">, 2134. </w:t>
      </w:r>
      <w:r>
        <w:fldChar w:fldCharType="begin"/>
      </w:r>
      <w:r>
        <w:instrText xml:space="preserve"> HYPERLINK "https://doi.org/10.1186/s12889-025-23284-0" </w:instrText>
      </w:r>
      <w:r>
        <w:fldChar w:fldCharType="separate"/>
      </w:r>
      <w:r>
        <w:rPr>
          <w:rStyle w:val="9"/>
        </w:rPr>
        <w:t>https://doi.org/10.1186/s12889-025-23284-0</w:t>
      </w:r>
      <w:r>
        <w:fldChar w:fldCharType="end"/>
      </w:r>
    </w:p>
    <w:p w14:paraId="090EF70D">
      <w:pPr>
        <w:pStyle w:val="10"/>
        <w:keepNext w:val="0"/>
        <w:keepLines w:val="0"/>
        <w:widowControl/>
        <w:suppressLineNumbers w:val="0"/>
      </w:pPr>
      <w:r>
        <w:t xml:space="preserve">Auta, A., &amp; Banwat, S. B. (2011). The public health sector supply of modern contraceptives in rural Nigeria: An analysis of selection, forecasting, and inventory control. </w:t>
      </w:r>
      <w:r>
        <w:rPr>
          <w:rStyle w:val="8"/>
        </w:rPr>
        <w:t>Reviews in Health Care, 2</w:t>
      </w:r>
      <w:r>
        <w:t>(3), 185–193.</w:t>
      </w:r>
    </w:p>
    <w:p w14:paraId="66885C8A">
      <w:pPr>
        <w:pStyle w:val="10"/>
        <w:keepNext w:val="0"/>
        <w:keepLines w:val="0"/>
        <w:widowControl/>
        <w:suppressLineNumbers w:val="0"/>
      </w:pPr>
      <w:r>
        <w:t xml:space="preserve">Azubuike, A. S. (2023). Utilization of family planning services and promotion strategies among married couples in Imo State, Nigeria. </w:t>
      </w:r>
      <w:r>
        <w:rPr>
          <w:rStyle w:val="8"/>
        </w:rPr>
        <w:t>International Journal of Human Kinetics, Health and Education, 5</w:t>
      </w:r>
      <w:r>
        <w:t>(1).</w:t>
      </w:r>
    </w:p>
    <w:p w14:paraId="6B57B4EE">
      <w:pPr>
        <w:pStyle w:val="10"/>
        <w:keepNext w:val="0"/>
        <w:keepLines w:val="0"/>
        <w:widowControl/>
        <w:suppressLineNumbers w:val="0"/>
      </w:pPr>
      <w:r>
        <w:t xml:space="preserve">Bangdiwala, S. I. (2019). Basic epidemiology research design 1: Cross-sectional design. </w:t>
      </w:r>
      <w:r>
        <w:rPr>
          <w:rStyle w:val="8"/>
        </w:rPr>
        <w:t>International Journal of Injury Control and Safety Promotion, 26</w:t>
      </w:r>
      <w:r>
        <w:t xml:space="preserve">(1), 124–126. </w:t>
      </w:r>
      <w:r>
        <w:fldChar w:fldCharType="begin"/>
      </w:r>
      <w:r>
        <w:instrText xml:space="preserve"> HYPERLINK "https://doi.org/10.1080/17457300.2018.1556415" </w:instrText>
      </w:r>
      <w:r>
        <w:fldChar w:fldCharType="separate"/>
      </w:r>
      <w:r>
        <w:rPr>
          <w:rStyle w:val="9"/>
        </w:rPr>
        <w:t>https://doi.org/10.1080/17457300.2018.1556415</w:t>
      </w:r>
      <w:r>
        <w:fldChar w:fldCharType="end"/>
      </w:r>
    </w:p>
    <w:p w14:paraId="1BB61ADD">
      <w:pPr>
        <w:pStyle w:val="10"/>
        <w:keepNext w:val="0"/>
        <w:keepLines w:val="0"/>
        <w:widowControl/>
        <w:suppressLineNumbers w:val="0"/>
      </w:pPr>
      <w:r>
        <w:t xml:space="preserve">Brearley, L., Bricki, N., Rawe, K., &amp; Watt, P. (2011). </w:t>
      </w:r>
      <w:r>
        <w:rPr>
          <w:rStyle w:val="8"/>
        </w:rPr>
        <w:t>No child out of reach: Time to end the health worker crisis.</w:t>
      </w:r>
      <w:r>
        <w:t xml:space="preserve"> Save the Children UK.</w:t>
      </w:r>
    </w:p>
    <w:p w14:paraId="6A77B4DF">
      <w:pPr>
        <w:pStyle w:val="10"/>
        <w:keepNext w:val="0"/>
        <w:keepLines w:val="0"/>
        <w:widowControl/>
        <w:suppressLineNumbers w:val="0"/>
      </w:pPr>
      <w:r>
        <w:t>Catholic Bishops Conference of Nigeria. (n.d.). Wasteful spending on family planning commodities: Reaction of the Catholic Bishops Conference of Nigeria.</w:t>
      </w:r>
    </w:p>
    <w:p w14:paraId="529FE884">
      <w:pPr>
        <w:pStyle w:val="10"/>
        <w:keepNext w:val="0"/>
        <w:keepLines w:val="0"/>
        <w:widowControl/>
        <w:suppressLineNumbers w:val="0"/>
      </w:pPr>
      <w:r>
        <w:t xml:space="preserve">CFI Education Inc. (2025). Capacity utilization. </w:t>
      </w:r>
      <w:r>
        <w:fldChar w:fldCharType="begin"/>
      </w:r>
      <w:r>
        <w:instrText xml:space="preserve"> HYPERLINK "https://corporatefinanceinstitute.com/resources/economics/capacity-utilization/" </w:instrText>
      </w:r>
      <w:r>
        <w:fldChar w:fldCharType="separate"/>
      </w:r>
      <w:r>
        <w:rPr>
          <w:rStyle w:val="9"/>
        </w:rPr>
        <w:t>https://corporatefinanceinstitute.com/resources/economics/capacity-utilization/</w:t>
      </w:r>
      <w:r>
        <w:fldChar w:fldCharType="end"/>
      </w:r>
    </w:p>
    <w:p w14:paraId="4B7FA280">
      <w:pPr>
        <w:pStyle w:val="10"/>
        <w:keepNext w:val="0"/>
        <w:keepLines w:val="0"/>
        <w:widowControl/>
        <w:suppressLineNumbers w:val="0"/>
      </w:pPr>
      <w:r>
        <w:t xml:space="preserve">Champions for Change. (2015). </w:t>
      </w:r>
      <w:r>
        <w:rPr>
          <w:rStyle w:val="8"/>
        </w:rPr>
        <w:t>National reproductive health policy (2010).</w:t>
      </w:r>
    </w:p>
    <w:p w14:paraId="2C7496C5">
      <w:pPr>
        <w:pStyle w:val="10"/>
        <w:keepNext w:val="0"/>
        <w:keepLines w:val="0"/>
        <w:widowControl/>
        <w:suppressLineNumbers w:val="0"/>
      </w:pPr>
      <w:r>
        <w:t xml:space="preserve">Cheland, et al. (2012). Contraception and health. </w:t>
      </w:r>
      <w:r>
        <w:rPr>
          <w:rStyle w:val="8"/>
        </w:rPr>
        <w:t>The Lancet.</w:t>
      </w:r>
    </w:p>
    <w:p w14:paraId="027BD40D">
      <w:pPr>
        <w:pStyle w:val="10"/>
        <w:keepNext w:val="0"/>
        <w:keepLines w:val="0"/>
        <w:widowControl/>
        <w:suppressLineNumbers w:val="0"/>
      </w:pPr>
      <w:r>
        <w:t xml:space="preserve">Cohen, M. A., Gold, S., Ostrega, A., &amp; Zingbagba, M. (2024). National policy influences of contraceptive prevalence and method mix strategy: A longitudinal analysis of 59 low- and middle-income countries, 2010–2021. </w:t>
      </w:r>
      <w:r>
        <w:rPr>
          <w:rStyle w:val="8"/>
        </w:rPr>
        <w:t>Global Health: Science and Practice, 12</w:t>
      </w:r>
      <w:r>
        <w:t xml:space="preserve">(2), e2300352. </w:t>
      </w:r>
      <w:r>
        <w:fldChar w:fldCharType="begin"/>
      </w:r>
      <w:r>
        <w:instrText xml:space="preserve"> HYPERLINK "https://doi.org/10.9745/GHSP-D-23-00352" </w:instrText>
      </w:r>
      <w:r>
        <w:fldChar w:fldCharType="separate"/>
      </w:r>
      <w:r>
        <w:rPr>
          <w:rStyle w:val="9"/>
        </w:rPr>
        <w:t>https://doi.org/10.9745/GHSP-D-23-00352</w:t>
      </w:r>
      <w:r>
        <w:fldChar w:fldCharType="end"/>
      </w:r>
    </w:p>
    <w:p w14:paraId="7D07AC5F">
      <w:pPr>
        <w:pStyle w:val="10"/>
        <w:keepNext w:val="0"/>
        <w:keepLines w:val="0"/>
        <w:widowControl/>
        <w:suppressLineNumbers w:val="0"/>
      </w:pPr>
      <w:r>
        <w:t xml:space="preserve">Corroon, M., Kebede, E., Spektor, G., &amp; Speizer, I. (2016). Key role of drug shops and pharmacies for family planning in urban Nigeria and Kenya. </w:t>
      </w:r>
      <w:r>
        <w:rPr>
          <w:rStyle w:val="8"/>
        </w:rPr>
        <w:t>Global Health: Science and Practice, 4</w:t>
      </w:r>
      <w:r>
        <w:t xml:space="preserve">(4), 594–609. </w:t>
      </w:r>
      <w:r>
        <w:fldChar w:fldCharType="begin"/>
      </w:r>
      <w:r>
        <w:instrText xml:space="preserve"> HYPERLINK "https://doi.org/10.9745/GHSP-D-16-00197" </w:instrText>
      </w:r>
      <w:r>
        <w:fldChar w:fldCharType="separate"/>
      </w:r>
      <w:r>
        <w:rPr>
          <w:rStyle w:val="9"/>
        </w:rPr>
        <w:t>https://doi.org/10.9745/GHSP-D-16-00197</w:t>
      </w:r>
      <w:r>
        <w:fldChar w:fldCharType="end"/>
      </w:r>
    </w:p>
    <w:p w14:paraId="5F12F92A">
      <w:pPr>
        <w:pStyle w:val="10"/>
        <w:keepNext w:val="0"/>
        <w:keepLines w:val="0"/>
        <w:widowControl/>
        <w:suppressLineNumbers w:val="0"/>
      </w:pPr>
      <w:r>
        <w:t xml:space="preserve">Darroch, J. E., Sedgh, G., &amp; Ball, H. (2011). </w:t>
      </w:r>
      <w:r>
        <w:rPr>
          <w:rStyle w:val="8"/>
        </w:rPr>
        <w:t>Contraceptive technologies: Responding to women’s needs.</w:t>
      </w:r>
      <w:r>
        <w:t xml:space="preserve"> Guttmacher Institute.</w:t>
      </w:r>
    </w:p>
    <w:p w14:paraId="45B3F3BD">
      <w:pPr>
        <w:pStyle w:val="10"/>
        <w:keepNext w:val="0"/>
        <w:keepLines w:val="0"/>
        <w:widowControl/>
        <w:suppressLineNumbers w:val="0"/>
      </w:pPr>
      <w:r>
        <w:t xml:space="preserve">DFID Nigeria. (2011). </w:t>
      </w:r>
      <w:r>
        <w:rPr>
          <w:rStyle w:val="8"/>
        </w:rPr>
        <w:t>Scaling up access to contraceptive commodities.</w:t>
      </w:r>
      <w:r>
        <w:t xml:space="preserve"> Human Development Team.</w:t>
      </w:r>
    </w:p>
    <w:p w14:paraId="3F025B95">
      <w:pPr>
        <w:pStyle w:val="10"/>
        <w:keepNext w:val="0"/>
        <w:keepLines w:val="0"/>
        <w:widowControl/>
        <w:suppressLineNumbers w:val="0"/>
      </w:pPr>
      <w:r>
        <w:t>Disabantino, J. (2025). The impact of warehouse storage on supply chain management. SPS Ideal Solutions.</w:t>
      </w:r>
    </w:p>
    <w:p w14:paraId="6C93FED4">
      <w:pPr>
        <w:pStyle w:val="10"/>
        <w:keepNext w:val="0"/>
        <w:keepLines w:val="0"/>
        <w:widowControl/>
        <w:suppressLineNumbers w:val="0"/>
      </w:pPr>
      <w:r>
        <w:t xml:space="preserve">Duru, B. C., Emelumadu, F. O., Iwu, C. A., Ohanle, I., Agunwa, C. C., et al. (2018). Socio-demographic determinants of family planning service utilization among women of reproductive age in urban communities of Imo State, Nigeria. </w:t>
      </w:r>
      <w:r>
        <w:rPr>
          <w:rStyle w:val="8"/>
        </w:rPr>
        <w:t>Open Access Library Journal, 5</w:t>
      </w:r>
      <w:r>
        <w:t xml:space="preserve">, 1–21. </w:t>
      </w:r>
      <w:r>
        <w:fldChar w:fldCharType="begin"/>
      </w:r>
      <w:r>
        <w:instrText xml:space="preserve"> HYPERLINK "https://doi.org/10.4236/oalib.1104627" </w:instrText>
      </w:r>
      <w:r>
        <w:fldChar w:fldCharType="separate"/>
      </w:r>
      <w:r>
        <w:rPr>
          <w:rStyle w:val="9"/>
        </w:rPr>
        <w:t>https://doi.org/10.4236/oalib.1104627</w:t>
      </w:r>
      <w:r>
        <w:fldChar w:fldCharType="end"/>
      </w:r>
    </w:p>
    <w:p w14:paraId="765CDCCA">
      <w:pPr>
        <w:pStyle w:val="10"/>
        <w:keepNext w:val="0"/>
        <w:keepLines w:val="0"/>
        <w:widowControl/>
        <w:suppressLineNumbers w:val="0"/>
      </w:pPr>
      <w:r>
        <w:t xml:space="preserve">Fayemi, M., Morroh, G., Oduola, O., Delano, G., Ladipo, O., et al. (2011). Community-based distribution agents’ approach to provision of family planning information and services in five Nigerian states. </w:t>
      </w:r>
      <w:r>
        <w:rPr>
          <w:rStyle w:val="8"/>
        </w:rPr>
        <w:t>African Journal of Primary Health Care &amp; Family Medicine, 3</w:t>
      </w:r>
      <w:r>
        <w:t>(1).</w:t>
      </w:r>
    </w:p>
    <w:p w14:paraId="6852A6FC">
      <w:pPr>
        <w:pStyle w:val="10"/>
        <w:keepNext w:val="0"/>
        <w:keepLines w:val="0"/>
        <w:widowControl/>
        <w:suppressLineNumbers w:val="0"/>
      </w:pPr>
      <w:r>
        <w:t xml:space="preserve">Hassan, S., Masri, H., Sawatha, I., et al. (2024). Perceived barriers and opportunities of providing quality family planning services among Palestinian providers. </w:t>
      </w:r>
      <w:r>
        <w:rPr>
          <w:rStyle w:val="8"/>
        </w:rPr>
        <w:t>BMC Health Services Research, 24</w:t>
      </w:r>
      <w:r>
        <w:t xml:space="preserve">, 786. </w:t>
      </w:r>
      <w:r>
        <w:fldChar w:fldCharType="begin"/>
      </w:r>
      <w:r>
        <w:instrText xml:space="preserve"> HYPERLINK "https://doi.org/10.1186/s12913-024-11216-4" </w:instrText>
      </w:r>
      <w:r>
        <w:fldChar w:fldCharType="separate"/>
      </w:r>
      <w:r>
        <w:rPr>
          <w:rStyle w:val="9"/>
        </w:rPr>
        <w:t>https://doi.org/10.1186/s12913-024-11216-4</w:t>
      </w:r>
      <w:r>
        <w:fldChar w:fldCharType="end"/>
      </w:r>
    </w:p>
    <w:p w14:paraId="0F349B6B">
      <w:pPr>
        <w:pStyle w:val="10"/>
        <w:keepNext w:val="0"/>
        <w:keepLines w:val="0"/>
        <w:widowControl/>
        <w:suppressLineNumbers w:val="0"/>
      </w:pPr>
      <w:r>
        <w:t xml:space="preserve">Kerse, N., Buetow, S., Mainous, A. G., Young, G., Coster, G., et al. (2004). Physician–patient relationship and medication compliance. </w:t>
      </w:r>
      <w:r>
        <w:rPr>
          <w:rStyle w:val="8"/>
        </w:rPr>
        <w:t>Annals of Family Medicine, 2</w:t>
      </w:r>
      <w:r>
        <w:t xml:space="preserve">(5), 455–461. </w:t>
      </w:r>
      <w:r>
        <w:fldChar w:fldCharType="begin"/>
      </w:r>
      <w:r>
        <w:instrText xml:space="preserve"> HYPERLINK "https://doi.org/10.1370/afm.139" </w:instrText>
      </w:r>
      <w:r>
        <w:fldChar w:fldCharType="separate"/>
      </w:r>
      <w:r>
        <w:rPr>
          <w:rStyle w:val="9"/>
        </w:rPr>
        <w:t>https://doi.org/10.1370/afm.139</w:t>
      </w:r>
      <w:r>
        <w:fldChar w:fldCharType="end"/>
      </w:r>
    </w:p>
    <w:p w14:paraId="6621390C">
      <w:pPr>
        <w:pStyle w:val="10"/>
        <w:keepNext w:val="0"/>
        <w:keepLines w:val="0"/>
        <w:widowControl/>
        <w:suppressLineNumbers w:val="0"/>
      </w:pPr>
      <w:r>
        <w:t xml:space="preserve">Kolapo, U., Elizabeth, B., Erika, R., &amp; Igharo, E. (2007). </w:t>
      </w:r>
      <w:r>
        <w:rPr>
          <w:rStyle w:val="8"/>
        </w:rPr>
        <w:t>Nigeria: Contraceptive logistics management system report.</w:t>
      </w:r>
      <w:r>
        <w:t xml:space="preserve"> USAID/DELIVER Project.</w:t>
      </w:r>
    </w:p>
    <w:p w14:paraId="4948C9C5">
      <w:pPr>
        <w:pStyle w:val="10"/>
        <w:keepNext w:val="0"/>
        <w:keepLines w:val="0"/>
        <w:widowControl/>
        <w:suppressLineNumbers w:val="0"/>
      </w:pPr>
      <w:r>
        <w:t xml:space="preserve">LaCroix, E., Jackson, A., McGovern, S., Rademacher, K. H., &amp; Rothschild, C. W. (2023). Demand forecasting approaches for new contraceptive technologies. </w:t>
      </w:r>
      <w:r>
        <w:rPr>
          <w:rStyle w:val="8"/>
        </w:rPr>
        <w:t>Global Health: Science and Practice, 11</w:t>
      </w:r>
      <w:r>
        <w:t xml:space="preserve">(1), e2200334. </w:t>
      </w:r>
      <w:r>
        <w:fldChar w:fldCharType="begin"/>
      </w:r>
      <w:r>
        <w:instrText xml:space="preserve"> HYPERLINK "https://doi.org/10.9745/GHSP-D-22-00334" </w:instrText>
      </w:r>
      <w:r>
        <w:fldChar w:fldCharType="separate"/>
      </w:r>
      <w:r>
        <w:rPr>
          <w:rStyle w:val="9"/>
        </w:rPr>
        <w:t>https://doi.org/10.9745/GHSP-D-22-00334</w:t>
      </w:r>
      <w:r>
        <w:fldChar w:fldCharType="end"/>
      </w:r>
    </w:p>
    <w:p w14:paraId="36A5D5AF">
      <w:pPr>
        <w:pStyle w:val="10"/>
        <w:keepNext w:val="0"/>
        <w:keepLines w:val="0"/>
        <w:widowControl/>
        <w:suppressLineNumbers w:val="0"/>
      </w:pPr>
      <w:r>
        <w:t xml:space="preserve">Miskeen, E., Korkoman, S., Alhassoun, N. K., et al. (2025). Factors influencing family planning decisions in Saudi Arabia. </w:t>
      </w:r>
      <w:r>
        <w:rPr>
          <w:rStyle w:val="8"/>
        </w:rPr>
        <w:t>BMC Women’s Health, 25</w:t>
      </w:r>
      <w:r>
        <w:t xml:space="preserve">, 222. </w:t>
      </w:r>
      <w:r>
        <w:fldChar w:fldCharType="begin"/>
      </w:r>
      <w:r>
        <w:instrText xml:space="preserve"> HYPERLINK "https://doi.org/10.1186/s12905-025-03737-9" </w:instrText>
      </w:r>
      <w:r>
        <w:fldChar w:fldCharType="separate"/>
      </w:r>
      <w:r>
        <w:rPr>
          <w:rStyle w:val="9"/>
        </w:rPr>
        <w:t>https://doi.org/10.1186/s12905-025-03737-9</w:t>
      </w:r>
      <w:r>
        <w:fldChar w:fldCharType="end"/>
      </w:r>
    </w:p>
    <w:p w14:paraId="48903C0E">
      <w:pPr>
        <w:pStyle w:val="10"/>
        <w:keepNext w:val="0"/>
        <w:keepLines w:val="0"/>
        <w:widowControl/>
        <w:suppressLineNumbers w:val="0"/>
      </w:pPr>
      <w:r>
        <w:t xml:space="preserve">National Population Commission. (2008). </w:t>
      </w:r>
      <w:r>
        <w:rPr>
          <w:rStyle w:val="8"/>
        </w:rPr>
        <w:t>Nigeria demographic and health survey 2008.</w:t>
      </w:r>
    </w:p>
    <w:p w14:paraId="24D42F99">
      <w:pPr>
        <w:pStyle w:val="10"/>
        <w:keepNext w:val="0"/>
        <w:keepLines w:val="0"/>
        <w:widowControl/>
        <w:suppressLineNumbers w:val="0"/>
      </w:pPr>
      <w:r>
        <w:t xml:space="preserve">National Population Commission. (2010). </w:t>
      </w:r>
      <w:r>
        <w:rPr>
          <w:rStyle w:val="8"/>
        </w:rPr>
        <w:t>National population policy.</w:t>
      </w:r>
    </w:p>
    <w:p w14:paraId="22E285A7">
      <w:pPr>
        <w:pStyle w:val="10"/>
        <w:keepNext w:val="0"/>
        <w:keepLines w:val="0"/>
        <w:widowControl/>
        <w:suppressLineNumbers w:val="0"/>
      </w:pPr>
      <w:r>
        <w:t>Nigeria Health Watch. (2025). At the brink: Nigeria’s current family planning dilemma and the urgent need for reinvestment.</w:t>
      </w:r>
    </w:p>
    <w:p w14:paraId="35E0F3C2">
      <w:pPr>
        <w:pStyle w:val="10"/>
        <w:keepNext w:val="0"/>
        <w:keepLines w:val="0"/>
        <w:widowControl/>
        <w:suppressLineNumbers w:val="0"/>
      </w:pPr>
      <w:r>
        <w:t xml:space="preserve">O’Hearn, T., &amp; Healy, M. (2003). </w:t>
      </w:r>
      <w:r>
        <w:rPr>
          <w:rStyle w:val="8"/>
        </w:rPr>
        <w:t>Nigeria: An assessment of the transportation system and distribution costs for family planning commodities.</w:t>
      </w:r>
      <w:r>
        <w:t xml:space="preserve"> John Snow Inc./USAID.</w:t>
      </w:r>
    </w:p>
    <w:p w14:paraId="1FB4682B">
      <w:pPr>
        <w:pStyle w:val="10"/>
        <w:keepNext w:val="0"/>
        <w:keepLines w:val="0"/>
        <w:widowControl/>
        <w:suppressLineNumbers w:val="0"/>
      </w:pPr>
      <w:r>
        <w:t xml:space="preserve">Onwasigwe, C. (2010). </w:t>
      </w:r>
      <w:r>
        <w:rPr>
          <w:rStyle w:val="8"/>
        </w:rPr>
        <w:t>Principles and methods of epidemiology</w:t>
      </w:r>
      <w:r>
        <w:t xml:space="preserve"> (2nd ed.). El Demak.</w:t>
      </w:r>
    </w:p>
    <w:p w14:paraId="5801120E">
      <w:pPr>
        <w:pStyle w:val="10"/>
        <w:keepNext w:val="0"/>
        <w:keepLines w:val="0"/>
        <w:widowControl/>
        <w:suppressLineNumbers w:val="0"/>
      </w:pPr>
      <w:r>
        <w:t xml:space="preserve">Osaro, B. O., Ordinioha, B., &amp; Mezie-Okoye, M. M. (2018). Health facility-based versus community-based family planning education in Rivers State. </w:t>
      </w:r>
      <w:r>
        <w:rPr>
          <w:rStyle w:val="8"/>
        </w:rPr>
        <w:t>Journal of Advances in Medicine and Medical Research, 25</w:t>
      </w:r>
      <w:r>
        <w:t>(1), 1–14.</w:t>
      </w:r>
    </w:p>
    <w:p w14:paraId="4C7B3A24">
      <w:pPr>
        <w:pStyle w:val="10"/>
        <w:keepNext w:val="0"/>
        <w:keepLines w:val="0"/>
        <w:widowControl/>
        <w:suppressLineNumbers w:val="0"/>
      </w:pPr>
      <w:r>
        <w:t xml:space="preserve">Oye-Adeniran, B. A., Adewole, I. F., Umoh, A. V., Oladokun, A., Gbadegesin, A., et al. (2005). Sources of contraceptive commodities for users in Nigeria. </w:t>
      </w:r>
      <w:r>
        <w:rPr>
          <w:rStyle w:val="8"/>
        </w:rPr>
        <w:t>PLoS Medicine, 2</w:t>
      </w:r>
      <w:r>
        <w:t xml:space="preserve">(11), e306. </w:t>
      </w:r>
      <w:r>
        <w:fldChar w:fldCharType="begin"/>
      </w:r>
      <w:r>
        <w:instrText xml:space="preserve"> HYPERLINK "https://doi.org/10.1371/journal.pmed.0020306" </w:instrText>
      </w:r>
      <w:r>
        <w:fldChar w:fldCharType="separate"/>
      </w:r>
      <w:r>
        <w:rPr>
          <w:rStyle w:val="9"/>
        </w:rPr>
        <w:t>https://doi.org/10.1371/journal.pmed.0020306</w:t>
      </w:r>
      <w:r>
        <w:fldChar w:fldCharType="end"/>
      </w:r>
    </w:p>
    <w:p w14:paraId="1A41B722">
      <w:pPr>
        <w:pStyle w:val="10"/>
        <w:keepNext w:val="0"/>
        <w:keepLines w:val="0"/>
        <w:widowControl/>
        <w:suppressLineNumbers w:val="0"/>
      </w:pPr>
      <w:r>
        <w:t xml:space="preserve">Raja, S., Steve, W., &amp; Bonits, B. (2000). </w:t>
      </w:r>
      <w:r>
        <w:rPr>
          <w:rStyle w:val="8"/>
        </w:rPr>
        <w:t>Ugandan logistics system for public health commodities: An assessment report.</w:t>
      </w:r>
      <w:r>
        <w:t xml:space="preserve"> USAID/FPLM.</w:t>
      </w:r>
    </w:p>
    <w:p w14:paraId="6634B0AD">
      <w:pPr>
        <w:pStyle w:val="10"/>
        <w:keepNext w:val="0"/>
        <w:keepLines w:val="0"/>
        <w:widowControl/>
        <w:suppressLineNumbers w:val="0"/>
      </w:pPr>
      <w:r>
        <w:t xml:space="preserve">Rushton, A., &amp; Oxley, J. (1991). </w:t>
      </w:r>
      <w:r>
        <w:rPr>
          <w:rStyle w:val="8"/>
        </w:rPr>
        <w:t>Handbook of logistics and distribution management.</w:t>
      </w:r>
      <w:r>
        <w:t xml:space="preserve"> Bidde Limited.</w:t>
      </w:r>
    </w:p>
    <w:p w14:paraId="1F0BE70B">
      <w:pPr>
        <w:pStyle w:val="10"/>
        <w:keepNext w:val="0"/>
        <w:keepLines w:val="0"/>
        <w:widowControl/>
        <w:suppressLineNumbers w:val="0"/>
      </w:pPr>
      <w:r>
        <w:t xml:space="preserve">Schmidt, I., Juani, A., &amp; Alam, M. (2025). </w:t>
      </w:r>
      <w:r>
        <w:rPr>
          <w:rStyle w:val="8"/>
        </w:rPr>
        <w:t>Nigeria – Family planning for a prosperous future.</w:t>
      </w:r>
      <w:r>
        <w:t xml:space="preserve"> FP Analytics.</w:t>
      </w:r>
    </w:p>
    <w:p w14:paraId="71A0E0A7">
      <w:pPr>
        <w:pStyle w:val="10"/>
        <w:keepNext w:val="0"/>
        <w:keepLines w:val="0"/>
        <w:widowControl/>
        <w:suppressLineNumbers w:val="0"/>
      </w:pPr>
      <w:r>
        <w:t xml:space="preserve">Sharma, A. E., Frederiksen, B. N., Malcom, N. M., Rollison, J. M., &amp; Carter, M. W. (2018). Community education in family planning: Updated systematic review. </w:t>
      </w:r>
      <w:r>
        <w:rPr>
          <w:rStyle w:val="8"/>
        </w:rPr>
        <w:t>American Journal of Preventive Medicine.</w:t>
      </w:r>
    </w:p>
    <w:p w14:paraId="15C7D4EC">
      <w:pPr>
        <w:pStyle w:val="10"/>
        <w:keepNext w:val="0"/>
        <w:keepLines w:val="0"/>
        <w:widowControl/>
        <w:suppressLineNumbers w:val="0"/>
      </w:pPr>
      <w:r>
        <w:t xml:space="preserve">Singh, S., &amp; Darroch, J. E. (2012). </w:t>
      </w:r>
      <w:r>
        <w:rPr>
          <w:rStyle w:val="8"/>
        </w:rPr>
        <w:t>Adding it up: The costs and benefits of contraceptive services – Estimates for 2012.</w:t>
      </w:r>
      <w:r>
        <w:t xml:space="preserve"> Guttmacher Institute.</w:t>
      </w:r>
    </w:p>
    <w:p w14:paraId="73BCCB34">
      <w:pPr>
        <w:pStyle w:val="10"/>
        <w:keepNext w:val="0"/>
        <w:keepLines w:val="0"/>
        <w:widowControl/>
        <w:suppressLineNumbers w:val="0"/>
      </w:pPr>
      <w:r>
        <w:t xml:space="preserve">Solo, J., &amp; Festin, M. (2019). Provider bias in family planning services. </w:t>
      </w:r>
      <w:r>
        <w:rPr>
          <w:rStyle w:val="8"/>
        </w:rPr>
        <w:t>Global Health: Science and Practice, 7</w:t>
      </w:r>
      <w:r>
        <w:t xml:space="preserve">(3), 371–385. </w:t>
      </w:r>
      <w:r>
        <w:fldChar w:fldCharType="begin"/>
      </w:r>
      <w:r>
        <w:instrText xml:space="preserve"> HYPERLINK "https://doi.org/10.9745/GHSP-D-19-00130" </w:instrText>
      </w:r>
      <w:r>
        <w:fldChar w:fldCharType="separate"/>
      </w:r>
      <w:r>
        <w:rPr>
          <w:rStyle w:val="9"/>
        </w:rPr>
        <w:t>https://doi.org/10.9745/GHSP-D-19-00130</w:t>
      </w:r>
      <w:r>
        <w:fldChar w:fldCharType="end"/>
      </w:r>
    </w:p>
    <w:p w14:paraId="7B25F4C3">
      <w:pPr>
        <w:pStyle w:val="10"/>
        <w:keepNext w:val="0"/>
        <w:keepLines w:val="0"/>
        <w:widowControl/>
        <w:suppressLineNumbers w:val="0"/>
      </w:pPr>
      <w:r>
        <w:t xml:space="preserve">UNFPA. (2012). </w:t>
      </w:r>
      <w:r>
        <w:rPr>
          <w:rStyle w:val="8"/>
        </w:rPr>
        <w:t>Good practices in essential supplies for family planning and maternal health.</w:t>
      </w:r>
    </w:p>
    <w:p w14:paraId="14F6A1DC">
      <w:pPr>
        <w:pStyle w:val="10"/>
        <w:keepNext w:val="0"/>
        <w:keepLines w:val="0"/>
        <w:widowControl/>
        <w:suppressLineNumbers w:val="0"/>
      </w:pPr>
      <w:r>
        <w:t xml:space="preserve">USAID/DELIVER PROJECT. (2011a). </w:t>
      </w:r>
      <w:r>
        <w:rPr>
          <w:rStyle w:val="8"/>
        </w:rPr>
        <w:t>Quantification of health commodities: Contraceptive companion guide.</w:t>
      </w:r>
    </w:p>
    <w:p w14:paraId="0AC41C79">
      <w:pPr>
        <w:pStyle w:val="10"/>
        <w:keepNext w:val="0"/>
        <w:keepLines w:val="0"/>
        <w:widowControl/>
        <w:suppressLineNumbers w:val="0"/>
        <w:rPr>
          <w:rFonts w:hint="default" w:ascii="Times New Roman" w:hAnsi="Times New Roman" w:cs="Times New Roman"/>
          <w:sz w:val="24"/>
          <w:szCs w:val="24"/>
          <w:lang w:val="en-US"/>
        </w:rPr>
      </w:pPr>
      <w:r>
        <w:t xml:space="preserve">USAID/DELIVER PROJECT. (2011b). </w:t>
      </w:r>
      <w:r>
        <w:rPr>
          <w:rStyle w:val="8"/>
        </w:rPr>
        <w:t>Nigeria: Contraceptive logistics management system report.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6F6D2"/>
    <w:multiLevelType w:val="singleLevel"/>
    <w:tmpl w:val="0EB6F6D2"/>
    <w:lvl w:ilvl="0" w:tentative="0">
      <w:start w:val="1"/>
      <w:numFmt w:val="lowerLetter"/>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F6AC1"/>
    <w:rsid w:val="412F6AC1"/>
    <w:rsid w:val="526D6F24"/>
    <w:rsid w:val="52EF4F5B"/>
    <w:rsid w:val="76433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yperlink"/>
    <w:basedOn w:val="6"/>
    <w:uiPriority w:val="0"/>
    <w:rPr>
      <w:color w:val="0000FF"/>
      <w:u w:val="single"/>
    </w:rPr>
  </w:style>
  <w:style w:type="paragraph" w:styleId="10">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6"/>
    <w:qFormat/>
    <w:uiPriority w:val="0"/>
    <w:rPr>
      <w:b/>
      <w:bCs/>
    </w:rPr>
  </w:style>
  <w:style w:type="table" w:styleId="12">
    <w:name w:val="Table Grid"/>
    <w:basedOn w:val="7"/>
    <w:qFormat/>
    <w:uiPriority w:val="59"/>
    <w:pPr>
      <w:spacing w:after="0" w:line="240" w:lineRule="auto"/>
    </w:pPr>
    <w:rPr>
      <w:rFonts w:cs="Calibri"/>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3">
    <w:name w:val="No Spacing"/>
    <w:qFormat/>
    <w:uiPriority w:val="1"/>
    <w:pPr>
      <w:spacing w:after="0" w:line="240" w:lineRule="auto"/>
    </w:pPr>
    <w:rPr>
      <w:rFonts w:eastAsia="Times New Roman" w:cs="Times New Roman" w:asciiTheme="minorHAnsi" w:hAnsiTheme="minorHAns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spPr>
        <a:noFill/>
        <a:ln>
          <a:noFill/>
        </a:ln>
        <a:effectLst/>
      </c:spPr>
      <c:txPr>
        <a:bodyPr rot="0" spcFirstLastPara="0" vertOverflow="ellipsis" vert="horz" wrap="square" anchor="ctr" anchorCtr="1"/>
        <a:lstStyle/>
        <a:p>
          <a:pPr>
            <a:defRPr lang="en-GB"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bar"/>
        <c:grouping val="stacked"/>
        <c:varyColors val="0"/>
        <c:ser>
          <c:idx val="0"/>
          <c:order val="0"/>
          <c:tx>
            <c:strRef>
              <c:f>Sheet1!$B$1</c:f>
              <c:strCache>
                <c:ptCount val="1"/>
                <c:pt idx="0">
                  <c:v>Percentage of facilities reporting constraints (%)</c:v>
                </c:pt>
              </c:strCache>
            </c:strRef>
          </c:tx>
          <c:spPr>
            <a:gradFill>
              <a:gsLst>
                <a:gs pos="0">
                  <a:schemeClr val="dk1">
                    <a:tint val="88500"/>
                    <a:lumMod val="40000"/>
                    <a:lumOff val="60000"/>
                  </a:schemeClr>
                </a:gs>
                <a:gs pos="90000">
                  <a:schemeClr val="dk1">
                    <a:tint val="88500"/>
                  </a:schemeClr>
                </a:gs>
              </a:gsLst>
              <a:lin ang="10800000" scaled="0"/>
            </a:gradFill>
            <a:ln>
              <a:gradFill>
                <a:gsLst>
                  <a:gs pos="0">
                    <a:schemeClr val="dk1">
                      <a:tint val="88500"/>
                    </a:schemeClr>
                  </a:gs>
                  <a:gs pos="100000">
                    <a:schemeClr val="dk1">
                      <a:tint val="88500"/>
                      <a:lumMod val="75000"/>
                    </a:schemeClr>
                  </a:gs>
                </a:gsLst>
                <a:lin ang="10800000" scaled="0"/>
              </a:gradFill>
            </a:ln>
            <a:effectLst>
              <a:outerShdw blurRad="76200" dist="25400" dir="2700000" algn="tl" rotWithShape="0">
                <a:schemeClr val="dk1">
                  <a:tint val="88500"/>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GB" sz="1000" b="1"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1">
                  <c:v>Product fluctuation</c:v>
                </c:pt>
                <c:pt idx="2">
                  <c:v>Lack of procurement officer</c:v>
                </c:pt>
                <c:pt idx="3">
                  <c:v>Brand preference</c:v>
                </c:pt>
                <c:pt idx="4">
                  <c:v>Lack of delivery vehicle</c:v>
                </c:pt>
                <c:pt idx="5">
                  <c:v>Lack of standard warehouse</c:v>
                </c:pt>
                <c:pt idx="6">
                  <c:v>Documentation delays</c:v>
                </c:pt>
              </c:strCache>
            </c:strRef>
          </c:cat>
          <c:val>
            <c:numRef>
              <c:f>Sheet1!$B$2:$B$9</c:f>
              <c:numCache>
                <c:formatCode>General</c:formatCode>
                <c:ptCount val="8"/>
                <c:pt idx="1">
                  <c:v>93.1</c:v>
                </c:pt>
                <c:pt idx="2">
                  <c:v>86.9</c:v>
                </c:pt>
                <c:pt idx="3">
                  <c:v>83.1</c:v>
                </c:pt>
                <c:pt idx="4">
                  <c:v>75.4</c:v>
                </c:pt>
                <c:pt idx="5">
                  <c:v>72.3</c:v>
                </c:pt>
                <c:pt idx="6">
                  <c:v>41.5</c:v>
                </c:pt>
              </c:numCache>
            </c:numRef>
          </c:val>
        </c:ser>
        <c:dLbls>
          <c:showLegendKey val="0"/>
          <c:showVal val="1"/>
          <c:showCatName val="0"/>
          <c:showSerName val="0"/>
          <c:showPercent val="0"/>
          <c:showBubbleSize val="0"/>
        </c:dLbls>
        <c:gapWidth val="140"/>
        <c:overlap val="100"/>
        <c:axId val="906149065"/>
        <c:axId val="427570641"/>
      </c:barChart>
      <c:catAx>
        <c:axId val="906149065"/>
        <c:scaling>
          <c:orientation val="minMax"/>
        </c:scaling>
        <c:delete val="0"/>
        <c:axPos val="l"/>
        <c:title>
          <c:tx>
            <c:rich>
              <a:bodyPr rot="-5400000" spcFirstLastPara="0" vertOverflow="ellipsis" vert="horz" wrap="square" anchor="ctr" anchorCtr="1"/>
              <a:lstStyle/>
              <a:p>
                <a:pPr defTabSz="914400">
                  <a:defRPr lang="en-GB" sz="1200" b="1" i="0" u="none" strike="noStrike" kern="1200" baseline="0">
                    <a:solidFill>
                      <a:schemeClr val="tx1">
                        <a:lumMod val="65000"/>
                        <a:lumOff val="35000"/>
                      </a:schemeClr>
                    </a:solidFill>
                    <a:latin typeface="+mn-lt"/>
                    <a:ea typeface="+mn-ea"/>
                    <a:cs typeface="+mn-cs"/>
                  </a:defRPr>
                </a:pPr>
                <a:r>
                  <a:rPr sz="1200" b="1"/>
                  <a:t>Distribution constraints</a:t>
                </a:r>
                <a:endParaRPr sz="1200" b="1"/>
              </a:p>
            </c:rich>
          </c:tx>
          <c:layout>
            <c:manualLayout>
              <c:xMode val="edge"/>
              <c:yMode val="edge"/>
              <c:x val="0.0186035274220827"/>
              <c:y val="0.344050148746281"/>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1" i="0" u="none" strike="noStrike" kern="1200" baseline="0">
                <a:solidFill>
                  <a:schemeClr val="tx1">
                    <a:lumMod val="65000"/>
                    <a:lumOff val="35000"/>
                  </a:schemeClr>
                </a:solidFill>
                <a:latin typeface="+mn-lt"/>
                <a:ea typeface="+mn-ea"/>
                <a:cs typeface="+mn-cs"/>
              </a:defRPr>
            </a:pPr>
          </a:p>
        </c:txPr>
        <c:crossAx val="427570641"/>
        <c:crosses val="autoZero"/>
        <c:auto val="1"/>
        <c:lblAlgn val="ctr"/>
        <c:lblOffset val="100"/>
        <c:noMultiLvlLbl val="0"/>
      </c:catAx>
      <c:valAx>
        <c:axId val="427570641"/>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p>
        </c:txPr>
        <c:crossAx val="906149065"/>
        <c:crosses val="autoZero"/>
        <c:crossBetween val="between"/>
      </c:valAx>
      <c:spPr>
        <a:noFill/>
        <a:ln>
          <a:noFill/>
        </a:ln>
        <a:effectLst/>
      </c:spPr>
    </c:plotArea>
    <c:plotVisOnly val="1"/>
    <c:dispBlanksAs val="gap"/>
    <c:showDLblsOverMax val="0"/>
    <c:extLst>
      <c:ext uri="{0b15fc19-7d7d-44ad-8c2d-2c3a37ce22c3}">
        <chartProps xmlns="https://web.wps.cn/et/2018/main" chartId="{45247baf-1fc4-4eaa-992a-a48468e874e5}"/>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13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10800000" scaled="0"/>
      </a:gradFill>
      <a:ln>
        <a:gradFill>
          <a:gsLst>
            <a:gs pos="0">
              <a:schemeClr val="phClr"/>
            </a:gs>
            <a:gs pos="100000">
              <a:schemeClr val="phClr">
                <a:lumMod val="75000"/>
              </a:schemeClr>
            </a:gs>
          </a:gsLst>
          <a:lin ang="10800000" scaled="0"/>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2026-03-04T09:47:00Z</dcterms:created>
  <dc:creator>Chinelo Nduka</dc:creator>
  <cp:lastModifiedBy>Chinelo Nduka</cp:lastModifiedBy>
  <dcterms:modified xsi:type="dcterms:W3CDTF">2026-03-31T19:08:37Z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515E170638D44D0482E1FBE8D2EA63F7_11</vt:lpwstr>
  </property>
</Properties>
</file>