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8667" w14:textId="09155952" w:rsidR="00395CEE" w:rsidRDefault="00395CEE" w:rsidP="00A44D24">
      <w:pPr>
        <w:shd w:val="clear" w:color="auto" w:fill="FFFFFF"/>
        <w:spacing w:before="480" w:after="240" w:line="276" w:lineRule="auto"/>
        <w:jc w:val="both"/>
        <w:outlineLvl w:val="1"/>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The Architecture of Executive Restraint in Developmental States: Reassessing Presidential Term Limits and Legislative Longevity under the Zambian Constitution</w:t>
      </w:r>
      <w:r w:rsidR="005A7326">
        <w:rPr>
          <w:rFonts w:ascii="Times New Roman" w:eastAsia="Times New Roman" w:hAnsi="Times New Roman" w:cs="Times New Roman"/>
          <w:b/>
          <w:bCs/>
          <w:color w:val="0F1115"/>
          <w:sz w:val="24"/>
          <w:szCs w:val="24"/>
        </w:rPr>
        <w:t>.</w:t>
      </w:r>
    </w:p>
    <w:p w14:paraId="72312364" w14:textId="53F69B2F" w:rsidR="005A7326" w:rsidRPr="00395CEE" w:rsidRDefault="005A7326" w:rsidP="00A44D24">
      <w:pPr>
        <w:shd w:val="clear" w:color="auto" w:fill="FFFFFF"/>
        <w:spacing w:before="480" w:after="240" w:line="276" w:lineRule="auto"/>
        <w:jc w:val="both"/>
        <w:outlineLvl w:val="1"/>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 xml:space="preserve">Authors: </w:t>
      </w:r>
      <w:r w:rsidR="009D5F74">
        <w:rPr>
          <w:rFonts w:ascii="Times New Roman" w:eastAsia="Times New Roman" w:hAnsi="Times New Roman" w:cs="Times New Roman"/>
          <w:b/>
          <w:bCs/>
          <w:color w:val="0F1115"/>
          <w:sz w:val="24"/>
          <w:szCs w:val="24"/>
        </w:rPr>
        <w:t>Zacks Yuma</w:t>
      </w:r>
      <w:r w:rsidR="009C7D8A">
        <w:rPr>
          <w:rFonts w:ascii="Times New Roman" w:eastAsia="Times New Roman" w:hAnsi="Times New Roman" w:cs="Times New Roman"/>
          <w:b/>
          <w:bCs/>
          <w:color w:val="0F1115"/>
          <w:sz w:val="24"/>
          <w:szCs w:val="24"/>
        </w:rPr>
        <w:t xml:space="preserve">; </w:t>
      </w:r>
      <w:proofErr w:type="spellStart"/>
      <w:r w:rsidR="00614CE7">
        <w:rPr>
          <w:rFonts w:ascii="Times New Roman" w:eastAsia="Times New Roman" w:hAnsi="Times New Roman" w:cs="Times New Roman"/>
          <w:b/>
          <w:bCs/>
          <w:color w:val="0F1115"/>
          <w:sz w:val="24"/>
          <w:szCs w:val="24"/>
        </w:rPr>
        <w:t>Ackim</w:t>
      </w:r>
      <w:proofErr w:type="spellEnd"/>
      <w:r w:rsidR="00614CE7">
        <w:rPr>
          <w:rFonts w:ascii="Times New Roman" w:eastAsia="Times New Roman" w:hAnsi="Times New Roman" w:cs="Times New Roman"/>
          <w:b/>
          <w:bCs/>
          <w:color w:val="0F1115"/>
          <w:sz w:val="24"/>
          <w:szCs w:val="24"/>
        </w:rPr>
        <w:t xml:space="preserve"> Lungu</w:t>
      </w:r>
      <w:r w:rsidR="00D620A8">
        <w:rPr>
          <w:rFonts w:ascii="Times New Roman" w:eastAsia="Times New Roman" w:hAnsi="Times New Roman" w:cs="Times New Roman"/>
          <w:b/>
          <w:bCs/>
          <w:color w:val="0F1115"/>
          <w:sz w:val="24"/>
          <w:szCs w:val="24"/>
        </w:rPr>
        <w:t>; Anthony Sinyangwe</w:t>
      </w:r>
      <w:r w:rsidR="009C7D8A">
        <w:rPr>
          <w:rFonts w:ascii="Times New Roman" w:eastAsia="Times New Roman" w:hAnsi="Times New Roman" w:cs="Times New Roman"/>
          <w:b/>
          <w:bCs/>
          <w:color w:val="0F1115"/>
          <w:sz w:val="24"/>
          <w:szCs w:val="24"/>
        </w:rPr>
        <w:t>; Mon</w:t>
      </w:r>
      <w:proofErr w:type="spellStart"/>
      <w:r w:rsidR="009C7D8A">
        <w:rPr>
          <w:rFonts w:ascii="Times New Roman" w:eastAsia="Times New Roman" w:hAnsi="Times New Roman" w:cs="Times New Roman"/>
          <w:b/>
          <w:bCs/>
          <w:color w:val="0F1115"/>
          <w:sz w:val="24"/>
          <w:szCs w:val="24"/>
        </w:rPr>
        <w:t>ford</w:t>
      </w:r>
      <w:proofErr w:type="spellEnd"/>
      <w:r w:rsidR="009C7D8A">
        <w:rPr>
          <w:rFonts w:ascii="Times New Roman" w:eastAsia="Times New Roman" w:hAnsi="Times New Roman" w:cs="Times New Roman"/>
          <w:b/>
          <w:bCs/>
          <w:color w:val="0F1115"/>
          <w:sz w:val="24"/>
          <w:szCs w:val="24"/>
        </w:rPr>
        <w:t xml:space="preserve"> </w:t>
      </w:r>
      <w:proofErr w:type="spellStart"/>
      <w:r w:rsidR="009C7D8A">
        <w:rPr>
          <w:rFonts w:ascii="Times New Roman" w:eastAsia="Times New Roman" w:hAnsi="Times New Roman" w:cs="Times New Roman"/>
          <w:b/>
          <w:bCs/>
          <w:color w:val="0F1115"/>
          <w:sz w:val="24"/>
          <w:szCs w:val="24"/>
        </w:rPr>
        <w:t>Chishimba</w:t>
      </w:r>
      <w:proofErr w:type="spellEnd"/>
      <w:r w:rsidR="00D60764">
        <w:rPr>
          <w:rFonts w:ascii="Times New Roman" w:eastAsia="Times New Roman" w:hAnsi="Times New Roman" w:cs="Times New Roman"/>
          <w:b/>
          <w:bCs/>
          <w:color w:val="0F1115"/>
          <w:sz w:val="24"/>
          <w:szCs w:val="24"/>
        </w:rPr>
        <w:t xml:space="preserve"> </w:t>
      </w:r>
      <w:r w:rsidR="009C7D8A">
        <w:rPr>
          <w:rStyle w:val="Hyperlink"/>
          <w:rFonts w:ascii="Times New Roman" w:eastAsia="Times New Roman" w:hAnsi="Times New Roman" w:cs="Times New Roman"/>
          <w:b/>
          <w:bCs/>
          <w:sz w:val="24"/>
          <w:szCs w:val="24"/>
        </w:rPr>
        <w:t xml:space="preserve">    </w:t>
      </w:r>
    </w:p>
    <w:p w14:paraId="17BBC641" w14:textId="77777777"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Abstract</w:t>
      </w:r>
    </w:p>
    <w:p w14:paraId="19B15ECB" w14:textId="5D5E3191"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article examines the structural asymmetry between strict presidential term limits and indefinite legislative tenure within the Republic of Zambia, as codified under Article 106(3) of the Constitution of Zambia (Amendment) Act No. 2 of 2016 and dramatically expanded by the Constitution of Zambia (Amendment) Act No. 7 of 2025. While the 2025 Act increased the National Assembly to 251 elected members (211 constituency seats plus 40 proportional representation seats) and removed all mayoral term limits, the two</w:t>
      </w:r>
      <w:r w:rsidRPr="00395CEE">
        <w:rPr>
          <w:rFonts w:ascii="Times New Roman" w:eastAsia="Times New Roman" w:hAnsi="Times New Roman" w:cs="Times New Roman"/>
          <w:color w:val="0F1115"/>
          <w:sz w:val="24"/>
          <w:szCs w:val="24"/>
        </w:rPr>
        <w:noBreakHyphen/>
        <w:t>term ceiling on the presidency remains absolute. Employing fuzzy</w:t>
      </w:r>
      <w:r w:rsidRPr="00395CEE">
        <w:rPr>
          <w:rFonts w:ascii="Times New Roman" w:eastAsia="Times New Roman" w:hAnsi="Times New Roman" w:cs="Times New Roman"/>
          <w:color w:val="0F1115"/>
          <w:sz w:val="24"/>
          <w:szCs w:val="24"/>
        </w:rPr>
        <w:noBreakHyphen/>
        <w:t>set Qualitative Comparative Analysis (</w:t>
      </w:r>
      <w:proofErr w:type="spellStart"/>
      <w:r w:rsidRPr="00395CEE">
        <w:rPr>
          <w:rFonts w:ascii="Times New Roman" w:eastAsia="Times New Roman" w:hAnsi="Times New Roman" w:cs="Times New Roman"/>
          <w:color w:val="0F1115"/>
          <w:sz w:val="24"/>
          <w:szCs w:val="24"/>
        </w:rPr>
        <w:t>fsQCA</w:t>
      </w:r>
      <w:proofErr w:type="spellEnd"/>
      <w:r w:rsidRPr="00395CEE">
        <w:rPr>
          <w:rFonts w:ascii="Times New Roman" w:eastAsia="Times New Roman" w:hAnsi="Times New Roman" w:cs="Times New Roman"/>
          <w:color w:val="0F1115"/>
          <w:sz w:val="24"/>
          <w:szCs w:val="24"/>
        </w:rPr>
        <w:t>) and drawing on the developmental state experiences of the Four Asian Tigers (South Korea, Taiwan, Singapore, Hong Kong) and the People’s Republic of China, this article demonstrates that rigid executive term caps impose three structural pathologies on developing economies: lame</w:t>
      </w:r>
      <w:r w:rsidRPr="00395CEE">
        <w:rPr>
          <w:rFonts w:ascii="Times New Roman" w:eastAsia="Times New Roman" w:hAnsi="Times New Roman" w:cs="Times New Roman"/>
          <w:color w:val="0F1115"/>
          <w:sz w:val="24"/>
          <w:szCs w:val="24"/>
        </w:rPr>
        <w:noBreakHyphen/>
        <w:t>duck policy atrophy, systematic short</w:t>
      </w:r>
      <w:r w:rsidRPr="00395CEE">
        <w:rPr>
          <w:rFonts w:ascii="Times New Roman" w:eastAsia="Times New Roman" w:hAnsi="Times New Roman" w:cs="Times New Roman"/>
          <w:color w:val="0F1115"/>
          <w:sz w:val="24"/>
          <w:szCs w:val="24"/>
        </w:rPr>
        <w:noBreakHyphen/>
        <w:t>termism, and the sovereign hazard of successor incompetence. The article also engages critically with countervailing evidence showing that term limits can reduce corruption and improve fiscal discipline (</w:t>
      </w:r>
      <w:proofErr w:type="spellStart"/>
      <w:r w:rsidRPr="00395CEE">
        <w:rPr>
          <w:rFonts w:ascii="Times New Roman" w:eastAsia="Times New Roman" w:hAnsi="Times New Roman" w:cs="Times New Roman"/>
          <w:color w:val="0F1115"/>
          <w:sz w:val="24"/>
          <w:szCs w:val="24"/>
        </w:rPr>
        <w:t>Besley</w:t>
      </w:r>
      <w:proofErr w:type="spellEnd"/>
      <w:r w:rsidRPr="00395CEE">
        <w:rPr>
          <w:rFonts w:ascii="Times New Roman" w:eastAsia="Times New Roman" w:hAnsi="Times New Roman" w:cs="Times New Roman"/>
          <w:color w:val="0F1115"/>
          <w:sz w:val="24"/>
          <w:szCs w:val="24"/>
        </w:rPr>
        <w:t xml:space="preserve"> and </w:t>
      </w:r>
      <w:proofErr w:type="spellStart"/>
      <w:r w:rsidRPr="00395CEE">
        <w:rPr>
          <w:rFonts w:ascii="Times New Roman" w:eastAsia="Times New Roman" w:hAnsi="Times New Roman" w:cs="Times New Roman"/>
          <w:color w:val="0F1115"/>
          <w:sz w:val="24"/>
          <w:szCs w:val="24"/>
        </w:rPr>
        <w:t>Reynal</w:t>
      </w:r>
      <w:proofErr w:type="spellEnd"/>
      <w:r w:rsidRPr="00395CEE">
        <w:rPr>
          <w:rFonts w:ascii="Times New Roman" w:eastAsia="Times New Roman" w:hAnsi="Times New Roman" w:cs="Times New Roman"/>
          <w:color w:val="0F1115"/>
          <w:sz w:val="24"/>
          <w:szCs w:val="24"/>
        </w:rPr>
        <w:noBreakHyphen/>
        <w:t xml:space="preserve">Querol, 2011; Acemoglu, Robinson and </w:t>
      </w:r>
      <w:proofErr w:type="spellStart"/>
      <w:r w:rsidRPr="00395CEE">
        <w:rPr>
          <w:rFonts w:ascii="Times New Roman" w:eastAsia="Times New Roman" w:hAnsi="Times New Roman" w:cs="Times New Roman"/>
          <w:color w:val="0F1115"/>
          <w:sz w:val="24"/>
          <w:szCs w:val="24"/>
        </w:rPr>
        <w:t>Torvik</w:t>
      </w:r>
      <w:proofErr w:type="spellEnd"/>
      <w:r w:rsidRPr="00395CEE">
        <w:rPr>
          <w:rFonts w:ascii="Times New Roman" w:eastAsia="Times New Roman" w:hAnsi="Times New Roman" w:cs="Times New Roman"/>
          <w:color w:val="0F1115"/>
          <w:sz w:val="24"/>
          <w:szCs w:val="24"/>
        </w:rPr>
        <w:t xml:space="preserve">, 2013). </w:t>
      </w:r>
      <w:proofErr w:type="spellStart"/>
      <w:r w:rsidRPr="00395CEE">
        <w:rPr>
          <w:rFonts w:ascii="Times New Roman" w:eastAsia="Times New Roman" w:hAnsi="Times New Roman" w:cs="Times New Roman"/>
          <w:color w:val="0F1115"/>
          <w:sz w:val="24"/>
          <w:szCs w:val="24"/>
        </w:rPr>
        <w:t>Recognising</w:t>
      </w:r>
      <w:proofErr w:type="spellEnd"/>
      <w:r w:rsidRPr="00395CEE">
        <w:rPr>
          <w:rFonts w:ascii="Times New Roman" w:eastAsia="Times New Roman" w:hAnsi="Times New Roman" w:cs="Times New Roman"/>
          <w:color w:val="0F1115"/>
          <w:sz w:val="24"/>
          <w:szCs w:val="24"/>
        </w:rPr>
        <w:t xml:space="preserve"> this trade</w:t>
      </w:r>
      <w:r w:rsidRPr="00395CEE">
        <w:rPr>
          <w:rFonts w:ascii="Times New Roman" w:eastAsia="Times New Roman" w:hAnsi="Times New Roman" w:cs="Times New Roman"/>
          <w:color w:val="0F1115"/>
          <w:sz w:val="24"/>
          <w:szCs w:val="24"/>
        </w:rPr>
        <w:noBreakHyphen/>
        <w:t>off, the article proposes a constitutionally anchored, performance</w:t>
      </w:r>
      <w:r w:rsidRPr="00395CEE">
        <w:rPr>
          <w:rFonts w:ascii="Times New Roman" w:eastAsia="Times New Roman" w:hAnsi="Times New Roman" w:cs="Times New Roman"/>
          <w:color w:val="0F1115"/>
          <w:sz w:val="24"/>
          <w:szCs w:val="24"/>
        </w:rPr>
        <w:noBreakHyphen/>
        <w:t>based extension mechanism for Zambia: a president who meets objectively verifiable economic and governance benchmarks may seek one additional five</w:t>
      </w:r>
      <w:r w:rsidRPr="00395CEE">
        <w:rPr>
          <w:rFonts w:ascii="Times New Roman" w:eastAsia="Times New Roman" w:hAnsi="Times New Roman" w:cs="Times New Roman"/>
          <w:color w:val="0F1115"/>
          <w:sz w:val="24"/>
          <w:szCs w:val="24"/>
        </w:rPr>
        <w:noBreakHyphen/>
        <w:t>year term, subject to super</w:t>
      </w:r>
      <w:r w:rsidRPr="00395CEE">
        <w:rPr>
          <w:rFonts w:ascii="Times New Roman" w:eastAsia="Times New Roman" w:hAnsi="Times New Roman" w:cs="Times New Roman"/>
          <w:color w:val="0F1115"/>
          <w:sz w:val="24"/>
          <w:szCs w:val="24"/>
        </w:rPr>
        <w:noBreakHyphen/>
        <w:t>majority parliamentary approval and a national referendum. A counterfactual analysis of Zambia’s past presidents (1991</w:t>
      </w:r>
      <w:r w:rsidR="002743AF">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2026) shows that only the most exceptional would have qualified, mitigating fears of systematic abuse. The article concludes that for low</w:t>
      </w:r>
      <w:r w:rsidRPr="00395CEE">
        <w:rPr>
          <w:rFonts w:ascii="Times New Roman" w:eastAsia="Times New Roman" w:hAnsi="Times New Roman" w:cs="Times New Roman"/>
          <w:color w:val="0F1115"/>
          <w:sz w:val="24"/>
          <w:szCs w:val="24"/>
        </w:rPr>
        <w:noBreakHyphen/>
        <w:t>income, structurally transforming economies, a narrowly tailored exception to term limits can reconcile output legitimacy with democratic safeguards.</w:t>
      </w:r>
    </w:p>
    <w:p w14:paraId="46C2B16A" w14:textId="5EBD7CC7" w:rsidR="00F420E3" w:rsidRPr="0085570A" w:rsidRDefault="00395CEE" w:rsidP="0085570A">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Keywords:</w:t>
      </w:r>
      <w:r w:rsidRPr="00395CEE">
        <w:rPr>
          <w:rFonts w:ascii="Times New Roman" w:eastAsia="Times New Roman" w:hAnsi="Times New Roman" w:cs="Times New Roman"/>
          <w:color w:val="0F1115"/>
          <w:sz w:val="24"/>
          <w:szCs w:val="24"/>
        </w:rPr>
        <w:t> Constitutional engineering; Article 106(3); Act No. 7 of 2025; executive restraint; legislative longevity; Asian Tigers; output legitimacy; policy whiplash; fuzzy</w:t>
      </w:r>
      <w:r w:rsidRPr="00395CEE">
        <w:rPr>
          <w:rFonts w:ascii="Times New Roman" w:eastAsia="Times New Roman" w:hAnsi="Times New Roman" w:cs="Times New Roman"/>
          <w:color w:val="0F1115"/>
          <w:sz w:val="24"/>
          <w:szCs w:val="24"/>
        </w:rPr>
        <w:noBreakHyphen/>
        <w:t>set QCA; performance</w:t>
      </w:r>
      <w:r w:rsidRPr="00395CEE">
        <w:rPr>
          <w:rFonts w:ascii="Times New Roman" w:eastAsia="Times New Roman" w:hAnsi="Times New Roman" w:cs="Times New Roman"/>
          <w:color w:val="0F1115"/>
          <w:sz w:val="24"/>
          <w:szCs w:val="24"/>
        </w:rPr>
        <w:noBreakHyphen/>
        <w:t>based term extension; developmental state.</w:t>
      </w:r>
    </w:p>
    <w:p w14:paraId="7341D3FF" w14:textId="34C3633B"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1.0 Introduction: The Unfinished Business of Zambian Constitutional Engineering</w:t>
      </w:r>
    </w:p>
    <w:p w14:paraId="3F6ED5AC" w14:textId="3F7B240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lastRenderedPageBreak/>
        <w:t>Constitutional engineering in post</w:t>
      </w:r>
      <w:r w:rsidRPr="00395CEE">
        <w:rPr>
          <w:rFonts w:ascii="Times New Roman" w:eastAsia="Times New Roman" w:hAnsi="Times New Roman" w:cs="Times New Roman"/>
          <w:color w:val="0F1115"/>
          <w:sz w:val="24"/>
          <w:szCs w:val="24"/>
        </w:rPr>
        <w:noBreakHyphen/>
        <w:t xml:space="preserve">colonial Africa has often been a reactive enterprise </w:t>
      </w:r>
      <w:r w:rsidR="00A402AD">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a defensive architecture erected against the lived memory of personalist rule. Zambia’s constitutional journey exemplifies this trajectory. The one</w:t>
      </w:r>
      <w:r w:rsidRPr="00395CEE">
        <w:rPr>
          <w:rFonts w:ascii="Times New Roman" w:eastAsia="Times New Roman" w:hAnsi="Times New Roman" w:cs="Times New Roman"/>
          <w:color w:val="0F1115"/>
          <w:sz w:val="24"/>
          <w:szCs w:val="24"/>
        </w:rPr>
        <w:noBreakHyphen/>
        <w:t>party state under President Kenneth Kaunda (1964</w:t>
      </w:r>
      <w:r w:rsidR="00A402AD">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1991) concentrated executive power for 27 years without any legal term limit, producing institutional stagnation, economic decline, and eventual sovereign distress (</w:t>
      </w:r>
      <w:proofErr w:type="spellStart"/>
      <w:r w:rsidRPr="00395CEE">
        <w:rPr>
          <w:rFonts w:ascii="Times New Roman" w:eastAsia="Times New Roman" w:hAnsi="Times New Roman" w:cs="Times New Roman"/>
          <w:color w:val="0F1115"/>
          <w:sz w:val="24"/>
          <w:szCs w:val="24"/>
        </w:rPr>
        <w:t>Sardanis</w:t>
      </w:r>
      <w:proofErr w:type="spellEnd"/>
      <w:r w:rsidRPr="00395CEE">
        <w:rPr>
          <w:rFonts w:ascii="Times New Roman" w:eastAsia="Times New Roman" w:hAnsi="Times New Roman" w:cs="Times New Roman"/>
          <w:color w:val="0F1115"/>
          <w:sz w:val="24"/>
          <w:szCs w:val="24"/>
        </w:rPr>
        <w:t xml:space="preserve">, 2014; </w:t>
      </w:r>
      <w:proofErr w:type="spellStart"/>
      <w:r w:rsidRPr="00395CEE">
        <w:rPr>
          <w:rFonts w:ascii="Times New Roman" w:eastAsia="Times New Roman" w:hAnsi="Times New Roman" w:cs="Times New Roman"/>
          <w:color w:val="0F1115"/>
          <w:sz w:val="24"/>
          <w:szCs w:val="24"/>
        </w:rPr>
        <w:t>Sichone</w:t>
      </w:r>
      <w:proofErr w:type="spellEnd"/>
      <w:r w:rsidRPr="00395CEE">
        <w:rPr>
          <w:rFonts w:ascii="Times New Roman" w:eastAsia="Times New Roman" w:hAnsi="Times New Roman" w:cs="Times New Roman"/>
          <w:color w:val="0F1115"/>
          <w:sz w:val="24"/>
          <w:szCs w:val="24"/>
        </w:rPr>
        <w:t>, 2018). The restoration of multi</w:t>
      </w:r>
      <w:r w:rsidRPr="00395CEE">
        <w:rPr>
          <w:rFonts w:ascii="Times New Roman" w:eastAsia="Times New Roman" w:hAnsi="Times New Roman" w:cs="Times New Roman"/>
          <w:color w:val="0F1115"/>
          <w:sz w:val="24"/>
          <w:szCs w:val="24"/>
        </w:rPr>
        <w:noBreakHyphen/>
        <w:t>party democracy in 1991 brought with it a strict two</w:t>
      </w:r>
      <w:r w:rsidRPr="00395CEE">
        <w:rPr>
          <w:rFonts w:ascii="Times New Roman" w:eastAsia="Times New Roman" w:hAnsi="Times New Roman" w:cs="Times New Roman"/>
          <w:color w:val="0F1115"/>
          <w:sz w:val="24"/>
          <w:szCs w:val="24"/>
        </w:rPr>
        <w:noBreakHyphen/>
        <w:t>term presidential limit, later entrenched as Article 106(3) of the Constitution of Zambia (Amendment) Act No. 2 of 2016: </w:t>
      </w:r>
      <w:r w:rsidRPr="00395CEE">
        <w:rPr>
          <w:rFonts w:ascii="Times New Roman" w:eastAsia="Times New Roman" w:hAnsi="Times New Roman" w:cs="Times New Roman"/>
          <w:i/>
          <w:iCs/>
          <w:color w:val="0F1115"/>
          <w:sz w:val="24"/>
          <w:szCs w:val="24"/>
        </w:rPr>
        <w:t>“A person who has twice been elected as President shall not be eligible for election as President”</w:t>
      </w:r>
      <w:r w:rsidRPr="00395CEE">
        <w:rPr>
          <w:rFonts w:ascii="Times New Roman" w:eastAsia="Times New Roman" w:hAnsi="Times New Roman" w:cs="Times New Roman"/>
          <w:color w:val="0F1115"/>
          <w:sz w:val="24"/>
          <w:szCs w:val="24"/>
        </w:rPr>
        <w:t> (Republic of Zambia, 2016).</w:t>
      </w:r>
    </w:p>
    <w:p w14:paraId="1A080107" w14:textId="3EE00210"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Yet the enactment of the </w:t>
      </w:r>
      <w:r w:rsidRPr="00395CEE">
        <w:rPr>
          <w:rFonts w:ascii="Times New Roman" w:eastAsia="Times New Roman" w:hAnsi="Times New Roman" w:cs="Times New Roman"/>
          <w:b/>
          <w:bCs/>
          <w:color w:val="0F1115"/>
          <w:sz w:val="24"/>
          <w:szCs w:val="24"/>
        </w:rPr>
        <w:t>Constitution of Zambia (Amendment) Act No. 7 of 2025</w:t>
      </w:r>
      <w:r w:rsidRPr="00395CEE">
        <w:rPr>
          <w:rFonts w:ascii="Times New Roman" w:eastAsia="Times New Roman" w:hAnsi="Times New Roman" w:cs="Times New Roman"/>
          <w:color w:val="0F1115"/>
          <w:sz w:val="24"/>
          <w:szCs w:val="24"/>
        </w:rPr>
        <w:t> (assented to on 18</w:t>
      </w:r>
      <w:r w:rsidR="00F84D5C" w:rsidRPr="00F84D5C">
        <w:rPr>
          <w:rFonts w:ascii="Times New Roman" w:eastAsia="Times New Roman" w:hAnsi="Times New Roman" w:cs="Times New Roman"/>
          <w:color w:val="0F1115"/>
          <w:sz w:val="24"/>
          <w:szCs w:val="24"/>
          <w:vertAlign w:val="superscript"/>
        </w:rPr>
        <w:t>th</w:t>
      </w:r>
      <w:r w:rsidRPr="00395CEE">
        <w:rPr>
          <w:rFonts w:ascii="Times New Roman" w:eastAsia="Times New Roman" w:hAnsi="Times New Roman" w:cs="Times New Roman"/>
          <w:color w:val="0F1115"/>
          <w:sz w:val="24"/>
          <w:szCs w:val="24"/>
        </w:rPr>
        <w:t xml:space="preserve"> December 2025) has fundamentally altered the constitutional landscape. This historic amendment expanded the National Assembly from 156 to 211 constituency seats, added a 40</w:t>
      </w:r>
      <w:r w:rsidRPr="00395CEE">
        <w:rPr>
          <w:rFonts w:ascii="Times New Roman" w:eastAsia="Times New Roman" w:hAnsi="Times New Roman" w:cs="Times New Roman"/>
          <w:color w:val="0F1115"/>
          <w:sz w:val="24"/>
          <w:szCs w:val="24"/>
        </w:rPr>
        <w:noBreakHyphen/>
        <w:t>seat closed</w:t>
      </w:r>
      <w:r w:rsidRPr="00395CEE">
        <w:rPr>
          <w:rFonts w:ascii="Times New Roman" w:eastAsia="Times New Roman" w:hAnsi="Times New Roman" w:cs="Times New Roman"/>
          <w:color w:val="0F1115"/>
          <w:sz w:val="24"/>
          <w:szCs w:val="24"/>
        </w:rPr>
        <w:noBreakHyphen/>
        <w:t>list mixed</w:t>
      </w:r>
      <w:r w:rsidRPr="00395CEE">
        <w:rPr>
          <w:rFonts w:ascii="Times New Roman" w:eastAsia="Times New Roman" w:hAnsi="Times New Roman" w:cs="Times New Roman"/>
          <w:color w:val="0F1115"/>
          <w:sz w:val="24"/>
          <w:szCs w:val="24"/>
        </w:rPr>
        <w:noBreakHyphen/>
        <w:t xml:space="preserve">member proportional tier reserved for women, youth, and persons with disabilities (bringing the elected Assembly to 251 members), </w:t>
      </w:r>
      <w:r w:rsidR="00041734">
        <w:rPr>
          <w:rFonts w:ascii="Times New Roman" w:eastAsia="Times New Roman" w:hAnsi="Times New Roman" w:cs="Times New Roman"/>
          <w:color w:val="0F1115"/>
          <w:sz w:val="24"/>
          <w:szCs w:val="24"/>
        </w:rPr>
        <w:t xml:space="preserve">11 presidential nominees, </w:t>
      </w:r>
      <w:r w:rsidR="00997612">
        <w:rPr>
          <w:rFonts w:ascii="Times New Roman" w:eastAsia="Times New Roman" w:hAnsi="Times New Roman" w:cs="Times New Roman"/>
          <w:color w:val="0F1115"/>
          <w:sz w:val="24"/>
          <w:szCs w:val="24"/>
        </w:rPr>
        <w:t xml:space="preserve">Vice President </w:t>
      </w:r>
      <w:r w:rsidRPr="00395CEE">
        <w:rPr>
          <w:rFonts w:ascii="Times New Roman" w:eastAsia="Times New Roman" w:hAnsi="Times New Roman" w:cs="Times New Roman"/>
          <w:color w:val="0F1115"/>
          <w:sz w:val="24"/>
          <w:szCs w:val="24"/>
        </w:rPr>
        <w:t>and most significantly </w:t>
      </w:r>
      <w:r w:rsidRPr="00395CEE">
        <w:rPr>
          <w:rFonts w:ascii="Times New Roman" w:eastAsia="Times New Roman" w:hAnsi="Times New Roman" w:cs="Times New Roman"/>
          <w:b/>
          <w:bCs/>
          <w:color w:val="0F1115"/>
          <w:sz w:val="24"/>
          <w:szCs w:val="24"/>
        </w:rPr>
        <w:t>removed all term limits for executive mayors and local council chairpersons</w:t>
      </w:r>
      <w:r w:rsidRPr="00395CEE">
        <w:rPr>
          <w:rFonts w:ascii="Times New Roman" w:eastAsia="Times New Roman" w:hAnsi="Times New Roman" w:cs="Times New Roman"/>
          <w:color w:val="0F1115"/>
          <w:sz w:val="24"/>
          <w:szCs w:val="24"/>
        </w:rPr>
        <w:t> (Republic of Zambia, 2025). The presidency remains the sole political office bound by an absolute temporal ceiling.</w:t>
      </w:r>
    </w:p>
    <w:p w14:paraId="401C1F58" w14:textId="3A0C280F"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institutional asymmetry is not accidental. As the original article correctly notes, legislative longevity builds institutional memory, and the proportional tier injects technocratic expertise (PTI=1). However, the absolute prohibition on any president even one who demonstrably transforms the economy serving beyond two terms has become a binding constraint on Zambia’s ability to emulate the East Asian developmental state model (Haggard, 2018; Wade, 2004). Drawing on 40 years of academic and industrial experience in Zambia’s economic planning and constitutional review processes, this article argues that a narrow, high</w:t>
      </w:r>
      <w:r w:rsidRPr="00395CEE">
        <w:rPr>
          <w:rFonts w:ascii="Times New Roman" w:eastAsia="Times New Roman" w:hAnsi="Times New Roman" w:cs="Times New Roman"/>
          <w:color w:val="0F1115"/>
          <w:sz w:val="24"/>
          <w:szCs w:val="24"/>
        </w:rPr>
        <w:noBreakHyphen/>
        <w:t>threshold exception to Article 106(3) is not only constitutionally permissible but economically necessary provided that it is accompanied by rigorous empirical safeguards and an honest acknowledgment of the trade</w:t>
      </w:r>
      <w:r w:rsidRPr="00395CEE">
        <w:rPr>
          <w:rFonts w:ascii="Times New Roman" w:eastAsia="Times New Roman" w:hAnsi="Times New Roman" w:cs="Times New Roman"/>
          <w:color w:val="0F1115"/>
          <w:sz w:val="24"/>
          <w:szCs w:val="24"/>
        </w:rPr>
        <w:noBreakHyphen/>
        <w:t>offs involved.</w:t>
      </w:r>
    </w:p>
    <w:p w14:paraId="11EB367B"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article proceeds as follows: Section 2 restates the legal architecture of Act No. 7 of 2025 and the continued force of Article 106(3). Section 3 presents a fuzzy</w:t>
      </w:r>
      <w:r w:rsidRPr="00395CEE">
        <w:rPr>
          <w:rFonts w:ascii="Times New Roman" w:eastAsia="Times New Roman" w:hAnsi="Times New Roman" w:cs="Times New Roman"/>
          <w:color w:val="0F1115"/>
          <w:sz w:val="24"/>
          <w:szCs w:val="24"/>
        </w:rPr>
        <w:noBreakHyphen/>
        <w:t>set QCA of the post</w:t>
      </w:r>
      <w:r w:rsidRPr="00395CEE">
        <w:rPr>
          <w:rFonts w:ascii="Times New Roman" w:eastAsia="Times New Roman" w:hAnsi="Times New Roman" w:cs="Times New Roman"/>
          <w:color w:val="0F1115"/>
          <w:sz w:val="24"/>
          <w:szCs w:val="24"/>
        </w:rPr>
        <w:noBreakHyphen/>
        <w:t>2025 framework. Section 4 provides comparative evidence from the Asian Tigers. Section 5 catalogues the structural pathologies of forced presidential rotation. Section 6 profiles the traits of developmental leadership. Section 7 advances the core normative argument for extending a working president’s tenure. Section 8 addresses countervailing empirical evidence on term limits. Section 9 proposes a legally enforceable performance</w:t>
      </w:r>
      <w:r w:rsidRPr="00395CEE">
        <w:rPr>
          <w:rFonts w:ascii="Times New Roman" w:eastAsia="Times New Roman" w:hAnsi="Times New Roman" w:cs="Times New Roman"/>
          <w:color w:val="0F1115"/>
          <w:sz w:val="24"/>
          <w:szCs w:val="24"/>
        </w:rPr>
        <w:noBreakHyphen/>
        <w:t>based extension mechanism with counterfactual testing. Section 10 concludes.</w:t>
      </w:r>
    </w:p>
    <w:p w14:paraId="2F8F1738" w14:textId="1D704F6E"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2.0 The Legal Architecture: Article 106(3) and the Innovations of Act No. 7 of 2025</w:t>
      </w:r>
      <w:r w:rsidR="003E4FDF">
        <w:rPr>
          <w:rFonts w:ascii="Times New Roman" w:eastAsia="Times New Roman" w:hAnsi="Times New Roman" w:cs="Times New Roman"/>
          <w:b/>
          <w:bCs/>
          <w:color w:val="0F1115"/>
          <w:sz w:val="24"/>
          <w:szCs w:val="24"/>
        </w:rPr>
        <w:t xml:space="preserve"> of the laws of Zambia.</w:t>
      </w:r>
    </w:p>
    <w:p w14:paraId="1F7A98BC" w14:textId="44C383EE"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2.1 The Unyielding Constitutional Ceiling: Article 106(3) of Act No. 2 of 2016</w:t>
      </w:r>
      <w:r w:rsidR="003E4FDF">
        <w:rPr>
          <w:rFonts w:ascii="Times New Roman" w:eastAsia="Times New Roman" w:hAnsi="Times New Roman" w:cs="Times New Roman"/>
          <w:b/>
          <w:bCs/>
          <w:color w:val="0F1115"/>
          <w:sz w:val="24"/>
          <w:szCs w:val="24"/>
        </w:rPr>
        <w:t xml:space="preserve"> of the laws of Zambia</w:t>
      </w:r>
    </w:p>
    <w:p w14:paraId="3D423286"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baseline constraint on executive power within the Zambian constitutional order is unambiguous and absolute. Article 106(3) of the Constitution of Zambia (Amendment) Act No. 2 of 2016 states: </w:t>
      </w:r>
      <w:r w:rsidRPr="00395CEE">
        <w:rPr>
          <w:rFonts w:ascii="Times New Roman" w:eastAsia="Times New Roman" w:hAnsi="Times New Roman" w:cs="Times New Roman"/>
          <w:i/>
          <w:iCs/>
          <w:color w:val="0F1115"/>
          <w:sz w:val="24"/>
          <w:szCs w:val="24"/>
        </w:rPr>
        <w:t>“A person who has twice been elected as President shall not be eligible for election as President”</w:t>
      </w:r>
      <w:r w:rsidRPr="00395CEE">
        <w:rPr>
          <w:rFonts w:ascii="Times New Roman" w:eastAsia="Times New Roman" w:hAnsi="Times New Roman" w:cs="Times New Roman"/>
          <w:color w:val="0F1115"/>
          <w:sz w:val="24"/>
          <w:szCs w:val="24"/>
        </w:rPr>
        <w:t> (Republic of Zambia, 2016). This provision operates independently of any circumstantial variables: an incumbent’s popularity rating, the size of their parliamentary majority, their macroeconomic performance record, or even a national state of emergency. No Zambian president may serve more than two five</w:t>
      </w:r>
      <w:r w:rsidRPr="00395CEE">
        <w:rPr>
          <w:rFonts w:ascii="Times New Roman" w:eastAsia="Times New Roman" w:hAnsi="Times New Roman" w:cs="Times New Roman"/>
          <w:color w:val="0F1115"/>
          <w:sz w:val="24"/>
          <w:szCs w:val="24"/>
        </w:rPr>
        <w:noBreakHyphen/>
        <w:t>year terms, yielding a constitutional maximum of ten years in office.</w:t>
      </w:r>
    </w:p>
    <w:p w14:paraId="2F990A6F" w14:textId="1EACABA8"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historical genealogy of Article 106(3) is rooted in the trauma of the Second Republic (1972</w:t>
      </w:r>
      <w:r w:rsidR="007909F3">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1991), during which President Kenneth Kaunda ruled for 27 years without any legal term limit (</w:t>
      </w:r>
      <w:proofErr w:type="spellStart"/>
      <w:r w:rsidRPr="00395CEE">
        <w:rPr>
          <w:rFonts w:ascii="Times New Roman" w:eastAsia="Times New Roman" w:hAnsi="Times New Roman" w:cs="Times New Roman"/>
          <w:color w:val="0F1115"/>
          <w:sz w:val="24"/>
          <w:szCs w:val="24"/>
        </w:rPr>
        <w:t>Sardanis</w:t>
      </w:r>
      <w:proofErr w:type="spellEnd"/>
      <w:r w:rsidRPr="00395CEE">
        <w:rPr>
          <w:rFonts w:ascii="Times New Roman" w:eastAsia="Times New Roman" w:hAnsi="Times New Roman" w:cs="Times New Roman"/>
          <w:color w:val="0F1115"/>
          <w:sz w:val="24"/>
          <w:szCs w:val="24"/>
        </w:rPr>
        <w:t xml:space="preserve">, 2014). The restoration of multiparty democracy in 1991 was accompanied by a deliberate constitutional choice: the presidency must be institutionally weak in terms of temporal duration, even if it remains powerful in terms of formal authority. As </w:t>
      </w:r>
      <w:proofErr w:type="spellStart"/>
      <w:r w:rsidRPr="00395CEE">
        <w:rPr>
          <w:rFonts w:ascii="Times New Roman" w:eastAsia="Times New Roman" w:hAnsi="Times New Roman" w:cs="Times New Roman"/>
          <w:color w:val="0F1115"/>
          <w:sz w:val="24"/>
          <w:szCs w:val="24"/>
        </w:rPr>
        <w:t>Ndulo</w:t>
      </w:r>
      <w:proofErr w:type="spellEnd"/>
      <w:r w:rsidRPr="00395CEE">
        <w:rPr>
          <w:rFonts w:ascii="Times New Roman" w:eastAsia="Times New Roman" w:hAnsi="Times New Roman" w:cs="Times New Roman"/>
          <w:color w:val="0F1115"/>
          <w:sz w:val="24"/>
          <w:szCs w:val="24"/>
        </w:rPr>
        <w:t xml:space="preserve"> (2016, p. 12) observed, </w:t>
      </w:r>
      <w:r w:rsidRPr="00395CEE">
        <w:rPr>
          <w:rFonts w:ascii="Times New Roman" w:eastAsia="Times New Roman" w:hAnsi="Times New Roman" w:cs="Times New Roman"/>
          <w:i/>
          <w:iCs/>
          <w:color w:val="0F1115"/>
          <w:sz w:val="24"/>
          <w:szCs w:val="24"/>
        </w:rPr>
        <w:t>“the 1991 framers were less concerned with executive effectiveness than with executive termination</w:t>
      </w:r>
      <w:r w:rsidR="008A7BB6">
        <w:rPr>
          <w:rFonts w:ascii="Times New Roman" w:eastAsia="Times New Roman" w:hAnsi="Times New Roman" w:cs="Times New Roman"/>
          <w:i/>
          <w:iCs/>
          <w:color w:val="0F1115"/>
          <w:sz w:val="24"/>
          <w:szCs w:val="24"/>
        </w:rPr>
        <w:t>,</w:t>
      </w:r>
      <w:r w:rsidRPr="00395CEE">
        <w:rPr>
          <w:rFonts w:ascii="Times New Roman" w:eastAsia="Times New Roman" w:hAnsi="Times New Roman" w:cs="Times New Roman"/>
          <w:i/>
          <w:iCs/>
          <w:color w:val="0F1115"/>
          <w:sz w:val="24"/>
          <w:szCs w:val="24"/>
        </w:rPr>
        <w:t xml:space="preserve"> the certainty that a bad president would eventually leave.”</w:t>
      </w:r>
    </w:p>
    <w:p w14:paraId="1D32104E"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2016 amendments under Act No. 2 of 2016 did not alter this philosophical orientation; they merely reinforced it. Article 106(3) was made non</w:t>
      </w:r>
      <w:r w:rsidRPr="00395CEE">
        <w:rPr>
          <w:rFonts w:ascii="Times New Roman" w:eastAsia="Times New Roman" w:hAnsi="Times New Roman" w:cs="Times New Roman"/>
          <w:color w:val="0F1115"/>
          <w:sz w:val="24"/>
          <w:szCs w:val="24"/>
        </w:rPr>
        <w:noBreakHyphen/>
        <w:t>justiciable in the sense that no court may extend a president’s term beyond the two</w:t>
      </w:r>
      <w:r w:rsidRPr="00395CEE">
        <w:rPr>
          <w:rFonts w:ascii="Times New Roman" w:eastAsia="Times New Roman" w:hAnsi="Times New Roman" w:cs="Times New Roman"/>
          <w:color w:val="0F1115"/>
          <w:sz w:val="24"/>
          <w:szCs w:val="24"/>
        </w:rPr>
        <w:noBreakHyphen/>
        <w:t>election limit, and the provision was placed among the “entrenched” articles requiring a national referendum for amendment (Article 79 of the Constitution). Consequently, even a president who has presided over a decade of double</w:t>
      </w:r>
      <w:r w:rsidRPr="00395CEE">
        <w:rPr>
          <w:rFonts w:ascii="Times New Roman" w:eastAsia="Times New Roman" w:hAnsi="Times New Roman" w:cs="Times New Roman"/>
          <w:color w:val="0F1115"/>
          <w:sz w:val="24"/>
          <w:szCs w:val="24"/>
        </w:rPr>
        <w:noBreakHyphen/>
        <w:t xml:space="preserve">digit GDP growth, poverty reduction, and infrastructure </w:t>
      </w:r>
      <w:proofErr w:type="spellStart"/>
      <w:r w:rsidRPr="00395CEE">
        <w:rPr>
          <w:rFonts w:ascii="Times New Roman" w:eastAsia="Times New Roman" w:hAnsi="Times New Roman" w:cs="Times New Roman"/>
          <w:color w:val="0F1115"/>
          <w:sz w:val="24"/>
          <w:szCs w:val="24"/>
        </w:rPr>
        <w:t>modernisation</w:t>
      </w:r>
      <w:proofErr w:type="spellEnd"/>
      <w:r w:rsidRPr="00395CEE">
        <w:rPr>
          <w:rFonts w:ascii="Times New Roman" w:eastAsia="Times New Roman" w:hAnsi="Times New Roman" w:cs="Times New Roman"/>
          <w:color w:val="0F1115"/>
          <w:sz w:val="24"/>
          <w:szCs w:val="24"/>
        </w:rPr>
        <w:t xml:space="preserve"> is constitutionally barred from seeking a third term. The clock stops irrespective of performance (</w:t>
      </w:r>
      <w:proofErr w:type="spellStart"/>
      <w:r w:rsidRPr="00395CEE">
        <w:rPr>
          <w:rFonts w:ascii="Times New Roman" w:eastAsia="Times New Roman" w:hAnsi="Times New Roman" w:cs="Times New Roman"/>
          <w:color w:val="0F1115"/>
          <w:sz w:val="24"/>
          <w:szCs w:val="24"/>
        </w:rPr>
        <w:t>Mwansa</w:t>
      </w:r>
      <w:proofErr w:type="spellEnd"/>
      <w:r w:rsidRPr="00395CEE">
        <w:rPr>
          <w:rFonts w:ascii="Times New Roman" w:eastAsia="Times New Roman" w:hAnsi="Times New Roman" w:cs="Times New Roman"/>
          <w:color w:val="0F1115"/>
          <w:sz w:val="24"/>
          <w:szCs w:val="24"/>
        </w:rPr>
        <w:t>, 2021).</w:t>
      </w:r>
    </w:p>
    <w:p w14:paraId="24A83ADB" w14:textId="0AFACC0D"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2.2 Act No. 7 of 2025</w:t>
      </w:r>
      <w:r w:rsidR="00555D59">
        <w:rPr>
          <w:rFonts w:ascii="Times New Roman" w:eastAsia="Times New Roman" w:hAnsi="Times New Roman" w:cs="Times New Roman"/>
          <w:b/>
          <w:bCs/>
          <w:color w:val="0F1115"/>
          <w:sz w:val="24"/>
          <w:szCs w:val="24"/>
        </w:rPr>
        <w:t xml:space="preserve"> of the laws of Zambia</w:t>
      </w:r>
      <w:r w:rsidRPr="00395CEE">
        <w:rPr>
          <w:rFonts w:ascii="Times New Roman" w:eastAsia="Times New Roman" w:hAnsi="Times New Roman" w:cs="Times New Roman"/>
          <w:b/>
          <w:bCs/>
          <w:color w:val="0F1115"/>
          <w:sz w:val="24"/>
          <w:szCs w:val="24"/>
        </w:rPr>
        <w:t>: Structural Continuity of Executive Restraint</w:t>
      </w:r>
      <w:r w:rsidR="00555D59">
        <w:rPr>
          <w:rFonts w:ascii="Times New Roman" w:eastAsia="Times New Roman" w:hAnsi="Times New Roman" w:cs="Times New Roman"/>
          <w:b/>
          <w:bCs/>
          <w:color w:val="0F1115"/>
          <w:sz w:val="24"/>
          <w:szCs w:val="24"/>
        </w:rPr>
        <w:t>.</w:t>
      </w:r>
    </w:p>
    <w:p w14:paraId="64E6B813"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Constitution of Zambia (Amendment) Act No. 7 of 2025, assented to on 18 December 2025 and implemented ahead of the 2026 general election cycle, represents the most significant revision of Zambia’s electoral architecture since 1991 (Republic of Zambia, 2025). Critically for this analysis, Act No. 7 </w:t>
      </w:r>
      <w:r w:rsidRPr="00395CEE">
        <w:rPr>
          <w:rFonts w:ascii="Times New Roman" w:eastAsia="Times New Roman" w:hAnsi="Times New Roman" w:cs="Times New Roman"/>
          <w:b/>
          <w:bCs/>
          <w:color w:val="0F1115"/>
          <w:sz w:val="24"/>
          <w:szCs w:val="24"/>
        </w:rPr>
        <w:t>left Article 106(3) entirely untouched</w:t>
      </w:r>
      <w:r w:rsidRPr="00395CEE">
        <w:rPr>
          <w:rFonts w:ascii="Times New Roman" w:eastAsia="Times New Roman" w:hAnsi="Times New Roman" w:cs="Times New Roman"/>
          <w:color w:val="0F1115"/>
          <w:sz w:val="24"/>
          <w:szCs w:val="24"/>
        </w:rPr>
        <w:t>. No amendment was proposed to modify the two</w:t>
      </w:r>
      <w:r w:rsidRPr="00395CEE">
        <w:rPr>
          <w:rFonts w:ascii="Times New Roman" w:eastAsia="Times New Roman" w:hAnsi="Times New Roman" w:cs="Times New Roman"/>
          <w:color w:val="0F1115"/>
          <w:sz w:val="24"/>
          <w:szCs w:val="24"/>
        </w:rPr>
        <w:noBreakHyphen/>
        <w:t>term ceiling, nor was any exception inserted for economic or developmental exigencies. As President Hichilema stated in his address to the National Assembly upon assent: </w:t>
      </w:r>
      <w:r w:rsidRPr="00395CEE">
        <w:rPr>
          <w:rFonts w:ascii="Times New Roman" w:eastAsia="Times New Roman" w:hAnsi="Times New Roman" w:cs="Times New Roman"/>
          <w:i/>
          <w:iCs/>
          <w:color w:val="0F1115"/>
          <w:sz w:val="24"/>
          <w:szCs w:val="24"/>
        </w:rPr>
        <w:t>“The two</w:t>
      </w:r>
      <w:r w:rsidRPr="00395CEE">
        <w:rPr>
          <w:rFonts w:ascii="Times New Roman" w:eastAsia="Times New Roman" w:hAnsi="Times New Roman" w:cs="Times New Roman"/>
          <w:i/>
          <w:iCs/>
          <w:color w:val="0F1115"/>
          <w:sz w:val="24"/>
          <w:szCs w:val="24"/>
        </w:rPr>
        <w:noBreakHyphen/>
        <w:t>term limit is a non</w:t>
      </w:r>
      <w:r w:rsidRPr="00395CEE">
        <w:rPr>
          <w:rFonts w:ascii="Times New Roman" w:eastAsia="Times New Roman" w:hAnsi="Times New Roman" w:cs="Times New Roman"/>
          <w:i/>
          <w:iCs/>
          <w:color w:val="0F1115"/>
          <w:sz w:val="24"/>
          <w:szCs w:val="24"/>
        </w:rPr>
        <w:noBreakHyphen/>
        <w:t>negotiable pillar of our democratic stability. It remains inviolate”</w:t>
      </w:r>
      <w:r w:rsidRPr="00395CEE">
        <w:rPr>
          <w:rFonts w:ascii="Times New Roman" w:eastAsia="Times New Roman" w:hAnsi="Times New Roman" w:cs="Times New Roman"/>
          <w:color w:val="0F1115"/>
          <w:sz w:val="24"/>
          <w:szCs w:val="24"/>
        </w:rPr>
        <w:t> (Hichilema, 2025, p. 4).</w:t>
      </w:r>
    </w:p>
    <w:p w14:paraId="0230ACEA"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However, while the presidency remained temporally constrained, the same Act fundamentally restructured the legislative and local government spheres, creating a striking institutional asymmetry. Three structural vectors were introduced, each of which deepens the divergence between executive restraint and legislative/local longevity.</w:t>
      </w:r>
    </w:p>
    <w:p w14:paraId="206631BA"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2.3 Vector 1: Legislative Expansion and Insulated Careerism</w:t>
      </w:r>
    </w:p>
    <w:p w14:paraId="0B8E6034"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first vector involved a nationwide delimitation exercise that expanded the number of single</w:t>
      </w:r>
      <w:r w:rsidRPr="00395CEE">
        <w:rPr>
          <w:rFonts w:ascii="Times New Roman" w:eastAsia="Times New Roman" w:hAnsi="Times New Roman" w:cs="Times New Roman"/>
          <w:color w:val="0F1115"/>
          <w:sz w:val="24"/>
          <w:szCs w:val="24"/>
        </w:rPr>
        <w:noBreakHyphen/>
        <w:t>member constituency seats in the National Assembly from 156 to 211. This adjustment was driven by demographic shifts recorded in the 2022 national census, which revealed significant population growth in urban corridors such as Lusaka, Copperbelt, and Solwezi (Electoral Commission of Zambia, 2024). The expansion reduced the average constituency</w:t>
      </w:r>
      <w:r w:rsidRPr="00395CEE">
        <w:rPr>
          <w:rFonts w:ascii="Times New Roman" w:eastAsia="Times New Roman" w:hAnsi="Times New Roman" w:cs="Times New Roman"/>
          <w:color w:val="0F1115"/>
          <w:sz w:val="24"/>
          <w:szCs w:val="24"/>
        </w:rPr>
        <w:noBreakHyphen/>
        <w:t>to</w:t>
      </w:r>
      <w:r w:rsidRPr="00395CEE">
        <w:rPr>
          <w:rFonts w:ascii="Times New Roman" w:eastAsia="Times New Roman" w:hAnsi="Times New Roman" w:cs="Times New Roman"/>
          <w:color w:val="0F1115"/>
          <w:sz w:val="24"/>
          <w:szCs w:val="24"/>
        </w:rPr>
        <w:noBreakHyphen/>
        <w:t>representative ratio from approximately 110,000:1 to 81,000:1, thereby improving theoretical representativity.</w:t>
      </w:r>
    </w:p>
    <w:p w14:paraId="700D54C6" w14:textId="14E49D58"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In the language of Qualitative Comparative Analysis (QCA) employed throughout this article, this expansion </w:t>
      </w:r>
      <w:proofErr w:type="spellStart"/>
      <w:r w:rsidRPr="00395CEE">
        <w:rPr>
          <w:rFonts w:ascii="Times New Roman" w:eastAsia="Times New Roman" w:hAnsi="Times New Roman" w:cs="Times New Roman"/>
          <w:color w:val="0F1115"/>
          <w:sz w:val="24"/>
          <w:szCs w:val="24"/>
        </w:rPr>
        <w:t>maximises</w:t>
      </w:r>
      <w:proofErr w:type="spellEnd"/>
      <w:r w:rsidRPr="00395CEE">
        <w:rPr>
          <w:rFonts w:ascii="Times New Roman" w:eastAsia="Times New Roman" w:hAnsi="Times New Roman" w:cs="Times New Roman"/>
          <w:color w:val="0F1115"/>
          <w:sz w:val="24"/>
          <w:szCs w:val="24"/>
        </w:rPr>
        <w:t xml:space="preserve"> the condition of </w:t>
      </w:r>
      <w:r w:rsidRPr="00395CEE">
        <w:rPr>
          <w:rFonts w:ascii="Times New Roman" w:eastAsia="Times New Roman" w:hAnsi="Times New Roman" w:cs="Times New Roman"/>
          <w:b/>
          <w:bCs/>
          <w:color w:val="0F1115"/>
          <w:sz w:val="24"/>
          <w:szCs w:val="24"/>
        </w:rPr>
        <w:t>Insulated Legislative Careerism (ILC=1)</w:t>
      </w:r>
      <w:r w:rsidRPr="00395CEE">
        <w:rPr>
          <w:rFonts w:ascii="Times New Roman" w:eastAsia="Times New Roman" w:hAnsi="Times New Roman" w:cs="Times New Roman"/>
          <w:color w:val="0F1115"/>
          <w:sz w:val="24"/>
          <w:szCs w:val="24"/>
        </w:rPr>
        <w:t>. Insulated Legislative Careerism refers to the presence of an open</w:t>
      </w:r>
      <w:r w:rsidRPr="00395CEE">
        <w:rPr>
          <w:rFonts w:ascii="Times New Roman" w:eastAsia="Times New Roman" w:hAnsi="Times New Roman" w:cs="Times New Roman"/>
          <w:color w:val="0F1115"/>
          <w:sz w:val="24"/>
          <w:szCs w:val="24"/>
        </w:rPr>
        <w:noBreakHyphen/>
        <w:t>ended temporal horizon that allows political actors to accumulate multi</w:t>
      </w:r>
      <w:r w:rsidRPr="00395CEE">
        <w:rPr>
          <w:rFonts w:ascii="Times New Roman" w:eastAsia="Times New Roman" w:hAnsi="Times New Roman" w:cs="Times New Roman"/>
          <w:color w:val="0F1115"/>
          <w:sz w:val="24"/>
          <w:szCs w:val="24"/>
        </w:rPr>
        <w:noBreakHyphen/>
        <w:t xml:space="preserve">decade institutional memory, committee </w:t>
      </w:r>
      <w:proofErr w:type="spellStart"/>
      <w:r w:rsidRPr="00395CEE">
        <w:rPr>
          <w:rFonts w:ascii="Times New Roman" w:eastAsia="Times New Roman" w:hAnsi="Times New Roman" w:cs="Times New Roman"/>
          <w:color w:val="0F1115"/>
          <w:sz w:val="24"/>
          <w:szCs w:val="24"/>
        </w:rPr>
        <w:t>specialisation</w:t>
      </w:r>
      <w:proofErr w:type="spellEnd"/>
      <w:r w:rsidRPr="00395CEE">
        <w:rPr>
          <w:rFonts w:ascii="Times New Roman" w:eastAsia="Times New Roman" w:hAnsi="Times New Roman" w:cs="Times New Roman"/>
          <w:color w:val="0F1115"/>
          <w:sz w:val="24"/>
          <w:szCs w:val="24"/>
        </w:rPr>
        <w:t xml:space="preserve">, and networks of local influence unhindered by mandatory retirement or term limits. By increasing the elective base from 156 to 211 seats, Act No. 7 </w:t>
      </w:r>
      <w:r w:rsidR="003323C2">
        <w:rPr>
          <w:rFonts w:ascii="Times New Roman" w:eastAsia="Times New Roman" w:hAnsi="Times New Roman" w:cs="Times New Roman"/>
          <w:color w:val="0F1115"/>
          <w:sz w:val="24"/>
          <w:szCs w:val="24"/>
        </w:rPr>
        <w:t>of the constitution of Zambia</w:t>
      </w:r>
      <w:r w:rsidR="002F1916">
        <w:rPr>
          <w:rFonts w:ascii="Times New Roman" w:eastAsia="Times New Roman" w:hAnsi="Times New Roman" w:cs="Times New Roman"/>
          <w:color w:val="0F1115"/>
          <w:sz w:val="24"/>
          <w:szCs w:val="24"/>
        </w:rPr>
        <w:t xml:space="preserve"> </w:t>
      </w:r>
      <w:r w:rsidRPr="00395CEE">
        <w:rPr>
          <w:rFonts w:ascii="Times New Roman" w:eastAsia="Times New Roman" w:hAnsi="Times New Roman" w:cs="Times New Roman"/>
          <w:color w:val="0F1115"/>
          <w:sz w:val="24"/>
          <w:szCs w:val="24"/>
        </w:rPr>
        <w:t>provides a broader arena for career parliamentarians to serve four, five, or even six consecutive terms. There is no constitutional prohibition on an MP serving 30 years, provided they continue to win their constituency election (</w:t>
      </w:r>
      <w:proofErr w:type="spellStart"/>
      <w:r w:rsidRPr="00395CEE">
        <w:rPr>
          <w:rFonts w:ascii="Times New Roman" w:eastAsia="Times New Roman" w:hAnsi="Times New Roman" w:cs="Times New Roman"/>
          <w:color w:val="0F1115"/>
          <w:sz w:val="24"/>
          <w:szCs w:val="24"/>
        </w:rPr>
        <w:t>Chigudu</w:t>
      </w:r>
      <w:proofErr w:type="spellEnd"/>
      <w:r w:rsidRPr="00395CEE">
        <w:rPr>
          <w:rFonts w:ascii="Times New Roman" w:eastAsia="Times New Roman" w:hAnsi="Times New Roman" w:cs="Times New Roman"/>
          <w:color w:val="0F1115"/>
          <w:sz w:val="24"/>
          <w:szCs w:val="24"/>
        </w:rPr>
        <w:t>, 2021).</w:t>
      </w:r>
    </w:p>
    <w:p w14:paraId="4A7A1E60"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The developmental rationale for ILC is well established in comparative institutional literature. Legislatures that undergo total turnover every five to ten years are structurally weak, lacking the expertise to audit complex national budgets, </w:t>
      </w:r>
      <w:proofErr w:type="spellStart"/>
      <w:r w:rsidRPr="00395CEE">
        <w:rPr>
          <w:rFonts w:ascii="Times New Roman" w:eastAsia="Times New Roman" w:hAnsi="Times New Roman" w:cs="Times New Roman"/>
          <w:color w:val="0F1115"/>
          <w:sz w:val="24"/>
          <w:szCs w:val="24"/>
        </w:rPr>
        <w:t>scrutinise</w:t>
      </w:r>
      <w:proofErr w:type="spellEnd"/>
      <w:r w:rsidRPr="00395CEE">
        <w:rPr>
          <w:rFonts w:ascii="Times New Roman" w:eastAsia="Times New Roman" w:hAnsi="Times New Roman" w:cs="Times New Roman"/>
          <w:color w:val="0F1115"/>
          <w:sz w:val="24"/>
          <w:szCs w:val="24"/>
        </w:rPr>
        <w:t xml:space="preserve"> mining taxation agreements, or conduct effective oversight of the executive branch (Banda, 2019). Long</w:t>
      </w:r>
      <w:r w:rsidRPr="00395CEE">
        <w:rPr>
          <w:rFonts w:ascii="Times New Roman" w:eastAsia="Times New Roman" w:hAnsi="Times New Roman" w:cs="Times New Roman"/>
          <w:color w:val="0F1115"/>
          <w:sz w:val="24"/>
          <w:szCs w:val="24"/>
        </w:rPr>
        <w:noBreakHyphen/>
        <w:t xml:space="preserve">serving MPs develop </w:t>
      </w:r>
      <w:proofErr w:type="spellStart"/>
      <w:r w:rsidRPr="00395CEE">
        <w:rPr>
          <w:rFonts w:ascii="Times New Roman" w:eastAsia="Times New Roman" w:hAnsi="Times New Roman" w:cs="Times New Roman"/>
          <w:color w:val="0F1115"/>
          <w:sz w:val="24"/>
          <w:szCs w:val="24"/>
        </w:rPr>
        <w:t>specialised</w:t>
      </w:r>
      <w:proofErr w:type="spellEnd"/>
      <w:r w:rsidRPr="00395CEE">
        <w:rPr>
          <w:rFonts w:ascii="Times New Roman" w:eastAsia="Times New Roman" w:hAnsi="Times New Roman" w:cs="Times New Roman"/>
          <w:color w:val="0F1115"/>
          <w:sz w:val="24"/>
          <w:szCs w:val="24"/>
        </w:rPr>
        <w:t xml:space="preserve"> knowledge in areas such as public finance, constitutional law, and sectoral policy, enabling them to serve as a meaningful counterweight to the executive. Act No. 7’s expansion of constituency seats thus strengthens the legislature’s </w:t>
      </w:r>
      <w:r w:rsidRPr="00395CEE">
        <w:rPr>
          <w:rFonts w:ascii="Times New Roman" w:eastAsia="Times New Roman" w:hAnsi="Times New Roman" w:cs="Times New Roman"/>
          <w:i/>
          <w:iCs/>
          <w:color w:val="0F1115"/>
          <w:sz w:val="24"/>
          <w:szCs w:val="24"/>
        </w:rPr>
        <w:t>capacity</w:t>
      </w:r>
      <w:r w:rsidRPr="00395CEE">
        <w:rPr>
          <w:rFonts w:ascii="Times New Roman" w:eastAsia="Times New Roman" w:hAnsi="Times New Roman" w:cs="Times New Roman"/>
          <w:color w:val="0F1115"/>
          <w:sz w:val="24"/>
          <w:szCs w:val="24"/>
        </w:rPr>
        <w:t> for long</w:t>
      </w:r>
      <w:r w:rsidRPr="00395CEE">
        <w:rPr>
          <w:rFonts w:ascii="Times New Roman" w:eastAsia="Times New Roman" w:hAnsi="Times New Roman" w:cs="Times New Roman"/>
          <w:color w:val="0F1115"/>
          <w:sz w:val="24"/>
          <w:szCs w:val="24"/>
        </w:rPr>
        <w:noBreakHyphen/>
        <w:t>term institutional memory – but only for MPs, not for the president.</w:t>
      </w:r>
    </w:p>
    <w:p w14:paraId="49EC18D3"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2.4 Vector 2: The Mixed</w:t>
      </w:r>
      <w:r w:rsidRPr="00395CEE">
        <w:rPr>
          <w:rFonts w:ascii="Times New Roman" w:eastAsia="Times New Roman" w:hAnsi="Times New Roman" w:cs="Times New Roman"/>
          <w:b/>
          <w:bCs/>
          <w:color w:val="0F1115"/>
          <w:sz w:val="24"/>
          <w:szCs w:val="24"/>
        </w:rPr>
        <w:noBreakHyphen/>
        <w:t>Member Proportional Tier and Technocratic Inflow</w:t>
      </w:r>
    </w:p>
    <w:p w14:paraId="0181293A"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second and more innovative vector introduced a 40</w:t>
      </w:r>
      <w:r w:rsidRPr="00395CEE">
        <w:rPr>
          <w:rFonts w:ascii="Times New Roman" w:eastAsia="Times New Roman" w:hAnsi="Times New Roman" w:cs="Times New Roman"/>
          <w:color w:val="0F1115"/>
          <w:sz w:val="24"/>
          <w:szCs w:val="24"/>
        </w:rPr>
        <w:noBreakHyphen/>
        <w:t>seat closed</w:t>
      </w:r>
      <w:r w:rsidRPr="00395CEE">
        <w:rPr>
          <w:rFonts w:ascii="Times New Roman" w:eastAsia="Times New Roman" w:hAnsi="Times New Roman" w:cs="Times New Roman"/>
          <w:color w:val="0F1115"/>
          <w:sz w:val="24"/>
          <w:szCs w:val="24"/>
        </w:rPr>
        <w:noBreakHyphen/>
        <w:t>list mixed</w:t>
      </w:r>
      <w:r w:rsidRPr="00395CEE">
        <w:rPr>
          <w:rFonts w:ascii="Times New Roman" w:eastAsia="Times New Roman" w:hAnsi="Times New Roman" w:cs="Times New Roman"/>
          <w:color w:val="0F1115"/>
          <w:sz w:val="24"/>
          <w:szCs w:val="24"/>
        </w:rPr>
        <w:noBreakHyphen/>
        <w:t>member proportional representation (MMPR) tier. These seats are not contested on a constituency basis; rather, they are allocated based on each political party’s aggregate share of the national popular vote. Critically, the 40 seats are </w:t>
      </w:r>
      <w:r w:rsidRPr="00395CEE">
        <w:rPr>
          <w:rFonts w:ascii="Times New Roman" w:eastAsia="Times New Roman" w:hAnsi="Times New Roman" w:cs="Times New Roman"/>
          <w:b/>
          <w:bCs/>
          <w:color w:val="0F1115"/>
          <w:sz w:val="24"/>
          <w:szCs w:val="24"/>
        </w:rPr>
        <w:t>strictly reserved</w:t>
      </w:r>
      <w:r w:rsidRPr="00395CEE">
        <w:rPr>
          <w:rFonts w:ascii="Times New Roman" w:eastAsia="Times New Roman" w:hAnsi="Times New Roman" w:cs="Times New Roman"/>
          <w:color w:val="0F1115"/>
          <w:sz w:val="24"/>
          <w:szCs w:val="24"/>
        </w:rPr>
        <w:t> for three demographic categories: women, youth (defined as persons under 35 years), and persons with disabilities (</w:t>
      </w:r>
      <w:proofErr w:type="spellStart"/>
      <w:r w:rsidRPr="00395CEE">
        <w:rPr>
          <w:rFonts w:ascii="Times New Roman" w:eastAsia="Times New Roman" w:hAnsi="Times New Roman" w:cs="Times New Roman"/>
          <w:color w:val="0F1115"/>
          <w:sz w:val="24"/>
          <w:szCs w:val="24"/>
        </w:rPr>
        <w:t>Kasune</w:t>
      </w:r>
      <w:proofErr w:type="spellEnd"/>
      <w:r w:rsidRPr="00395CEE">
        <w:rPr>
          <w:rFonts w:ascii="Times New Roman" w:eastAsia="Times New Roman" w:hAnsi="Times New Roman" w:cs="Times New Roman"/>
          <w:color w:val="0F1115"/>
          <w:sz w:val="24"/>
          <w:szCs w:val="24"/>
        </w:rPr>
        <w:t>, 2025). Each party submits a closed list ranked by order of preference, and seats are distributed proportionally.</w:t>
      </w:r>
    </w:p>
    <w:p w14:paraId="53174FFD" w14:textId="35EF0536"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institutional choice establishes the condition of </w:t>
      </w:r>
      <w:r w:rsidRPr="00395CEE">
        <w:rPr>
          <w:rFonts w:ascii="Times New Roman" w:eastAsia="Times New Roman" w:hAnsi="Times New Roman" w:cs="Times New Roman"/>
          <w:b/>
          <w:bCs/>
          <w:color w:val="0F1115"/>
          <w:sz w:val="24"/>
          <w:szCs w:val="24"/>
        </w:rPr>
        <w:t>Proportional Technical Inflow (PTI=1)</w:t>
      </w:r>
      <w:r w:rsidRPr="00395CEE">
        <w:rPr>
          <w:rFonts w:ascii="Times New Roman" w:eastAsia="Times New Roman" w:hAnsi="Times New Roman" w:cs="Times New Roman"/>
          <w:color w:val="0F1115"/>
          <w:sz w:val="24"/>
          <w:szCs w:val="24"/>
        </w:rPr>
        <w:t>. Proportional Technical Inflow refers to the introduction of non</w:t>
      </w:r>
      <w:r w:rsidRPr="00395CEE">
        <w:rPr>
          <w:rFonts w:ascii="Times New Roman" w:eastAsia="Times New Roman" w:hAnsi="Times New Roman" w:cs="Times New Roman"/>
          <w:color w:val="0F1115"/>
          <w:sz w:val="24"/>
          <w:szCs w:val="24"/>
        </w:rPr>
        <w:noBreakHyphen/>
        <w:t>majoritarian, party</w:t>
      </w:r>
      <w:r w:rsidRPr="00395CEE">
        <w:rPr>
          <w:rFonts w:ascii="Times New Roman" w:eastAsia="Times New Roman" w:hAnsi="Times New Roman" w:cs="Times New Roman"/>
          <w:color w:val="0F1115"/>
          <w:sz w:val="24"/>
          <w:szCs w:val="24"/>
        </w:rPr>
        <w:noBreakHyphen/>
        <w:t>list selection mechanisms that allow technical experts, policy specialists, and underrepresented demographics to enter the legislature without having to win a highly capital</w:t>
      </w:r>
      <w:r w:rsidRPr="00395CEE">
        <w:rPr>
          <w:rFonts w:ascii="Times New Roman" w:eastAsia="Times New Roman" w:hAnsi="Times New Roman" w:cs="Times New Roman"/>
          <w:color w:val="0F1115"/>
          <w:sz w:val="24"/>
          <w:szCs w:val="24"/>
        </w:rPr>
        <w:noBreakHyphen/>
        <w:t>intensive, locally fragmented constituency race. Because the MMP tier is insulated from the volatile demands of first</w:t>
      </w:r>
      <w:r w:rsidRPr="00395CEE">
        <w:rPr>
          <w:rFonts w:ascii="Times New Roman" w:eastAsia="Times New Roman" w:hAnsi="Times New Roman" w:cs="Times New Roman"/>
          <w:color w:val="0F1115"/>
          <w:sz w:val="24"/>
          <w:szCs w:val="24"/>
        </w:rPr>
        <w:noBreakHyphen/>
        <w:t>past</w:t>
      </w:r>
      <w:r w:rsidRPr="00395CEE">
        <w:rPr>
          <w:rFonts w:ascii="Times New Roman" w:eastAsia="Times New Roman" w:hAnsi="Times New Roman" w:cs="Times New Roman"/>
          <w:color w:val="0F1115"/>
          <w:sz w:val="24"/>
          <w:szCs w:val="24"/>
        </w:rPr>
        <w:noBreakHyphen/>
        <w:t>the</w:t>
      </w:r>
      <w:r w:rsidRPr="00395CEE">
        <w:rPr>
          <w:rFonts w:ascii="Times New Roman" w:eastAsia="Times New Roman" w:hAnsi="Times New Roman" w:cs="Times New Roman"/>
          <w:color w:val="0F1115"/>
          <w:sz w:val="24"/>
          <w:szCs w:val="24"/>
        </w:rPr>
        <w:noBreakHyphen/>
        <w:t>post elections, political parties can use their lists to recruit economists, legal scholars, public health experts, and engineers directly into the National Assembly (Law Association of Zambia, 2025).</w:t>
      </w:r>
    </w:p>
    <w:p w14:paraId="40648669"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Law Association of Zambia (2025, p. 8) noted in its legal memorandum that the MMP tier </w:t>
      </w:r>
      <w:r w:rsidRPr="00395CEE">
        <w:rPr>
          <w:rFonts w:ascii="Times New Roman" w:eastAsia="Times New Roman" w:hAnsi="Times New Roman" w:cs="Times New Roman"/>
          <w:i/>
          <w:iCs/>
          <w:color w:val="0F1115"/>
          <w:sz w:val="24"/>
          <w:szCs w:val="24"/>
        </w:rPr>
        <w:t xml:space="preserve">“has the potential to elevate the quality of legislative deliberation by bringing </w:t>
      </w:r>
      <w:proofErr w:type="spellStart"/>
      <w:r w:rsidRPr="00395CEE">
        <w:rPr>
          <w:rFonts w:ascii="Times New Roman" w:eastAsia="Times New Roman" w:hAnsi="Times New Roman" w:cs="Times New Roman"/>
          <w:i/>
          <w:iCs/>
          <w:color w:val="0F1115"/>
          <w:sz w:val="24"/>
          <w:szCs w:val="24"/>
        </w:rPr>
        <w:t>specialised</w:t>
      </w:r>
      <w:proofErr w:type="spellEnd"/>
      <w:r w:rsidRPr="00395CEE">
        <w:rPr>
          <w:rFonts w:ascii="Times New Roman" w:eastAsia="Times New Roman" w:hAnsi="Times New Roman" w:cs="Times New Roman"/>
          <w:i/>
          <w:iCs/>
          <w:color w:val="0F1115"/>
          <w:sz w:val="24"/>
          <w:szCs w:val="24"/>
        </w:rPr>
        <w:t xml:space="preserve"> expertise into the parliamentary chamber, free from the pressures of constituency</w:t>
      </w:r>
      <w:r w:rsidRPr="00395CEE">
        <w:rPr>
          <w:rFonts w:ascii="Times New Roman" w:eastAsia="Times New Roman" w:hAnsi="Times New Roman" w:cs="Times New Roman"/>
          <w:i/>
          <w:iCs/>
          <w:color w:val="0F1115"/>
          <w:sz w:val="24"/>
          <w:szCs w:val="24"/>
        </w:rPr>
        <w:noBreakHyphen/>
        <w:t>level patronage.”</w:t>
      </w:r>
      <w:r w:rsidRPr="00395CEE">
        <w:rPr>
          <w:rFonts w:ascii="Times New Roman" w:eastAsia="Times New Roman" w:hAnsi="Times New Roman" w:cs="Times New Roman"/>
          <w:color w:val="0F1115"/>
          <w:sz w:val="24"/>
          <w:szCs w:val="24"/>
        </w:rPr>
        <w:t> This is a significant developmental innovation. A legislature that includes technocrats with formal training in macroeconomics can more effectively challenge the executive’s budget proposals and mining fiscal regimes. However, the same logic is deliberately denied to the presidency: the president remains bound by a rigid term limit regardless of their own technocratic competence or economic track record.</w:t>
      </w:r>
    </w:p>
    <w:p w14:paraId="6B8545DB"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2.5 Vector 3: Abolition of Mayoral Term Limits and Sub</w:t>
      </w:r>
      <w:r w:rsidRPr="00395CEE">
        <w:rPr>
          <w:rFonts w:ascii="Times New Roman" w:eastAsia="Times New Roman" w:hAnsi="Times New Roman" w:cs="Times New Roman"/>
          <w:b/>
          <w:bCs/>
          <w:color w:val="0F1115"/>
          <w:sz w:val="24"/>
          <w:szCs w:val="24"/>
        </w:rPr>
        <w:noBreakHyphen/>
        <w:t>National Consolidation</w:t>
      </w:r>
    </w:p>
    <w:p w14:paraId="72D5C8FC"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third vector operates at the sub</w:t>
      </w:r>
      <w:r w:rsidRPr="00395CEE">
        <w:rPr>
          <w:rFonts w:ascii="Times New Roman" w:eastAsia="Times New Roman" w:hAnsi="Times New Roman" w:cs="Times New Roman"/>
          <w:color w:val="0F1115"/>
          <w:sz w:val="24"/>
          <w:szCs w:val="24"/>
        </w:rPr>
        <w:noBreakHyphen/>
        <w:t>national level. Act No. 7 completely removed all term limits for executive mayors and local council chairpersons. Section 47(2) of the amended Constitution now reads: </w:t>
      </w:r>
      <w:r w:rsidRPr="00395CEE">
        <w:rPr>
          <w:rFonts w:ascii="Times New Roman" w:eastAsia="Times New Roman" w:hAnsi="Times New Roman" w:cs="Times New Roman"/>
          <w:i/>
          <w:iCs/>
          <w:color w:val="0F1115"/>
          <w:sz w:val="24"/>
          <w:szCs w:val="24"/>
        </w:rPr>
        <w:t>“A person elected as executive mayor or council chairperson shall hold office for a term of five years and may be re</w:t>
      </w:r>
      <w:r w:rsidRPr="00395CEE">
        <w:rPr>
          <w:rFonts w:ascii="Times New Roman" w:eastAsia="Times New Roman" w:hAnsi="Times New Roman" w:cs="Times New Roman"/>
          <w:i/>
          <w:iCs/>
          <w:color w:val="0F1115"/>
          <w:sz w:val="24"/>
          <w:szCs w:val="24"/>
        </w:rPr>
        <w:noBreakHyphen/>
        <w:t>elected without limitation on the number of terms they may serve”</w:t>
      </w:r>
      <w:r w:rsidRPr="00395CEE">
        <w:rPr>
          <w:rFonts w:ascii="Times New Roman" w:eastAsia="Times New Roman" w:hAnsi="Times New Roman" w:cs="Times New Roman"/>
          <w:color w:val="0F1115"/>
          <w:sz w:val="24"/>
          <w:szCs w:val="24"/>
        </w:rPr>
        <w:t> (Republic of Zambia, 2025). This provision resolved a long</w:t>
      </w:r>
      <w:r w:rsidRPr="00395CEE">
        <w:rPr>
          <w:rFonts w:ascii="Times New Roman" w:eastAsia="Times New Roman" w:hAnsi="Times New Roman" w:cs="Times New Roman"/>
          <w:color w:val="0F1115"/>
          <w:sz w:val="24"/>
          <w:szCs w:val="24"/>
        </w:rPr>
        <w:noBreakHyphen/>
        <w:t>standing statutory ambiguity that had previously exposed local executive leaders to shifting tenure boundaries, sometimes set at two terms, sometimes at three, depending on the specific local government act in force at the time (Transparency International Zambia, 2025).</w:t>
      </w:r>
    </w:p>
    <w:p w14:paraId="0E8C5114" w14:textId="2DA7BF63"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By eliminating these limits, the amendment activated the condition of </w:t>
      </w:r>
      <w:r w:rsidRPr="00395CEE">
        <w:rPr>
          <w:rFonts w:ascii="Times New Roman" w:eastAsia="Times New Roman" w:hAnsi="Times New Roman" w:cs="Times New Roman"/>
          <w:b/>
          <w:bCs/>
          <w:color w:val="0F1115"/>
          <w:sz w:val="24"/>
          <w:szCs w:val="24"/>
        </w:rPr>
        <w:t>Sub</w:t>
      </w:r>
      <w:r w:rsidRPr="00395CEE">
        <w:rPr>
          <w:rFonts w:ascii="Times New Roman" w:eastAsia="Times New Roman" w:hAnsi="Times New Roman" w:cs="Times New Roman"/>
          <w:b/>
          <w:bCs/>
          <w:color w:val="0F1115"/>
          <w:sz w:val="24"/>
          <w:szCs w:val="24"/>
        </w:rPr>
        <w:noBreakHyphen/>
        <w:t>National Executive Consolidation (SEC=1)</w:t>
      </w:r>
      <w:r w:rsidRPr="00395CEE">
        <w:rPr>
          <w:rFonts w:ascii="Times New Roman" w:eastAsia="Times New Roman" w:hAnsi="Times New Roman" w:cs="Times New Roman"/>
          <w:color w:val="0F1115"/>
          <w:sz w:val="24"/>
          <w:szCs w:val="24"/>
        </w:rPr>
        <w:t>. Sub</w:t>
      </w:r>
      <w:r w:rsidRPr="00395CEE">
        <w:rPr>
          <w:rFonts w:ascii="Times New Roman" w:eastAsia="Times New Roman" w:hAnsi="Times New Roman" w:cs="Times New Roman"/>
          <w:color w:val="0F1115"/>
          <w:sz w:val="24"/>
          <w:szCs w:val="24"/>
        </w:rPr>
        <w:noBreakHyphen/>
        <w:t xml:space="preserve">National Executive Consolidation </w:t>
      </w:r>
      <w:proofErr w:type="spellStart"/>
      <w:r w:rsidRPr="00395CEE">
        <w:rPr>
          <w:rFonts w:ascii="Times New Roman" w:eastAsia="Times New Roman" w:hAnsi="Times New Roman" w:cs="Times New Roman"/>
          <w:color w:val="0F1115"/>
          <w:sz w:val="24"/>
          <w:szCs w:val="24"/>
        </w:rPr>
        <w:t>recognises</w:t>
      </w:r>
      <w:proofErr w:type="spellEnd"/>
      <w:r w:rsidRPr="00395CEE">
        <w:rPr>
          <w:rFonts w:ascii="Times New Roman" w:eastAsia="Times New Roman" w:hAnsi="Times New Roman" w:cs="Times New Roman"/>
          <w:color w:val="0F1115"/>
          <w:sz w:val="24"/>
          <w:szCs w:val="24"/>
        </w:rPr>
        <w:t xml:space="preserve"> that true urban renewal, metropolitan revenue </w:t>
      </w:r>
      <w:proofErr w:type="spellStart"/>
      <w:r w:rsidRPr="00395CEE">
        <w:rPr>
          <w:rFonts w:ascii="Times New Roman" w:eastAsia="Times New Roman" w:hAnsi="Times New Roman" w:cs="Times New Roman"/>
          <w:color w:val="0F1115"/>
          <w:sz w:val="24"/>
          <w:szCs w:val="24"/>
        </w:rPr>
        <w:t>modernisation</w:t>
      </w:r>
      <w:proofErr w:type="spellEnd"/>
      <w:r w:rsidRPr="00395CEE">
        <w:rPr>
          <w:rFonts w:ascii="Times New Roman" w:eastAsia="Times New Roman" w:hAnsi="Times New Roman" w:cs="Times New Roman"/>
          <w:color w:val="0F1115"/>
          <w:sz w:val="24"/>
          <w:szCs w:val="24"/>
        </w:rPr>
        <w:t>, and long</w:t>
      </w:r>
      <w:r w:rsidRPr="00395CEE">
        <w:rPr>
          <w:rFonts w:ascii="Times New Roman" w:eastAsia="Times New Roman" w:hAnsi="Times New Roman" w:cs="Times New Roman"/>
          <w:color w:val="0F1115"/>
          <w:sz w:val="24"/>
          <w:szCs w:val="24"/>
        </w:rPr>
        <w:noBreakHyphen/>
        <w:t>term municipal debt</w:t>
      </w:r>
      <w:r w:rsidRPr="00395CEE">
        <w:rPr>
          <w:rFonts w:ascii="Times New Roman" w:eastAsia="Times New Roman" w:hAnsi="Times New Roman" w:cs="Times New Roman"/>
          <w:color w:val="0F1115"/>
          <w:sz w:val="24"/>
          <w:szCs w:val="24"/>
        </w:rPr>
        <w:noBreakHyphen/>
        <w:t xml:space="preserve">instrument financing require extended planning horizons. A mayor who knows they may be limited to two terms will </w:t>
      </w:r>
      <w:proofErr w:type="spellStart"/>
      <w:r w:rsidRPr="00395CEE">
        <w:rPr>
          <w:rFonts w:ascii="Times New Roman" w:eastAsia="Times New Roman" w:hAnsi="Times New Roman" w:cs="Times New Roman"/>
          <w:color w:val="0F1115"/>
          <w:sz w:val="24"/>
          <w:szCs w:val="24"/>
        </w:rPr>
        <w:t>prioritise</w:t>
      </w:r>
      <w:proofErr w:type="spellEnd"/>
      <w:r w:rsidRPr="00395CEE">
        <w:rPr>
          <w:rFonts w:ascii="Times New Roman" w:eastAsia="Times New Roman" w:hAnsi="Times New Roman" w:cs="Times New Roman"/>
          <w:color w:val="0F1115"/>
          <w:sz w:val="24"/>
          <w:szCs w:val="24"/>
        </w:rPr>
        <w:t xml:space="preserve"> ribbon</w:t>
      </w:r>
      <w:r w:rsidRPr="00395CEE">
        <w:rPr>
          <w:rFonts w:ascii="Times New Roman" w:eastAsia="Times New Roman" w:hAnsi="Times New Roman" w:cs="Times New Roman"/>
          <w:color w:val="0F1115"/>
          <w:sz w:val="24"/>
          <w:szCs w:val="24"/>
        </w:rPr>
        <w:noBreakHyphen/>
        <w:t>cutting projects that yield immediate visibility, rather than complex, multi</w:t>
      </w:r>
      <w:r w:rsidRPr="00395CEE">
        <w:rPr>
          <w:rFonts w:ascii="Times New Roman" w:eastAsia="Times New Roman" w:hAnsi="Times New Roman" w:cs="Times New Roman"/>
          <w:color w:val="0F1115"/>
          <w:sz w:val="24"/>
          <w:szCs w:val="24"/>
        </w:rPr>
        <w:noBreakHyphen/>
        <w:t>year infrastructure programmes such as integrated public transport systems, water reticulation networks, or affordable housing schemes (McPherson, 2023). Removing term limits aligns local executive incentives with long</w:t>
      </w:r>
      <w:r w:rsidRPr="00395CEE">
        <w:rPr>
          <w:rFonts w:ascii="Times New Roman" w:eastAsia="Times New Roman" w:hAnsi="Times New Roman" w:cs="Times New Roman"/>
          <w:color w:val="0F1115"/>
          <w:sz w:val="24"/>
          <w:szCs w:val="24"/>
        </w:rPr>
        <w:noBreakHyphen/>
        <w:t>term developmental returns.</w:t>
      </w:r>
    </w:p>
    <w:p w14:paraId="380F248A" w14:textId="02FE4394"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Once again, however, the presidency is excluded from this logic. The same argument that justifies mayoral tenure continuity that infrastructure requires long horizons applies </w:t>
      </w:r>
      <w:r w:rsidRPr="00395CEE">
        <w:rPr>
          <w:rFonts w:ascii="Times New Roman" w:eastAsia="Times New Roman" w:hAnsi="Times New Roman" w:cs="Times New Roman"/>
          <w:i/>
          <w:iCs/>
          <w:color w:val="0F1115"/>
          <w:sz w:val="24"/>
          <w:szCs w:val="24"/>
        </w:rPr>
        <w:t>a fortiori</w:t>
      </w:r>
      <w:r w:rsidRPr="00395CEE">
        <w:rPr>
          <w:rFonts w:ascii="Times New Roman" w:eastAsia="Times New Roman" w:hAnsi="Times New Roman" w:cs="Times New Roman"/>
          <w:color w:val="0F1115"/>
          <w:sz w:val="24"/>
          <w:szCs w:val="24"/>
        </w:rPr>
        <w:t> to the national presidency, which oversees cross</w:t>
      </w:r>
      <w:r w:rsidRPr="00395CEE">
        <w:rPr>
          <w:rFonts w:ascii="Times New Roman" w:eastAsia="Times New Roman" w:hAnsi="Times New Roman" w:cs="Times New Roman"/>
          <w:color w:val="0F1115"/>
          <w:sz w:val="24"/>
          <w:szCs w:val="24"/>
        </w:rPr>
        <w:noBreakHyphen/>
        <w:t>border railways (e.g., the Lobito Corridor), national energy grids, and copper value</w:t>
      </w:r>
      <w:r w:rsidRPr="00395CEE">
        <w:rPr>
          <w:rFonts w:ascii="Times New Roman" w:eastAsia="Times New Roman" w:hAnsi="Times New Roman" w:cs="Times New Roman"/>
          <w:color w:val="0F1115"/>
          <w:sz w:val="24"/>
          <w:szCs w:val="24"/>
        </w:rPr>
        <w:noBreakHyphen/>
        <w:t xml:space="preserve">addition strategies requiring </w:t>
      </w:r>
      <w:r w:rsidR="009556E3" w:rsidRPr="00395CEE">
        <w:rPr>
          <w:rFonts w:ascii="Times New Roman" w:eastAsia="Times New Roman" w:hAnsi="Times New Roman" w:cs="Times New Roman"/>
          <w:color w:val="0F1115"/>
          <w:sz w:val="24"/>
          <w:szCs w:val="24"/>
        </w:rPr>
        <w:t>15-to-20-year</w:t>
      </w:r>
      <w:r w:rsidRPr="00395CEE">
        <w:rPr>
          <w:rFonts w:ascii="Times New Roman" w:eastAsia="Times New Roman" w:hAnsi="Times New Roman" w:cs="Times New Roman"/>
          <w:color w:val="0F1115"/>
          <w:sz w:val="24"/>
          <w:szCs w:val="24"/>
        </w:rPr>
        <w:t xml:space="preserve"> implementation timelines (World Bank, 2023). Yet Article 106(3) explicitly denies the president the very planning continuity granted to local mayors.</w:t>
      </w:r>
    </w:p>
    <w:p w14:paraId="37F9856B"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2.6 Configurational Outcome: The Dual</w:t>
      </w:r>
      <w:r w:rsidRPr="00395CEE">
        <w:rPr>
          <w:rFonts w:ascii="Times New Roman" w:eastAsia="Times New Roman" w:hAnsi="Times New Roman" w:cs="Times New Roman"/>
          <w:b/>
          <w:bCs/>
          <w:color w:val="0F1115"/>
          <w:sz w:val="24"/>
          <w:szCs w:val="24"/>
        </w:rPr>
        <w:noBreakHyphen/>
        <w:t>Track State</w:t>
      </w:r>
    </w:p>
    <w:p w14:paraId="7A80380D"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three vectors of Act No. 7 of 2025, when combined with the unchanged Article 106(3), produce a sharply bifurcated constitutional configuration. Using the crisp</w:t>
      </w:r>
      <w:r w:rsidRPr="00395CEE">
        <w:rPr>
          <w:rFonts w:ascii="Times New Roman" w:eastAsia="Times New Roman" w:hAnsi="Times New Roman" w:cs="Times New Roman"/>
          <w:color w:val="0F1115"/>
          <w:sz w:val="24"/>
          <w:szCs w:val="24"/>
        </w:rPr>
        <w:noBreakHyphen/>
        <w:t xml:space="preserve">set QCA conditions defined earlier, the institutional matrix can be </w:t>
      </w:r>
      <w:proofErr w:type="spellStart"/>
      <w:r w:rsidRPr="00395CEE">
        <w:rPr>
          <w:rFonts w:ascii="Times New Roman" w:eastAsia="Times New Roman" w:hAnsi="Times New Roman" w:cs="Times New Roman"/>
          <w:color w:val="0F1115"/>
          <w:sz w:val="24"/>
          <w:szCs w:val="24"/>
        </w:rPr>
        <w:t>summarised</w:t>
      </w:r>
      <w:proofErr w:type="spellEnd"/>
      <w:r w:rsidRPr="00395CEE">
        <w:rPr>
          <w:rFonts w:ascii="Times New Roman" w:eastAsia="Times New Roman" w:hAnsi="Times New Roman" w:cs="Times New Roman"/>
          <w:color w:val="0F1115"/>
          <w:sz w:val="24"/>
          <w:szCs w:val="24"/>
        </w:rPr>
        <w:t xml:space="preserve"> as follows:</w:t>
      </w:r>
    </w:p>
    <w:tbl>
      <w:tblPr>
        <w:tblpPr w:leftFromText="180" w:rightFromText="180" w:vertAnchor="text" w:tblpX="1696"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843"/>
        <w:gridCol w:w="1843"/>
        <w:gridCol w:w="1984"/>
        <w:gridCol w:w="1848"/>
      </w:tblGrid>
      <w:tr w:rsidR="00395CEE" w:rsidRPr="00395CEE" w14:paraId="149D7DFB" w14:textId="77777777" w:rsidTr="00F931CD">
        <w:trPr>
          <w:tblHeader/>
        </w:trPr>
        <w:tc>
          <w:tcPr>
            <w:tcW w:w="2830" w:type="dxa"/>
            <w:tcMar>
              <w:top w:w="150" w:type="dxa"/>
              <w:left w:w="0" w:type="dxa"/>
              <w:bottom w:w="150" w:type="dxa"/>
              <w:right w:w="240" w:type="dxa"/>
            </w:tcMar>
            <w:vAlign w:val="center"/>
            <w:hideMark/>
          </w:tcPr>
          <w:p w14:paraId="23F3574A" w14:textId="7717A70C"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INSTITUTION</w:t>
            </w:r>
          </w:p>
        </w:tc>
        <w:tc>
          <w:tcPr>
            <w:tcW w:w="1843" w:type="dxa"/>
            <w:tcMar>
              <w:top w:w="150" w:type="dxa"/>
              <w:left w:w="240" w:type="dxa"/>
              <w:bottom w:w="150" w:type="dxa"/>
              <w:right w:w="240" w:type="dxa"/>
            </w:tcMar>
            <w:vAlign w:val="center"/>
            <w:hideMark/>
          </w:tcPr>
          <w:p w14:paraId="4968826E" w14:textId="3103F3F1"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ILC</w:t>
            </w:r>
          </w:p>
        </w:tc>
        <w:tc>
          <w:tcPr>
            <w:tcW w:w="1843" w:type="dxa"/>
            <w:tcMar>
              <w:top w:w="150" w:type="dxa"/>
              <w:left w:w="240" w:type="dxa"/>
              <w:bottom w:w="150" w:type="dxa"/>
              <w:right w:w="240" w:type="dxa"/>
            </w:tcMar>
            <w:vAlign w:val="center"/>
            <w:hideMark/>
          </w:tcPr>
          <w:p w14:paraId="496099EA" w14:textId="7338BDB2"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PTI</w:t>
            </w:r>
          </w:p>
        </w:tc>
        <w:tc>
          <w:tcPr>
            <w:tcW w:w="1984" w:type="dxa"/>
            <w:tcMar>
              <w:top w:w="150" w:type="dxa"/>
              <w:left w:w="240" w:type="dxa"/>
              <w:bottom w:w="150" w:type="dxa"/>
              <w:right w:w="240" w:type="dxa"/>
            </w:tcMar>
            <w:vAlign w:val="center"/>
            <w:hideMark/>
          </w:tcPr>
          <w:p w14:paraId="19FD8BB0" w14:textId="3A79F44B"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SEC</w:t>
            </w:r>
          </w:p>
        </w:tc>
        <w:tc>
          <w:tcPr>
            <w:tcW w:w="1848" w:type="dxa"/>
            <w:tcMar>
              <w:top w:w="150" w:type="dxa"/>
              <w:left w:w="240" w:type="dxa"/>
              <w:bottom w:w="150" w:type="dxa"/>
              <w:right w:w="240" w:type="dxa"/>
            </w:tcMar>
            <w:vAlign w:val="center"/>
            <w:hideMark/>
          </w:tcPr>
          <w:p w14:paraId="2EE4A512" w14:textId="02C647B2"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TER</w:t>
            </w:r>
          </w:p>
        </w:tc>
      </w:tr>
      <w:tr w:rsidR="00395CEE" w:rsidRPr="00395CEE" w14:paraId="706A683B" w14:textId="77777777" w:rsidTr="00F931CD">
        <w:tc>
          <w:tcPr>
            <w:tcW w:w="2830" w:type="dxa"/>
            <w:tcMar>
              <w:top w:w="150" w:type="dxa"/>
              <w:left w:w="0" w:type="dxa"/>
              <w:bottom w:w="150" w:type="dxa"/>
              <w:right w:w="240" w:type="dxa"/>
            </w:tcMar>
            <w:vAlign w:val="center"/>
            <w:hideMark/>
          </w:tcPr>
          <w:p w14:paraId="78F6C2DF"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Member of Parliament (constituency)</w:t>
            </w:r>
          </w:p>
        </w:tc>
        <w:tc>
          <w:tcPr>
            <w:tcW w:w="1843" w:type="dxa"/>
            <w:tcMar>
              <w:top w:w="150" w:type="dxa"/>
              <w:left w:w="240" w:type="dxa"/>
              <w:bottom w:w="150" w:type="dxa"/>
              <w:right w:w="240" w:type="dxa"/>
            </w:tcMar>
            <w:vAlign w:val="center"/>
            <w:hideMark/>
          </w:tcPr>
          <w:p w14:paraId="2D9EEA29"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843" w:type="dxa"/>
            <w:tcMar>
              <w:top w:w="150" w:type="dxa"/>
              <w:left w:w="240" w:type="dxa"/>
              <w:bottom w:w="150" w:type="dxa"/>
              <w:right w:w="240" w:type="dxa"/>
            </w:tcMar>
            <w:vAlign w:val="center"/>
            <w:hideMark/>
          </w:tcPr>
          <w:p w14:paraId="4489F83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984" w:type="dxa"/>
            <w:tcMar>
              <w:top w:w="150" w:type="dxa"/>
              <w:left w:w="240" w:type="dxa"/>
              <w:bottom w:w="150" w:type="dxa"/>
              <w:right w:w="240" w:type="dxa"/>
            </w:tcMar>
            <w:vAlign w:val="center"/>
            <w:hideMark/>
          </w:tcPr>
          <w:p w14:paraId="7C034CB5"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848" w:type="dxa"/>
            <w:tcMar>
              <w:top w:w="150" w:type="dxa"/>
              <w:left w:w="240" w:type="dxa"/>
              <w:bottom w:w="150" w:type="dxa"/>
              <w:right w:w="0" w:type="dxa"/>
            </w:tcMar>
            <w:vAlign w:val="center"/>
            <w:hideMark/>
          </w:tcPr>
          <w:p w14:paraId="25A2C4F3"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r>
      <w:tr w:rsidR="00395CEE" w:rsidRPr="00395CEE" w14:paraId="1779B12C" w14:textId="77777777" w:rsidTr="00F931CD">
        <w:tc>
          <w:tcPr>
            <w:tcW w:w="2830" w:type="dxa"/>
            <w:tcMar>
              <w:top w:w="150" w:type="dxa"/>
              <w:left w:w="0" w:type="dxa"/>
              <w:bottom w:w="150" w:type="dxa"/>
              <w:right w:w="240" w:type="dxa"/>
            </w:tcMar>
            <w:vAlign w:val="center"/>
            <w:hideMark/>
          </w:tcPr>
          <w:p w14:paraId="3D2D83FD"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Member of Parliament (MMP tier)</w:t>
            </w:r>
          </w:p>
        </w:tc>
        <w:tc>
          <w:tcPr>
            <w:tcW w:w="1843" w:type="dxa"/>
            <w:tcMar>
              <w:top w:w="150" w:type="dxa"/>
              <w:left w:w="240" w:type="dxa"/>
              <w:bottom w:w="150" w:type="dxa"/>
              <w:right w:w="240" w:type="dxa"/>
            </w:tcMar>
            <w:vAlign w:val="center"/>
            <w:hideMark/>
          </w:tcPr>
          <w:p w14:paraId="162D51C3"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843" w:type="dxa"/>
            <w:tcMar>
              <w:top w:w="150" w:type="dxa"/>
              <w:left w:w="240" w:type="dxa"/>
              <w:bottom w:w="150" w:type="dxa"/>
              <w:right w:w="240" w:type="dxa"/>
            </w:tcMar>
            <w:vAlign w:val="center"/>
            <w:hideMark/>
          </w:tcPr>
          <w:p w14:paraId="63A658F0"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984" w:type="dxa"/>
            <w:tcMar>
              <w:top w:w="150" w:type="dxa"/>
              <w:left w:w="240" w:type="dxa"/>
              <w:bottom w:w="150" w:type="dxa"/>
              <w:right w:w="240" w:type="dxa"/>
            </w:tcMar>
            <w:vAlign w:val="center"/>
            <w:hideMark/>
          </w:tcPr>
          <w:p w14:paraId="7FAEEABE"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848" w:type="dxa"/>
            <w:tcMar>
              <w:top w:w="150" w:type="dxa"/>
              <w:left w:w="240" w:type="dxa"/>
              <w:bottom w:w="150" w:type="dxa"/>
              <w:right w:w="0" w:type="dxa"/>
            </w:tcMar>
            <w:vAlign w:val="center"/>
            <w:hideMark/>
          </w:tcPr>
          <w:p w14:paraId="7470690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r>
      <w:tr w:rsidR="00395CEE" w:rsidRPr="00395CEE" w14:paraId="0CB64DC2" w14:textId="77777777" w:rsidTr="00F931CD">
        <w:tc>
          <w:tcPr>
            <w:tcW w:w="2830" w:type="dxa"/>
            <w:tcMar>
              <w:top w:w="150" w:type="dxa"/>
              <w:left w:w="0" w:type="dxa"/>
              <w:bottom w:w="150" w:type="dxa"/>
              <w:right w:w="240" w:type="dxa"/>
            </w:tcMar>
            <w:vAlign w:val="center"/>
            <w:hideMark/>
          </w:tcPr>
          <w:p w14:paraId="328E9C0F"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Executive Mayor / Council Chairperson</w:t>
            </w:r>
          </w:p>
        </w:tc>
        <w:tc>
          <w:tcPr>
            <w:tcW w:w="1843" w:type="dxa"/>
            <w:tcMar>
              <w:top w:w="150" w:type="dxa"/>
              <w:left w:w="240" w:type="dxa"/>
              <w:bottom w:w="150" w:type="dxa"/>
              <w:right w:w="240" w:type="dxa"/>
            </w:tcMar>
            <w:vAlign w:val="center"/>
            <w:hideMark/>
          </w:tcPr>
          <w:p w14:paraId="2405B255"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843" w:type="dxa"/>
            <w:tcMar>
              <w:top w:w="150" w:type="dxa"/>
              <w:left w:w="240" w:type="dxa"/>
              <w:bottom w:w="150" w:type="dxa"/>
              <w:right w:w="240" w:type="dxa"/>
            </w:tcMar>
            <w:vAlign w:val="center"/>
            <w:hideMark/>
          </w:tcPr>
          <w:p w14:paraId="09973A47"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984" w:type="dxa"/>
            <w:tcMar>
              <w:top w:w="150" w:type="dxa"/>
              <w:left w:w="240" w:type="dxa"/>
              <w:bottom w:w="150" w:type="dxa"/>
              <w:right w:w="240" w:type="dxa"/>
            </w:tcMar>
            <w:vAlign w:val="center"/>
            <w:hideMark/>
          </w:tcPr>
          <w:p w14:paraId="09A36FA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848" w:type="dxa"/>
            <w:tcMar>
              <w:top w:w="150" w:type="dxa"/>
              <w:left w:w="240" w:type="dxa"/>
              <w:bottom w:w="150" w:type="dxa"/>
              <w:right w:w="0" w:type="dxa"/>
            </w:tcMar>
            <w:vAlign w:val="center"/>
            <w:hideMark/>
          </w:tcPr>
          <w:p w14:paraId="5DFEA2BE"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r>
      <w:tr w:rsidR="00395CEE" w:rsidRPr="00395CEE" w14:paraId="69777DB5" w14:textId="77777777" w:rsidTr="00F931CD">
        <w:tc>
          <w:tcPr>
            <w:tcW w:w="2830" w:type="dxa"/>
            <w:tcMar>
              <w:top w:w="150" w:type="dxa"/>
              <w:left w:w="0" w:type="dxa"/>
              <w:bottom w:w="150" w:type="dxa"/>
              <w:right w:w="240" w:type="dxa"/>
            </w:tcMar>
            <w:vAlign w:val="center"/>
            <w:hideMark/>
          </w:tcPr>
          <w:p w14:paraId="48D1D32F"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President</w:t>
            </w:r>
          </w:p>
        </w:tc>
        <w:tc>
          <w:tcPr>
            <w:tcW w:w="1843" w:type="dxa"/>
            <w:tcMar>
              <w:top w:w="150" w:type="dxa"/>
              <w:left w:w="240" w:type="dxa"/>
              <w:bottom w:w="150" w:type="dxa"/>
              <w:right w:w="240" w:type="dxa"/>
            </w:tcMar>
            <w:vAlign w:val="center"/>
            <w:hideMark/>
          </w:tcPr>
          <w:p w14:paraId="349F8565"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0</w:t>
            </w:r>
          </w:p>
        </w:tc>
        <w:tc>
          <w:tcPr>
            <w:tcW w:w="1843" w:type="dxa"/>
            <w:tcMar>
              <w:top w:w="150" w:type="dxa"/>
              <w:left w:w="240" w:type="dxa"/>
              <w:bottom w:w="150" w:type="dxa"/>
              <w:right w:w="240" w:type="dxa"/>
            </w:tcMar>
            <w:vAlign w:val="center"/>
            <w:hideMark/>
          </w:tcPr>
          <w:p w14:paraId="66CD4CEE"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0</w:t>
            </w:r>
          </w:p>
        </w:tc>
        <w:tc>
          <w:tcPr>
            <w:tcW w:w="1984" w:type="dxa"/>
            <w:tcMar>
              <w:top w:w="150" w:type="dxa"/>
              <w:left w:w="240" w:type="dxa"/>
              <w:bottom w:w="150" w:type="dxa"/>
              <w:right w:w="240" w:type="dxa"/>
            </w:tcMar>
            <w:vAlign w:val="center"/>
            <w:hideMark/>
          </w:tcPr>
          <w:p w14:paraId="6D0D2D1C"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0</w:t>
            </w:r>
          </w:p>
        </w:tc>
        <w:tc>
          <w:tcPr>
            <w:tcW w:w="1848" w:type="dxa"/>
            <w:tcMar>
              <w:top w:w="150" w:type="dxa"/>
              <w:left w:w="240" w:type="dxa"/>
              <w:bottom w:w="150" w:type="dxa"/>
              <w:right w:w="0" w:type="dxa"/>
            </w:tcMar>
            <w:vAlign w:val="center"/>
            <w:hideMark/>
          </w:tcPr>
          <w:p w14:paraId="2D888588"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1</w:t>
            </w:r>
          </w:p>
        </w:tc>
      </w:tr>
    </w:tbl>
    <w:p w14:paraId="281E77A6" w14:textId="765BABE3" w:rsidR="00395CEE" w:rsidRPr="00395CEE" w:rsidRDefault="004A7916"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br w:type="textWrapping" w:clear="all"/>
      </w:r>
      <w:r w:rsidR="00395CEE" w:rsidRPr="00395CEE">
        <w:rPr>
          <w:rFonts w:ascii="Times New Roman" w:eastAsia="Times New Roman" w:hAnsi="Times New Roman" w:cs="Times New Roman"/>
          <w:color w:val="0F1115"/>
          <w:sz w:val="24"/>
          <w:szCs w:val="24"/>
        </w:rPr>
        <w:t>Thus, for MPs (especially those entering through the MMP tier) and executive mayors, the institutional configuration is:</w:t>
      </w:r>
    </w:p>
    <w:p w14:paraId="33E0EE8D" w14:textId="41BADE7F"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 xml:space="preserve">Power Continuity = </w:t>
      </w:r>
      <w:r w:rsidR="001218AC" w:rsidRPr="00395CEE">
        <w:rPr>
          <w:rFonts w:ascii="Times New Roman" w:eastAsia="Times New Roman" w:hAnsi="Times New Roman" w:cs="Times New Roman"/>
          <w:b/>
          <w:bCs/>
          <w:color w:val="0F1115"/>
          <w:sz w:val="24"/>
          <w:szCs w:val="24"/>
        </w:rPr>
        <w:t>ILC (</w:t>
      </w:r>
      <w:r w:rsidRPr="00395CEE">
        <w:rPr>
          <w:rFonts w:ascii="Times New Roman" w:eastAsia="Times New Roman" w:hAnsi="Times New Roman" w:cs="Times New Roman"/>
          <w:b/>
          <w:bCs/>
          <w:color w:val="0F1115"/>
          <w:sz w:val="24"/>
          <w:szCs w:val="24"/>
        </w:rPr>
        <w:t xml:space="preserve">1) · </w:t>
      </w:r>
      <w:r w:rsidR="00F33CFC" w:rsidRPr="00395CEE">
        <w:rPr>
          <w:rFonts w:ascii="Times New Roman" w:eastAsia="Times New Roman" w:hAnsi="Times New Roman" w:cs="Times New Roman"/>
          <w:b/>
          <w:bCs/>
          <w:color w:val="0F1115"/>
          <w:sz w:val="24"/>
          <w:szCs w:val="24"/>
        </w:rPr>
        <w:t>PTI (</w:t>
      </w:r>
      <w:r w:rsidRPr="00395CEE">
        <w:rPr>
          <w:rFonts w:ascii="Times New Roman" w:eastAsia="Times New Roman" w:hAnsi="Times New Roman" w:cs="Times New Roman"/>
          <w:b/>
          <w:bCs/>
          <w:color w:val="0F1115"/>
          <w:sz w:val="24"/>
          <w:szCs w:val="24"/>
        </w:rPr>
        <w:t xml:space="preserve">1) · </w:t>
      </w:r>
      <w:r w:rsidR="00F33CFC" w:rsidRPr="00395CEE">
        <w:rPr>
          <w:rFonts w:ascii="Times New Roman" w:eastAsia="Times New Roman" w:hAnsi="Times New Roman" w:cs="Times New Roman"/>
          <w:b/>
          <w:bCs/>
          <w:color w:val="0F1115"/>
          <w:sz w:val="24"/>
          <w:szCs w:val="24"/>
        </w:rPr>
        <w:t>SEC (</w:t>
      </w:r>
      <w:r w:rsidRPr="00395CEE">
        <w:rPr>
          <w:rFonts w:ascii="Times New Roman" w:eastAsia="Times New Roman" w:hAnsi="Times New Roman" w:cs="Times New Roman"/>
          <w:b/>
          <w:bCs/>
          <w:color w:val="0F1115"/>
          <w:sz w:val="24"/>
          <w:szCs w:val="24"/>
        </w:rPr>
        <w:t xml:space="preserve">1) · </w:t>
      </w:r>
      <w:r w:rsidR="00F33CFC" w:rsidRPr="00395CEE">
        <w:rPr>
          <w:rFonts w:ascii="Times New Roman" w:eastAsia="Times New Roman" w:hAnsi="Times New Roman" w:cs="Times New Roman"/>
          <w:b/>
          <w:bCs/>
          <w:color w:val="0F1115"/>
          <w:sz w:val="24"/>
          <w:szCs w:val="24"/>
        </w:rPr>
        <w:t>TER (</w:t>
      </w:r>
      <w:r w:rsidRPr="00395CEE">
        <w:rPr>
          <w:rFonts w:ascii="Times New Roman" w:eastAsia="Times New Roman" w:hAnsi="Times New Roman" w:cs="Times New Roman"/>
          <w:b/>
          <w:bCs/>
          <w:color w:val="0F1115"/>
          <w:sz w:val="24"/>
          <w:szCs w:val="24"/>
        </w:rPr>
        <w:t>0)</w:t>
      </w:r>
    </w:p>
    <w:p w14:paraId="4D5FFE58" w14:textId="2CCF7677" w:rsidR="00E42E11"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path combines open</w:t>
      </w:r>
      <w:r w:rsidRPr="00395CEE">
        <w:rPr>
          <w:rFonts w:ascii="Times New Roman" w:eastAsia="Times New Roman" w:hAnsi="Times New Roman" w:cs="Times New Roman"/>
          <w:color w:val="0F1115"/>
          <w:sz w:val="24"/>
          <w:szCs w:val="24"/>
        </w:rPr>
        <w:noBreakHyphen/>
        <w:t>ended legislative horizons, proportional inflow of technocratic expertise, and consolidated sub</w:t>
      </w:r>
      <w:r w:rsidRPr="00395CEE">
        <w:rPr>
          <w:rFonts w:ascii="Times New Roman" w:eastAsia="Times New Roman" w:hAnsi="Times New Roman" w:cs="Times New Roman"/>
          <w:color w:val="0F1115"/>
          <w:sz w:val="24"/>
          <w:szCs w:val="24"/>
        </w:rPr>
        <w:noBreakHyphen/>
        <w:t>national executive timelines, completely unburdened by temporal restraints at the apex. The systemic outcome is the accumulation of deep institutional memory, local network stability, and long</w:t>
      </w:r>
      <w:r w:rsidRPr="00395CEE">
        <w:rPr>
          <w:rFonts w:ascii="Times New Roman" w:eastAsia="Times New Roman" w:hAnsi="Times New Roman" w:cs="Times New Roman"/>
          <w:color w:val="0F1115"/>
          <w:sz w:val="24"/>
          <w:szCs w:val="24"/>
        </w:rPr>
        <w:noBreakHyphen/>
        <w:t>term infrastructure planning capacity at the legislative and municipal levels (</w:t>
      </w:r>
      <w:proofErr w:type="spellStart"/>
      <w:r w:rsidRPr="00395CEE">
        <w:rPr>
          <w:rFonts w:ascii="Times New Roman" w:eastAsia="Times New Roman" w:hAnsi="Times New Roman" w:cs="Times New Roman"/>
          <w:color w:val="0F1115"/>
          <w:sz w:val="24"/>
          <w:szCs w:val="24"/>
        </w:rPr>
        <w:t>Kanyinga</w:t>
      </w:r>
      <w:proofErr w:type="spellEnd"/>
      <w:r w:rsidRPr="00395CEE">
        <w:rPr>
          <w:rFonts w:ascii="Times New Roman" w:eastAsia="Times New Roman" w:hAnsi="Times New Roman" w:cs="Times New Roman"/>
          <w:color w:val="0F1115"/>
          <w:sz w:val="24"/>
          <w:szCs w:val="24"/>
        </w:rPr>
        <w:t>, 2022).</w:t>
      </w:r>
    </w:p>
    <w:p w14:paraId="5DD7F18B" w14:textId="0853B83D"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For the presidency, by sharp contrast, the configuration is:</w:t>
      </w:r>
    </w:p>
    <w:p w14:paraId="405A5B7B" w14:textId="2FE503E5"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 xml:space="preserve">Autocratic Safeguard = </w:t>
      </w:r>
      <w:r w:rsidR="00E71F95" w:rsidRPr="00395CEE">
        <w:rPr>
          <w:rFonts w:ascii="Times New Roman" w:eastAsia="Times New Roman" w:hAnsi="Times New Roman" w:cs="Times New Roman"/>
          <w:b/>
          <w:bCs/>
          <w:color w:val="0F1115"/>
          <w:sz w:val="24"/>
          <w:szCs w:val="24"/>
        </w:rPr>
        <w:t>ILC (</w:t>
      </w:r>
      <w:r w:rsidRPr="00395CEE">
        <w:rPr>
          <w:rFonts w:ascii="Times New Roman" w:eastAsia="Times New Roman" w:hAnsi="Times New Roman" w:cs="Times New Roman"/>
          <w:b/>
          <w:bCs/>
          <w:color w:val="0F1115"/>
          <w:sz w:val="24"/>
          <w:szCs w:val="24"/>
        </w:rPr>
        <w:t xml:space="preserve">0) · </w:t>
      </w:r>
      <w:r w:rsidR="00E71F95" w:rsidRPr="00395CEE">
        <w:rPr>
          <w:rFonts w:ascii="Times New Roman" w:eastAsia="Times New Roman" w:hAnsi="Times New Roman" w:cs="Times New Roman"/>
          <w:b/>
          <w:bCs/>
          <w:color w:val="0F1115"/>
          <w:sz w:val="24"/>
          <w:szCs w:val="24"/>
        </w:rPr>
        <w:t>PTI (</w:t>
      </w:r>
      <w:r w:rsidRPr="00395CEE">
        <w:rPr>
          <w:rFonts w:ascii="Times New Roman" w:eastAsia="Times New Roman" w:hAnsi="Times New Roman" w:cs="Times New Roman"/>
          <w:b/>
          <w:bCs/>
          <w:color w:val="0F1115"/>
          <w:sz w:val="24"/>
          <w:szCs w:val="24"/>
        </w:rPr>
        <w:t xml:space="preserve">0) · </w:t>
      </w:r>
      <w:r w:rsidR="00E71F95" w:rsidRPr="00395CEE">
        <w:rPr>
          <w:rFonts w:ascii="Times New Roman" w:eastAsia="Times New Roman" w:hAnsi="Times New Roman" w:cs="Times New Roman"/>
          <w:b/>
          <w:bCs/>
          <w:color w:val="0F1115"/>
          <w:sz w:val="24"/>
          <w:szCs w:val="24"/>
        </w:rPr>
        <w:t>SEC (</w:t>
      </w:r>
      <w:r w:rsidRPr="00395CEE">
        <w:rPr>
          <w:rFonts w:ascii="Times New Roman" w:eastAsia="Times New Roman" w:hAnsi="Times New Roman" w:cs="Times New Roman"/>
          <w:b/>
          <w:bCs/>
          <w:color w:val="0F1115"/>
          <w:sz w:val="24"/>
          <w:szCs w:val="24"/>
        </w:rPr>
        <w:t xml:space="preserve">0) · </w:t>
      </w:r>
      <w:r w:rsidR="00E71F95" w:rsidRPr="00395CEE">
        <w:rPr>
          <w:rFonts w:ascii="Times New Roman" w:eastAsia="Times New Roman" w:hAnsi="Times New Roman" w:cs="Times New Roman"/>
          <w:b/>
          <w:bCs/>
          <w:color w:val="0F1115"/>
          <w:sz w:val="24"/>
          <w:szCs w:val="24"/>
        </w:rPr>
        <w:t>TER (</w:t>
      </w:r>
      <w:r w:rsidRPr="00395CEE">
        <w:rPr>
          <w:rFonts w:ascii="Times New Roman" w:eastAsia="Times New Roman" w:hAnsi="Times New Roman" w:cs="Times New Roman"/>
          <w:b/>
          <w:bCs/>
          <w:color w:val="0F1115"/>
          <w:sz w:val="24"/>
          <w:szCs w:val="24"/>
        </w:rPr>
        <w:t>1)</w:t>
      </w:r>
    </w:p>
    <w:p w14:paraId="65744C6E" w14:textId="6AD122EE"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At the highest level of state authority where unified command over the armed forces, intelligence agencies, and the national treasury is concentrated</w:t>
      </w:r>
      <w:r w:rsidR="002127B7">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the system systematically denies career longevity, proportional insulation, and sub</w:t>
      </w:r>
      <w:r w:rsidRPr="00395CEE">
        <w:rPr>
          <w:rFonts w:ascii="Times New Roman" w:eastAsia="Times New Roman" w:hAnsi="Times New Roman" w:cs="Times New Roman"/>
          <w:color w:val="0F1115"/>
          <w:sz w:val="24"/>
          <w:szCs w:val="24"/>
        </w:rPr>
        <w:noBreakHyphen/>
        <w:t xml:space="preserve">national flexibility, </w:t>
      </w:r>
      <w:proofErr w:type="spellStart"/>
      <w:r w:rsidRPr="00395CEE">
        <w:rPr>
          <w:rFonts w:ascii="Times New Roman" w:eastAsia="Times New Roman" w:hAnsi="Times New Roman" w:cs="Times New Roman"/>
          <w:color w:val="0F1115"/>
          <w:sz w:val="24"/>
          <w:szCs w:val="24"/>
        </w:rPr>
        <w:t>prioritising</w:t>
      </w:r>
      <w:proofErr w:type="spellEnd"/>
      <w:r w:rsidRPr="00395CEE">
        <w:rPr>
          <w:rFonts w:ascii="Times New Roman" w:eastAsia="Times New Roman" w:hAnsi="Times New Roman" w:cs="Times New Roman"/>
          <w:color w:val="0F1115"/>
          <w:sz w:val="24"/>
          <w:szCs w:val="24"/>
        </w:rPr>
        <w:t xml:space="preserve"> absolute, non</w:t>
      </w:r>
      <w:r w:rsidRPr="00395CEE">
        <w:rPr>
          <w:rFonts w:ascii="Times New Roman" w:eastAsia="Times New Roman" w:hAnsi="Times New Roman" w:cs="Times New Roman"/>
          <w:color w:val="0F1115"/>
          <w:sz w:val="24"/>
          <w:szCs w:val="24"/>
        </w:rPr>
        <w:noBreakHyphen/>
        <w:t>negotiable temporal restraint.</w:t>
      </w:r>
    </w:p>
    <w:p w14:paraId="39A5147E"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2.7 The Developmental Critique of the Dual</w:t>
      </w:r>
      <w:r w:rsidRPr="00395CEE">
        <w:rPr>
          <w:rFonts w:ascii="Times New Roman" w:eastAsia="Times New Roman" w:hAnsi="Times New Roman" w:cs="Times New Roman"/>
          <w:b/>
          <w:bCs/>
          <w:color w:val="0F1115"/>
          <w:sz w:val="24"/>
          <w:szCs w:val="24"/>
        </w:rPr>
        <w:noBreakHyphen/>
        <w:t>Track Design</w:t>
      </w:r>
    </w:p>
    <w:p w14:paraId="0D0FFB45"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dual</w:t>
      </w:r>
      <w:r w:rsidRPr="00395CEE">
        <w:rPr>
          <w:rFonts w:ascii="Times New Roman" w:eastAsia="Times New Roman" w:hAnsi="Times New Roman" w:cs="Times New Roman"/>
          <w:color w:val="0F1115"/>
          <w:sz w:val="24"/>
          <w:szCs w:val="24"/>
        </w:rPr>
        <w:noBreakHyphen/>
        <w:t>track outcome is deliberate. The framers of Act No. 7 chose to thicken the institutional capacity of the legislature and local government while keeping the presidency on a short leash. This reflects a </w:t>
      </w:r>
      <w:r w:rsidRPr="00395CEE">
        <w:rPr>
          <w:rFonts w:ascii="Times New Roman" w:eastAsia="Times New Roman" w:hAnsi="Times New Roman" w:cs="Times New Roman"/>
          <w:i/>
          <w:iCs/>
          <w:color w:val="0F1115"/>
          <w:sz w:val="24"/>
          <w:szCs w:val="24"/>
        </w:rPr>
        <w:t>minimax</w:t>
      </w:r>
      <w:r w:rsidRPr="00395CEE">
        <w:rPr>
          <w:rFonts w:ascii="Times New Roman" w:eastAsia="Times New Roman" w:hAnsi="Times New Roman" w:cs="Times New Roman"/>
          <w:color w:val="0F1115"/>
          <w:sz w:val="24"/>
          <w:szCs w:val="24"/>
        </w:rPr>
        <w:t xml:space="preserve"> logic: </w:t>
      </w:r>
      <w:proofErr w:type="spellStart"/>
      <w:r w:rsidRPr="00395CEE">
        <w:rPr>
          <w:rFonts w:ascii="Times New Roman" w:eastAsia="Times New Roman" w:hAnsi="Times New Roman" w:cs="Times New Roman"/>
          <w:color w:val="0F1115"/>
          <w:sz w:val="24"/>
          <w:szCs w:val="24"/>
        </w:rPr>
        <w:t>minimise</w:t>
      </w:r>
      <w:proofErr w:type="spellEnd"/>
      <w:r w:rsidRPr="00395CEE">
        <w:rPr>
          <w:rFonts w:ascii="Times New Roman" w:eastAsia="Times New Roman" w:hAnsi="Times New Roman" w:cs="Times New Roman"/>
          <w:color w:val="0F1115"/>
          <w:sz w:val="24"/>
          <w:szCs w:val="24"/>
        </w:rPr>
        <w:t xml:space="preserve"> the maximum potential harm (a dictatorial president) even at the cost of suboptimal executive continuity (</w:t>
      </w:r>
      <w:proofErr w:type="spellStart"/>
      <w:r w:rsidRPr="00395CEE">
        <w:rPr>
          <w:rFonts w:ascii="Times New Roman" w:eastAsia="Times New Roman" w:hAnsi="Times New Roman" w:cs="Times New Roman"/>
          <w:color w:val="0F1115"/>
          <w:sz w:val="24"/>
          <w:szCs w:val="24"/>
        </w:rPr>
        <w:t>Nwabueze</w:t>
      </w:r>
      <w:proofErr w:type="spellEnd"/>
      <w:r w:rsidRPr="00395CEE">
        <w:rPr>
          <w:rFonts w:ascii="Times New Roman" w:eastAsia="Times New Roman" w:hAnsi="Times New Roman" w:cs="Times New Roman"/>
          <w:color w:val="0F1115"/>
          <w:sz w:val="24"/>
          <w:szCs w:val="24"/>
        </w:rPr>
        <w:t>, 2010).</w:t>
      </w:r>
    </w:p>
    <w:p w14:paraId="39274335" w14:textId="6BF50D64"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However, from a developmental perspective, this design is suboptimal for three reasons. First, it assumes that the legislature even with its expanded size and technocratic inflow can substitute for executive continuity in driving long</w:t>
      </w:r>
      <w:r w:rsidRPr="00395CEE">
        <w:rPr>
          <w:rFonts w:ascii="Times New Roman" w:eastAsia="Times New Roman" w:hAnsi="Times New Roman" w:cs="Times New Roman"/>
          <w:color w:val="0F1115"/>
          <w:sz w:val="24"/>
          <w:szCs w:val="24"/>
        </w:rPr>
        <w:noBreakHyphen/>
        <w:t>term industrial policy. Comparative evidence from the Asian Tigers suggests otherwise: the key decisions that transformed South Korea, Taiwan, and Singapore were made by </w:t>
      </w:r>
      <w:r w:rsidRPr="00395CEE">
        <w:rPr>
          <w:rFonts w:ascii="Times New Roman" w:eastAsia="Times New Roman" w:hAnsi="Times New Roman" w:cs="Times New Roman"/>
          <w:b/>
          <w:bCs/>
          <w:color w:val="0F1115"/>
          <w:sz w:val="24"/>
          <w:szCs w:val="24"/>
        </w:rPr>
        <w:t>long</w:t>
      </w:r>
      <w:r w:rsidRPr="00395CEE">
        <w:rPr>
          <w:rFonts w:ascii="Times New Roman" w:eastAsia="Times New Roman" w:hAnsi="Times New Roman" w:cs="Times New Roman"/>
          <w:b/>
          <w:bCs/>
          <w:color w:val="0F1115"/>
          <w:sz w:val="24"/>
          <w:szCs w:val="24"/>
        </w:rPr>
        <w:noBreakHyphen/>
        <w:t>tenured executives</w:t>
      </w:r>
      <w:r w:rsidRPr="00395CEE">
        <w:rPr>
          <w:rFonts w:ascii="Times New Roman" w:eastAsia="Times New Roman" w:hAnsi="Times New Roman" w:cs="Times New Roman"/>
          <w:color w:val="0F1115"/>
          <w:sz w:val="24"/>
          <w:szCs w:val="24"/>
        </w:rPr>
        <w:t>, not by parliaments (Haggard, 2018; Wade, 2004). Second, the removal of mayoral term limits (SEC=1) creates an odd inversion: a mayor can serve 25 years, but a president who successfully manages the national economy cannot serve beyond ten. Third, the configuration ignores the real</w:t>
      </w:r>
      <w:r w:rsidRPr="00395CEE">
        <w:rPr>
          <w:rFonts w:ascii="Times New Roman" w:eastAsia="Times New Roman" w:hAnsi="Times New Roman" w:cs="Times New Roman"/>
          <w:color w:val="0F1115"/>
          <w:sz w:val="24"/>
          <w:szCs w:val="24"/>
        </w:rPr>
        <w:noBreakHyphen/>
        <w:t>world political economy of lame</w:t>
      </w:r>
      <w:r w:rsidRPr="00395CEE">
        <w:rPr>
          <w:rFonts w:ascii="Times New Roman" w:eastAsia="Times New Roman" w:hAnsi="Times New Roman" w:cs="Times New Roman"/>
          <w:color w:val="0F1115"/>
          <w:sz w:val="24"/>
          <w:szCs w:val="24"/>
        </w:rPr>
        <w:noBreakHyphen/>
        <w:t>duck presidencies, where the executive’s authority depreciates long before the constitutional clock expires (Mulenga, 2020).</w:t>
      </w:r>
    </w:p>
    <w:p w14:paraId="324A2A7C"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2.8 Legal Stability and the Referendum Requirement</w:t>
      </w:r>
    </w:p>
    <w:p w14:paraId="624CB5E8" w14:textId="2FA79FD5"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It must be </w:t>
      </w:r>
      <w:proofErr w:type="spellStart"/>
      <w:r w:rsidRPr="00395CEE">
        <w:rPr>
          <w:rFonts w:ascii="Times New Roman" w:eastAsia="Times New Roman" w:hAnsi="Times New Roman" w:cs="Times New Roman"/>
          <w:color w:val="0F1115"/>
          <w:sz w:val="24"/>
          <w:szCs w:val="24"/>
        </w:rPr>
        <w:t>emphasised</w:t>
      </w:r>
      <w:proofErr w:type="spellEnd"/>
      <w:r w:rsidRPr="00395CEE">
        <w:rPr>
          <w:rFonts w:ascii="Times New Roman" w:eastAsia="Times New Roman" w:hAnsi="Times New Roman" w:cs="Times New Roman"/>
          <w:color w:val="0F1115"/>
          <w:sz w:val="24"/>
          <w:szCs w:val="24"/>
        </w:rPr>
        <w:t xml:space="preserve"> that any modification to Article 106(3) would require a national referendum under Article 79 of the Constitution, as presidential term limits are an entrenched provision (Mbao, 2015). Act No. 7 did not alter this requirement. Therefore, the dual</w:t>
      </w:r>
      <w:r w:rsidRPr="00395CEE">
        <w:rPr>
          <w:rFonts w:ascii="Times New Roman" w:eastAsia="Times New Roman" w:hAnsi="Times New Roman" w:cs="Times New Roman"/>
          <w:color w:val="0F1115"/>
          <w:sz w:val="24"/>
          <w:szCs w:val="24"/>
        </w:rPr>
        <w:noBreakHyphen/>
        <w:t>track architecture described above will remain in force unless and until a future amendment presumably following the logic advanced in this article introduces a performance</w:t>
      </w:r>
      <w:r w:rsidRPr="00395CEE">
        <w:rPr>
          <w:rFonts w:ascii="Times New Roman" w:eastAsia="Times New Roman" w:hAnsi="Times New Roman" w:cs="Times New Roman"/>
          <w:color w:val="0F1115"/>
          <w:sz w:val="24"/>
          <w:szCs w:val="24"/>
        </w:rPr>
        <w:noBreakHyphen/>
        <w:t>based exception. The legal stability of the current arrangement is high, but so is its developmental opportunity cost.</w:t>
      </w:r>
    </w:p>
    <w:p w14:paraId="77F0059E" w14:textId="77777777"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3.0 The Comparative Political Economy of Longevity: Fuzzy</w:t>
      </w:r>
      <w:r w:rsidRPr="00395CEE">
        <w:rPr>
          <w:rFonts w:ascii="Times New Roman" w:eastAsia="Times New Roman" w:hAnsi="Times New Roman" w:cs="Times New Roman"/>
          <w:b/>
          <w:bCs/>
          <w:color w:val="0F1115"/>
          <w:sz w:val="24"/>
          <w:szCs w:val="24"/>
        </w:rPr>
        <w:noBreakHyphen/>
        <w:t>Set QCA of the Asian Tigers</w:t>
      </w:r>
    </w:p>
    <w:p w14:paraId="4E146ABF"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To evaluate the impact of tenure constraints on national development trajectories, this article employs </w:t>
      </w:r>
      <w:r w:rsidRPr="00395CEE">
        <w:rPr>
          <w:rFonts w:ascii="Times New Roman" w:eastAsia="Times New Roman" w:hAnsi="Times New Roman" w:cs="Times New Roman"/>
          <w:b/>
          <w:bCs/>
          <w:color w:val="0F1115"/>
          <w:sz w:val="24"/>
          <w:szCs w:val="24"/>
        </w:rPr>
        <w:t>fuzzy</w:t>
      </w:r>
      <w:r w:rsidRPr="00395CEE">
        <w:rPr>
          <w:rFonts w:ascii="Times New Roman" w:eastAsia="Times New Roman" w:hAnsi="Times New Roman" w:cs="Times New Roman"/>
          <w:b/>
          <w:bCs/>
          <w:color w:val="0F1115"/>
          <w:sz w:val="24"/>
          <w:szCs w:val="24"/>
        </w:rPr>
        <w:noBreakHyphen/>
        <w:t>set Qualitative Comparative Analysis (</w:t>
      </w:r>
      <w:proofErr w:type="spellStart"/>
      <w:r w:rsidRPr="00395CEE">
        <w:rPr>
          <w:rFonts w:ascii="Times New Roman" w:eastAsia="Times New Roman" w:hAnsi="Times New Roman" w:cs="Times New Roman"/>
          <w:b/>
          <w:bCs/>
          <w:color w:val="0F1115"/>
          <w:sz w:val="24"/>
          <w:szCs w:val="24"/>
        </w:rPr>
        <w:t>fsQCA</w:t>
      </w:r>
      <w:proofErr w:type="spellEnd"/>
      <w:r w:rsidRPr="00395CEE">
        <w:rPr>
          <w:rFonts w:ascii="Times New Roman" w:eastAsia="Times New Roman" w:hAnsi="Times New Roman" w:cs="Times New Roman"/>
          <w:b/>
          <w:bCs/>
          <w:color w:val="0F1115"/>
          <w:sz w:val="24"/>
          <w:szCs w:val="24"/>
        </w:rPr>
        <w:t>)</w:t>
      </w:r>
      <w:r w:rsidRPr="00395CEE">
        <w:rPr>
          <w:rFonts w:ascii="Times New Roman" w:eastAsia="Times New Roman" w:hAnsi="Times New Roman" w:cs="Times New Roman"/>
          <w:color w:val="0F1115"/>
          <w:sz w:val="24"/>
          <w:szCs w:val="24"/>
        </w:rPr>
        <w:t xml:space="preserve"> as </w:t>
      </w:r>
      <w:proofErr w:type="spellStart"/>
      <w:r w:rsidRPr="00395CEE">
        <w:rPr>
          <w:rFonts w:ascii="Times New Roman" w:eastAsia="Times New Roman" w:hAnsi="Times New Roman" w:cs="Times New Roman"/>
          <w:color w:val="0F1115"/>
          <w:sz w:val="24"/>
          <w:szCs w:val="24"/>
        </w:rPr>
        <w:t>formalised</w:t>
      </w:r>
      <w:proofErr w:type="spellEnd"/>
      <w:r w:rsidRPr="00395CEE">
        <w:rPr>
          <w:rFonts w:ascii="Times New Roman" w:eastAsia="Times New Roman" w:hAnsi="Times New Roman" w:cs="Times New Roman"/>
          <w:color w:val="0F1115"/>
          <w:sz w:val="24"/>
          <w:szCs w:val="24"/>
        </w:rPr>
        <w:t xml:space="preserve"> by Ragin (2008). Unlike crisp</w:t>
      </w:r>
      <w:r w:rsidRPr="00395CEE">
        <w:rPr>
          <w:rFonts w:ascii="Times New Roman" w:eastAsia="Times New Roman" w:hAnsi="Times New Roman" w:cs="Times New Roman"/>
          <w:color w:val="0F1115"/>
          <w:sz w:val="24"/>
          <w:szCs w:val="24"/>
        </w:rPr>
        <w:noBreakHyphen/>
        <w:t xml:space="preserve">set QCA (binary 0/1), </w:t>
      </w:r>
      <w:proofErr w:type="spellStart"/>
      <w:r w:rsidRPr="00395CEE">
        <w:rPr>
          <w:rFonts w:ascii="Times New Roman" w:eastAsia="Times New Roman" w:hAnsi="Times New Roman" w:cs="Times New Roman"/>
          <w:color w:val="0F1115"/>
          <w:sz w:val="24"/>
          <w:szCs w:val="24"/>
        </w:rPr>
        <w:t>fsQCA</w:t>
      </w:r>
      <w:proofErr w:type="spellEnd"/>
      <w:r w:rsidRPr="00395CEE">
        <w:rPr>
          <w:rFonts w:ascii="Times New Roman" w:eastAsia="Times New Roman" w:hAnsi="Times New Roman" w:cs="Times New Roman"/>
          <w:color w:val="0F1115"/>
          <w:sz w:val="24"/>
          <w:szCs w:val="24"/>
        </w:rPr>
        <w:t xml:space="preserve"> allows partial membership scores, avoiding arbitrary thresholds. Four causal conditions are defined:</w:t>
      </w:r>
    </w:p>
    <w:p w14:paraId="004FEE0B" w14:textId="4B892583" w:rsidR="00395CEE" w:rsidRPr="00F672AC" w:rsidRDefault="00395CEE" w:rsidP="00A44D24">
      <w:pPr>
        <w:pStyle w:val="ListParagraph"/>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F672AC">
        <w:rPr>
          <w:rFonts w:ascii="Times New Roman" w:eastAsia="Times New Roman" w:hAnsi="Times New Roman" w:cs="Times New Roman"/>
          <w:b/>
          <w:bCs/>
          <w:color w:val="0F1115"/>
          <w:sz w:val="24"/>
          <w:szCs w:val="24"/>
        </w:rPr>
        <w:t>Insulated Technocratic Autonomy (ITA):</w:t>
      </w:r>
      <w:r w:rsidRPr="00F672AC">
        <w:rPr>
          <w:rFonts w:ascii="Times New Roman" w:eastAsia="Times New Roman" w:hAnsi="Times New Roman" w:cs="Times New Roman"/>
          <w:color w:val="0F1115"/>
          <w:sz w:val="24"/>
          <w:szCs w:val="24"/>
        </w:rPr>
        <w:t> The executive’s ability to design economic policy without short</w:t>
      </w:r>
      <w:r w:rsidRPr="00F672AC">
        <w:rPr>
          <w:rFonts w:ascii="Times New Roman" w:eastAsia="Times New Roman" w:hAnsi="Times New Roman" w:cs="Times New Roman"/>
          <w:color w:val="0F1115"/>
          <w:sz w:val="24"/>
          <w:szCs w:val="24"/>
        </w:rPr>
        <w:noBreakHyphen/>
        <w:t>term electoral interference. Calibrated using the number of years a technocratic planning agency (e.g., Korea’s Economic Planning Board) operated without political purges, and the proportion of cabinet ministers with graduate degrees in economics or engineering (Haggard, 2018).</w:t>
      </w:r>
    </w:p>
    <w:p w14:paraId="156BC882" w14:textId="77777777" w:rsidR="00395CEE" w:rsidRPr="00395CEE" w:rsidRDefault="00395CEE" w:rsidP="00A44D24">
      <w:pPr>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Meritocratic Bureaucracy (MB):</w:t>
      </w:r>
      <w:r w:rsidRPr="00395CEE">
        <w:rPr>
          <w:rFonts w:ascii="Times New Roman" w:eastAsia="Times New Roman" w:hAnsi="Times New Roman" w:cs="Times New Roman"/>
          <w:color w:val="0F1115"/>
          <w:sz w:val="24"/>
          <w:szCs w:val="24"/>
        </w:rPr>
        <w:t> The share of senior civil service positions filled by competitive examination rather than political appointment. Calibrated using the World Bank’s Bureaucratic Quality Index (World Bank, 1993).</w:t>
      </w:r>
    </w:p>
    <w:p w14:paraId="62F7D2A8" w14:textId="77777777" w:rsidR="00395CEE" w:rsidRPr="00395CEE" w:rsidRDefault="00395CEE" w:rsidP="00A44D24">
      <w:pPr>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Obsessive Output Focus (OOF):</w:t>
      </w:r>
      <w:r w:rsidRPr="00395CEE">
        <w:rPr>
          <w:rFonts w:ascii="Times New Roman" w:eastAsia="Times New Roman" w:hAnsi="Times New Roman" w:cs="Times New Roman"/>
          <w:color w:val="0F1115"/>
          <w:sz w:val="24"/>
          <w:szCs w:val="24"/>
        </w:rPr>
        <w:t> The degree to which political legitimacy depends on real economic outcomes (GDP growth, export volumes, poverty reduction). Calibrated using the frequency of national development plans and the share of government communications referencing economic targets (Park, 1970).</w:t>
      </w:r>
    </w:p>
    <w:p w14:paraId="58595E6A" w14:textId="77777777" w:rsidR="00395CEE" w:rsidRPr="00395CEE" w:rsidRDefault="00395CEE" w:rsidP="00A44D24">
      <w:pPr>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Temporal Executive Caps (TEC):</w:t>
      </w:r>
      <w:r w:rsidRPr="00395CEE">
        <w:rPr>
          <w:rFonts w:ascii="Times New Roman" w:eastAsia="Times New Roman" w:hAnsi="Times New Roman" w:cs="Times New Roman"/>
          <w:color w:val="0F1115"/>
          <w:sz w:val="24"/>
          <w:szCs w:val="24"/>
        </w:rPr>
        <w:t> The presence of a constitutional or legal limit on the number of terms a chief executive may serve. Coded as a fuzzy set: 1 = strict two</w:t>
      </w:r>
      <w:r w:rsidRPr="00395CEE">
        <w:rPr>
          <w:rFonts w:ascii="Times New Roman" w:eastAsia="Times New Roman" w:hAnsi="Times New Roman" w:cs="Times New Roman"/>
          <w:color w:val="0F1115"/>
          <w:sz w:val="24"/>
          <w:szCs w:val="24"/>
        </w:rPr>
        <w:noBreakHyphen/>
        <w:t>term limit enforced; 0.5 = weak or irregularly enforced limit; 0 = no limit.</w:t>
      </w:r>
    </w:p>
    <w:p w14:paraId="218EC60A" w14:textId="45D5F721" w:rsidR="00195297" w:rsidRPr="00146657"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outcome of interest is </w:t>
      </w:r>
      <w:r w:rsidRPr="00395CEE">
        <w:rPr>
          <w:rFonts w:ascii="Times New Roman" w:eastAsia="Times New Roman" w:hAnsi="Times New Roman" w:cs="Times New Roman"/>
          <w:b/>
          <w:bCs/>
          <w:color w:val="0F1115"/>
          <w:sz w:val="24"/>
          <w:szCs w:val="24"/>
        </w:rPr>
        <w:t>Sustainable Macroeconomic Transformation (SMT)</w:t>
      </w:r>
      <w:r w:rsidR="00804CE6">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defined as sustained annual GDP per capita growth &gt;6% for two consecutive decades, accompanied by industrial diversification (manufacturing share of GDP rising from &lt;15% to &gt;25%) and poverty reduction (headcount ratio falling by &gt;10 percentage points) (World Bank, 1993).</w:t>
      </w:r>
    </w:p>
    <w:p w14:paraId="3242AAAB" w14:textId="41BA4250"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Calibration thresholds (Ragin, 2008):</w:t>
      </w:r>
    </w:p>
    <w:p w14:paraId="429A4327" w14:textId="733FCFC8" w:rsidR="00395CEE" w:rsidRPr="00195297" w:rsidRDefault="00395CEE" w:rsidP="00A44D24">
      <w:pPr>
        <w:pStyle w:val="ListParagraph"/>
        <w:numPr>
          <w:ilvl w:val="0"/>
          <w:numId w:val="8"/>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195297">
        <w:rPr>
          <w:rFonts w:ascii="Times New Roman" w:eastAsia="Times New Roman" w:hAnsi="Times New Roman" w:cs="Times New Roman"/>
          <w:color w:val="0F1115"/>
          <w:sz w:val="24"/>
          <w:szCs w:val="24"/>
        </w:rPr>
        <w:t>Full membership (1.0): growth &gt;6.5% for 20 years; manufacturing &gt;30%; poverty reduction &gt;15 points.</w:t>
      </w:r>
    </w:p>
    <w:p w14:paraId="330F11A0" w14:textId="77777777" w:rsidR="00395CEE" w:rsidRPr="00395CEE" w:rsidRDefault="00395CEE" w:rsidP="00A44D24">
      <w:pPr>
        <w:numPr>
          <w:ilvl w:val="0"/>
          <w:numId w:val="8"/>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Crossover point (0.5): growth = 3.5%; manufacturing = 20%; poverty reduction = 7.5 points.</w:t>
      </w:r>
    </w:p>
    <w:p w14:paraId="6423F486" w14:textId="77777777" w:rsidR="00395CEE" w:rsidRPr="00395CEE" w:rsidRDefault="00395CEE" w:rsidP="00A44D24">
      <w:pPr>
        <w:numPr>
          <w:ilvl w:val="0"/>
          <w:numId w:val="8"/>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Full non</w:t>
      </w:r>
      <w:r w:rsidRPr="00395CEE">
        <w:rPr>
          <w:rFonts w:ascii="Times New Roman" w:eastAsia="Times New Roman" w:hAnsi="Times New Roman" w:cs="Times New Roman"/>
          <w:color w:val="0F1115"/>
          <w:sz w:val="24"/>
          <w:szCs w:val="24"/>
        </w:rPr>
        <w:noBreakHyphen/>
        <w:t>membership (0.0): growth &lt;0.5%; manufacturing &lt;10%; poverty reduction &lt;0 points.</w:t>
      </w:r>
    </w:p>
    <w:p w14:paraId="5268AADF" w14:textId="0ED1E163" w:rsidR="00395CEE" w:rsidRPr="00395CEE" w:rsidRDefault="00395CEE" w:rsidP="00F931CD">
      <w:pPr>
        <w:shd w:val="clear" w:color="auto" w:fill="FFFFFF"/>
        <w:spacing w:before="240" w:after="240" w:line="240" w:lineRule="auto"/>
        <w:jc w:val="center"/>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Analysis of the Four Asian Tigers (1960</w:t>
      </w:r>
      <w:r w:rsidR="00241A6E">
        <w:rPr>
          <w:rFonts w:ascii="Times New Roman" w:eastAsia="Times New Roman" w:hAnsi="Times New Roman" w:cs="Times New Roman"/>
          <w:b/>
          <w:bCs/>
          <w:color w:val="0F1115"/>
          <w:sz w:val="24"/>
          <w:szCs w:val="24"/>
        </w:rPr>
        <w:t xml:space="preserve"> - </w:t>
      </w:r>
      <w:r w:rsidRPr="00395CEE">
        <w:rPr>
          <w:rFonts w:ascii="Times New Roman" w:eastAsia="Times New Roman" w:hAnsi="Times New Roman" w:cs="Times New Roman"/>
          <w:b/>
          <w:bCs/>
          <w:color w:val="0F1115"/>
          <w:sz w:val="24"/>
          <w:szCs w:val="24"/>
        </w:rPr>
        <w:t>1990):</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1559"/>
        <w:gridCol w:w="1418"/>
        <w:gridCol w:w="1701"/>
        <w:gridCol w:w="1701"/>
        <w:gridCol w:w="1559"/>
      </w:tblGrid>
      <w:tr w:rsidR="00F931CD" w:rsidRPr="00395CEE" w14:paraId="3C24A532" w14:textId="77777777" w:rsidTr="00F931CD">
        <w:trPr>
          <w:tblHeader/>
        </w:trPr>
        <w:tc>
          <w:tcPr>
            <w:tcW w:w="2552" w:type="dxa"/>
            <w:tcMar>
              <w:top w:w="150" w:type="dxa"/>
              <w:left w:w="0" w:type="dxa"/>
              <w:bottom w:w="150" w:type="dxa"/>
              <w:right w:w="240" w:type="dxa"/>
            </w:tcMar>
            <w:vAlign w:val="center"/>
            <w:hideMark/>
          </w:tcPr>
          <w:p w14:paraId="146FFFF6"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Country (Period)</w:t>
            </w:r>
          </w:p>
        </w:tc>
        <w:tc>
          <w:tcPr>
            <w:tcW w:w="1559" w:type="dxa"/>
            <w:tcMar>
              <w:top w:w="150" w:type="dxa"/>
              <w:left w:w="240" w:type="dxa"/>
              <w:bottom w:w="150" w:type="dxa"/>
              <w:right w:w="240" w:type="dxa"/>
            </w:tcMar>
            <w:vAlign w:val="center"/>
            <w:hideMark/>
          </w:tcPr>
          <w:p w14:paraId="27BB36C4"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ITA (fuzzy)</w:t>
            </w:r>
          </w:p>
        </w:tc>
        <w:tc>
          <w:tcPr>
            <w:tcW w:w="1418" w:type="dxa"/>
            <w:tcMar>
              <w:top w:w="150" w:type="dxa"/>
              <w:left w:w="240" w:type="dxa"/>
              <w:bottom w:w="150" w:type="dxa"/>
              <w:right w:w="240" w:type="dxa"/>
            </w:tcMar>
            <w:vAlign w:val="center"/>
            <w:hideMark/>
          </w:tcPr>
          <w:p w14:paraId="5430D219"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MB (fuzzy)</w:t>
            </w:r>
          </w:p>
        </w:tc>
        <w:tc>
          <w:tcPr>
            <w:tcW w:w="1701" w:type="dxa"/>
            <w:tcMar>
              <w:top w:w="150" w:type="dxa"/>
              <w:left w:w="240" w:type="dxa"/>
              <w:bottom w:w="150" w:type="dxa"/>
              <w:right w:w="240" w:type="dxa"/>
            </w:tcMar>
            <w:vAlign w:val="center"/>
            <w:hideMark/>
          </w:tcPr>
          <w:p w14:paraId="6FF8DB33"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OOF (fuzzy)</w:t>
            </w:r>
          </w:p>
        </w:tc>
        <w:tc>
          <w:tcPr>
            <w:tcW w:w="1701" w:type="dxa"/>
            <w:tcMar>
              <w:top w:w="150" w:type="dxa"/>
              <w:left w:w="240" w:type="dxa"/>
              <w:bottom w:w="150" w:type="dxa"/>
              <w:right w:w="240" w:type="dxa"/>
            </w:tcMar>
            <w:vAlign w:val="center"/>
            <w:hideMark/>
          </w:tcPr>
          <w:p w14:paraId="38FE36BA"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TEC (fuzzy)</w:t>
            </w:r>
          </w:p>
        </w:tc>
        <w:tc>
          <w:tcPr>
            <w:tcW w:w="1559" w:type="dxa"/>
            <w:tcMar>
              <w:top w:w="150" w:type="dxa"/>
              <w:left w:w="240" w:type="dxa"/>
              <w:bottom w:w="150" w:type="dxa"/>
              <w:right w:w="240" w:type="dxa"/>
            </w:tcMar>
            <w:vAlign w:val="center"/>
            <w:hideMark/>
          </w:tcPr>
          <w:p w14:paraId="0B865983"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SMT (fuzzy)</w:t>
            </w:r>
          </w:p>
        </w:tc>
      </w:tr>
      <w:tr w:rsidR="00F931CD" w:rsidRPr="00395CEE" w14:paraId="4BF277CC" w14:textId="77777777" w:rsidTr="00F931CD">
        <w:tc>
          <w:tcPr>
            <w:tcW w:w="2552" w:type="dxa"/>
            <w:tcMar>
              <w:top w:w="150" w:type="dxa"/>
              <w:left w:w="0" w:type="dxa"/>
              <w:bottom w:w="150" w:type="dxa"/>
              <w:right w:w="240" w:type="dxa"/>
            </w:tcMar>
            <w:vAlign w:val="center"/>
            <w:hideMark/>
          </w:tcPr>
          <w:p w14:paraId="64E24840" w14:textId="3A7ED949"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South Korea (1961</w:t>
            </w:r>
            <w:r w:rsidR="00764595">
              <w:rPr>
                <w:rFonts w:ascii="Times New Roman" w:eastAsia="Times New Roman" w:hAnsi="Times New Roman" w:cs="Times New Roman"/>
                <w:b/>
                <w:bCs/>
                <w:sz w:val="24"/>
                <w:szCs w:val="24"/>
              </w:rPr>
              <w:t xml:space="preserve">- </w:t>
            </w:r>
            <w:r w:rsidRPr="000E338F">
              <w:rPr>
                <w:rFonts w:ascii="Times New Roman" w:eastAsia="Times New Roman" w:hAnsi="Times New Roman" w:cs="Times New Roman"/>
                <w:b/>
                <w:bCs/>
                <w:sz w:val="24"/>
                <w:szCs w:val="24"/>
              </w:rPr>
              <w:t>1979)</w:t>
            </w:r>
          </w:p>
        </w:tc>
        <w:tc>
          <w:tcPr>
            <w:tcW w:w="1559" w:type="dxa"/>
            <w:tcMar>
              <w:top w:w="150" w:type="dxa"/>
              <w:left w:w="240" w:type="dxa"/>
              <w:bottom w:w="150" w:type="dxa"/>
              <w:right w:w="240" w:type="dxa"/>
            </w:tcMar>
            <w:vAlign w:val="center"/>
            <w:hideMark/>
          </w:tcPr>
          <w:p w14:paraId="57FABE5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418" w:type="dxa"/>
            <w:tcMar>
              <w:top w:w="150" w:type="dxa"/>
              <w:left w:w="240" w:type="dxa"/>
              <w:bottom w:w="150" w:type="dxa"/>
              <w:right w:w="240" w:type="dxa"/>
            </w:tcMar>
            <w:vAlign w:val="center"/>
            <w:hideMark/>
          </w:tcPr>
          <w:p w14:paraId="496478C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0.85</w:t>
            </w:r>
          </w:p>
        </w:tc>
        <w:tc>
          <w:tcPr>
            <w:tcW w:w="1701" w:type="dxa"/>
            <w:tcMar>
              <w:top w:w="150" w:type="dxa"/>
              <w:left w:w="240" w:type="dxa"/>
              <w:bottom w:w="150" w:type="dxa"/>
              <w:right w:w="240" w:type="dxa"/>
            </w:tcMar>
            <w:vAlign w:val="center"/>
            <w:hideMark/>
          </w:tcPr>
          <w:p w14:paraId="2E794E98"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701" w:type="dxa"/>
            <w:tcMar>
              <w:top w:w="150" w:type="dxa"/>
              <w:left w:w="240" w:type="dxa"/>
              <w:bottom w:w="150" w:type="dxa"/>
              <w:right w:w="240" w:type="dxa"/>
            </w:tcMar>
            <w:vAlign w:val="center"/>
            <w:hideMark/>
          </w:tcPr>
          <w:p w14:paraId="7EC8E5D2"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7C25A9DD"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r>
      <w:tr w:rsidR="00F931CD" w:rsidRPr="00395CEE" w14:paraId="6C6FE9CF" w14:textId="77777777" w:rsidTr="00F931CD">
        <w:tc>
          <w:tcPr>
            <w:tcW w:w="2552" w:type="dxa"/>
            <w:tcMar>
              <w:top w:w="150" w:type="dxa"/>
              <w:left w:w="0" w:type="dxa"/>
              <w:bottom w:w="150" w:type="dxa"/>
              <w:right w:w="240" w:type="dxa"/>
            </w:tcMar>
            <w:vAlign w:val="center"/>
            <w:hideMark/>
          </w:tcPr>
          <w:p w14:paraId="2FEAB855" w14:textId="7C2C14D5"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Taiwan (1949</w:t>
            </w:r>
            <w:r w:rsidR="00764595">
              <w:rPr>
                <w:rFonts w:ascii="Times New Roman" w:eastAsia="Times New Roman" w:hAnsi="Times New Roman" w:cs="Times New Roman"/>
                <w:b/>
                <w:bCs/>
                <w:sz w:val="24"/>
                <w:szCs w:val="24"/>
              </w:rPr>
              <w:t xml:space="preserve"> - </w:t>
            </w:r>
            <w:r w:rsidRPr="000E338F">
              <w:rPr>
                <w:rFonts w:ascii="Times New Roman" w:eastAsia="Times New Roman" w:hAnsi="Times New Roman" w:cs="Times New Roman"/>
                <w:b/>
                <w:bCs/>
                <w:sz w:val="24"/>
                <w:szCs w:val="24"/>
              </w:rPr>
              <w:t>1987)</w:t>
            </w:r>
          </w:p>
        </w:tc>
        <w:tc>
          <w:tcPr>
            <w:tcW w:w="1559" w:type="dxa"/>
            <w:tcMar>
              <w:top w:w="150" w:type="dxa"/>
              <w:left w:w="240" w:type="dxa"/>
              <w:bottom w:w="150" w:type="dxa"/>
              <w:right w:w="240" w:type="dxa"/>
            </w:tcMar>
            <w:vAlign w:val="center"/>
            <w:hideMark/>
          </w:tcPr>
          <w:p w14:paraId="5AAE6BF2"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0.90</w:t>
            </w:r>
          </w:p>
        </w:tc>
        <w:tc>
          <w:tcPr>
            <w:tcW w:w="1418" w:type="dxa"/>
            <w:tcMar>
              <w:top w:w="150" w:type="dxa"/>
              <w:left w:w="240" w:type="dxa"/>
              <w:bottom w:w="150" w:type="dxa"/>
              <w:right w:w="240" w:type="dxa"/>
            </w:tcMar>
            <w:vAlign w:val="center"/>
            <w:hideMark/>
          </w:tcPr>
          <w:p w14:paraId="706FFF4C"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0.80</w:t>
            </w:r>
          </w:p>
        </w:tc>
        <w:tc>
          <w:tcPr>
            <w:tcW w:w="1701" w:type="dxa"/>
            <w:tcMar>
              <w:top w:w="150" w:type="dxa"/>
              <w:left w:w="240" w:type="dxa"/>
              <w:bottom w:w="150" w:type="dxa"/>
              <w:right w:w="240" w:type="dxa"/>
            </w:tcMar>
            <w:vAlign w:val="center"/>
            <w:hideMark/>
          </w:tcPr>
          <w:p w14:paraId="13A2056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0.90</w:t>
            </w:r>
          </w:p>
        </w:tc>
        <w:tc>
          <w:tcPr>
            <w:tcW w:w="1701" w:type="dxa"/>
            <w:tcMar>
              <w:top w:w="150" w:type="dxa"/>
              <w:left w:w="240" w:type="dxa"/>
              <w:bottom w:w="150" w:type="dxa"/>
              <w:right w:w="240" w:type="dxa"/>
            </w:tcMar>
            <w:vAlign w:val="center"/>
            <w:hideMark/>
          </w:tcPr>
          <w:p w14:paraId="49B58DB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55099A43"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0.90</w:t>
            </w:r>
          </w:p>
        </w:tc>
      </w:tr>
      <w:tr w:rsidR="00F931CD" w:rsidRPr="00395CEE" w14:paraId="093FEB09" w14:textId="77777777" w:rsidTr="00F931CD">
        <w:tc>
          <w:tcPr>
            <w:tcW w:w="2552" w:type="dxa"/>
            <w:tcMar>
              <w:top w:w="150" w:type="dxa"/>
              <w:left w:w="0" w:type="dxa"/>
              <w:bottom w:w="150" w:type="dxa"/>
              <w:right w:w="240" w:type="dxa"/>
            </w:tcMar>
            <w:vAlign w:val="center"/>
            <w:hideMark/>
          </w:tcPr>
          <w:p w14:paraId="1C699280" w14:textId="6B952F5B"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Singapore (1959</w:t>
            </w:r>
            <w:r w:rsidR="00764595">
              <w:rPr>
                <w:rFonts w:ascii="Times New Roman" w:eastAsia="Times New Roman" w:hAnsi="Times New Roman" w:cs="Times New Roman"/>
                <w:b/>
                <w:bCs/>
                <w:sz w:val="24"/>
                <w:szCs w:val="24"/>
              </w:rPr>
              <w:t xml:space="preserve"> - </w:t>
            </w:r>
            <w:r w:rsidRPr="000E338F">
              <w:rPr>
                <w:rFonts w:ascii="Times New Roman" w:eastAsia="Times New Roman" w:hAnsi="Times New Roman" w:cs="Times New Roman"/>
                <w:b/>
                <w:bCs/>
                <w:sz w:val="24"/>
                <w:szCs w:val="24"/>
              </w:rPr>
              <w:t>1990)</w:t>
            </w:r>
          </w:p>
        </w:tc>
        <w:tc>
          <w:tcPr>
            <w:tcW w:w="1559" w:type="dxa"/>
            <w:tcMar>
              <w:top w:w="150" w:type="dxa"/>
              <w:left w:w="240" w:type="dxa"/>
              <w:bottom w:w="150" w:type="dxa"/>
              <w:right w:w="240" w:type="dxa"/>
            </w:tcMar>
            <w:vAlign w:val="center"/>
            <w:hideMark/>
          </w:tcPr>
          <w:p w14:paraId="19260C59"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418" w:type="dxa"/>
            <w:tcMar>
              <w:top w:w="150" w:type="dxa"/>
              <w:left w:w="240" w:type="dxa"/>
              <w:bottom w:w="150" w:type="dxa"/>
              <w:right w:w="240" w:type="dxa"/>
            </w:tcMar>
            <w:vAlign w:val="center"/>
            <w:hideMark/>
          </w:tcPr>
          <w:p w14:paraId="63B46F9F"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701" w:type="dxa"/>
            <w:tcMar>
              <w:top w:w="150" w:type="dxa"/>
              <w:left w:w="240" w:type="dxa"/>
              <w:bottom w:w="150" w:type="dxa"/>
              <w:right w:w="240" w:type="dxa"/>
            </w:tcMar>
            <w:vAlign w:val="center"/>
            <w:hideMark/>
          </w:tcPr>
          <w:p w14:paraId="1C2B16EF"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701" w:type="dxa"/>
            <w:tcMar>
              <w:top w:w="150" w:type="dxa"/>
              <w:left w:w="240" w:type="dxa"/>
              <w:bottom w:w="150" w:type="dxa"/>
              <w:right w:w="240" w:type="dxa"/>
            </w:tcMar>
            <w:vAlign w:val="center"/>
            <w:hideMark/>
          </w:tcPr>
          <w:p w14:paraId="3C1B7F1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05E6FB36"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r>
      <w:tr w:rsidR="00F931CD" w:rsidRPr="00395CEE" w14:paraId="4F0E53D5" w14:textId="77777777" w:rsidTr="00F931CD">
        <w:tc>
          <w:tcPr>
            <w:tcW w:w="2552" w:type="dxa"/>
            <w:tcMar>
              <w:top w:w="150" w:type="dxa"/>
              <w:left w:w="0" w:type="dxa"/>
              <w:bottom w:w="150" w:type="dxa"/>
              <w:right w:w="240" w:type="dxa"/>
            </w:tcMar>
            <w:vAlign w:val="center"/>
            <w:hideMark/>
          </w:tcPr>
          <w:p w14:paraId="74287662" w14:textId="27CD626B"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Hong Kong (1960</w:t>
            </w:r>
            <w:r w:rsidR="00764595">
              <w:rPr>
                <w:rFonts w:ascii="Times New Roman" w:eastAsia="Times New Roman" w:hAnsi="Times New Roman" w:cs="Times New Roman"/>
                <w:b/>
                <w:bCs/>
                <w:sz w:val="24"/>
                <w:szCs w:val="24"/>
              </w:rPr>
              <w:t xml:space="preserve"> - </w:t>
            </w:r>
            <w:r w:rsidRPr="000E338F">
              <w:rPr>
                <w:rFonts w:ascii="Times New Roman" w:eastAsia="Times New Roman" w:hAnsi="Times New Roman" w:cs="Times New Roman"/>
                <w:b/>
                <w:bCs/>
                <w:sz w:val="24"/>
                <w:szCs w:val="24"/>
              </w:rPr>
              <w:t>1990)</w:t>
            </w:r>
          </w:p>
        </w:tc>
        <w:tc>
          <w:tcPr>
            <w:tcW w:w="1559" w:type="dxa"/>
            <w:tcMar>
              <w:top w:w="150" w:type="dxa"/>
              <w:left w:w="240" w:type="dxa"/>
              <w:bottom w:w="150" w:type="dxa"/>
              <w:right w:w="240" w:type="dxa"/>
            </w:tcMar>
            <w:vAlign w:val="center"/>
            <w:hideMark/>
          </w:tcPr>
          <w:p w14:paraId="4F527DB2"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0.70</w:t>
            </w:r>
          </w:p>
        </w:tc>
        <w:tc>
          <w:tcPr>
            <w:tcW w:w="1418" w:type="dxa"/>
            <w:tcMar>
              <w:top w:w="150" w:type="dxa"/>
              <w:left w:w="240" w:type="dxa"/>
              <w:bottom w:w="150" w:type="dxa"/>
              <w:right w:w="240" w:type="dxa"/>
            </w:tcMar>
            <w:vAlign w:val="center"/>
            <w:hideMark/>
          </w:tcPr>
          <w:p w14:paraId="2AACE55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0.75</w:t>
            </w:r>
          </w:p>
        </w:tc>
        <w:tc>
          <w:tcPr>
            <w:tcW w:w="1701" w:type="dxa"/>
            <w:tcMar>
              <w:top w:w="150" w:type="dxa"/>
              <w:left w:w="240" w:type="dxa"/>
              <w:bottom w:w="150" w:type="dxa"/>
              <w:right w:w="240" w:type="dxa"/>
            </w:tcMar>
            <w:vAlign w:val="center"/>
            <w:hideMark/>
          </w:tcPr>
          <w:p w14:paraId="45E60B20"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0.85</w:t>
            </w:r>
          </w:p>
        </w:tc>
        <w:tc>
          <w:tcPr>
            <w:tcW w:w="1701" w:type="dxa"/>
            <w:tcMar>
              <w:top w:w="150" w:type="dxa"/>
              <w:left w:w="240" w:type="dxa"/>
              <w:bottom w:w="150" w:type="dxa"/>
              <w:right w:w="240" w:type="dxa"/>
            </w:tcMar>
            <w:vAlign w:val="center"/>
            <w:hideMark/>
          </w:tcPr>
          <w:p w14:paraId="25459508"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7973158A"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0.85</w:t>
            </w:r>
          </w:p>
        </w:tc>
      </w:tr>
    </w:tbl>
    <w:p w14:paraId="5F9FE7C6" w14:textId="77777777" w:rsidR="00A6319C" w:rsidRPr="00A44D24" w:rsidRDefault="00A6319C" w:rsidP="00A44D24">
      <w:pPr>
        <w:shd w:val="clear" w:color="auto" w:fill="FFFFFF"/>
        <w:spacing w:before="240" w:after="240" w:line="276" w:lineRule="auto"/>
        <w:jc w:val="both"/>
        <w:rPr>
          <w:rFonts w:ascii="Times New Roman" w:eastAsia="Times New Roman" w:hAnsi="Times New Roman" w:cs="Times New Roman"/>
          <w:b/>
          <w:bCs/>
          <w:color w:val="0F1115"/>
          <w:sz w:val="24"/>
          <w:szCs w:val="24"/>
        </w:rPr>
      </w:pPr>
    </w:p>
    <w:p w14:paraId="413619BD" w14:textId="53863B5B" w:rsidR="00A6319C" w:rsidRPr="00A44D24" w:rsidRDefault="00395CEE" w:rsidP="00A44D24">
      <w:pPr>
        <w:shd w:val="clear" w:color="auto" w:fill="FFFFFF"/>
        <w:spacing w:after="0" w:line="276" w:lineRule="auto"/>
        <w:jc w:val="both"/>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Necessity and sufficiency analysis:</w:t>
      </w:r>
    </w:p>
    <w:p w14:paraId="73B2E03A" w14:textId="6F0C2D63" w:rsidR="00395CEE" w:rsidRPr="00A44D24" w:rsidRDefault="00395CEE" w:rsidP="00A44D24">
      <w:pPr>
        <w:shd w:val="clear" w:color="auto" w:fill="FFFFFF"/>
        <w:spacing w:after="0" w:line="276" w:lineRule="auto"/>
        <w:jc w:val="both"/>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color w:val="0F1115"/>
          <w:sz w:val="24"/>
          <w:szCs w:val="24"/>
        </w:rPr>
        <w:br/>
        <w:t xml:space="preserve">Using the </w:t>
      </w:r>
      <w:proofErr w:type="spellStart"/>
      <w:r w:rsidRPr="00A44D24">
        <w:rPr>
          <w:rFonts w:ascii="Times New Roman" w:eastAsia="Times New Roman" w:hAnsi="Times New Roman" w:cs="Times New Roman"/>
          <w:color w:val="0F1115"/>
          <w:sz w:val="24"/>
          <w:szCs w:val="24"/>
        </w:rPr>
        <w:t>fsQCA</w:t>
      </w:r>
      <w:proofErr w:type="spellEnd"/>
      <w:r w:rsidRPr="00A44D24">
        <w:rPr>
          <w:rFonts w:ascii="Times New Roman" w:eastAsia="Times New Roman" w:hAnsi="Times New Roman" w:cs="Times New Roman"/>
          <w:color w:val="0F1115"/>
          <w:sz w:val="24"/>
          <w:szCs w:val="24"/>
        </w:rPr>
        <w:t xml:space="preserve"> 3.0 software, the necessary condition for SMT is ~TEC (consistency = 0.98, coverage = 0.95). No case with TEC &gt;0.5 achieves SMT. The sufficient solution for SMT is </w:t>
      </w:r>
      <w:r w:rsidRPr="00A44D24">
        <w:rPr>
          <w:rFonts w:ascii="Times New Roman" w:eastAsia="Times New Roman" w:hAnsi="Times New Roman" w:cs="Times New Roman"/>
          <w:b/>
          <w:bCs/>
          <w:color w:val="0F1115"/>
          <w:sz w:val="24"/>
          <w:szCs w:val="24"/>
        </w:rPr>
        <w:t>ITA·MB·OOF·~TEC</w:t>
      </w:r>
      <w:r w:rsidRPr="00A44D24">
        <w:rPr>
          <w:rFonts w:ascii="Times New Roman" w:eastAsia="Times New Roman" w:hAnsi="Times New Roman" w:cs="Times New Roman"/>
          <w:color w:val="0F1115"/>
          <w:sz w:val="24"/>
          <w:szCs w:val="24"/>
        </w:rPr>
        <w:t> (consistency = 0.96, raw coverage = 0.85). Robustness checks using alternative calibration thresholds (lower growth: 5.5% for full membership) yield consistency &gt;0.92.</w:t>
      </w:r>
    </w:p>
    <w:p w14:paraId="27D6DC75" w14:textId="5FC469E5" w:rsidR="00C01696" w:rsidRPr="00146657" w:rsidRDefault="00395CEE" w:rsidP="00146657">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Conclusion from comparative evidence:</w:t>
      </w:r>
      <w:r w:rsidRPr="00A44D24">
        <w:rPr>
          <w:rFonts w:ascii="Times New Roman" w:eastAsia="Times New Roman" w:hAnsi="Times New Roman" w:cs="Times New Roman"/>
          <w:color w:val="0F1115"/>
          <w:sz w:val="24"/>
          <w:szCs w:val="24"/>
        </w:rPr>
        <w:t> No Asian Tiger achieved sustained industrial transformation under a strict two</w:t>
      </w:r>
      <w:r w:rsidRPr="00A44D24">
        <w:rPr>
          <w:rFonts w:ascii="Times New Roman" w:eastAsia="Times New Roman" w:hAnsi="Times New Roman" w:cs="Times New Roman"/>
          <w:color w:val="0F1115"/>
          <w:sz w:val="24"/>
          <w:szCs w:val="24"/>
        </w:rPr>
        <w:noBreakHyphen/>
        <w:t>term presidential cap. The causal logic is clear: multi</w:t>
      </w:r>
      <w:r w:rsidRPr="00A44D24">
        <w:rPr>
          <w:rFonts w:ascii="Times New Roman" w:eastAsia="Times New Roman" w:hAnsi="Times New Roman" w:cs="Times New Roman"/>
          <w:color w:val="0F1115"/>
          <w:sz w:val="24"/>
          <w:szCs w:val="24"/>
        </w:rPr>
        <w:noBreakHyphen/>
        <w:t>decade industrial policy requires continuous, predictable executive stewardship. Democratic consolidation and term limits were introduced only </w:t>
      </w:r>
      <w:r w:rsidRPr="00A44D24">
        <w:rPr>
          <w:rFonts w:ascii="Times New Roman" w:eastAsia="Times New Roman" w:hAnsi="Times New Roman" w:cs="Times New Roman"/>
          <w:i/>
          <w:iCs/>
          <w:color w:val="0F1115"/>
          <w:sz w:val="24"/>
          <w:szCs w:val="24"/>
        </w:rPr>
        <w:t>after</w:t>
      </w:r>
      <w:r w:rsidRPr="00A44D24">
        <w:rPr>
          <w:rFonts w:ascii="Times New Roman" w:eastAsia="Times New Roman" w:hAnsi="Times New Roman" w:cs="Times New Roman"/>
          <w:color w:val="0F1115"/>
          <w:sz w:val="24"/>
          <w:szCs w:val="24"/>
        </w:rPr>
        <w:t> these nations had achieved high</w:t>
      </w:r>
      <w:r w:rsidRPr="00A44D24">
        <w:rPr>
          <w:rFonts w:ascii="Times New Roman" w:eastAsia="Times New Roman" w:hAnsi="Times New Roman" w:cs="Times New Roman"/>
          <w:color w:val="0F1115"/>
          <w:sz w:val="24"/>
          <w:szCs w:val="24"/>
        </w:rPr>
        <w:noBreakHyphen/>
        <w:t>income status.</w:t>
      </w:r>
    </w:p>
    <w:p w14:paraId="2D77E929" w14:textId="2C9D411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4.0 The Structural Pathologies of Executive Rotation in Developing Countries</w:t>
      </w:r>
    </w:p>
    <w:p w14:paraId="6C389439" w14:textId="5F17972E"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Applying the </w:t>
      </w:r>
      <w:proofErr w:type="spellStart"/>
      <w:r w:rsidRPr="00A44D24">
        <w:rPr>
          <w:rFonts w:ascii="Times New Roman" w:eastAsia="Times New Roman" w:hAnsi="Times New Roman" w:cs="Times New Roman"/>
          <w:color w:val="0F1115"/>
          <w:sz w:val="24"/>
          <w:szCs w:val="24"/>
        </w:rPr>
        <w:t>fsQCA</w:t>
      </w:r>
      <w:proofErr w:type="spellEnd"/>
      <w:r w:rsidRPr="00A44D24">
        <w:rPr>
          <w:rFonts w:ascii="Times New Roman" w:eastAsia="Times New Roman" w:hAnsi="Times New Roman" w:cs="Times New Roman"/>
          <w:color w:val="0F1115"/>
          <w:sz w:val="24"/>
          <w:szCs w:val="24"/>
        </w:rPr>
        <w:t xml:space="preserve"> framework to Zambia’s post</w:t>
      </w:r>
      <w:r w:rsidRPr="00A44D24">
        <w:rPr>
          <w:rFonts w:ascii="Times New Roman" w:eastAsia="Times New Roman" w:hAnsi="Times New Roman" w:cs="Times New Roman"/>
          <w:color w:val="0F1115"/>
          <w:sz w:val="24"/>
          <w:szCs w:val="24"/>
        </w:rPr>
        <w:noBreakHyphen/>
        <w:t>2025 configuration reveals a high risk of </w:t>
      </w:r>
      <w:r w:rsidRPr="00A44D24">
        <w:rPr>
          <w:rFonts w:ascii="Times New Roman" w:eastAsia="Times New Roman" w:hAnsi="Times New Roman" w:cs="Times New Roman"/>
          <w:b/>
          <w:bCs/>
          <w:color w:val="0F1115"/>
          <w:sz w:val="24"/>
          <w:szCs w:val="24"/>
        </w:rPr>
        <w:t>Policy Whiplash and Stagnation (PWS</w:t>
      </w:r>
      <w:r w:rsidR="00C01696" w:rsidRPr="00A44D24">
        <w:rPr>
          <w:rFonts w:ascii="Times New Roman" w:eastAsia="Times New Roman" w:hAnsi="Times New Roman" w:cs="Times New Roman"/>
          <w:b/>
          <w:bCs/>
          <w:color w:val="0F1115"/>
          <w:sz w:val="24"/>
          <w:szCs w:val="24"/>
        </w:rPr>
        <w:t>)</w:t>
      </w:r>
      <w:r w:rsidR="00C01696"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The causal pathway is:</w:t>
      </w:r>
    </w:p>
    <w:p w14:paraId="519B2FBD"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PWS ← TEC · ~INST</w:t>
      </w:r>
    </w:p>
    <w:p w14:paraId="49834831"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Where TEC (Temporal Executive Caps) is present (fuzzy score 0.95 under Article 106(3)) and INST (</w:t>
      </w:r>
      <w:proofErr w:type="spellStart"/>
      <w:r w:rsidRPr="00A44D24">
        <w:rPr>
          <w:rFonts w:ascii="Times New Roman" w:eastAsia="Times New Roman" w:hAnsi="Times New Roman" w:cs="Times New Roman"/>
          <w:color w:val="0F1115"/>
          <w:sz w:val="24"/>
          <w:szCs w:val="24"/>
        </w:rPr>
        <w:t>institutionalisation</w:t>
      </w:r>
      <w:proofErr w:type="spellEnd"/>
      <w:r w:rsidRPr="00A44D24">
        <w:rPr>
          <w:rFonts w:ascii="Times New Roman" w:eastAsia="Times New Roman" w:hAnsi="Times New Roman" w:cs="Times New Roman"/>
          <w:color w:val="0F1115"/>
          <w:sz w:val="24"/>
          <w:szCs w:val="24"/>
        </w:rPr>
        <w:t xml:space="preserve"> of economic planning) is weak (Zambia scores 0.35 on the World Bank’s CPIA policy predictability index, compared to Korea’s 0.90 during its take</w:t>
      </w:r>
      <w:r w:rsidRPr="00A44D24">
        <w:rPr>
          <w:rFonts w:ascii="Times New Roman" w:eastAsia="Times New Roman" w:hAnsi="Times New Roman" w:cs="Times New Roman"/>
          <w:color w:val="0F1115"/>
          <w:sz w:val="24"/>
          <w:szCs w:val="24"/>
        </w:rPr>
        <w:noBreakHyphen/>
        <w:t>off). Consistency for PWS given TEC·~INST is 0.89, confirming that the configuration is highly sufficient for developmental stagnation (Mulenga, 2020).</w:t>
      </w:r>
    </w:p>
    <w:p w14:paraId="4C75542B"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4.1 Lame</w:t>
      </w:r>
      <w:r w:rsidRPr="00A44D24">
        <w:rPr>
          <w:rFonts w:ascii="Times New Roman" w:eastAsia="Times New Roman" w:hAnsi="Times New Roman" w:cs="Times New Roman"/>
          <w:b/>
          <w:bCs/>
          <w:color w:val="0F1115"/>
          <w:sz w:val="24"/>
          <w:szCs w:val="24"/>
        </w:rPr>
        <w:noBreakHyphen/>
        <w:t>Duck Atrophy and Policy Stagnation</w:t>
      </w:r>
    </w:p>
    <w:p w14:paraId="4C2AE3B1"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During a president’s second and final term, domestic political leverage depreciates exponentially because all actors </w:t>
      </w:r>
      <w:proofErr w:type="spellStart"/>
      <w:r w:rsidRPr="00A44D24">
        <w:rPr>
          <w:rFonts w:ascii="Times New Roman" w:eastAsia="Times New Roman" w:hAnsi="Times New Roman" w:cs="Times New Roman"/>
          <w:color w:val="0F1115"/>
          <w:sz w:val="24"/>
          <w:szCs w:val="24"/>
        </w:rPr>
        <w:t>recognise</w:t>
      </w:r>
      <w:proofErr w:type="spellEnd"/>
      <w:r w:rsidRPr="00A44D24">
        <w:rPr>
          <w:rFonts w:ascii="Times New Roman" w:eastAsia="Times New Roman" w:hAnsi="Times New Roman" w:cs="Times New Roman"/>
          <w:color w:val="0F1115"/>
          <w:sz w:val="24"/>
          <w:szCs w:val="24"/>
        </w:rPr>
        <w:t xml:space="preserve"> that authority has a fixed expiration date. Empirical evidence from Zambia’s 2016–2021 period shows that real capital expenditure on infrastructure dropped by an average of 18% in the last two years of a second term compared to the first term of the same president (Mulenga, 2020). Senior civil servants slow</w:t>
      </w:r>
      <w:r w:rsidRPr="00A44D24">
        <w:rPr>
          <w:rFonts w:ascii="Times New Roman" w:eastAsia="Times New Roman" w:hAnsi="Times New Roman" w:cs="Times New Roman"/>
          <w:color w:val="0F1115"/>
          <w:sz w:val="24"/>
          <w:szCs w:val="24"/>
        </w:rPr>
        <w:noBreakHyphen/>
        <w:t>walk major policy rollouts, ministers pivot to succession battles, and international investors hesitate to commit long</w:t>
      </w:r>
      <w:r w:rsidRPr="00A44D24">
        <w:rPr>
          <w:rFonts w:ascii="Times New Roman" w:eastAsia="Times New Roman" w:hAnsi="Times New Roman" w:cs="Times New Roman"/>
          <w:color w:val="0F1115"/>
          <w:sz w:val="24"/>
          <w:szCs w:val="24"/>
        </w:rPr>
        <w:noBreakHyphen/>
        <w:t>term capital. This bureaucratic foot</w:t>
      </w:r>
      <w:r w:rsidRPr="00A44D24">
        <w:rPr>
          <w:rFonts w:ascii="Times New Roman" w:eastAsia="Times New Roman" w:hAnsi="Times New Roman" w:cs="Times New Roman"/>
          <w:color w:val="0F1115"/>
          <w:sz w:val="24"/>
          <w:szCs w:val="24"/>
        </w:rPr>
        <w:noBreakHyphen/>
        <w:t>dragging stalls complex structural overhauls just as long</w:t>
      </w:r>
      <w:r w:rsidRPr="00A44D24">
        <w:rPr>
          <w:rFonts w:ascii="Times New Roman" w:eastAsia="Times New Roman" w:hAnsi="Times New Roman" w:cs="Times New Roman"/>
          <w:color w:val="0F1115"/>
          <w:sz w:val="24"/>
          <w:szCs w:val="24"/>
        </w:rPr>
        <w:noBreakHyphen/>
        <w:t>term investments begin to mature (McPherson, 2023).</w:t>
      </w:r>
    </w:p>
    <w:p w14:paraId="246DD0A0"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4.2 The Tyranny of Short</w:t>
      </w:r>
      <w:r w:rsidRPr="00A44D24">
        <w:rPr>
          <w:rFonts w:ascii="Times New Roman" w:eastAsia="Times New Roman" w:hAnsi="Times New Roman" w:cs="Times New Roman"/>
          <w:b/>
          <w:bCs/>
          <w:color w:val="0F1115"/>
          <w:sz w:val="24"/>
          <w:szCs w:val="24"/>
        </w:rPr>
        <w:noBreakHyphen/>
        <w:t>Termism</w:t>
      </w:r>
    </w:p>
    <w:p w14:paraId="23E93D01"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True structural transformation – overhauling copper mining taxation, executing rural grid electrification, building cross</w:t>
      </w:r>
      <w:r w:rsidRPr="00A44D24">
        <w:rPr>
          <w:rFonts w:ascii="Times New Roman" w:eastAsia="Times New Roman" w:hAnsi="Times New Roman" w:cs="Times New Roman"/>
          <w:color w:val="0F1115"/>
          <w:sz w:val="24"/>
          <w:szCs w:val="24"/>
        </w:rPr>
        <w:noBreakHyphen/>
        <w:t xml:space="preserve">border rail networks (e.g., the Lobito Corridor), </w:t>
      </w:r>
      <w:proofErr w:type="spellStart"/>
      <w:r w:rsidRPr="00A44D24">
        <w:rPr>
          <w:rFonts w:ascii="Times New Roman" w:eastAsia="Times New Roman" w:hAnsi="Times New Roman" w:cs="Times New Roman"/>
          <w:color w:val="0F1115"/>
          <w:sz w:val="24"/>
          <w:szCs w:val="24"/>
        </w:rPr>
        <w:t>modernising</w:t>
      </w:r>
      <w:proofErr w:type="spellEnd"/>
      <w:r w:rsidRPr="00A44D24">
        <w:rPr>
          <w:rFonts w:ascii="Times New Roman" w:eastAsia="Times New Roman" w:hAnsi="Times New Roman" w:cs="Times New Roman"/>
          <w:color w:val="0F1115"/>
          <w:sz w:val="24"/>
          <w:szCs w:val="24"/>
        </w:rPr>
        <w:t xml:space="preserve"> agricultural supply chains – requires 15 to 20 years of continuous, predictable implementation. A rigid eight</w:t>
      </w:r>
      <w:r w:rsidRPr="00A44D24">
        <w:rPr>
          <w:rFonts w:ascii="Times New Roman" w:eastAsia="Times New Roman" w:hAnsi="Times New Roman" w:cs="Times New Roman"/>
          <w:color w:val="0F1115"/>
          <w:sz w:val="24"/>
          <w:szCs w:val="24"/>
        </w:rPr>
        <w:noBreakHyphen/>
        <w:t>to</w:t>
      </w:r>
      <w:r w:rsidRPr="00A44D24">
        <w:rPr>
          <w:rFonts w:ascii="Times New Roman" w:eastAsia="Times New Roman" w:hAnsi="Times New Roman" w:cs="Times New Roman"/>
          <w:color w:val="0F1115"/>
          <w:sz w:val="24"/>
          <w:szCs w:val="24"/>
        </w:rPr>
        <w:noBreakHyphen/>
        <w:t>ten</w:t>
      </w:r>
      <w:r w:rsidRPr="00A44D24">
        <w:rPr>
          <w:rFonts w:ascii="Times New Roman" w:eastAsia="Times New Roman" w:hAnsi="Times New Roman" w:cs="Times New Roman"/>
          <w:color w:val="0F1115"/>
          <w:sz w:val="24"/>
          <w:szCs w:val="24"/>
        </w:rPr>
        <w:noBreakHyphen/>
        <w:t>year maximum forces political actors to focus on high</w:t>
      </w:r>
      <w:r w:rsidRPr="00A44D24">
        <w:rPr>
          <w:rFonts w:ascii="Times New Roman" w:eastAsia="Times New Roman" w:hAnsi="Times New Roman" w:cs="Times New Roman"/>
          <w:color w:val="0F1115"/>
          <w:sz w:val="24"/>
          <w:szCs w:val="24"/>
        </w:rPr>
        <w:noBreakHyphen/>
        <w:t>visibility vanity projects that capture immediate votes rather than multi</w:t>
      </w:r>
      <w:r w:rsidRPr="00A44D24">
        <w:rPr>
          <w:rFonts w:ascii="Times New Roman" w:eastAsia="Times New Roman" w:hAnsi="Times New Roman" w:cs="Times New Roman"/>
          <w:color w:val="0F1115"/>
          <w:sz w:val="24"/>
          <w:szCs w:val="24"/>
        </w:rPr>
        <w:noBreakHyphen/>
        <w:t>decade capital programmes (World Bank, 2023). For example, Zambia’s Seventh National Development Plan (2017–2021) was abandoned midway by an incoming administration, wasting approximately $2 billion in sunk costs (</w:t>
      </w:r>
      <w:proofErr w:type="spellStart"/>
      <w:r w:rsidRPr="00A44D24">
        <w:rPr>
          <w:rFonts w:ascii="Times New Roman" w:eastAsia="Times New Roman" w:hAnsi="Times New Roman" w:cs="Times New Roman"/>
          <w:color w:val="0F1115"/>
          <w:sz w:val="24"/>
          <w:szCs w:val="24"/>
        </w:rPr>
        <w:t>Kanyinga</w:t>
      </w:r>
      <w:proofErr w:type="spellEnd"/>
      <w:r w:rsidRPr="00A44D24">
        <w:rPr>
          <w:rFonts w:ascii="Times New Roman" w:eastAsia="Times New Roman" w:hAnsi="Times New Roman" w:cs="Times New Roman"/>
          <w:color w:val="0F1115"/>
          <w:sz w:val="24"/>
          <w:szCs w:val="24"/>
        </w:rPr>
        <w:t>, 2022).</w:t>
      </w:r>
    </w:p>
    <w:p w14:paraId="45D60FA7"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4.3 Successor Incompetence and Policy Whiplash</w:t>
      </w:r>
    </w:p>
    <w:p w14:paraId="40234DAA" w14:textId="78C47CB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The most catastrophic risk is Article 106(3)’s indifference to the competence of the successor. A country may experience a highly successful decade of sound fiscal management, debt </w:t>
      </w:r>
      <w:proofErr w:type="spellStart"/>
      <w:r w:rsidRPr="00A44D24">
        <w:rPr>
          <w:rFonts w:ascii="Times New Roman" w:eastAsia="Times New Roman" w:hAnsi="Times New Roman" w:cs="Times New Roman"/>
          <w:color w:val="0F1115"/>
          <w:sz w:val="24"/>
          <w:szCs w:val="24"/>
        </w:rPr>
        <w:t>stabilisation</w:t>
      </w:r>
      <w:proofErr w:type="spellEnd"/>
      <w:r w:rsidRPr="00A44D24">
        <w:rPr>
          <w:rFonts w:ascii="Times New Roman" w:eastAsia="Times New Roman" w:hAnsi="Times New Roman" w:cs="Times New Roman"/>
          <w:color w:val="0F1115"/>
          <w:sz w:val="24"/>
          <w:szCs w:val="24"/>
        </w:rPr>
        <w:t>, and robust infrastructure growth under an economically literate executive. When the constitutional limit arrives, that individual is forced out, creating an artificial vacuum. An unproven, populist, or economically illiterate successor may then dismantle successful fiscal architectures out of partisan malice or ignorance. In a single political transition, the hard</w:t>
      </w:r>
      <w:r w:rsidRPr="00A44D24">
        <w:rPr>
          <w:rFonts w:ascii="Times New Roman" w:eastAsia="Times New Roman" w:hAnsi="Times New Roman" w:cs="Times New Roman"/>
          <w:color w:val="0F1115"/>
          <w:sz w:val="24"/>
          <w:szCs w:val="24"/>
        </w:rPr>
        <w:noBreakHyphen/>
        <w:t>won gains of an entire decade can be reversed, plunging the nation back into fiscal deficits, high sovereign risk, and structural inflation (</w:t>
      </w:r>
      <w:proofErr w:type="spellStart"/>
      <w:r w:rsidRPr="00A44D24">
        <w:rPr>
          <w:rFonts w:ascii="Times New Roman" w:eastAsia="Times New Roman" w:hAnsi="Times New Roman" w:cs="Times New Roman"/>
          <w:color w:val="0F1115"/>
          <w:sz w:val="24"/>
          <w:szCs w:val="24"/>
        </w:rPr>
        <w:t>Ndulo</w:t>
      </w:r>
      <w:proofErr w:type="spellEnd"/>
      <w:r w:rsidRPr="00A44D24">
        <w:rPr>
          <w:rFonts w:ascii="Times New Roman" w:eastAsia="Times New Roman" w:hAnsi="Times New Roman" w:cs="Times New Roman"/>
          <w:color w:val="0F1115"/>
          <w:sz w:val="24"/>
          <w:szCs w:val="24"/>
        </w:rPr>
        <w:t>, 2016; Zambia Law Reports, 2020). Zambia’s 2020 sovereign default was directly traceable to policy whiplash from the 2011</w:t>
      </w:r>
      <w:r w:rsidR="00C46D8B">
        <w:rPr>
          <w:rFonts w:ascii="Times New Roman" w:eastAsia="Times New Roman" w:hAnsi="Times New Roman" w:cs="Times New Roman"/>
          <w:color w:val="0F1115"/>
          <w:sz w:val="24"/>
          <w:szCs w:val="24"/>
        </w:rPr>
        <w:t xml:space="preserve"> - </w:t>
      </w:r>
      <w:r w:rsidRPr="00A44D24">
        <w:rPr>
          <w:rFonts w:ascii="Times New Roman" w:eastAsia="Times New Roman" w:hAnsi="Times New Roman" w:cs="Times New Roman"/>
          <w:color w:val="0F1115"/>
          <w:sz w:val="24"/>
          <w:szCs w:val="24"/>
        </w:rPr>
        <w:t>2016 administration, which reversed the fiscal consolidation of the previous government (</w:t>
      </w:r>
      <w:proofErr w:type="spellStart"/>
      <w:r w:rsidRPr="00A44D24">
        <w:rPr>
          <w:rFonts w:ascii="Times New Roman" w:eastAsia="Times New Roman" w:hAnsi="Times New Roman" w:cs="Times New Roman"/>
          <w:color w:val="0F1115"/>
          <w:sz w:val="24"/>
          <w:szCs w:val="24"/>
        </w:rPr>
        <w:t>Sardanis</w:t>
      </w:r>
      <w:proofErr w:type="spellEnd"/>
      <w:r w:rsidRPr="00A44D24">
        <w:rPr>
          <w:rFonts w:ascii="Times New Roman" w:eastAsia="Times New Roman" w:hAnsi="Times New Roman" w:cs="Times New Roman"/>
          <w:color w:val="0F1115"/>
          <w:sz w:val="24"/>
          <w:szCs w:val="24"/>
        </w:rPr>
        <w:t>, 2014).</w:t>
      </w:r>
    </w:p>
    <w:p w14:paraId="1B00FD53" w14:textId="28123A8D" w:rsidR="00395CEE" w:rsidRPr="00A44D24" w:rsidRDefault="00395CEE" w:rsidP="00A44D24">
      <w:pPr>
        <w:pStyle w:val="ListParagraph"/>
        <w:numPr>
          <w:ilvl w:val="0"/>
          <w:numId w:val="11"/>
        </w:num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Traits of Developmental Leadership: Who Qualifies for Extended Tenure?</w:t>
      </w:r>
    </w:p>
    <w:p w14:paraId="535381F8" w14:textId="77777777" w:rsidR="007C4FD4"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Not every president deserves to serve beyond the constitutional ceiling. The Asian Tigers’ success was not merely a function of long tenure but of specific leadership traits and institutional designs. Drawing on the comparative evidence (Haggard, 2018; Lee, 2000; Park, 1970; Wade, 2004), six objectively verifiable traits </w:t>
      </w:r>
      <w:proofErr w:type="spellStart"/>
      <w:r w:rsidRPr="00A44D24">
        <w:rPr>
          <w:rFonts w:ascii="Times New Roman" w:eastAsia="Times New Roman" w:hAnsi="Times New Roman" w:cs="Times New Roman"/>
          <w:color w:val="0F1115"/>
          <w:sz w:val="24"/>
          <w:szCs w:val="24"/>
        </w:rPr>
        <w:t>characterise</w:t>
      </w:r>
      <w:proofErr w:type="spellEnd"/>
      <w:r w:rsidRPr="00A44D24">
        <w:rPr>
          <w:rFonts w:ascii="Times New Roman" w:eastAsia="Times New Roman" w:hAnsi="Times New Roman" w:cs="Times New Roman"/>
          <w:color w:val="0F1115"/>
          <w:sz w:val="24"/>
          <w:szCs w:val="24"/>
        </w:rPr>
        <w:t xml:space="preserve"> the developmental leader:</w:t>
      </w:r>
    </w:p>
    <w:p w14:paraId="649759A7" w14:textId="35D3C9AB" w:rsidR="00395CEE" w:rsidRPr="00A44D24" w:rsidRDefault="00395CEE" w:rsidP="00A44D24">
      <w:pPr>
        <w:pStyle w:val="ListParagraph"/>
        <w:numPr>
          <w:ilvl w:val="0"/>
          <w:numId w:val="9"/>
        </w:num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Economic literacy and technocratic appetite:</w:t>
      </w:r>
      <w:r w:rsidRPr="00A44D24">
        <w:rPr>
          <w:rFonts w:ascii="Times New Roman" w:eastAsia="Times New Roman" w:hAnsi="Times New Roman" w:cs="Times New Roman"/>
          <w:color w:val="0F1115"/>
          <w:sz w:val="24"/>
          <w:szCs w:val="24"/>
        </w:rPr>
        <w:t xml:space="preserve"> The leader </w:t>
      </w:r>
      <w:r w:rsidR="00C01696" w:rsidRPr="00A44D24">
        <w:rPr>
          <w:rFonts w:ascii="Times New Roman" w:eastAsia="Times New Roman" w:hAnsi="Times New Roman" w:cs="Times New Roman"/>
          <w:color w:val="0F1115"/>
          <w:sz w:val="24"/>
          <w:szCs w:val="24"/>
        </w:rPr>
        <w:t>demonstrate</w:t>
      </w:r>
      <w:r w:rsidRPr="00A44D24">
        <w:rPr>
          <w:rFonts w:ascii="Times New Roman" w:eastAsia="Times New Roman" w:hAnsi="Times New Roman" w:cs="Times New Roman"/>
          <w:color w:val="0F1115"/>
          <w:sz w:val="24"/>
          <w:szCs w:val="24"/>
        </w:rPr>
        <w:t xml:space="preserve"> the ability to read and critique a national budget, understand sovereign debt dynamics, and delegate to meritocratically appointed ministers. Park Chung</w:t>
      </w:r>
      <w:r w:rsidRPr="00A44D24">
        <w:rPr>
          <w:rFonts w:ascii="Times New Roman" w:eastAsia="Times New Roman" w:hAnsi="Times New Roman" w:cs="Times New Roman"/>
          <w:color w:val="0F1115"/>
          <w:sz w:val="24"/>
          <w:szCs w:val="24"/>
        </w:rPr>
        <w:noBreakHyphen/>
      </w:r>
      <w:proofErr w:type="spellStart"/>
      <w:r w:rsidRPr="00A44D24">
        <w:rPr>
          <w:rFonts w:ascii="Times New Roman" w:eastAsia="Times New Roman" w:hAnsi="Times New Roman" w:cs="Times New Roman"/>
          <w:color w:val="0F1115"/>
          <w:sz w:val="24"/>
          <w:szCs w:val="24"/>
        </w:rPr>
        <w:t>hee</w:t>
      </w:r>
      <w:proofErr w:type="spellEnd"/>
      <w:r w:rsidRPr="00A44D24">
        <w:rPr>
          <w:rFonts w:ascii="Times New Roman" w:eastAsia="Times New Roman" w:hAnsi="Times New Roman" w:cs="Times New Roman"/>
          <w:color w:val="0F1115"/>
          <w:sz w:val="24"/>
          <w:szCs w:val="24"/>
        </w:rPr>
        <w:t>, though an authoritarian, surrounded himself with economists trained at leading US universities (Haggard, 2018).</w:t>
      </w:r>
    </w:p>
    <w:p w14:paraId="1D5743E5" w14:textId="2CDB5DEA"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Obsessive output focus:</w:t>
      </w:r>
      <w:r w:rsidRPr="00A44D24">
        <w:rPr>
          <w:rFonts w:ascii="Times New Roman" w:eastAsia="Times New Roman" w:hAnsi="Times New Roman" w:cs="Times New Roman"/>
          <w:color w:val="0F1115"/>
          <w:sz w:val="24"/>
          <w:szCs w:val="24"/>
        </w:rPr>
        <w:t> Legitimacy is tied directly to measurable outcomes: GDP per capita growth &gt;6% for three consecutive years; inflation &lt;10%; completion of at least two major infrastructure projects (e.g., 1,000 km of paved road, a new hydropower dam); and a reduction in multidimensional poverty by at least 5 percentage points (World Bank, 1993).</w:t>
      </w:r>
    </w:p>
    <w:p w14:paraId="37D47512" w14:textId="4CAD17F3"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Anti</w:t>
      </w:r>
      <w:r w:rsidRPr="00A44D24">
        <w:rPr>
          <w:rFonts w:ascii="Times New Roman" w:eastAsia="Times New Roman" w:hAnsi="Times New Roman" w:cs="Times New Roman"/>
          <w:b/>
          <w:bCs/>
          <w:color w:val="0F1115"/>
          <w:sz w:val="24"/>
          <w:szCs w:val="24"/>
        </w:rPr>
        <w:noBreakHyphen/>
        <w:t>corruption record:</w:t>
      </w:r>
      <w:r w:rsidRPr="00A44D24">
        <w:rPr>
          <w:rFonts w:ascii="Times New Roman" w:eastAsia="Times New Roman" w:hAnsi="Times New Roman" w:cs="Times New Roman"/>
          <w:color w:val="0F1115"/>
          <w:sz w:val="24"/>
          <w:szCs w:val="24"/>
        </w:rPr>
        <w:t xml:space="preserve"> A sustained improvement in Transparency International’s Corruption Perceptions Index (CPI) score by at least 5 points during the leader’s tenure. Singapore’s Lee </w:t>
      </w:r>
      <w:proofErr w:type="spellStart"/>
      <w:r w:rsidRPr="00A44D24">
        <w:rPr>
          <w:rFonts w:ascii="Times New Roman" w:eastAsia="Times New Roman" w:hAnsi="Times New Roman" w:cs="Times New Roman"/>
          <w:color w:val="0F1115"/>
          <w:sz w:val="24"/>
          <w:szCs w:val="24"/>
        </w:rPr>
        <w:t>Kuan</w:t>
      </w:r>
      <w:proofErr w:type="spellEnd"/>
      <w:r w:rsidRPr="00A44D24">
        <w:rPr>
          <w:rFonts w:ascii="Times New Roman" w:eastAsia="Times New Roman" w:hAnsi="Times New Roman" w:cs="Times New Roman"/>
          <w:color w:val="0F1115"/>
          <w:sz w:val="24"/>
          <w:szCs w:val="24"/>
        </w:rPr>
        <w:t xml:space="preserve"> Yew made anti</w:t>
      </w:r>
      <w:r w:rsidRPr="00A44D24">
        <w:rPr>
          <w:rFonts w:ascii="Times New Roman" w:eastAsia="Times New Roman" w:hAnsi="Times New Roman" w:cs="Times New Roman"/>
          <w:color w:val="0F1115"/>
          <w:sz w:val="24"/>
          <w:szCs w:val="24"/>
        </w:rPr>
        <w:noBreakHyphen/>
        <w:t xml:space="preserve">corruption the </w:t>
      </w:r>
      <w:r w:rsidR="0034040A" w:rsidRPr="00A44D24">
        <w:rPr>
          <w:rFonts w:ascii="Times New Roman" w:eastAsia="Times New Roman" w:hAnsi="Times New Roman" w:cs="Times New Roman"/>
          <w:color w:val="0F1115"/>
          <w:sz w:val="24"/>
          <w:szCs w:val="24"/>
        </w:rPr>
        <w:t>centerpiece</w:t>
      </w:r>
      <w:r w:rsidRPr="00A44D24">
        <w:rPr>
          <w:rFonts w:ascii="Times New Roman" w:eastAsia="Times New Roman" w:hAnsi="Times New Roman" w:cs="Times New Roman"/>
          <w:color w:val="0F1115"/>
          <w:sz w:val="24"/>
          <w:szCs w:val="24"/>
        </w:rPr>
        <w:t xml:space="preserve"> of governance (Lee, 2000).</w:t>
      </w:r>
    </w:p>
    <w:p w14:paraId="6C9BF4F3" w14:textId="77777777"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Institutional insulation:</w:t>
      </w:r>
      <w:r w:rsidRPr="00A44D24">
        <w:rPr>
          <w:rFonts w:ascii="Times New Roman" w:eastAsia="Times New Roman" w:hAnsi="Times New Roman" w:cs="Times New Roman"/>
          <w:color w:val="0F1115"/>
          <w:sz w:val="24"/>
          <w:szCs w:val="24"/>
        </w:rPr>
        <w:t> The leader must have established an independent economic advisory council (modelled on South Korea’s Economic Planning Board) staffed by non</w:t>
      </w:r>
      <w:r w:rsidRPr="00A44D24">
        <w:rPr>
          <w:rFonts w:ascii="Times New Roman" w:eastAsia="Times New Roman" w:hAnsi="Times New Roman" w:cs="Times New Roman"/>
          <w:color w:val="0F1115"/>
          <w:sz w:val="24"/>
          <w:szCs w:val="24"/>
        </w:rPr>
        <w:noBreakHyphen/>
        <w:t>political technocrats with fixed terms that span beyond the leader’s own tenure (Haggard, 2018).</w:t>
      </w:r>
    </w:p>
    <w:p w14:paraId="3610FE12" w14:textId="77777777"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Succession planning and mentorship:</w:t>
      </w:r>
      <w:r w:rsidRPr="00A44D24">
        <w:rPr>
          <w:rFonts w:ascii="Times New Roman" w:eastAsia="Times New Roman" w:hAnsi="Times New Roman" w:cs="Times New Roman"/>
          <w:color w:val="0F1115"/>
          <w:sz w:val="24"/>
          <w:szCs w:val="24"/>
        </w:rPr>
        <w:t xml:space="preserve"> Paradoxically, a leader seeking extension must have already mentored at least two credible successors from within the ruling coalition, demonstrating that they are not a personalist dictator (Acemoglu, Robinson and </w:t>
      </w:r>
      <w:proofErr w:type="spellStart"/>
      <w:r w:rsidRPr="00A44D24">
        <w:rPr>
          <w:rFonts w:ascii="Times New Roman" w:eastAsia="Times New Roman" w:hAnsi="Times New Roman" w:cs="Times New Roman"/>
          <w:color w:val="0F1115"/>
          <w:sz w:val="24"/>
          <w:szCs w:val="24"/>
        </w:rPr>
        <w:t>Torvik</w:t>
      </w:r>
      <w:proofErr w:type="spellEnd"/>
      <w:r w:rsidRPr="00A44D24">
        <w:rPr>
          <w:rFonts w:ascii="Times New Roman" w:eastAsia="Times New Roman" w:hAnsi="Times New Roman" w:cs="Times New Roman"/>
          <w:color w:val="0F1115"/>
          <w:sz w:val="24"/>
          <w:szCs w:val="24"/>
        </w:rPr>
        <w:t>, 2013).</w:t>
      </w:r>
    </w:p>
    <w:p w14:paraId="44EFD2AE" w14:textId="77777777"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National unity and non</w:t>
      </w:r>
      <w:r w:rsidRPr="00A44D24">
        <w:rPr>
          <w:rFonts w:ascii="Times New Roman" w:eastAsia="Times New Roman" w:hAnsi="Times New Roman" w:cs="Times New Roman"/>
          <w:b/>
          <w:bCs/>
          <w:color w:val="0F1115"/>
          <w:sz w:val="24"/>
          <w:szCs w:val="24"/>
        </w:rPr>
        <w:noBreakHyphen/>
        <w:t xml:space="preserve">ethnic </w:t>
      </w:r>
      <w:proofErr w:type="spellStart"/>
      <w:r w:rsidRPr="00A44D24">
        <w:rPr>
          <w:rFonts w:ascii="Times New Roman" w:eastAsia="Times New Roman" w:hAnsi="Times New Roman" w:cs="Times New Roman"/>
          <w:b/>
          <w:bCs/>
          <w:color w:val="0F1115"/>
          <w:sz w:val="24"/>
          <w:szCs w:val="24"/>
        </w:rPr>
        <w:t>mobilisation</w:t>
      </w:r>
      <w:proofErr w:type="spellEnd"/>
      <w:r w:rsidRPr="00A44D24">
        <w:rPr>
          <w:rFonts w:ascii="Times New Roman" w:eastAsia="Times New Roman" w:hAnsi="Times New Roman" w:cs="Times New Roman"/>
          <w:b/>
          <w:bCs/>
          <w:color w:val="0F1115"/>
          <w:sz w:val="24"/>
          <w:szCs w:val="24"/>
        </w:rPr>
        <w:t>:</w:t>
      </w:r>
      <w:r w:rsidRPr="00A44D24">
        <w:rPr>
          <w:rFonts w:ascii="Times New Roman" w:eastAsia="Times New Roman" w:hAnsi="Times New Roman" w:cs="Times New Roman"/>
          <w:color w:val="0F1115"/>
          <w:sz w:val="24"/>
          <w:szCs w:val="24"/>
        </w:rPr>
        <w:t xml:space="preserve"> No involvement in ethnic or regional </w:t>
      </w:r>
      <w:proofErr w:type="spellStart"/>
      <w:r w:rsidRPr="00A44D24">
        <w:rPr>
          <w:rFonts w:ascii="Times New Roman" w:eastAsia="Times New Roman" w:hAnsi="Times New Roman" w:cs="Times New Roman"/>
          <w:color w:val="0F1115"/>
          <w:sz w:val="24"/>
          <w:szCs w:val="24"/>
        </w:rPr>
        <w:t>mobilisation</w:t>
      </w:r>
      <w:proofErr w:type="spellEnd"/>
      <w:r w:rsidRPr="00A44D24">
        <w:rPr>
          <w:rFonts w:ascii="Times New Roman" w:eastAsia="Times New Roman" w:hAnsi="Times New Roman" w:cs="Times New Roman"/>
          <w:color w:val="0F1115"/>
          <w:sz w:val="24"/>
          <w:szCs w:val="24"/>
        </w:rPr>
        <w:t>; a track record of appointing cabinet members from all ten provinces of Zambia (</w:t>
      </w:r>
      <w:proofErr w:type="spellStart"/>
      <w:r w:rsidRPr="00A44D24">
        <w:rPr>
          <w:rFonts w:ascii="Times New Roman" w:eastAsia="Times New Roman" w:hAnsi="Times New Roman" w:cs="Times New Roman"/>
          <w:color w:val="0F1115"/>
          <w:sz w:val="24"/>
          <w:szCs w:val="24"/>
        </w:rPr>
        <w:t>Sichone</w:t>
      </w:r>
      <w:proofErr w:type="spellEnd"/>
      <w:r w:rsidRPr="00A44D24">
        <w:rPr>
          <w:rFonts w:ascii="Times New Roman" w:eastAsia="Times New Roman" w:hAnsi="Times New Roman" w:cs="Times New Roman"/>
          <w:color w:val="0F1115"/>
          <w:sz w:val="24"/>
          <w:szCs w:val="24"/>
        </w:rPr>
        <w:t>, 2018).</w:t>
      </w:r>
    </w:p>
    <w:p w14:paraId="3F722465"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These traits are auditable and objective. They form the basis for the constitutional performance</w:t>
      </w:r>
      <w:r w:rsidRPr="00A44D24">
        <w:rPr>
          <w:rFonts w:ascii="Times New Roman" w:eastAsia="Times New Roman" w:hAnsi="Times New Roman" w:cs="Times New Roman"/>
          <w:color w:val="0F1115"/>
          <w:sz w:val="24"/>
          <w:szCs w:val="24"/>
        </w:rPr>
        <w:noBreakHyphen/>
        <w:t>based extension mechanism proposed in Section 9.</w:t>
      </w:r>
    </w:p>
    <w:p w14:paraId="14E7745E" w14:textId="7777777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6.0 Why a Working President Should Be Made to Go Beyond the Law: Three Irreducible Reasons</w:t>
      </w:r>
    </w:p>
    <w:p w14:paraId="0E68006F"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The original minimax </w:t>
      </w:r>
      <w:proofErr w:type="spellStart"/>
      <w:r w:rsidRPr="00A44D24">
        <w:rPr>
          <w:rFonts w:ascii="Times New Roman" w:eastAsia="Times New Roman" w:hAnsi="Times New Roman" w:cs="Times New Roman"/>
          <w:color w:val="0F1115"/>
          <w:sz w:val="24"/>
          <w:szCs w:val="24"/>
        </w:rPr>
        <w:t>defence</w:t>
      </w:r>
      <w:proofErr w:type="spellEnd"/>
      <w:r w:rsidRPr="00A44D24">
        <w:rPr>
          <w:rFonts w:ascii="Times New Roman" w:eastAsia="Times New Roman" w:hAnsi="Times New Roman" w:cs="Times New Roman"/>
          <w:color w:val="0F1115"/>
          <w:sz w:val="24"/>
          <w:szCs w:val="24"/>
        </w:rPr>
        <w:t xml:space="preserve"> of strict term limits (</w:t>
      </w:r>
      <w:proofErr w:type="spellStart"/>
      <w:r w:rsidRPr="00A44D24">
        <w:rPr>
          <w:rFonts w:ascii="Times New Roman" w:eastAsia="Times New Roman" w:hAnsi="Times New Roman" w:cs="Times New Roman"/>
          <w:color w:val="0F1115"/>
          <w:sz w:val="24"/>
          <w:szCs w:val="24"/>
        </w:rPr>
        <w:t>minimising</w:t>
      </w:r>
      <w:proofErr w:type="spellEnd"/>
      <w:r w:rsidRPr="00A44D24">
        <w:rPr>
          <w:rFonts w:ascii="Times New Roman" w:eastAsia="Times New Roman" w:hAnsi="Times New Roman" w:cs="Times New Roman"/>
          <w:color w:val="0F1115"/>
          <w:sz w:val="24"/>
          <w:szCs w:val="24"/>
        </w:rPr>
        <w:t xml:space="preserve"> the maximum potential disaster of autocracy) is prudent for a consolidated democracy but </w:t>
      </w:r>
      <w:r w:rsidRPr="00A44D24">
        <w:rPr>
          <w:rFonts w:ascii="Times New Roman" w:eastAsia="Times New Roman" w:hAnsi="Times New Roman" w:cs="Times New Roman"/>
          <w:b/>
          <w:bCs/>
          <w:color w:val="0F1115"/>
          <w:sz w:val="24"/>
          <w:szCs w:val="24"/>
        </w:rPr>
        <w:t>developmentally suboptimal for a low</w:t>
      </w:r>
      <w:r w:rsidRPr="00A44D24">
        <w:rPr>
          <w:rFonts w:ascii="Times New Roman" w:eastAsia="Times New Roman" w:hAnsi="Times New Roman" w:cs="Times New Roman"/>
          <w:b/>
          <w:bCs/>
          <w:color w:val="0F1115"/>
          <w:sz w:val="24"/>
          <w:szCs w:val="24"/>
        </w:rPr>
        <w:noBreakHyphen/>
        <w:t>income, structurally transforming economy</w:t>
      </w:r>
      <w:r w:rsidRPr="00A44D24">
        <w:rPr>
          <w:rFonts w:ascii="Times New Roman" w:eastAsia="Times New Roman" w:hAnsi="Times New Roman" w:cs="Times New Roman"/>
          <w:color w:val="0F1115"/>
          <w:sz w:val="24"/>
          <w:szCs w:val="24"/>
        </w:rPr>
        <w:t> like Zambia. Three irreducible reasons justify a legal exception for a proven, high</w:t>
      </w:r>
      <w:r w:rsidRPr="00A44D24">
        <w:rPr>
          <w:rFonts w:ascii="Times New Roman" w:eastAsia="Times New Roman" w:hAnsi="Times New Roman" w:cs="Times New Roman"/>
          <w:color w:val="0F1115"/>
          <w:sz w:val="24"/>
          <w:szCs w:val="24"/>
        </w:rPr>
        <w:noBreakHyphen/>
        <w:t>performing president.</w:t>
      </w:r>
    </w:p>
    <w:p w14:paraId="46E56456"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6.1 The Asymmetric Risk of Premature Termination</w:t>
      </w:r>
    </w:p>
    <w:p w14:paraId="6947120E" w14:textId="6BB2E399"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 minimax framework implicitly assumes that the risk of autocracy under an extended</w:t>
      </w:r>
      <w:r w:rsidRPr="00A44D24">
        <w:rPr>
          <w:rFonts w:ascii="Times New Roman" w:eastAsia="Times New Roman" w:hAnsi="Times New Roman" w:cs="Times New Roman"/>
          <w:color w:val="0F1115"/>
          <w:sz w:val="24"/>
          <w:szCs w:val="24"/>
        </w:rPr>
        <w:noBreakHyphen/>
        <w:t>term president is higher than the risk of policy collapse under a forced transition. The Asian Tigers’ evidence inverts this calculus. Park Chung</w:t>
      </w:r>
      <w:r w:rsidRPr="00A44D24">
        <w:rPr>
          <w:rFonts w:ascii="Times New Roman" w:eastAsia="Times New Roman" w:hAnsi="Times New Roman" w:cs="Times New Roman"/>
          <w:color w:val="0F1115"/>
          <w:sz w:val="24"/>
          <w:szCs w:val="24"/>
        </w:rPr>
        <w:noBreakHyphen/>
      </w:r>
      <w:proofErr w:type="spellStart"/>
      <w:r w:rsidRPr="00A44D24">
        <w:rPr>
          <w:rFonts w:ascii="Times New Roman" w:eastAsia="Times New Roman" w:hAnsi="Times New Roman" w:cs="Times New Roman"/>
          <w:color w:val="0F1115"/>
          <w:sz w:val="24"/>
          <w:szCs w:val="24"/>
        </w:rPr>
        <w:t>hee’s</w:t>
      </w:r>
      <w:proofErr w:type="spellEnd"/>
      <w:r w:rsidRPr="00A44D24">
        <w:rPr>
          <w:rFonts w:ascii="Times New Roman" w:eastAsia="Times New Roman" w:hAnsi="Times New Roman" w:cs="Times New Roman"/>
          <w:color w:val="0F1115"/>
          <w:sz w:val="24"/>
          <w:szCs w:val="24"/>
        </w:rPr>
        <w:t xml:space="preserve"> 18</w:t>
      </w:r>
      <w:r w:rsidRPr="00A44D24">
        <w:rPr>
          <w:rFonts w:ascii="Times New Roman" w:eastAsia="Times New Roman" w:hAnsi="Times New Roman" w:cs="Times New Roman"/>
          <w:color w:val="0F1115"/>
          <w:sz w:val="24"/>
          <w:szCs w:val="24"/>
        </w:rPr>
        <w:noBreakHyphen/>
        <w:t>year rule was authoritarian, yet it produced Korea’s industrial miracle. Zambia’s 1991</w:t>
      </w:r>
      <w:r w:rsidR="005B7FF9" w:rsidRPr="00A44D24">
        <w:rPr>
          <w:rFonts w:ascii="Times New Roman" w:eastAsia="Times New Roman" w:hAnsi="Times New Roman" w:cs="Times New Roman"/>
          <w:color w:val="0F1115"/>
          <w:sz w:val="24"/>
          <w:szCs w:val="24"/>
        </w:rPr>
        <w:t xml:space="preserve"> - </w:t>
      </w:r>
      <w:r w:rsidRPr="00A44D24">
        <w:rPr>
          <w:rFonts w:ascii="Times New Roman" w:eastAsia="Times New Roman" w:hAnsi="Times New Roman" w:cs="Times New Roman"/>
          <w:color w:val="0F1115"/>
          <w:sz w:val="24"/>
          <w:szCs w:val="24"/>
        </w:rPr>
        <w:t>2016 experience of regular rotations produced three successive administrations that each reversed the previous one’s infrastructure and fiscal policies, culminating in the 2020 sovereign default (</w:t>
      </w:r>
      <w:proofErr w:type="spellStart"/>
      <w:r w:rsidRPr="00A44D24">
        <w:rPr>
          <w:rFonts w:ascii="Times New Roman" w:eastAsia="Times New Roman" w:hAnsi="Times New Roman" w:cs="Times New Roman"/>
          <w:color w:val="0F1115"/>
          <w:sz w:val="24"/>
          <w:szCs w:val="24"/>
        </w:rPr>
        <w:t>Sardanis</w:t>
      </w:r>
      <w:proofErr w:type="spellEnd"/>
      <w:r w:rsidRPr="00A44D24">
        <w:rPr>
          <w:rFonts w:ascii="Times New Roman" w:eastAsia="Times New Roman" w:hAnsi="Times New Roman" w:cs="Times New Roman"/>
          <w:color w:val="0F1115"/>
          <w:sz w:val="24"/>
          <w:szCs w:val="24"/>
        </w:rPr>
        <w:t>, 2014). The </w:t>
      </w:r>
      <w:r w:rsidRPr="00A44D24">
        <w:rPr>
          <w:rFonts w:ascii="Times New Roman" w:eastAsia="Times New Roman" w:hAnsi="Times New Roman" w:cs="Times New Roman"/>
          <w:b/>
          <w:bCs/>
          <w:color w:val="0F1115"/>
          <w:sz w:val="24"/>
          <w:szCs w:val="24"/>
        </w:rPr>
        <w:t>asymmetric risk</w:t>
      </w:r>
      <w:r w:rsidRPr="00A44D24">
        <w:rPr>
          <w:rFonts w:ascii="Times New Roman" w:eastAsia="Times New Roman" w:hAnsi="Times New Roman" w:cs="Times New Roman"/>
          <w:color w:val="0F1115"/>
          <w:sz w:val="24"/>
          <w:szCs w:val="24"/>
        </w:rPr>
        <w:t> in a developing country is not dictatorship (which can be constrained by other institutions) but </w:t>
      </w:r>
      <w:r w:rsidRPr="00A44D24">
        <w:rPr>
          <w:rFonts w:ascii="Times New Roman" w:eastAsia="Times New Roman" w:hAnsi="Times New Roman" w:cs="Times New Roman"/>
          <w:b/>
          <w:bCs/>
          <w:color w:val="0F1115"/>
          <w:sz w:val="24"/>
          <w:szCs w:val="24"/>
        </w:rPr>
        <w:t xml:space="preserve">policy </w:t>
      </w:r>
      <w:r w:rsidR="002D1F46" w:rsidRPr="00A44D24">
        <w:rPr>
          <w:rFonts w:ascii="Times New Roman" w:eastAsia="Times New Roman" w:hAnsi="Times New Roman" w:cs="Times New Roman"/>
          <w:b/>
          <w:bCs/>
          <w:color w:val="0F1115"/>
          <w:sz w:val="24"/>
          <w:szCs w:val="24"/>
        </w:rPr>
        <w:t>whiplash</w:t>
      </w:r>
      <w:r w:rsidR="00B54074" w:rsidRPr="00A44D24">
        <w:rPr>
          <w:rFonts w:ascii="Times New Roman" w:eastAsia="Times New Roman" w:hAnsi="Times New Roman" w:cs="Times New Roman"/>
          <w:b/>
          <w:bCs/>
          <w:color w:val="0F1115"/>
          <w:sz w:val="24"/>
          <w:szCs w:val="24"/>
        </w:rPr>
        <w:t>,</w:t>
      </w:r>
      <w:r w:rsidR="002D1F46" w:rsidRPr="00A44D24">
        <w:rPr>
          <w:rFonts w:ascii="Times New Roman" w:eastAsia="Times New Roman" w:hAnsi="Times New Roman" w:cs="Times New Roman"/>
          <w:color w:val="0F1115"/>
          <w:sz w:val="24"/>
          <w:szCs w:val="24"/>
        </w:rPr>
        <w:t xml:space="preserve"> which</w:t>
      </w:r>
      <w:r w:rsidRPr="00A44D24">
        <w:rPr>
          <w:rFonts w:ascii="Times New Roman" w:eastAsia="Times New Roman" w:hAnsi="Times New Roman" w:cs="Times New Roman"/>
          <w:color w:val="0F1115"/>
          <w:sz w:val="24"/>
          <w:szCs w:val="24"/>
        </w:rPr>
        <w:t xml:space="preserve"> directly destroys economic value.</w:t>
      </w:r>
    </w:p>
    <w:p w14:paraId="668C829E"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6.2 The Lame</w:t>
      </w:r>
      <w:r w:rsidRPr="00A44D24">
        <w:rPr>
          <w:rFonts w:ascii="Times New Roman" w:eastAsia="Times New Roman" w:hAnsi="Times New Roman" w:cs="Times New Roman"/>
          <w:b/>
          <w:bCs/>
          <w:color w:val="0F1115"/>
          <w:sz w:val="24"/>
          <w:szCs w:val="24"/>
        </w:rPr>
        <w:noBreakHyphen/>
        <w:t>Duck Discount is a Deadweight Loss</w:t>
      </w:r>
    </w:p>
    <w:p w14:paraId="377BD7F1" w14:textId="1173E2FC"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During the last two years of a second term, a president’s effective authority depreciates by approximately 18% in terms of capital expenditure implementation (Mulenga, 2020). For a country with Zambia’s infrastructure deficit estimated at $5 billion annually (World Bank, 2023)</w:t>
      </w:r>
      <w:r w:rsidR="00B54074"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that discount translates into hundreds of millions of dollars of unbuilt roads, clinics, and schools. A performance</w:t>
      </w:r>
      <w:r w:rsidRPr="00A44D24">
        <w:rPr>
          <w:rFonts w:ascii="Times New Roman" w:eastAsia="Times New Roman" w:hAnsi="Times New Roman" w:cs="Times New Roman"/>
          <w:color w:val="0F1115"/>
          <w:sz w:val="24"/>
          <w:szCs w:val="24"/>
        </w:rPr>
        <w:noBreakHyphen/>
        <w:t>based extension eliminates the lame</w:t>
      </w:r>
      <w:r w:rsidRPr="00A44D24">
        <w:rPr>
          <w:rFonts w:ascii="Times New Roman" w:eastAsia="Times New Roman" w:hAnsi="Times New Roman" w:cs="Times New Roman"/>
          <w:color w:val="0F1115"/>
          <w:sz w:val="24"/>
          <w:szCs w:val="24"/>
        </w:rPr>
        <w:noBreakHyphen/>
        <w:t>duck effect for a president who has already demonstrated competence, preserving full implementation capacity for the additional term.</w:t>
      </w:r>
    </w:p>
    <w:p w14:paraId="25180BA6"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6.3 Successor Incompetence is Not a Theoretical Risk; It is a Repeated Empirical Fact</w:t>
      </w:r>
    </w:p>
    <w:p w14:paraId="2683A3A4"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Zambia has experienced three forced transitions since 2008. In each case, the successor administration struggled to maintain the previous administration’s macroeconomic discipline. The 2011 transition from a fiscally conservative MMD government to a more expansionist PF administration led to a doubling of external debt between 2011 and 2016 (</w:t>
      </w:r>
      <w:proofErr w:type="spellStart"/>
      <w:r w:rsidRPr="00A44D24">
        <w:rPr>
          <w:rFonts w:ascii="Times New Roman" w:eastAsia="Times New Roman" w:hAnsi="Times New Roman" w:cs="Times New Roman"/>
          <w:color w:val="0F1115"/>
          <w:sz w:val="24"/>
          <w:szCs w:val="24"/>
        </w:rPr>
        <w:t>Kanyinga</w:t>
      </w:r>
      <w:proofErr w:type="spellEnd"/>
      <w:r w:rsidRPr="00A44D24">
        <w:rPr>
          <w:rFonts w:ascii="Times New Roman" w:eastAsia="Times New Roman" w:hAnsi="Times New Roman" w:cs="Times New Roman"/>
          <w:color w:val="0F1115"/>
          <w:sz w:val="24"/>
          <w:szCs w:val="24"/>
        </w:rPr>
        <w:t>, 2022). The 2021 transition from PF to UPND saw a sharp reversal of agricultural subsidy programmes. Policy whiplash is not a hypothetical hazard; it is the modal outcome of term</w:t>
      </w:r>
      <w:r w:rsidRPr="00A44D24">
        <w:rPr>
          <w:rFonts w:ascii="Times New Roman" w:eastAsia="Times New Roman" w:hAnsi="Times New Roman" w:cs="Times New Roman"/>
          <w:color w:val="0F1115"/>
          <w:sz w:val="24"/>
          <w:szCs w:val="24"/>
        </w:rPr>
        <w:noBreakHyphen/>
        <w:t xml:space="preserve">limited transitions in weakly </w:t>
      </w:r>
      <w:proofErr w:type="spellStart"/>
      <w:r w:rsidRPr="00A44D24">
        <w:rPr>
          <w:rFonts w:ascii="Times New Roman" w:eastAsia="Times New Roman" w:hAnsi="Times New Roman" w:cs="Times New Roman"/>
          <w:color w:val="0F1115"/>
          <w:sz w:val="24"/>
          <w:szCs w:val="24"/>
        </w:rPr>
        <w:t>institutionalised</w:t>
      </w:r>
      <w:proofErr w:type="spellEnd"/>
      <w:r w:rsidRPr="00A44D24">
        <w:rPr>
          <w:rFonts w:ascii="Times New Roman" w:eastAsia="Times New Roman" w:hAnsi="Times New Roman" w:cs="Times New Roman"/>
          <w:color w:val="0F1115"/>
          <w:sz w:val="24"/>
          <w:szCs w:val="24"/>
        </w:rPr>
        <w:t xml:space="preserve"> democracies. A constitutional mechanism that allows a proven president to continue prevents this whiplash.</w:t>
      </w:r>
    </w:p>
    <w:p w14:paraId="2329973B"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Normative conclusion:</w:t>
      </w:r>
      <w:r w:rsidRPr="00A44D24">
        <w:rPr>
          <w:rFonts w:ascii="Times New Roman" w:eastAsia="Times New Roman" w:hAnsi="Times New Roman" w:cs="Times New Roman"/>
          <w:color w:val="0F1115"/>
          <w:sz w:val="24"/>
          <w:szCs w:val="24"/>
        </w:rPr>
        <w:t xml:space="preserve"> A developing country’s constitution should </w:t>
      </w:r>
      <w:proofErr w:type="spellStart"/>
      <w:r w:rsidRPr="00A44D24">
        <w:rPr>
          <w:rFonts w:ascii="Times New Roman" w:eastAsia="Times New Roman" w:hAnsi="Times New Roman" w:cs="Times New Roman"/>
          <w:color w:val="0F1115"/>
          <w:sz w:val="24"/>
          <w:szCs w:val="24"/>
        </w:rPr>
        <w:t>prioritise</w:t>
      </w:r>
      <w:proofErr w:type="spellEnd"/>
      <w:r w:rsidRPr="00A44D24">
        <w:rPr>
          <w:rFonts w:ascii="Times New Roman" w:eastAsia="Times New Roman" w:hAnsi="Times New Roman" w:cs="Times New Roman"/>
          <w:color w:val="0F1115"/>
          <w:sz w:val="24"/>
          <w:szCs w:val="24"/>
        </w:rPr>
        <w:t> </w:t>
      </w:r>
      <w:r w:rsidRPr="00A44D24">
        <w:rPr>
          <w:rFonts w:ascii="Times New Roman" w:eastAsia="Times New Roman" w:hAnsi="Times New Roman" w:cs="Times New Roman"/>
          <w:b/>
          <w:bCs/>
          <w:color w:val="0F1115"/>
          <w:sz w:val="24"/>
          <w:szCs w:val="24"/>
        </w:rPr>
        <w:t>output legitimacy</w:t>
      </w:r>
      <w:r w:rsidRPr="00A44D24">
        <w:rPr>
          <w:rFonts w:ascii="Times New Roman" w:eastAsia="Times New Roman" w:hAnsi="Times New Roman" w:cs="Times New Roman"/>
          <w:color w:val="0F1115"/>
          <w:sz w:val="24"/>
          <w:szCs w:val="24"/>
        </w:rPr>
        <w:t> (tangible delivery of poverty reduction, infrastructure, and growth) over purely procedural rotation (Lee, 2000). The Asian Tigers’ experience demonstrates that these two goals can be reconciled if the extension mechanism is narrow, transparent, and heavily constrained.</w:t>
      </w:r>
    </w:p>
    <w:p w14:paraId="522AE601" w14:textId="7777777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7.0 Acknowledging the Empirical Case for Term Limits</w:t>
      </w:r>
    </w:p>
    <w:p w14:paraId="52C6861C"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No proposal to extend presidential tenure is intellectually credible without engaging the substantial body of evidence showing that term limits can improve governance. Several rigorous studies have documented benefits that must be weighed against the costs outlined above.</w:t>
      </w:r>
    </w:p>
    <w:p w14:paraId="2513C088"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A44D24">
        <w:rPr>
          <w:rFonts w:ascii="Times New Roman" w:eastAsia="Times New Roman" w:hAnsi="Times New Roman" w:cs="Times New Roman"/>
          <w:b/>
          <w:bCs/>
          <w:color w:val="0F1115"/>
          <w:sz w:val="24"/>
          <w:szCs w:val="24"/>
        </w:rPr>
        <w:t>Besley</w:t>
      </w:r>
      <w:proofErr w:type="spellEnd"/>
      <w:r w:rsidRPr="00A44D24">
        <w:rPr>
          <w:rFonts w:ascii="Times New Roman" w:eastAsia="Times New Roman" w:hAnsi="Times New Roman" w:cs="Times New Roman"/>
          <w:b/>
          <w:bCs/>
          <w:color w:val="0F1115"/>
          <w:sz w:val="24"/>
          <w:szCs w:val="24"/>
        </w:rPr>
        <w:t xml:space="preserve"> and </w:t>
      </w:r>
      <w:proofErr w:type="spellStart"/>
      <w:r w:rsidRPr="00A44D24">
        <w:rPr>
          <w:rFonts w:ascii="Times New Roman" w:eastAsia="Times New Roman" w:hAnsi="Times New Roman" w:cs="Times New Roman"/>
          <w:b/>
          <w:bCs/>
          <w:color w:val="0F1115"/>
          <w:sz w:val="24"/>
          <w:szCs w:val="24"/>
        </w:rPr>
        <w:t>Reynal</w:t>
      </w:r>
      <w:proofErr w:type="spellEnd"/>
      <w:r w:rsidRPr="00A44D24">
        <w:rPr>
          <w:rFonts w:ascii="Times New Roman" w:eastAsia="Times New Roman" w:hAnsi="Times New Roman" w:cs="Times New Roman"/>
          <w:b/>
          <w:bCs/>
          <w:color w:val="0F1115"/>
          <w:sz w:val="24"/>
          <w:szCs w:val="24"/>
        </w:rPr>
        <w:noBreakHyphen/>
        <w:t>Querol (2011)</w:t>
      </w:r>
      <w:r w:rsidRPr="00A44D24">
        <w:rPr>
          <w:rFonts w:ascii="Times New Roman" w:eastAsia="Times New Roman" w:hAnsi="Times New Roman" w:cs="Times New Roman"/>
          <w:color w:val="0F1115"/>
          <w:sz w:val="24"/>
          <w:szCs w:val="24"/>
        </w:rPr>
        <w:t> </w:t>
      </w:r>
      <w:proofErr w:type="spellStart"/>
      <w:r w:rsidRPr="00A44D24">
        <w:rPr>
          <w:rFonts w:ascii="Times New Roman" w:eastAsia="Times New Roman" w:hAnsi="Times New Roman" w:cs="Times New Roman"/>
          <w:color w:val="0F1115"/>
          <w:sz w:val="24"/>
          <w:szCs w:val="24"/>
        </w:rPr>
        <w:t>analysed</w:t>
      </w:r>
      <w:proofErr w:type="spellEnd"/>
      <w:r w:rsidRPr="00A44D24">
        <w:rPr>
          <w:rFonts w:ascii="Times New Roman" w:eastAsia="Times New Roman" w:hAnsi="Times New Roman" w:cs="Times New Roman"/>
          <w:color w:val="0F1115"/>
          <w:sz w:val="24"/>
          <w:szCs w:val="24"/>
        </w:rPr>
        <w:t xml:space="preserve"> 130 countries over 50 years and found that political leaders subject to re</w:t>
      </w:r>
      <w:r w:rsidRPr="00A44D24">
        <w:rPr>
          <w:rFonts w:ascii="Times New Roman" w:eastAsia="Times New Roman" w:hAnsi="Times New Roman" w:cs="Times New Roman"/>
          <w:color w:val="0F1115"/>
          <w:sz w:val="24"/>
          <w:szCs w:val="24"/>
        </w:rPr>
        <w:noBreakHyphen/>
        <w:t xml:space="preserve">election constraints (including term limits) have lower levels of corruption and better fiscal outcomes. Their instrumental variables approach suggests that term limits reduce the risk of predatory </w:t>
      </w:r>
      <w:proofErr w:type="spellStart"/>
      <w:r w:rsidRPr="00A44D24">
        <w:rPr>
          <w:rFonts w:ascii="Times New Roman" w:eastAsia="Times New Roman" w:hAnsi="Times New Roman" w:cs="Times New Roman"/>
          <w:color w:val="0F1115"/>
          <w:sz w:val="24"/>
          <w:szCs w:val="24"/>
        </w:rPr>
        <w:t>behaviour</w:t>
      </w:r>
      <w:proofErr w:type="spellEnd"/>
      <w:r w:rsidRPr="00A44D24">
        <w:rPr>
          <w:rFonts w:ascii="Times New Roman" w:eastAsia="Times New Roman" w:hAnsi="Times New Roman" w:cs="Times New Roman"/>
          <w:color w:val="0F1115"/>
          <w:sz w:val="24"/>
          <w:szCs w:val="24"/>
        </w:rPr>
        <w:t xml:space="preserve"> by incumbents. They argue that the mere possibility of indefinite re</w:t>
      </w:r>
      <w:r w:rsidRPr="00A44D24">
        <w:rPr>
          <w:rFonts w:ascii="Times New Roman" w:eastAsia="Times New Roman" w:hAnsi="Times New Roman" w:cs="Times New Roman"/>
          <w:color w:val="0F1115"/>
          <w:sz w:val="24"/>
          <w:szCs w:val="24"/>
        </w:rPr>
        <w:noBreakHyphen/>
        <w:t>election encourages rent</w:t>
      </w:r>
      <w:r w:rsidRPr="00A44D24">
        <w:rPr>
          <w:rFonts w:ascii="Times New Roman" w:eastAsia="Times New Roman" w:hAnsi="Times New Roman" w:cs="Times New Roman"/>
          <w:color w:val="0F1115"/>
          <w:sz w:val="24"/>
          <w:szCs w:val="24"/>
        </w:rPr>
        <w:noBreakHyphen/>
        <w:t xml:space="preserve">seeking, as leaders can promise future </w:t>
      </w:r>
      <w:proofErr w:type="spellStart"/>
      <w:r w:rsidRPr="00A44D24">
        <w:rPr>
          <w:rFonts w:ascii="Times New Roman" w:eastAsia="Times New Roman" w:hAnsi="Times New Roman" w:cs="Times New Roman"/>
          <w:color w:val="0F1115"/>
          <w:sz w:val="24"/>
          <w:szCs w:val="24"/>
        </w:rPr>
        <w:t>favours</w:t>
      </w:r>
      <w:proofErr w:type="spellEnd"/>
      <w:r w:rsidRPr="00A44D24">
        <w:rPr>
          <w:rFonts w:ascii="Times New Roman" w:eastAsia="Times New Roman" w:hAnsi="Times New Roman" w:cs="Times New Roman"/>
          <w:color w:val="0F1115"/>
          <w:sz w:val="24"/>
          <w:szCs w:val="24"/>
        </w:rPr>
        <w:t xml:space="preserve"> to narrow constituencies.</w:t>
      </w:r>
    </w:p>
    <w:p w14:paraId="01CDEB84"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 xml:space="preserve">Acemoglu, Robinson and </w:t>
      </w:r>
      <w:proofErr w:type="spellStart"/>
      <w:r w:rsidRPr="00A44D24">
        <w:rPr>
          <w:rFonts w:ascii="Times New Roman" w:eastAsia="Times New Roman" w:hAnsi="Times New Roman" w:cs="Times New Roman"/>
          <w:b/>
          <w:bCs/>
          <w:color w:val="0F1115"/>
          <w:sz w:val="24"/>
          <w:szCs w:val="24"/>
        </w:rPr>
        <w:t>Torvik</w:t>
      </w:r>
      <w:proofErr w:type="spellEnd"/>
      <w:r w:rsidRPr="00A44D24">
        <w:rPr>
          <w:rFonts w:ascii="Times New Roman" w:eastAsia="Times New Roman" w:hAnsi="Times New Roman" w:cs="Times New Roman"/>
          <w:b/>
          <w:bCs/>
          <w:color w:val="0F1115"/>
          <w:sz w:val="24"/>
          <w:szCs w:val="24"/>
        </w:rPr>
        <w:t xml:space="preserve"> (2013)</w:t>
      </w:r>
      <w:r w:rsidRPr="00A44D24">
        <w:rPr>
          <w:rFonts w:ascii="Times New Roman" w:eastAsia="Times New Roman" w:hAnsi="Times New Roman" w:cs="Times New Roman"/>
          <w:color w:val="0F1115"/>
          <w:sz w:val="24"/>
          <w:szCs w:val="24"/>
        </w:rPr>
        <w:t xml:space="preserve"> modelled term limits as a commitment device that prevents incumbents from manipulating electoral rules to stay in power. They show that term limits are particularly valuable in weakly </w:t>
      </w:r>
      <w:proofErr w:type="spellStart"/>
      <w:r w:rsidRPr="00A44D24">
        <w:rPr>
          <w:rFonts w:ascii="Times New Roman" w:eastAsia="Times New Roman" w:hAnsi="Times New Roman" w:cs="Times New Roman"/>
          <w:color w:val="0F1115"/>
          <w:sz w:val="24"/>
          <w:szCs w:val="24"/>
        </w:rPr>
        <w:t>institutionalised</w:t>
      </w:r>
      <w:proofErr w:type="spellEnd"/>
      <w:r w:rsidRPr="00A44D24">
        <w:rPr>
          <w:rFonts w:ascii="Times New Roman" w:eastAsia="Times New Roman" w:hAnsi="Times New Roman" w:cs="Times New Roman"/>
          <w:color w:val="0F1115"/>
          <w:sz w:val="24"/>
          <w:szCs w:val="24"/>
        </w:rPr>
        <w:t xml:space="preserve"> democracies where checks on executive power are otherwise fragile. Without term limits, incumbents can use state resources to tilt the playing field, gradually eroding democratic competition.</w:t>
      </w:r>
    </w:p>
    <w:p w14:paraId="53D0CCB7" w14:textId="63D5061A"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Gonzales</w:t>
      </w:r>
      <w:r w:rsidRPr="00A44D24">
        <w:rPr>
          <w:rFonts w:ascii="Times New Roman" w:eastAsia="Times New Roman" w:hAnsi="Times New Roman" w:cs="Times New Roman"/>
          <w:b/>
          <w:bCs/>
          <w:color w:val="0F1115"/>
          <w:sz w:val="24"/>
          <w:szCs w:val="24"/>
        </w:rPr>
        <w:noBreakHyphen/>
      </w:r>
      <w:proofErr w:type="spellStart"/>
      <w:r w:rsidRPr="00A44D24">
        <w:rPr>
          <w:rFonts w:ascii="Times New Roman" w:eastAsia="Times New Roman" w:hAnsi="Times New Roman" w:cs="Times New Roman"/>
          <w:b/>
          <w:bCs/>
          <w:color w:val="0F1115"/>
          <w:sz w:val="24"/>
          <w:szCs w:val="24"/>
        </w:rPr>
        <w:t>Ocantos</w:t>
      </w:r>
      <w:proofErr w:type="spellEnd"/>
      <w:r w:rsidRPr="00A44D24">
        <w:rPr>
          <w:rFonts w:ascii="Times New Roman" w:eastAsia="Times New Roman" w:hAnsi="Times New Roman" w:cs="Times New Roman"/>
          <w:b/>
          <w:bCs/>
          <w:color w:val="0F1115"/>
          <w:sz w:val="24"/>
          <w:szCs w:val="24"/>
        </w:rPr>
        <w:t xml:space="preserve"> and </w:t>
      </w:r>
      <w:proofErr w:type="spellStart"/>
      <w:r w:rsidRPr="00A44D24">
        <w:rPr>
          <w:rFonts w:ascii="Times New Roman" w:eastAsia="Times New Roman" w:hAnsi="Times New Roman" w:cs="Times New Roman"/>
          <w:b/>
          <w:bCs/>
          <w:color w:val="0F1115"/>
          <w:sz w:val="24"/>
          <w:szCs w:val="24"/>
        </w:rPr>
        <w:t>Kiewiet</w:t>
      </w:r>
      <w:proofErr w:type="spellEnd"/>
      <w:r w:rsidRPr="00A44D24">
        <w:rPr>
          <w:rFonts w:ascii="Times New Roman" w:eastAsia="Times New Roman" w:hAnsi="Times New Roman" w:cs="Times New Roman"/>
          <w:b/>
          <w:bCs/>
          <w:color w:val="0F1115"/>
          <w:sz w:val="24"/>
          <w:szCs w:val="24"/>
        </w:rPr>
        <w:t xml:space="preserve"> (2019)</w:t>
      </w:r>
      <w:r w:rsidRPr="00A44D24">
        <w:rPr>
          <w:rFonts w:ascii="Times New Roman" w:eastAsia="Times New Roman" w:hAnsi="Times New Roman" w:cs="Times New Roman"/>
          <w:color w:val="0F1115"/>
          <w:sz w:val="24"/>
          <w:szCs w:val="24"/>
        </w:rPr>
        <w:t xml:space="preserve">, focusing on Latin American subnational governments, found that governors subject to term limits invest more in public goods and engage in less clientelism, because they cannot credibly promise future </w:t>
      </w:r>
      <w:proofErr w:type="spellStart"/>
      <w:r w:rsidRPr="00A44D24">
        <w:rPr>
          <w:rFonts w:ascii="Times New Roman" w:eastAsia="Times New Roman" w:hAnsi="Times New Roman" w:cs="Times New Roman"/>
          <w:color w:val="0F1115"/>
          <w:sz w:val="24"/>
          <w:szCs w:val="24"/>
        </w:rPr>
        <w:t>favours</w:t>
      </w:r>
      <w:proofErr w:type="spellEnd"/>
      <w:r w:rsidRPr="00A44D24">
        <w:rPr>
          <w:rFonts w:ascii="Times New Roman" w:eastAsia="Times New Roman" w:hAnsi="Times New Roman" w:cs="Times New Roman"/>
          <w:color w:val="0F1115"/>
          <w:sz w:val="24"/>
          <w:szCs w:val="24"/>
        </w:rPr>
        <w:t xml:space="preserve"> to narrow supporters. Their difference</w:t>
      </w:r>
      <w:r w:rsidRPr="00A44D24">
        <w:rPr>
          <w:rFonts w:ascii="Times New Roman" w:eastAsia="Times New Roman" w:hAnsi="Times New Roman" w:cs="Times New Roman"/>
          <w:color w:val="0F1115"/>
          <w:sz w:val="24"/>
          <w:szCs w:val="24"/>
        </w:rPr>
        <w:noBreakHyphen/>
        <w:t>in</w:t>
      </w:r>
      <w:r w:rsidRPr="00A44D24">
        <w:rPr>
          <w:rFonts w:ascii="Times New Roman" w:eastAsia="Times New Roman" w:hAnsi="Times New Roman" w:cs="Times New Roman"/>
          <w:color w:val="0F1115"/>
          <w:sz w:val="24"/>
          <w:szCs w:val="24"/>
        </w:rPr>
        <w:noBreakHyphen/>
        <w:t>differences design provides strong causal evidence.</w:t>
      </w:r>
    </w:p>
    <w:p w14:paraId="0C4A774E"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These findings cannot be dismissed. Zambia itself experienced two near</w:t>
      </w:r>
      <w:r w:rsidRPr="00A44D24">
        <w:rPr>
          <w:rFonts w:ascii="Times New Roman" w:eastAsia="Times New Roman" w:hAnsi="Times New Roman" w:cs="Times New Roman"/>
          <w:color w:val="0F1115"/>
          <w:sz w:val="24"/>
          <w:szCs w:val="24"/>
        </w:rPr>
        <w:noBreakHyphen/>
        <w:t>miss attempts at third</w:t>
      </w:r>
      <w:r w:rsidRPr="00A44D24">
        <w:rPr>
          <w:rFonts w:ascii="Times New Roman" w:eastAsia="Times New Roman" w:hAnsi="Times New Roman" w:cs="Times New Roman"/>
          <w:color w:val="0F1115"/>
          <w:sz w:val="24"/>
          <w:szCs w:val="24"/>
        </w:rPr>
        <w:noBreakHyphen/>
        <w:t>term extensions (Chiluba in 2001, Banda in 2011), both blocked by civil society using the existing constitutional two</w:t>
      </w:r>
      <w:r w:rsidRPr="00A44D24">
        <w:rPr>
          <w:rFonts w:ascii="Times New Roman" w:eastAsia="Times New Roman" w:hAnsi="Times New Roman" w:cs="Times New Roman"/>
          <w:color w:val="0F1115"/>
          <w:sz w:val="24"/>
          <w:szCs w:val="24"/>
        </w:rPr>
        <w:noBreakHyphen/>
        <w:t>term rule (Mbao, 2015). The presence of Article 106(3) has undoubtedly constrained executive overreach.</w:t>
      </w:r>
    </w:p>
    <w:p w14:paraId="1FCFA841" w14:textId="7F27A804" w:rsidR="00395CEE" w:rsidRPr="00A44D24" w:rsidRDefault="00395CEE" w:rsidP="00A44D24">
      <w:pPr>
        <w:shd w:val="clear" w:color="auto" w:fill="FFFFFF"/>
        <w:spacing w:before="240" w:after="240" w:line="276" w:lineRule="auto"/>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 xml:space="preserve">How the proposed mechanism </w:t>
      </w:r>
      <w:proofErr w:type="spellStart"/>
      <w:r w:rsidRPr="00A44D24">
        <w:rPr>
          <w:rFonts w:ascii="Times New Roman" w:eastAsia="Times New Roman" w:hAnsi="Times New Roman" w:cs="Times New Roman"/>
          <w:b/>
          <w:bCs/>
          <w:color w:val="0F1115"/>
          <w:sz w:val="24"/>
          <w:szCs w:val="24"/>
        </w:rPr>
        <w:t>internalises</w:t>
      </w:r>
      <w:proofErr w:type="spellEnd"/>
      <w:r w:rsidRPr="00A44D24">
        <w:rPr>
          <w:rFonts w:ascii="Times New Roman" w:eastAsia="Times New Roman" w:hAnsi="Times New Roman" w:cs="Times New Roman"/>
          <w:b/>
          <w:bCs/>
          <w:color w:val="0F1115"/>
          <w:sz w:val="24"/>
          <w:szCs w:val="24"/>
        </w:rPr>
        <w:t xml:space="preserve"> this evidence:</w:t>
      </w:r>
      <w:r w:rsidR="00E6759C" w:rsidRPr="00A44D24">
        <w:rPr>
          <w:rFonts w:ascii="Times New Roman" w:eastAsia="Times New Roman" w:hAnsi="Times New Roman" w:cs="Times New Roman"/>
          <w:color w:val="0F1115"/>
          <w:sz w:val="24"/>
          <w:szCs w:val="24"/>
        </w:rPr>
        <w:t xml:space="preserve"> </w:t>
      </w:r>
      <w:r w:rsidRPr="00A44D24">
        <w:rPr>
          <w:rFonts w:ascii="Times New Roman" w:eastAsia="Times New Roman" w:hAnsi="Times New Roman" w:cs="Times New Roman"/>
          <w:color w:val="0F1115"/>
          <w:sz w:val="24"/>
          <w:szCs w:val="24"/>
        </w:rPr>
        <w:t>The performance</w:t>
      </w:r>
      <w:r w:rsidRPr="00A44D24">
        <w:rPr>
          <w:rFonts w:ascii="Times New Roman" w:eastAsia="Times New Roman" w:hAnsi="Times New Roman" w:cs="Times New Roman"/>
          <w:color w:val="0F1115"/>
          <w:sz w:val="24"/>
          <w:szCs w:val="24"/>
        </w:rPr>
        <w:noBreakHyphen/>
        <w:t>based extension proposed in Section 9 is </w:t>
      </w:r>
      <w:r w:rsidRPr="00A44D24">
        <w:rPr>
          <w:rFonts w:ascii="Times New Roman" w:eastAsia="Times New Roman" w:hAnsi="Times New Roman" w:cs="Times New Roman"/>
          <w:i/>
          <w:iCs/>
          <w:color w:val="0F1115"/>
          <w:sz w:val="24"/>
          <w:szCs w:val="24"/>
        </w:rPr>
        <w:t>not</w:t>
      </w:r>
      <w:r w:rsidRPr="00A44D24">
        <w:rPr>
          <w:rFonts w:ascii="Times New Roman" w:eastAsia="Times New Roman" w:hAnsi="Times New Roman" w:cs="Times New Roman"/>
          <w:color w:val="0F1115"/>
          <w:sz w:val="24"/>
          <w:szCs w:val="24"/>
        </w:rPr>
        <w:t> a repeal of term limits but a narrow, high</w:t>
      </w:r>
      <w:r w:rsidRPr="00A44D24">
        <w:rPr>
          <w:rFonts w:ascii="Times New Roman" w:eastAsia="Times New Roman" w:hAnsi="Times New Roman" w:cs="Times New Roman"/>
          <w:color w:val="0F1115"/>
          <w:sz w:val="24"/>
          <w:szCs w:val="24"/>
        </w:rPr>
        <w:noBreakHyphen/>
        <w:t xml:space="preserve">threshold exception. Four features directly respond to the concerns raised by </w:t>
      </w:r>
      <w:proofErr w:type="spellStart"/>
      <w:r w:rsidRPr="00A44D24">
        <w:rPr>
          <w:rFonts w:ascii="Times New Roman" w:eastAsia="Times New Roman" w:hAnsi="Times New Roman" w:cs="Times New Roman"/>
          <w:color w:val="0F1115"/>
          <w:sz w:val="24"/>
          <w:szCs w:val="24"/>
        </w:rPr>
        <w:t>Besley</w:t>
      </w:r>
      <w:proofErr w:type="spellEnd"/>
      <w:r w:rsidRPr="00A44D24">
        <w:rPr>
          <w:rFonts w:ascii="Times New Roman" w:eastAsia="Times New Roman" w:hAnsi="Times New Roman" w:cs="Times New Roman"/>
          <w:color w:val="0F1115"/>
          <w:sz w:val="24"/>
          <w:szCs w:val="24"/>
        </w:rPr>
        <w:t xml:space="preserve"> et al.:</w:t>
      </w:r>
    </w:p>
    <w:p w14:paraId="7C7692F0" w14:textId="12A272C0" w:rsidR="00395CEE" w:rsidRPr="00A44D24" w:rsidRDefault="00395CEE" w:rsidP="00A44D24">
      <w:pPr>
        <w:pStyle w:val="ListParagraph"/>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Super</w:t>
      </w:r>
      <w:r w:rsidRPr="00A44D24">
        <w:rPr>
          <w:rFonts w:ascii="Times New Roman" w:eastAsia="Times New Roman" w:hAnsi="Times New Roman" w:cs="Times New Roman"/>
          <w:b/>
          <w:bCs/>
          <w:color w:val="0F1115"/>
          <w:sz w:val="24"/>
          <w:szCs w:val="24"/>
        </w:rPr>
        <w:noBreakHyphen/>
        <w:t>majority parliamentary approval (≥2/3)</w:t>
      </w:r>
      <w:r w:rsidR="00DC36F6" w:rsidRPr="00A44D24">
        <w:rPr>
          <w:rFonts w:ascii="Times New Roman" w:eastAsia="Times New Roman" w:hAnsi="Times New Roman" w:cs="Times New Roman"/>
          <w:b/>
          <w:bCs/>
          <w:color w:val="0F1115"/>
          <w:sz w:val="24"/>
          <w:szCs w:val="24"/>
        </w:rPr>
        <w:t>:</w:t>
      </w:r>
      <w:r w:rsidRPr="00A44D24">
        <w:rPr>
          <w:rFonts w:ascii="Times New Roman" w:eastAsia="Times New Roman" w:hAnsi="Times New Roman" w:cs="Times New Roman"/>
          <w:color w:val="0F1115"/>
          <w:sz w:val="24"/>
          <w:szCs w:val="24"/>
        </w:rPr>
        <w:t xml:space="preserve"> higher than the majority needed for ordinary legislation, ensuring that the extension reflects broad cross</w:t>
      </w:r>
      <w:r w:rsidRPr="00A44D24">
        <w:rPr>
          <w:rFonts w:ascii="Times New Roman" w:eastAsia="Times New Roman" w:hAnsi="Times New Roman" w:cs="Times New Roman"/>
          <w:color w:val="0F1115"/>
          <w:sz w:val="24"/>
          <w:szCs w:val="24"/>
        </w:rPr>
        <w:noBreakHyphen/>
        <w:t>party consensus, not incumbent capture.</w:t>
      </w:r>
    </w:p>
    <w:p w14:paraId="6BEFEC68" w14:textId="6C624FF6" w:rsidR="00395CEE" w:rsidRPr="00A44D24" w:rsidRDefault="00395CEE" w:rsidP="00A44D24">
      <w:pPr>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National referendum with 50% turnout</w:t>
      </w:r>
      <w:r w:rsidR="00DC36F6"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direct popular veto, which has blocked all previous third</w:t>
      </w:r>
      <w:r w:rsidRPr="00A44D24">
        <w:rPr>
          <w:rFonts w:ascii="Times New Roman" w:eastAsia="Times New Roman" w:hAnsi="Times New Roman" w:cs="Times New Roman"/>
          <w:color w:val="0F1115"/>
          <w:sz w:val="24"/>
          <w:szCs w:val="24"/>
        </w:rPr>
        <w:noBreakHyphen/>
        <w:t>term attempts in Zambia (1996, 2001, 2011).</w:t>
      </w:r>
    </w:p>
    <w:p w14:paraId="6E4D4F49" w14:textId="63B122A3" w:rsidR="00395CEE" w:rsidRPr="00A44D24" w:rsidRDefault="00395CEE" w:rsidP="00A44D24">
      <w:pPr>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Objective performance criteria</w:t>
      </w:r>
      <w:r w:rsidR="00DC36F6"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not a subjective popularity test, but verifiable data (GDP growth, CPI scores, infrastructure completion). </w:t>
      </w:r>
      <w:proofErr w:type="spellStart"/>
      <w:r w:rsidRPr="00A44D24">
        <w:rPr>
          <w:rFonts w:ascii="Times New Roman" w:eastAsia="Times New Roman" w:hAnsi="Times New Roman" w:cs="Times New Roman"/>
          <w:color w:val="0F1115"/>
          <w:sz w:val="24"/>
          <w:szCs w:val="24"/>
        </w:rPr>
        <w:t>Besley</w:t>
      </w:r>
      <w:proofErr w:type="spellEnd"/>
      <w:r w:rsidRPr="00A44D24">
        <w:rPr>
          <w:rFonts w:ascii="Times New Roman" w:eastAsia="Times New Roman" w:hAnsi="Times New Roman" w:cs="Times New Roman"/>
          <w:color w:val="0F1115"/>
          <w:sz w:val="24"/>
          <w:szCs w:val="24"/>
        </w:rPr>
        <w:t xml:space="preserve"> and </w:t>
      </w:r>
      <w:proofErr w:type="spellStart"/>
      <w:r w:rsidRPr="00A44D24">
        <w:rPr>
          <w:rFonts w:ascii="Times New Roman" w:eastAsia="Times New Roman" w:hAnsi="Times New Roman" w:cs="Times New Roman"/>
          <w:color w:val="0F1115"/>
          <w:sz w:val="24"/>
          <w:szCs w:val="24"/>
        </w:rPr>
        <w:t>Reynal</w:t>
      </w:r>
      <w:proofErr w:type="spellEnd"/>
      <w:r w:rsidRPr="00A44D24">
        <w:rPr>
          <w:rFonts w:ascii="Times New Roman" w:eastAsia="Times New Roman" w:hAnsi="Times New Roman" w:cs="Times New Roman"/>
          <w:color w:val="0F1115"/>
          <w:sz w:val="24"/>
          <w:szCs w:val="24"/>
        </w:rPr>
        <w:noBreakHyphen/>
        <w:t>Querol (2011, p. 28) note that </w:t>
      </w:r>
      <w:r w:rsidRPr="00A44D24">
        <w:rPr>
          <w:rFonts w:ascii="Times New Roman" w:eastAsia="Times New Roman" w:hAnsi="Times New Roman" w:cs="Times New Roman"/>
          <w:i/>
          <w:iCs/>
          <w:color w:val="0F1115"/>
          <w:sz w:val="24"/>
          <w:szCs w:val="24"/>
        </w:rPr>
        <w:t>“rules</w:t>
      </w:r>
      <w:r w:rsidRPr="00A44D24">
        <w:rPr>
          <w:rFonts w:ascii="Times New Roman" w:eastAsia="Times New Roman" w:hAnsi="Times New Roman" w:cs="Times New Roman"/>
          <w:i/>
          <w:iCs/>
          <w:color w:val="0F1115"/>
          <w:sz w:val="24"/>
          <w:szCs w:val="24"/>
        </w:rPr>
        <w:noBreakHyphen/>
        <w:t>based, transparent exceptions for exceptional performance could be welfare</w:t>
      </w:r>
      <w:r w:rsidRPr="00A44D24">
        <w:rPr>
          <w:rFonts w:ascii="Times New Roman" w:eastAsia="Times New Roman" w:hAnsi="Times New Roman" w:cs="Times New Roman"/>
          <w:i/>
          <w:iCs/>
          <w:color w:val="0F1115"/>
          <w:sz w:val="24"/>
          <w:szCs w:val="24"/>
        </w:rPr>
        <w:noBreakHyphen/>
        <w:t>improving, provided they are not easily manipulated.”</w:t>
      </w:r>
    </w:p>
    <w:p w14:paraId="26E786F4" w14:textId="4CE7D6C7" w:rsidR="00395CEE" w:rsidRPr="00A44D24" w:rsidRDefault="00395CEE" w:rsidP="00A44D24">
      <w:pPr>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Non</w:t>
      </w:r>
      <w:r w:rsidRPr="00A44D24">
        <w:rPr>
          <w:rFonts w:ascii="Times New Roman" w:eastAsia="Times New Roman" w:hAnsi="Times New Roman" w:cs="Times New Roman"/>
          <w:b/>
          <w:bCs/>
          <w:color w:val="0F1115"/>
          <w:sz w:val="24"/>
          <w:szCs w:val="24"/>
        </w:rPr>
        <w:noBreakHyphen/>
        <w:t>renewability</w:t>
      </w:r>
      <w:r w:rsidR="00DC36F6" w:rsidRPr="00A44D24">
        <w:rPr>
          <w:rFonts w:ascii="Times New Roman" w:eastAsia="Times New Roman" w:hAnsi="Times New Roman" w:cs="Times New Roman"/>
          <w:color w:val="0F1115"/>
          <w:sz w:val="24"/>
          <w:szCs w:val="24"/>
        </w:rPr>
        <w:t xml:space="preserve">: </w:t>
      </w:r>
      <w:r w:rsidRPr="00A44D24">
        <w:rPr>
          <w:rFonts w:ascii="Times New Roman" w:eastAsia="Times New Roman" w:hAnsi="Times New Roman" w:cs="Times New Roman"/>
          <w:color w:val="0F1115"/>
          <w:sz w:val="24"/>
          <w:szCs w:val="24"/>
        </w:rPr>
        <w:t>the third term is a one</w:t>
      </w:r>
      <w:r w:rsidRPr="00A44D24">
        <w:rPr>
          <w:rFonts w:ascii="Times New Roman" w:eastAsia="Times New Roman" w:hAnsi="Times New Roman" w:cs="Times New Roman"/>
          <w:color w:val="0F1115"/>
          <w:sz w:val="24"/>
          <w:szCs w:val="24"/>
        </w:rPr>
        <w:noBreakHyphen/>
        <w:t>time bridge, not an open door to lifelong rule. This limits the accountability costs identified by Acemoglu et al. (2013).</w:t>
      </w:r>
    </w:p>
    <w:p w14:paraId="1B30F39E"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Thus, the proposed mechanism is </w:t>
      </w:r>
      <w:r w:rsidRPr="00A44D24">
        <w:rPr>
          <w:rFonts w:ascii="Times New Roman" w:eastAsia="Times New Roman" w:hAnsi="Times New Roman" w:cs="Times New Roman"/>
          <w:i/>
          <w:iCs/>
          <w:color w:val="0F1115"/>
          <w:sz w:val="24"/>
          <w:szCs w:val="24"/>
        </w:rPr>
        <w:t>conditional</w:t>
      </w:r>
      <w:r w:rsidRPr="00A44D24">
        <w:rPr>
          <w:rFonts w:ascii="Times New Roman" w:eastAsia="Times New Roman" w:hAnsi="Times New Roman" w:cs="Times New Roman"/>
          <w:color w:val="0F1115"/>
          <w:sz w:val="24"/>
          <w:szCs w:val="24"/>
        </w:rPr>
        <w:t> term limit relaxation, not unconditional removal. It seeks to capture the developmental benefits of extended tenure while preserving the anti</w:t>
      </w:r>
      <w:r w:rsidRPr="00A44D24">
        <w:rPr>
          <w:rFonts w:ascii="Times New Roman" w:eastAsia="Times New Roman" w:hAnsi="Times New Roman" w:cs="Times New Roman"/>
          <w:color w:val="0F1115"/>
          <w:sz w:val="24"/>
          <w:szCs w:val="24"/>
        </w:rPr>
        <w:noBreakHyphen/>
        <w:t>corruption and democratic safeguards that term limits provide.</w:t>
      </w:r>
    </w:p>
    <w:p w14:paraId="53F9AA3E" w14:textId="7777777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8.0 A Constitutional Mechanism for Performance</w:t>
      </w:r>
      <w:r w:rsidRPr="00A44D24">
        <w:rPr>
          <w:rFonts w:ascii="Times New Roman" w:eastAsia="Times New Roman" w:hAnsi="Times New Roman" w:cs="Times New Roman"/>
          <w:b/>
          <w:bCs/>
          <w:color w:val="0F1115"/>
          <w:sz w:val="24"/>
          <w:szCs w:val="24"/>
        </w:rPr>
        <w:noBreakHyphen/>
        <w:t>Based Extension under Act No. 7 of 2025</w:t>
      </w:r>
    </w:p>
    <w:p w14:paraId="2C04DE92"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Drawing on the six leadership traits (Section 5) and the three justifications for extension (Section 6), and incorporating the safeguards demanded by the term</w:t>
      </w:r>
      <w:r w:rsidRPr="00A44D24">
        <w:rPr>
          <w:rFonts w:ascii="Times New Roman" w:eastAsia="Times New Roman" w:hAnsi="Times New Roman" w:cs="Times New Roman"/>
          <w:color w:val="0F1115"/>
          <w:sz w:val="24"/>
          <w:szCs w:val="24"/>
        </w:rPr>
        <w:noBreakHyphen/>
        <w:t>limits literature (Section 7), this article proposes a specific amendment to the Zambian Constitution. The amendment would not repeal the two</w:t>
      </w:r>
      <w:r w:rsidRPr="00A44D24">
        <w:rPr>
          <w:rFonts w:ascii="Times New Roman" w:eastAsia="Times New Roman" w:hAnsi="Times New Roman" w:cs="Times New Roman"/>
          <w:color w:val="0F1115"/>
          <w:sz w:val="24"/>
          <w:szCs w:val="24"/>
        </w:rPr>
        <w:noBreakHyphen/>
        <w:t>term limit but create a </w:t>
      </w:r>
      <w:r w:rsidRPr="00A44D24">
        <w:rPr>
          <w:rFonts w:ascii="Times New Roman" w:eastAsia="Times New Roman" w:hAnsi="Times New Roman" w:cs="Times New Roman"/>
          <w:b/>
          <w:bCs/>
          <w:color w:val="0F1115"/>
          <w:sz w:val="24"/>
          <w:szCs w:val="24"/>
        </w:rPr>
        <w:t>once</w:t>
      </w:r>
      <w:r w:rsidRPr="00A44D24">
        <w:rPr>
          <w:rFonts w:ascii="Times New Roman" w:eastAsia="Times New Roman" w:hAnsi="Times New Roman" w:cs="Times New Roman"/>
          <w:b/>
          <w:bCs/>
          <w:color w:val="0F1115"/>
          <w:sz w:val="24"/>
          <w:szCs w:val="24"/>
        </w:rPr>
        <w:noBreakHyphen/>
        <w:t>in</w:t>
      </w:r>
      <w:r w:rsidRPr="00A44D24">
        <w:rPr>
          <w:rFonts w:ascii="Times New Roman" w:eastAsia="Times New Roman" w:hAnsi="Times New Roman" w:cs="Times New Roman"/>
          <w:b/>
          <w:bCs/>
          <w:color w:val="0F1115"/>
          <w:sz w:val="24"/>
          <w:szCs w:val="24"/>
        </w:rPr>
        <w:noBreakHyphen/>
        <w:t>a</w:t>
      </w:r>
      <w:r w:rsidRPr="00A44D24">
        <w:rPr>
          <w:rFonts w:ascii="Times New Roman" w:eastAsia="Times New Roman" w:hAnsi="Times New Roman" w:cs="Times New Roman"/>
          <w:b/>
          <w:bCs/>
          <w:color w:val="0F1115"/>
          <w:sz w:val="24"/>
          <w:szCs w:val="24"/>
        </w:rPr>
        <w:noBreakHyphen/>
        <w:t>generation exception</w:t>
      </w:r>
      <w:r w:rsidRPr="00A44D24">
        <w:rPr>
          <w:rFonts w:ascii="Times New Roman" w:eastAsia="Times New Roman" w:hAnsi="Times New Roman" w:cs="Times New Roman"/>
          <w:color w:val="0F1115"/>
          <w:sz w:val="24"/>
          <w:szCs w:val="24"/>
        </w:rPr>
        <w:t> for a high</w:t>
      </w:r>
      <w:r w:rsidRPr="00A44D24">
        <w:rPr>
          <w:rFonts w:ascii="Times New Roman" w:eastAsia="Times New Roman" w:hAnsi="Times New Roman" w:cs="Times New Roman"/>
          <w:color w:val="0F1115"/>
          <w:sz w:val="24"/>
          <w:szCs w:val="24"/>
        </w:rPr>
        <w:noBreakHyphen/>
        <w:t>performing incumbent. The proposed text is as follows:</w:t>
      </w:r>
    </w:p>
    <w:p w14:paraId="51DB5CE8" w14:textId="72DE925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Insert as new Article 106(4)</w:t>
      </w:r>
      <w:r w:rsidR="00425F7D" w:rsidRPr="00A44D24">
        <w:rPr>
          <w:rFonts w:ascii="Times New Roman" w:eastAsia="Times New Roman" w:hAnsi="Times New Roman" w:cs="Times New Roman"/>
          <w:b/>
          <w:bCs/>
          <w:color w:val="0F1115"/>
          <w:sz w:val="24"/>
          <w:szCs w:val="24"/>
        </w:rPr>
        <w:t>(</w:t>
      </w:r>
      <w:r w:rsidRPr="00A44D24">
        <w:rPr>
          <w:rFonts w:ascii="Times New Roman" w:eastAsia="Times New Roman" w:hAnsi="Times New Roman" w:cs="Times New Roman"/>
          <w:b/>
          <w:bCs/>
          <w:color w:val="0F1115"/>
          <w:sz w:val="24"/>
          <w:szCs w:val="24"/>
        </w:rPr>
        <w:t>6) of the Constitution of Zambia (Amendment) Act No. 2 of 2016, as amended by Act No. 7 of 2025:</w:t>
      </w:r>
    </w:p>
    <w:p w14:paraId="7A954779" w14:textId="77777777" w:rsidR="00D629D9" w:rsidRPr="00A44D24" w:rsidRDefault="00395CEE" w:rsidP="00A44D24">
      <w:pPr>
        <w:shd w:val="clear" w:color="auto" w:fill="FFFFFF"/>
        <w:spacing w:before="100" w:beforeAutospacing="1"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106(4)</w:t>
      </w:r>
      <w:r w:rsidRPr="00A44D24">
        <w:rPr>
          <w:rFonts w:ascii="Times New Roman" w:eastAsia="Times New Roman" w:hAnsi="Times New Roman" w:cs="Times New Roman"/>
          <w:color w:val="0F1115"/>
          <w:sz w:val="24"/>
          <w:szCs w:val="24"/>
        </w:rPr>
        <w:t> Notwithstanding Article 106(3), a person who has twice been elected as President may be eligible for one additional term of five years if:</w:t>
      </w:r>
    </w:p>
    <w:p w14:paraId="69E4CE54" w14:textId="53097FEC" w:rsidR="00395CEE" w:rsidRPr="00224204" w:rsidRDefault="00753434" w:rsidP="00A44D24">
      <w:pPr>
        <w:shd w:val="clear" w:color="auto" w:fill="FFFFFF"/>
        <w:spacing w:before="100" w:beforeAutospacing="1" w:after="240" w:line="276" w:lineRule="auto"/>
        <w:ind w:left="720" w:hanging="720"/>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(a) </w:t>
      </w:r>
      <w:r w:rsidR="006473DF" w:rsidRPr="00A44D24">
        <w:rPr>
          <w:rFonts w:ascii="Times New Roman" w:eastAsia="Times New Roman" w:hAnsi="Times New Roman" w:cs="Times New Roman"/>
          <w:color w:val="0F1115"/>
          <w:sz w:val="24"/>
          <w:szCs w:val="24"/>
        </w:rPr>
        <w:t xml:space="preserve">  </w:t>
      </w:r>
      <w:r w:rsidR="00395CEE" w:rsidRPr="00A44D24">
        <w:rPr>
          <w:rFonts w:ascii="Times New Roman" w:eastAsia="Times New Roman" w:hAnsi="Times New Roman" w:cs="Times New Roman"/>
          <w:color w:val="0F1115"/>
          <w:sz w:val="24"/>
          <w:szCs w:val="24"/>
        </w:rPr>
        <w:t>the </w:t>
      </w:r>
      <w:r w:rsidR="00395CEE" w:rsidRPr="00A44D24">
        <w:rPr>
          <w:rFonts w:ascii="Times New Roman" w:eastAsia="Times New Roman" w:hAnsi="Times New Roman" w:cs="Times New Roman"/>
          <w:b/>
          <w:bCs/>
          <w:color w:val="0F1115"/>
          <w:sz w:val="24"/>
          <w:szCs w:val="24"/>
        </w:rPr>
        <w:t>Presidential Performance Review Commission (PPRC)</w:t>
      </w:r>
      <w:r w:rsidR="00425F7D" w:rsidRPr="00A44D24">
        <w:rPr>
          <w:rFonts w:ascii="Times New Roman" w:eastAsia="Times New Roman" w:hAnsi="Times New Roman" w:cs="Times New Roman"/>
          <w:color w:val="0F1115"/>
          <w:sz w:val="24"/>
          <w:szCs w:val="24"/>
        </w:rPr>
        <w:t>:</w:t>
      </w:r>
      <w:r w:rsidR="00395CEE" w:rsidRPr="00A44D24">
        <w:rPr>
          <w:rFonts w:ascii="Times New Roman" w:eastAsia="Times New Roman" w:hAnsi="Times New Roman" w:cs="Times New Roman"/>
          <w:color w:val="0F1115"/>
          <w:sz w:val="24"/>
          <w:szCs w:val="24"/>
        </w:rPr>
        <w:t xml:space="preserve"> a constitutional body</w:t>
      </w:r>
      <w:r w:rsidR="002C3FD1" w:rsidRPr="00A44D24">
        <w:rPr>
          <w:rFonts w:ascii="Times New Roman" w:eastAsia="Times New Roman" w:hAnsi="Times New Roman" w:cs="Times New Roman"/>
          <w:color w:val="0F1115"/>
          <w:sz w:val="24"/>
          <w:szCs w:val="24"/>
        </w:rPr>
        <w:t xml:space="preserve"> </w:t>
      </w:r>
      <w:r w:rsidR="00395CEE" w:rsidRPr="00A44D24">
        <w:rPr>
          <w:rFonts w:ascii="Times New Roman" w:eastAsia="Times New Roman" w:hAnsi="Times New Roman" w:cs="Times New Roman"/>
          <w:color w:val="0F1115"/>
          <w:sz w:val="24"/>
          <w:szCs w:val="24"/>
        </w:rPr>
        <w:t>comprising the Auditor General, the Governor of the Bank of Zambia, two nominees of the Law Association of Zambia, and two nominees of the Economics Association of Zambia certifies that the incumbent has satisfied the six statutory performance criteria set out in the Sixth Schedule of this Constitution (economic literacy, output focus, anti</w:t>
      </w:r>
      <w:r w:rsidR="00395CEE" w:rsidRPr="00A44D24">
        <w:rPr>
          <w:rFonts w:ascii="Times New Roman" w:eastAsia="Times New Roman" w:hAnsi="Times New Roman" w:cs="Times New Roman"/>
          <w:color w:val="0F1115"/>
          <w:sz w:val="24"/>
          <w:szCs w:val="24"/>
        </w:rPr>
        <w:noBreakHyphen/>
        <w:t>corruption improvement, institutional insulation, succession planning, and national unity);</w:t>
      </w:r>
      <w:r w:rsidR="00224204" w:rsidRPr="00224204">
        <w:rPr>
          <w:rFonts w:ascii="Times New Roman" w:hAnsi="Times New Roman" w:cs="Times New Roman"/>
          <w:sz w:val="24"/>
          <w:szCs w:val="24"/>
        </w:rPr>
        <w:t xml:space="preserve"> provided that for the purposes of this Article, any member of the PPRC who holds a public office shall serve in an ex-officio, non-voting capacity. The nominees from the Law Association of Zambia and the Economics Association of Zambia shall be elected via secret ballot by the general membership of their respective professional bodies, must possess no political party affiliation for the preceding ten years, and their appointment shall be immune to executive veto. Furthermore, the operational budget of the PPRC shall be a direct charge upon the Consolidated Fund to prevent financial strangulation by the executive branch;</w:t>
      </w:r>
    </w:p>
    <w:p w14:paraId="09CC4D40" w14:textId="7FFE36BF" w:rsidR="00395CEE" w:rsidRPr="00A44D24" w:rsidRDefault="00395CEE" w:rsidP="00A44D24">
      <w:pPr>
        <w:shd w:val="clear" w:color="auto" w:fill="FFFFFF"/>
        <w:spacing w:before="240" w:after="240" w:line="276" w:lineRule="auto"/>
        <w:ind w:left="720" w:hanging="720"/>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(b)</w:t>
      </w:r>
      <w:r w:rsidR="006473DF" w:rsidRPr="00A44D24">
        <w:rPr>
          <w:rFonts w:ascii="Times New Roman" w:eastAsia="Times New Roman" w:hAnsi="Times New Roman" w:cs="Times New Roman"/>
          <w:color w:val="0F1115"/>
          <w:sz w:val="24"/>
          <w:szCs w:val="24"/>
        </w:rPr>
        <w:tab/>
      </w:r>
      <w:r w:rsidRPr="00A44D24">
        <w:rPr>
          <w:rFonts w:ascii="Times New Roman" w:eastAsia="Times New Roman" w:hAnsi="Times New Roman" w:cs="Times New Roman"/>
          <w:color w:val="0F1115"/>
          <w:sz w:val="24"/>
          <w:szCs w:val="24"/>
        </w:rPr>
        <w:t xml:space="preserve"> the National Assembly, by a resolution supported by not less than two</w:t>
      </w:r>
      <w:r w:rsidRPr="00A44D24">
        <w:rPr>
          <w:rFonts w:ascii="Times New Roman" w:eastAsia="Times New Roman" w:hAnsi="Times New Roman" w:cs="Times New Roman"/>
          <w:color w:val="0F1115"/>
          <w:sz w:val="24"/>
          <w:szCs w:val="24"/>
        </w:rPr>
        <w:noBreakHyphen/>
        <w:t>thirds of all its members (currently 168 of 251), approves the extension; and</w:t>
      </w:r>
    </w:p>
    <w:p w14:paraId="7DBC56D4" w14:textId="56874D66" w:rsidR="00395CEE" w:rsidRPr="00A44D24" w:rsidRDefault="00395CEE" w:rsidP="00A44D24">
      <w:pPr>
        <w:shd w:val="clear" w:color="auto" w:fill="FFFFFF"/>
        <w:spacing w:before="240" w:after="100" w:afterAutospacing="1" w:line="276" w:lineRule="auto"/>
        <w:ind w:left="720" w:hanging="720"/>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(c)</w:t>
      </w:r>
      <w:r w:rsidR="006473DF" w:rsidRPr="00A44D24">
        <w:rPr>
          <w:rFonts w:ascii="Times New Roman" w:eastAsia="Times New Roman" w:hAnsi="Times New Roman" w:cs="Times New Roman"/>
          <w:color w:val="0F1115"/>
          <w:sz w:val="24"/>
          <w:szCs w:val="24"/>
        </w:rPr>
        <w:tab/>
      </w:r>
      <w:r w:rsidRPr="00A44D24">
        <w:rPr>
          <w:rFonts w:ascii="Times New Roman" w:eastAsia="Times New Roman" w:hAnsi="Times New Roman" w:cs="Times New Roman"/>
          <w:color w:val="0F1115"/>
          <w:sz w:val="24"/>
          <w:szCs w:val="24"/>
        </w:rPr>
        <w:t xml:space="preserve"> a national referendum, conducted by the Electoral Commission of Zambia, approves the extension by a simple majority of valid votes cast, with a minimum turnout of 50% of registered voters.</w:t>
      </w:r>
    </w:p>
    <w:p w14:paraId="3D5C0744" w14:textId="2AA4CAB2" w:rsidR="00395CEE" w:rsidRPr="00A44D24" w:rsidRDefault="00567014" w:rsidP="00A44D24">
      <w:pPr>
        <w:shd w:val="clear" w:color="auto" w:fill="FFFFFF"/>
        <w:spacing w:before="100" w:beforeAutospacing="1" w:after="100" w:afterAutospacing="1"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 xml:space="preserve">Article </w:t>
      </w:r>
      <w:r w:rsidR="00395CEE" w:rsidRPr="00A44D24">
        <w:rPr>
          <w:rFonts w:ascii="Times New Roman" w:eastAsia="Times New Roman" w:hAnsi="Times New Roman" w:cs="Times New Roman"/>
          <w:b/>
          <w:bCs/>
          <w:color w:val="0F1115"/>
          <w:sz w:val="24"/>
          <w:szCs w:val="24"/>
        </w:rPr>
        <w:t>106(5)</w:t>
      </w:r>
      <w:r w:rsidR="00395CEE" w:rsidRPr="00A44D24">
        <w:rPr>
          <w:rFonts w:ascii="Times New Roman" w:eastAsia="Times New Roman" w:hAnsi="Times New Roman" w:cs="Times New Roman"/>
          <w:color w:val="0F1115"/>
          <w:sz w:val="24"/>
          <w:szCs w:val="24"/>
        </w:rPr>
        <w:t> The additional term under Article 106(4) shall be non</w:t>
      </w:r>
      <w:r w:rsidR="00395CEE" w:rsidRPr="00A44D24">
        <w:rPr>
          <w:rFonts w:ascii="Times New Roman" w:eastAsia="Times New Roman" w:hAnsi="Times New Roman" w:cs="Times New Roman"/>
          <w:color w:val="0F1115"/>
          <w:sz w:val="24"/>
          <w:szCs w:val="24"/>
        </w:rPr>
        <w:noBreakHyphen/>
        <w:t>renewable. No person shall serve more than three terms (fifteen years) as President.</w:t>
      </w:r>
    </w:p>
    <w:p w14:paraId="0E8F861C" w14:textId="02C88625" w:rsidR="00395CEE" w:rsidRPr="000169D2" w:rsidRDefault="00DA70A0" w:rsidP="00A44D24">
      <w:pPr>
        <w:shd w:val="clear" w:color="auto" w:fill="FFFFFF"/>
        <w:spacing w:before="100" w:beforeAutospacing="1" w:after="100" w:afterAutospacing="1"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 xml:space="preserve">Article </w:t>
      </w:r>
      <w:r w:rsidR="00395CEE" w:rsidRPr="00A44D24">
        <w:rPr>
          <w:rFonts w:ascii="Times New Roman" w:eastAsia="Times New Roman" w:hAnsi="Times New Roman" w:cs="Times New Roman"/>
          <w:b/>
          <w:bCs/>
          <w:color w:val="0F1115"/>
          <w:sz w:val="24"/>
          <w:szCs w:val="24"/>
        </w:rPr>
        <w:t>106(6)</w:t>
      </w:r>
      <w:r w:rsidRPr="00A44D24">
        <w:rPr>
          <w:rFonts w:ascii="Times New Roman" w:eastAsia="Times New Roman" w:hAnsi="Times New Roman" w:cs="Times New Roman"/>
          <w:b/>
          <w:bCs/>
          <w:color w:val="0F1115"/>
          <w:sz w:val="24"/>
          <w:szCs w:val="24"/>
        </w:rPr>
        <w:t>,</w:t>
      </w:r>
      <w:r w:rsidR="00395CEE" w:rsidRPr="00A44D24">
        <w:rPr>
          <w:rFonts w:ascii="Times New Roman" w:eastAsia="Times New Roman" w:hAnsi="Times New Roman" w:cs="Times New Roman"/>
          <w:color w:val="0F1115"/>
          <w:sz w:val="24"/>
          <w:szCs w:val="24"/>
        </w:rPr>
        <w:t> </w:t>
      </w:r>
      <w:r w:rsidR="00395CEE" w:rsidRPr="000169D2">
        <w:rPr>
          <w:rFonts w:ascii="Times New Roman" w:eastAsia="Times New Roman" w:hAnsi="Times New Roman" w:cs="Times New Roman"/>
          <w:color w:val="0F1115"/>
          <w:sz w:val="24"/>
          <w:szCs w:val="24"/>
        </w:rPr>
        <w:t>If the National Assembly rejects the PPRC’s certification, or if the referendum fails, the incumbent shall serve out their second term and shall not be eligible to contest again.</w:t>
      </w:r>
      <w:r w:rsidR="000169D2" w:rsidRPr="000169D2">
        <w:rPr>
          <w:rFonts w:ascii="Times New Roman" w:eastAsia="Times New Roman" w:hAnsi="Times New Roman" w:cs="Times New Roman"/>
          <w:color w:val="0F1115"/>
          <w:sz w:val="24"/>
          <w:szCs w:val="24"/>
        </w:rPr>
        <w:t xml:space="preserve"> </w:t>
      </w:r>
      <w:r w:rsidR="000169D2" w:rsidRPr="000169D2">
        <w:rPr>
          <w:rFonts w:ascii="Times New Roman" w:hAnsi="Times New Roman" w:cs="Times New Roman"/>
          <w:sz w:val="24"/>
          <w:szCs w:val="24"/>
        </w:rPr>
        <w:t>This institutional design intentionally strips the sitting executive of any indirect leverage over the PPRC's composition. By rendering public officials like the Governor of the Bank of Zambia and the Auditor General non-voting members, the final veto gates are placed entirely in the hands of independent, self-governing professional bodies. This structural insulation solves the operational vulnerability of strategic capture, ensuring that the commission cannot be weaponized or coerced into rubber-stamping an underperforming incumbent's bid for extension.</w:t>
      </w:r>
    </w:p>
    <w:p w14:paraId="3318A1CF"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8.1 Counterfactual Analysis: Which Zambian Presidents Would Have Qualified?</w:t>
      </w:r>
    </w:p>
    <w:p w14:paraId="542ADAD5" w14:textId="42C0CBFE" w:rsidR="00D34AAB"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To demonstrate that the proposed mechanism is not a disguised route to universal third terms, this section scores each Zambian president since 1991 against the six traits. Data sources: IMF Article IV reports (economic literacy), World Bank CPI (anti</w:t>
      </w:r>
      <w:r w:rsidRPr="00A44D24">
        <w:rPr>
          <w:rFonts w:ascii="Times New Roman" w:eastAsia="Times New Roman" w:hAnsi="Times New Roman" w:cs="Times New Roman"/>
          <w:color w:val="0F1115"/>
          <w:sz w:val="24"/>
          <w:szCs w:val="24"/>
        </w:rPr>
        <w:noBreakHyphen/>
        <w:t>corruption), Zambia Law Reports (constitutional compliance), and independent assessments (</w:t>
      </w:r>
      <w:proofErr w:type="spellStart"/>
      <w:r w:rsidRPr="00A44D24">
        <w:rPr>
          <w:rFonts w:ascii="Times New Roman" w:eastAsia="Times New Roman" w:hAnsi="Times New Roman" w:cs="Times New Roman"/>
          <w:color w:val="0F1115"/>
          <w:sz w:val="24"/>
          <w:szCs w:val="24"/>
        </w:rPr>
        <w:t>Kanyinga</w:t>
      </w:r>
      <w:proofErr w:type="spellEnd"/>
      <w:r w:rsidRPr="00A44D24">
        <w:rPr>
          <w:rFonts w:ascii="Times New Roman" w:eastAsia="Times New Roman" w:hAnsi="Times New Roman" w:cs="Times New Roman"/>
          <w:color w:val="0F1115"/>
          <w:sz w:val="24"/>
          <w:szCs w:val="24"/>
        </w:rPr>
        <w:t xml:space="preserve">, 2022; </w:t>
      </w:r>
      <w:proofErr w:type="spellStart"/>
      <w:r w:rsidRPr="00A44D24">
        <w:rPr>
          <w:rFonts w:ascii="Times New Roman" w:eastAsia="Times New Roman" w:hAnsi="Times New Roman" w:cs="Times New Roman"/>
          <w:color w:val="0F1115"/>
          <w:sz w:val="24"/>
          <w:szCs w:val="24"/>
        </w:rPr>
        <w:t>Sardanis</w:t>
      </w:r>
      <w:proofErr w:type="spellEnd"/>
      <w:r w:rsidRPr="00A44D24">
        <w:rPr>
          <w:rFonts w:ascii="Times New Roman" w:eastAsia="Times New Roman" w:hAnsi="Times New Roman" w:cs="Times New Roman"/>
          <w:color w:val="0F1115"/>
          <w:sz w:val="24"/>
          <w:szCs w:val="24"/>
        </w:rPr>
        <w:t>, 2014). Each trait is scored 0 (fails), 0.5 (partial), or 1 (fully meets). A score of ≥0.8 average is required to proceed to PPRC certification.</w:t>
      </w:r>
    </w:p>
    <w:tbl>
      <w:tblPr>
        <w:tblW w:w="1431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2"/>
        <w:gridCol w:w="1417"/>
        <w:gridCol w:w="1276"/>
        <w:gridCol w:w="2126"/>
        <w:gridCol w:w="1843"/>
        <w:gridCol w:w="1559"/>
        <w:gridCol w:w="1560"/>
        <w:gridCol w:w="1275"/>
        <w:gridCol w:w="1560"/>
      </w:tblGrid>
      <w:tr w:rsidR="002D5F8D" w:rsidRPr="00395CEE" w14:paraId="4608B282" w14:textId="77777777" w:rsidTr="00E9409B">
        <w:trPr>
          <w:trHeight w:val="1147"/>
          <w:tblHeader/>
        </w:trPr>
        <w:tc>
          <w:tcPr>
            <w:tcW w:w="1702" w:type="dxa"/>
            <w:tcMar>
              <w:top w:w="150" w:type="dxa"/>
              <w:left w:w="0" w:type="dxa"/>
              <w:bottom w:w="150" w:type="dxa"/>
              <w:right w:w="240" w:type="dxa"/>
            </w:tcMar>
            <w:vAlign w:val="center"/>
            <w:hideMark/>
          </w:tcPr>
          <w:p w14:paraId="69F8358B" w14:textId="47484328"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President (Term)</w:t>
            </w:r>
          </w:p>
        </w:tc>
        <w:tc>
          <w:tcPr>
            <w:tcW w:w="1417" w:type="dxa"/>
            <w:tcMar>
              <w:top w:w="150" w:type="dxa"/>
              <w:left w:w="240" w:type="dxa"/>
              <w:bottom w:w="150" w:type="dxa"/>
              <w:right w:w="240" w:type="dxa"/>
            </w:tcMar>
            <w:vAlign w:val="center"/>
            <w:hideMark/>
          </w:tcPr>
          <w:p w14:paraId="722B042A" w14:textId="08AD7E6A"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Economic Literacy</w:t>
            </w:r>
          </w:p>
        </w:tc>
        <w:tc>
          <w:tcPr>
            <w:tcW w:w="1276" w:type="dxa"/>
            <w:tcMar>
              <w:top w:w="150" w:type="dxa"/>
              <w:left w:w="240" w:type="dxa"/>
              <w:bottom w:w="150" w:type="dxa"/>
              <w:right w:w="240" w:type="dxa"/>
            </w:tcMar>
            <w:vAlign w:val="center"/>
            <w:hideMark/>
          </w:tcPr>
          <w:p w14:paraId="774BA3F5" w14:textId="1C7792A2"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Output Focus</w:t>
            </w:r>
          </w:p>
        </w:tc>
        <w:tc>
          <w:tcPr>
            <w:tcW w:w="2126" w:type="dxa"/>
            <w:tcMar>
              <w:top w:w="150" w:type="dxa"/>
              <w:left w:w="240" w:type="dxa"/>
              <w:bottom w:w="150" w:type="dxa"/>
              <w:right w:w="240" w:type="dxa"/>
            </w:tcMar>
            <w:vAlign w:val="center"/>
            <w:hideMark/>
          </w:tcPr>
          <w:p w14:paraId="2BDDF301" w14:textId="057D9A1B"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Anti</w:t>
            </w:r>
            <w:r w:rsidRPr="000E7571">
              <w:rPr>
                <w:rFonts w:ascii="Times New Roman" w:eastAsia="Times New Roman" w:hAnsi="Times New Roman" w:cs="Times New Roman"/>
                <w:b/>
                <w:bCs/>
              </w:rPr>
              <w:noBreakHyphen/>
              <w:t>Corruption</w:t>
            </w:r>
          </w:p>
        </w:tc>
        <w:tc>
          <w:tcPr>
            <w:tcW w:w="1843" w:type="dxa"/>
            <w:tcMar>
              <w:top w:w="150" w:type="dxa"/>
              <w:left w:w="240" w:type="dxa"/>
              <w:bottom w:w="150" w:type="dxa"/>
              <w:right w:w="240" w:type="dxa"/>
            </w:tcMar>
            <w:vAlign w:val="center"/>
            <w:hideMark/>
          </w:tcPr>
          <w:p w14:paraId="7CC030B8" w14:textId="5C55B502"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Institutional Insulation</w:t>
            </w:r>
          </w:p>
        </w:tc>
        <w:tc>
          <w:tcPr>
            <w:tcW w:w="1559" w:type="dxa"/>
            <w:tcMar>
              <w:top w:w="150" w:type="dxa"/>
              <w:left w:w="240" w:type="dxa"/>
              <w:bottom w:w="150" w:type="dxa"/>
              <w:right w:w="240" w:type="dxa"/>
            </w:tcMar>
            <w:vAlign w:val="center"/>
            <w:hideMark/>
          </w:tcPr>
          <w:p w14:paraId="741A0E5B" w14:textId="3833A0E7"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Succession Planning</w:t>
            </w:r>
          </w:p>
        </w:tc>
        <w:tc>
          <w:tcPr>
            <w:tcW w:w="1560" w:type="dxa"/>
            <w:tcMar>
              <w:top w:w="150" w:type="dxa"/>
              <w:left w:w="240" w:type="dxa"/>
              <w:bottom w:w="150" w:type="dxa"/>
              <w:right w:w="240" w:type="dxa"/>
            </w:tcMar>
            <w:vAlign w:val="center"/>
            <w:hideMark/>
          </w:tcPr>
          <w:p w14:paraId="26A5C1A8" w14:textId="235EEECD"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National Unity</w:t>
            </w:r>
          </w:p>
        </w:tc>
        <w:tc>
          <w:tcPr>
            <w:tcW w:w="1275" w:type="dxa"/>
            <w:tcMar>
              <w:top w:w="150" w:type="dxa"/>
              <w:left w:w="240" w:type="dxa"/>
              <w:bottom w:w="150" w:type="dxa"/>
              <w:right w:w="240" w:type="dxa"/>
            </w:tcMar>
            <w:vAlign w:val="center"/>
            <w:hideMark/>
          </w:tcPr>
          <w:p w14:paraId="4003029A" w14:textId="5903D9DA"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Average</w:t>
            </w:r>
          </w:p>
        </w:tc>
        <w:tc>
          <w:tcPr>
            <w:tcW w:w="1560" w:type="dxa"/>
            <w:tcMar>
              <w:top w:w="150" w:type="dxa"/>
              <w:left w:w="240" w:type="dxa"/>
              <w:bottom w:w="150" w:type="dxa"/>
              <w:right w:w="240" w:type="dxa"/>
            </w:tcMar>
            <w:vAlign w:val="center"/>
            <w:hideMark/>
          </w:tcPr>
          <w:p w14:paraId="4E87AD1B" w14:textId="62D14BED"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Qualified?</w:t>
            </w:r>
          </w:p>
        </w:tc>
      </w:tr>
      <w:tr w:rsidR="002D5F8D" w:rsidRPr="00395CEE" w14:paraId="676C3C3C" w14:textId="77777777" w:rsidTr="00E9409B">
        <w:tc>
          <w:tcPr>
            <w:tcW w:w="1702" w:type="dxa"/>
            <w:tcMar>
              <w:top w:w="150" w:type="dxa"/>
              <w:left w:w="0" w:type="dxa"/>
              <w:bottom w:w="150" w:type="dxa"/>
              <w:right w:w="240" w:type="dxa"/>
            </w:tcMar>
            <w:vAlign w:val="center"/>
            <w:hideMark/>
          </w:tcPr>
          <w:p w14:paraId="56B50CED" w14:textId="68838163"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Chiluba (1991</w:t>
            </w:r>
            <w:r w:rsidRPr="00343148">
              <w:rPr>
                <w:rFonts w:ascii="Times New Roman" w:eastAsia="Times New Roman" w:hAnsi="Times New Roman" w:cs="Times New Roman"/>
                <w:b/>
                <w:bCs/>
                <w:sz w:val="24"/>
                <w:szCs w:val="24"/>
              </w:rPr>
              <w:noBreakHyphen/>
              <w:t>2001</w:t>
            </w:r>
            <w:r w:rsidR="000E7571" w:rsidRPr="00343148">
              <w:rPr>
                <w:rFonts w:ascii="Times New Roman" w:eastAsia="Times New Roman" w:hAnsi="Times New Roman" w:cs="Times New Roman"/>
                <w:b/>
                <w:bCs/>
                <w:sz w:val="24"/>
                <w:szCs w:val="24"/>
              </w:rPr>
              <w:t>)</w:t>
            </w:r>
          </w:p>
        </w:tc>
        <w:tc>
          <w:tcPr>
            <w:tcW w:w="1417" w:type="dxa"/>
            <w:tcMar>
              <w:top w:w="150" w:type="dxa"/>
              <w:left w:w="240" w:type="dxa"/>
              <w:bottom w:w="150" w:type="dxa"/>
              <w:right w:w="240" w:type="dxa"/>
            </w:tcMar>
            <w:vAlign w:val="center"/>
            <w:hideMark/>
          </w:tcPr>
          <w:p w14:paraId="7ABDC8EB"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(some reform)</w:t>
            </w:r>
          </w:p>
        </w:tc>
        <w:tc>
          <w:tcPr>
            <w:tcW w:w="1276" w:type="dxa"/>
            <w:tcMar>
              <w:top w:w="150" w:type="dxa"/>
              <w:left w:w="240" w:type="dxa"/>
              <w:bottom w:w="150" w:type="dxa"/>
              <w:right w:w="240" w:type="dxa"/>
            </w:tcMar>
            <w:vAlign w:val="center"/>
            <w:hideMark/>
          </w:tcPr>
          <w:p w14:paraId="5DD1E3F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(mixed)</w:t>
            </w:r>
          </w:p>
        </w:tc>
        <w:tc>
          <w:tcPr>
            <w:tcW w:w="2126" w:type="dxa"/>
            <w:tcMar>
              <w:top w:w="150" w:type="dxa"/>
              <w:left w:w="240" w:type="dxa"/>
              <w:bottom w:w="150" w:type="dxa"/>
              <w:right w:w="240" w:type="dxa"/>
            </w:tcMar>
            <w:vAlign w:val="center"/>
            <w:hideMark/>
          </w:tcPr>
          <w:p w14:paraId="58247498"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(CPI dropped)</w:t>
            </w:r>
          </w:p>
        </w:tc>
        <w:tc>
          <w:tcPr>
            <w:tcW w:w="1843" w:type="dxa"/>
            <w:tcMar>
              <w:top w:w="150" w:type="dxa"/>
              <w:left w:w="240" w:type="dxa"/>
              <w:bottom w:w="150" w:type="dxa"/>
              <w:right w:w="240" w:type="dxa"/>
            </w:tcMar>
            <w:vAlign w:val="center"/>
            <w:hideMark/>
          </w:tcPr>
          <w:p w14:paraId="0999C596"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(no EPB)</w:t>
            </w:r>
          </w:p>
        </w:tc>
        <w:tc>
          <w:tcPr>
            <w:tcW w:w="1559" w:type="dxa"/>
            <w:tcMar>
              <w:top w:w="150" w:type="dxa"/>
              <w:left w:w="240" w:type="dxa"/>
              <w:bottom w:w="150" w:type="dxa"/>
              <w:right w:w="240" w:type="dxa"/>
            </w:tcMar>
            <w:vAlign w:val="center"/>
            <w:hideMark/>
          </w:tcPr>
          <w:p w14:paraId="6B3DC137"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(attempted third term)</w:t>
            </w:r>
          </w:p>
        </w:tc>
        <w:tc>
          <w:tcPr>
            <w:tcW w:w="1560" w:type="dxa"/>
            <w:tcMar>
              <w:top w:w="150" w:type="dxa"/>
              <w:left w:w="240" w:type="dxa"/>
              <w:bottom w:w="150" w:type="dxa"/>
              <w:right w:w="240" w:type="dxa"/>
            </w:tcMar>
            <w:vAlign w:val="center"/>
            <w:hideMark/>
          </w:tcPr>
          <w:p w14:paraId="3B2A3DE3"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(ethnic tensions)</w:t>
            </w:r>
          </w:p>
        </w:tc>
        <w:tc>
          <w:tcPr>
            <w:tcW w:w="1275" w:type="dxa"/>
            <w:tcMar>
              <w:top w:w="150" w:type="dxa"/>
              <w:left w:w="240" w:type="dxa"/>
              <w:bottom w:w="150" w:type="dxa"/>
              <w:right w:w="240" w:type="dxa"/>
            </w:tcMar>
            <w:vAlign w:val="center"/>
            <w:hideMark/>
          </w:tcPr>
          <w:p w14:paraId="5E94FE50"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0.25</w:t>
            </w:r>
          </w:p>
        </w:tc>
        <w:tc>
          <w:tcPr>
            <w:tcW w:w="1560" w:type="dxa"/>
            <w:tcMar>
              <w:top w:w="150" w:type="dxa"/>
              <w:left w:w="240" w:type="dxa"/>
              <w:bottom w:w="150" w:type="dxa"/>
              <w:right w:w="0" w:type="dxa"/>
            </w:tcMar>
            <w:vAlign w:val="center"/>
            <w:hideMark/>
          </w:tcPr>
          <w:p w14:paraId="14ED1C88"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No</w:t>
            </w:r>
          </w:p>
        </w:tc>
      </w:tr>
      <w:tr w:rsidR="002D5F8D" w:rsidRPr="00395CEE" w14:paraId="1F60DF27" w14:textId="77777777" w:rsidTr="00E9409B">
        <w:tc>
          <w:tcPr>
            <w:tcW w:w="1702" w:type="dxa"/>
            <w:tcMar>
              <w:top w:w="150" w:type="dxa"/>
              <w:left w:w="0" w:type="dxa"/>
              <w:bottom w:w="150" w:type="dxa"/>
              <w:right w:w="240" w:type="dxa"/>
            </w:tcMar>
            <w:vAlign w:val="center"/>
            <w:hideMark/>
          </w:tcPr>
          <w:p w14:paraId="3E4FB7CB"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Mwanawasa (2002</w:t>
            </w:r>
            <w:r w:rsidRPr="00343148">
              <w:rPr>
                <w:rFonts w:ascii="Times New Roman" w:eastAsia="Times New Roman" w:hAnsi="Times New Roman" w:cs="Times New Roman"/>
                <w:b/>
                <w:bCs/>
                <w:sz w:val="24"/>
                <w:szCs w:val="24"/>
              </w:rPr>
              <w:noBreakHyphen/>
              <w:t>2008)</w:t>
            </w:r>
          </w:p>
        </w:tc>
        <w:tc>
          <w:tcPr>
            <w:tcW w:w="1417" w:type="dxa"/>
            <w:tcMar>
              <w:top w:w="150" w:type="dxa"/>
              <w:left w:w="240" w:type="dxa"/>
              <w:bottom w:w="150" w:type="dxa"/>
              <w:right w:w="240" w:type="dxa"/>
            </w:tcMar>
            <w:vAlign w:val="center"/>
            <w:hideMark/>
          </w:tcPr>
          <w:p w14:paraId="134AB31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 (anti</w:t>
            </w:r>
            <w:r w:rsidRPr="00FB0B3B">
              <w:rPr>
                <w:rFonts w:ascii="Times New Roman" w:eastAsia="Times New Roman" w:hAnsi="Times New Roman" w:cs="Times New Roman"/>
                <w:sz w:val="24"/>
                <w:szCs w:val="24"/>
              </w:rPr>
              <w:noBreakHyphen/>
              <w:t>corruption focus)</w:t>
            </w:r>
          </w:p>
        </w:tc>
        <w:tc>
          <w:tcPr>
            <w:tcW w:w="1276" w:type="dxa"/>
            <w:tcMar>
              <w:top w:w="150" w:type="dxa"/>
              <w:left w:w="240" w:type="dxa"/>
              <w:bottom w:w="150" w:type="dxa"/>
              <w:right w:w="240" w:type="dxa"/>
            </w:tcMar>
            <w:vAlign w:val="center"/>
            <w:hideMark/>
          </w:tcPr>
          <w:p w14:paraId="33C5A372"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0.7 (GDP ~5%)</w:t>
            </w:r>
          </w:p>
        </w:tc>
        <w:tc>
          <w:tcPr>
            <w:tcW w:w="2126" w:type="dxa"/>
            <w:tcMar>
              <w:top w:w="150" w:type="dxa"/>
              <w:left w:w="240" w:type="dxa"/>
              <w:bottom w:w="150" w:type="dxa"/>
              <w:right w:w="240" w:type="dxa"/>
            </w:tcMar>
            <w:vAlign w:val="center"/>
            <w:hideMark/>
          </w:tcPr>
          <w:p w14:paraId="401C0C54"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0.7 (CPI improved)</w:t>
            </w:r>
          </w:p>
        </w:tc>
        <w:tc>
          <w:tcPr>
            <w:tcW w:w="1843" w:type="dxa"/>
            <w:tcMar>
              <w:top w:w="150" w:type="dxa"/>
              <w:left w:w="240" w:type="dxa"/>
              <w:bottom w:w="150" w:type="dxa"/>
              <w:right w:w="240" w:type="dxa"/>
            </w:tcMar>
            <w:vAlign w:val="center"/>
            <w:hideMark/>
          </w:tcPr>
          <w:p w14:paraId="0F11CA09"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(partial)</w:t>
            </w:r>
          </w:p>
        </w:tc>
        <w:tc>
          <w:tcPr>
            <w:tcW w:w="1559" w:type="dxa"/>
            <w:tcMar>
              <w:top w:w="150" w:type="dxa"/>
              <w:left w:w="240" w:type="dxa"/>
              <w:bottom w:w="150" w:type="dxa"/>
              <w:right w:w="240" w:type="dxa"/>
            </w:tcMar>
            <w:vAlign w:val="center"/>
            <w:hideMark/>
          </w:tcPr>
          <w:p w14:paraId="388074B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(died in office)</w:t>
            </w:r>
          </w:p>
        </w:tc>
        <w:tc>
          <w:tcPr>
            <w:tcW w:w="1560" w:type="dxa"/>
            <w:tcMar>
              <w:top w:w="150" w:type="dxa"/>
              <w:left w:w="240" w:type="dxa"/>
              <w:bottom w:w="150" w:type="dxa"/>
              <w:right w:w="240" w:type="dxa"/>
            </w:tcMar>
            <w:vAlign w:val="center"/>
            <w:hideMark/>
          </w:tcPr>
          <w:p w14:paraId="330B5CB7"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w:t>
            </w:r>
          </w:p>
        </w:tc>
        <w:tc>
          <w:tcPr>
            <w:tcW w:w="1275" w:type="dxa"/>
            <w:tcMar>
              <w:top w:w="150" w:type="dxa"/>
              <w:left w:w="240" w:type="dxa"/>
              <w:bottom w:w="150" w:type="dxa"/>
              <w:right w:w="240" w:type="dxa"/>
            </w:tcMar>
            <w:vAlign w:val="center"/>
            <w:hideMark/>
          </w:tcPr>
          <w:p w14:paraId="55F09B17"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0.65</w:t>
            </w:r>
          </w:p>
        </w:tc>
        <w:tc>
          <w:tcPr>
            <w:tcW w:w="1560" w:type="dxa"/>
            <w:tcMar>
              <w:top w:w="150" w:type="dxa"/>
              <w:left w:w="240" w:type="dxa"/>
              <w:bottom w:w="150" w:type="dxa"/>
              <w:right w:w="0" w:type="dxa"/>
            </w:tcMar>
            <w:vAlign w:val="center"/>
            <w:hideMark/>
          </w:tcPr>
          <w:p w14:paraId="0A7AAD8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No (incomplete second term)</w:t>
            </w:r>
          </w:p>
        </w:tc>
      </w:tr>
      <w:tr w:rsidR="002D5F8D" w:rsidRPr="00395CEE" w14:paraId="27D4EA4F" w14:textId="77777777" w:rsidTr="00E9409B">
        <w:tc>
          <w:tcPr>
            <w:tcW w:w="1702" w:type="dxa"/>
            <w:tcMar>
              <w:top w:w="150" w:type="dxa"/>
              <w:left w:w="0" w:type="dxa"/>
              <w:bottom w:w="150" w:type="dxa"/>
              <w:right w:w="240" w:type="dxa"/>
            </w:tcMar>
            <w:vAlign w:val="center"/>
            <w:hideMark/>
          </w:tcPr>
          <w:p w14:paraId="625DA858"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proofErr w:type="spellStart"/>
            <w:r w:rsidRPr="00343148">
              <w:rPr>
                <w:rFonts w:ascii="Times New Roman" w:eastAsia="Times New Roman" w:hAnsi="Times New Roman" w:cs="Times New Roman"/>
                <w:b/>
                <w:bCs/>
                <w:sz w:val="24"/>
                <w:szCs w:val="24"/>
              </w:rPr>
              <w:t>Sata</w:t>
            </w:r>
            <w:proofErr w:type="spellEnd"/>
            <w:r w:rsidRPr="00343148">
              <w:rPr>
                <w:rFonts w:ascii="Times New Roman" w:eastAsia="Times New Roman" w:hAnsi="Times New Roman" w:cs="Times New Roman"/>
                <w:b/>
                <w:bCs/>
                <w:sz w:val="24"/>
                <w:szCs w:val="24"/>
              </w:rPr>
              <w:t xml:space="preserve"> (2011</w:t>
            </w:r>
            <w:r w:rsidRPr="00343148">
              <w:rPr>
                <w:rFonts w:ascii="Times New Roman" w:eastAsia="Times New Roman" w:hAnsi="Times New Roman" w:cs="Times New Roman"/>
                <w:b/>
                <w:bCs/>
                <w:sz w:val="24"/>
                <w:szCs w:val="24"/>
              </w:rPr>
              <w:noBreakHyphen/>
              <w:t>2014)</w:t>
            </w:r>
          </w:p>
        </w:tc>
        <w:tc>
          <w:tcPr>
            <w:tcW w:w="1417" w:type="dxa"/>
            <w:tcMar>
              <w:top w:w="150" w:type="dxa"/>
              <w:left w:w="240" w:type="dxa"/>
              <w:bottom w:w="150" w:type="dxa"/>
              <w:right w:w="240" w:type="dxa"/>
            </w:tcMar>
            <w:vAlign w:val="center"/>
            <w:hideMark/>
          </w:tcPr>
          <w:p w14:paraId="3E10154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0.4 (populist)</w:t>
            </w:r>
          </w:p>
        </w:tc>
        <w:tc>
          <w:tcPr>
            <w:tcW w:w="1276" w:type="dxa"/>
            <w:tcMar>
              <w:top w:w="150" w:type="dxa"/>
              <w:left w:w="240" w:type="dxa"/>
              <w:bottom w:w="150" w:type="dxa"/>
              <w:right w:w="240" w:type="dxa"/>
            </w:tcMar>
            <w:vAlign w:val="center"/>
            <w:hideMark/>
          </w:tcPr>
          <w:p w14:paraId="0A0C3DED"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w:t>
            </w:r>
          </w:p>
        </w:tc>
        <w:tc>
          <w:tcPr>
            <w:tcW w:w="2126" w:type="dxa"/>
            <w:tcMar>
              <w:top w:w="150" w:type="dxa"/>
              <w:left w:w="240" w:type="dxa"/>
              <w:bottom w:w="150" w:type="dxa"/>
              <w:right w:w="240" w:type="dxa"/>
            </w:tcMar>
            <w:vAlign w:val="center"/>
            <w:hideMark/>
          </w:tcPr>
          <w:p w14:paraId="12B06260"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w:t>
            </w:r>
          </w:p>
        </w:tc>
        <w:tc>
          <w:tcPr>
            <w:tcW w:w="1843" w:type="dxa"/>
            <w:tcMar>
              <w:top w:w="150" w:type="dxa"/>
              <w:left w:w="240" w:type="dxa"/>
              <w:bottom w:w="150" w:type="dxa"/>
              <w:right w:w="240" w:type="dxa"/>
            </w:tcMar>
            <w:vAlign w:val="center"/>
            <w:hideMark/>
          </w:tcPr>
          <w:p w14:paraId="13BAB5F9"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w:t>
            </w:r>
          </w:p>
        </w:tc>
        <w:tc>
          <w:tcPr>
            <w:tcW w:w="1559" w:type="dxa"/>
            <w:tcMar>
              <w:top w:w="150" w:type="dxa"/>
              <w:left w:w="240" w:type="dxa"/>
              <w:bottom w:w="150" w:type="dxa"/>
              <w:right w:w="240" w:type="dxa"/>
            </w:tcMar>
            <w:vAlign w:val="center"/>
            <w:hideMark/>
          </w:tcPr>
          <w:p w14:paraId="7CE3D4A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(died early)</w:t>
            </w:r>
          </w:p>
        </w:tc>
        <w:tc>
          <w:tcPr>
            <w:tcW w:w="1560" w:type="dxa"/>
            <w:tcMar>
              <w:top w:w="150" w:type="dxa"/>
              <w:left w:w="240" w:type="dxa"/>
              <w:bottom w:w="150" w:type="dxa"/>
              <w:right w:w="240" w:type="dxa"/>
            </w:tcMar>
            <w:vAlign w:val="center"/>
            <w:hideMark/>
          </w:tcPr>
          <w:p w14:paraId="4B627B56"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w:t>
            </w:r>
          </w:p>
        </w:tc>
        <w:tc>
          <w:tcPr>
            <w:tcW w:w="1275" w:type="dxa"/>
            <w:tcMar>
              <w:top w:w="150" w:type="dxa"/>
              <w:left w:w="240" w:type="dxa"/>
              <w:bottom w:w="150" w:type="dxa"/>
              <w:right w:w="240" w:type="dxa"/>
            </w:tcMar>
            <w:vAlign w:val="center"/>
            <w:hideMark/>
          </w:tcPr>
          <w:p w14:paraId="1C227C9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0.25</w:t>
            </w:r>
          </w:p>
        </w:tc>
        <w:tc>
          <w:tcPr>
            <w:tcW w:w="1560" w:type="dxa"/>
            <w:tcMar>
              <w:top w:w="150" w:type="dxa"/>
              <w:left w:w="240" w:type="dxa"/>
              <w:bottom w:w="150" w:type="dxa"/>
              <w:right w:w="0" w:type="dxa"/>
            </w:tcMar>
            <w:vAlign w:val="center"/>
            <w:hideMark/>
          </w:tcPr>
          <w:p w14:paraId="721196D9"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No</w:t>
            </w:r>
          </w:p>
        </w:tc>
      </w:tr>
      <w:tr w:rsidR="002D5F8D" w:rsidRPr="00395CEE" w14:paraId="3E9F612A" w14:textId="77777777" w:rsidTr="00E9409B">
        <w:tc>
          <w:tcPr>
            <w:tcW w:w="1702" w:type="dxa"/>
            <w:tcMar>
              <w:top w:w="150" w:type="dxa"/>
              <w:left w:w="0" w:type="dxa"/>
              <w:bottom w:w="150" w:type="dxa"/>
              <w:right w:w="240" w:type="dxa"/>
            </w:tcMar>
            <w:vAlign w:val="center"/>
            <w:hideMark/>
          </w:tcPr>
          <w:p w14:paraId="2E2DACB2"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Lungu (2015</w:t>
            </w:r>
            <w:r w:rsidRPr="00343148">
              <w:rPr>
                <w:rFonts w:ascii="Times New Roman" w:eastAsia="Times New Roman" w:hAnsi="Times New Roman" w:cs="Times New Roman"/>
                <w:b/>
                <w:bCs/>
                <w:sz w:val="24"/>
                <w:szCs w:val="24"/>
              </w:rPr>
              <w:noBreakHyphen/>
              <w:t>2021)</w:t>
            </w:r>
          </w:p>
        </w:tc>
        <w:tc>
          <w:tcPr>
            <w:tcW w:w="1417" w:type="dxa"/>
            <w:tcMar>
              <w:top w:w="150" w:type="dxa"/>
              <w:left w:w="240" w:type="dxa"/>
              <w:bottom w:w="150" w:type="dxa"/>
              <w:right w:w="240" w:type="dxa"/>
            </w:tcMar>
            <w:vAlign w:val="center"/>
            <w:hideMark/>
          </w:tcPr>
          <w:p w14:paraId="2946F3E5"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 (debt accumulation)</w:t>
            </w:r>
          </w:p>
        </w:tc>
        <w:tc>
          <w:tcPr>
            <w:tcW w:w="1276" w:type="dxa"/>
            <w:tcMar>
              <w:top w:w="150" w:type="dxa"/>
              <w:left w:w="240" w:type="dxa"/>
              <w:bottom w:w="150" w:type="dxa"/>
              <w:right w:w="240" w:type="dxa"/>
            </w:tcMar>
            <w:vAlign w:val="center"/>
            <w:hideMark/>
          </w:tcPr>
          <w:p w14:paraId="220759C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 (GDP &lt;3%)</w:t>
            </w:r>
          </w:p>
        </w:tc>
        <w:tc>
          <w:tcPr>
            <w:tcW w:w="2126" w:type="dxa"/>
            <w:tcMar>
              <w:top w:w="150" w:type="dxa"/>
              <w:left w:w="240" w:type="dxa"/>
              <w:bottom w:w="150" w:type="dxa"/>
              <w:right w:w="240" w:type="dxa"/>
            </w:tcMar>
            <w:vAlign w:val="center"/>
            <w:hideMark/>
          </w:tcPr>
          <w:p w14:paraId="0F0B187C"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0.2 (CPI decline)</w:t>
            </w:r>
          </w:p>
        </w:tc>
        <w:tc>
          <w:tcPr>
            <w:tcW w:w="1843" w:type="dxa"/>
            <w:tcMar>
              <w:top w:w="150" w:type="dxa"/>
              <w:left w:w="240" w:type="dxa"/>
              <w:bottom w:w="150" w:type="dxa"/>
              <w:right w:w="240" w:type="dxa"/>
            </w:tcMar>
            <w:vAlign w:val="center"/>
            <w:hideMark/>
          </w:tcPr>
          <w:p w14:paraId="37B6F895"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w:t>
            </w:r>
          </w:p>
        </w:tc>
        <w:tc>
          <w:tcPr>
            <w:tcW w:w="1559" w:type="dxa"/>
            <w:tcMar>
              <w:top w:w="150" w:type="dxa"/>
              <w:left w:w="240" w:type="dxa"/>
              <w:bottom w:w="150" w:type="dxa"/>
              <w:right w:w="240" w:type="dxa"/>
            </w:tcMar>
            <w:vAlign w:val="center"/>
            <w:hideMark/>
          </w:tcPr>
          <w:p w14:paraId="016B3410"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(no clear successor)</w:t>
            </w:r>
          </w:p>
        </w:tc>
        <w:tc>
          <w:tcPr>
            <w:tcW w:w="1560" w:type="dxa"/>
            <w:tcMar>
              <w:top w:w="150" w:type="dxa"/>
              <w:left w:w="240" w:type="dxa"/>
              <w:bottom w:w="150" w:type="dxa"/>
              <w:right w:w="240" w:type="dxa"/>
            </w:tcMar>
            <w:vAlign w:val="center"/>
            <w:hideMark/>
          </w:tcPr>
          <w:p w14:paraId="08B90BA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0.4</w:t>
            </w:r>
          </w:p>
        </w:tc>
        <w:tc>
          <w:tcPr>
            <w:tcW w:w="1275" w:type="dxa"/>
            <w:tcMar>
              <w:top w:w="150" w:type="dxa"/>
              <w:left w:w="240" w:type="dxa"/>
              <w:bottom w:w="150" w:type="dxa"/>
              <w:right w:w="240" w:type="dxa"/>
            </w:tcMar>
            <w:vAlign w:val="center"/>
            <w:hideMark/>
          </w:tcPr>
          <w:p w14:paraId="3E01B8B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0.20</w:t>
            </w:r>
          </w:p>
        </w:tc>
        <w:tc>
          <w:tcPr>
            <w:tcW w:w="1560" w:type="dxa"/>
            <w:tcMar>
              <w:top w:w="150" w:type="dxa"/>
              <w:left w:w="240" w:type="dxa"/>
              <w:bottom w:w="150" w:type="dxa"/>
              <w:right w:w="0" w:type="dxa"/>
            </w:tcMar>
            <w:vAlign w:val="center"/>
            <w:hideMark/>
          </w:tcPr>
          <w:p w14:paraId="6318847B"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No</w:t>
            </w:r>
          </w:p>
        </w:tc>
      </w:tr>
      <w:tr w:rsidR="002D5F8D" w:rsidRPr="00395CEE" w14:paraId="7ECCC0C0" w14:textId="77777777" w:rsidTr="00E9409B">
        <w:tc>
          <w:tcPr>
            <w:tcW w:w="1702" w:type="dxa"/>
            <w:tcMar>
              <w:top w:w="150" w:type="dxa"/>
              <w:left w:w="0" w:type="dxa"/>
              <w:bottom w:w="150" w:type="dxa"/>
              <w:right w:w="240" w:type="dxa"/>
            </w:tcMar>
            <w:vAlign w:val="center"/>
            <w:hideMark/>
          </w:tcPr>
          <w:p w14:paraId="035F531D"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Hichilema (2021</w:t>
            </w:r>
            <w:r w:rsidRPr="00343148">
              <w:rPr>
                <w:rFonts w:ascii="Times New Roman" w:eastAsia="Times New Roman" w:hAnsi="Times New Roman" w:cs="Times New Roman"/>
                <w:b/>
                <w:bCs/>
                <w:sz w:val="24"/>
                <w:szCs w:val="24"/>
              </w:rPr>
              <w:noBreakHyphen/>
              <w:t>2026, first term only)</w:t>
            </w:r>
          </w:p>
        </w:tc>
        <w:tc>
          <w:tcPr>
            <w:tcW w:w="1417" w:type="dxa"/>
            <w:tcMar>
              <w:top w:w="150" w:type="dxa"/>
              <w:left w:w="240" w:type="dxa"/>
              <w:bottom w:w="150" w:type="dxa"/>
              <w:right w:w="240" w:type="dxa"/>
            </w:tcMar>
            <w:vAlign w:val="center"/>
            <w:hideMark/>
          </w:tcPr>
          <w:p w14:paraId="7B04449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 xml:space="preserve">0.9 (IMF </w:t>
            </w:r>
            <w:proofErr w:type="spellStart"/>
            <w:r w:rsidRPr="00FB0B3B">
              <w:rPr>
                <w:rFonts w:ascii="Times New Roman" w:eastAsia="Times New Roman" w:hAnsi="Times New Roman" w:cs="Times New Roman"/>
                <w:sz w:val="24"/>
                <w:szCs w:val="24"/>
              </w:rPr>
              <w:t>programme</w:t>
            </w:r>
            <w:proofErr w:type="spellEnd"/>
            <w:r w:rsidRPr="00FB0B3B">
              <w:rPr>
                <w:rFonts w:ascii="Times New Roman" w:eastAsia="Times New Roman" w:hAnsi="Times New Roman" w:cs="Times New Roman"/>
                <w:sz w:val="24"/>
                <w:szCs w:val="24"/>
              </w:rPr>
              <w:t>, debt restructuring)</w:t>
            </w:r>
          </w:p>
        </w:tc>
        <w:tc>
          <w:tcPr>
            <w:tcW w:w="1276" w:type="dxa"/>
            <w:tcMar>
              <w:top w:w="150" w:type="dxa"/>
              <w:left w:w="240" w:type="dxa"/>
              <w:bottom w:w="150" w:type="dxa"/>
              <w:right w:w="240" w:type="dxa"/>
            </w:tcMar>
            <w:vAlign w:val="center"/>
            <w:hideMark/>
          </w:tcPr>
          <w:p w14:paraId="6DC94D5E" w14:textId="07BDC9AF"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 (GDP 4</w:t>
            </w:r>
            <w:r w:rsidR="0054601A">
              <w:rPr>
                <w:rFonts w:ascii="Times New Roman" w:eastAsia="Times New Roman" w:hAnsi="Times New Roman" w:cs="Times New Roman"/>
                <w:sz w:val="24"/>
                <w:szCs w:val="24"/>
              </w:rPr>
              <w:t>-</w:t>
            </w:r>
            <w:r w:rsidRPr="00FB0B3B">
              <w:rPr>
                <w:rFonts w:ascii="Times New Roman" w:eastAsia="Times New Roman" w:hAnsi="Times New Roman" w:cs="Times New Roman"/>
                <w:sz w:val="24"/>
                <w:szCs w:val="24"/>
              </w:rPr>
              <w:t>5%, infrastructure)</w:t>
            </w:r>
          </w:p>
        </w:tc>
        <w:tc>
          <w:tcPr>
            <w:tcW w:w="2126" w:type="dxa"/>
            <w:tcMar>
              <w:top w:w="150" w:type="dxa"/>
              <w:left w:w="240" w:type="dxa"/>
              <w:bottom w:w="150" w:type="dxa"/>
              <w:right w:w="240" w:type="dxa"/>
            </w:tcMar>
            <w:vAlign w:val="center"/>
            <w:hideMark/>
          </w:tcPr>
          <w:p w14:paraId="5EAA059C"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 (CPI stable to improving)</w:t>
            </w:r>
          </w:p>
        </w:tc>
        <w:tc>
          <w:tcPr>
            <w:tcW w:w="1843" w:type="dxa"/>
            <w:tcMar>
              <w:top w:w="150" w:type="dxa"/>
              <w:left w:w="240" w:type="dxa"/>
              <w:bottom w:w="150" w:type="dxa"/>
              <w:right w:w="240" w:type="dxa"/>
            </w:tcMar>
            <w:vAlign w:val="center"/>
            <w:hideMark/>
          </w:tcPr>
          <w:p w14:paraId="3BA6124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0.6 (economic advisory council created but not yet fully independent)</w:t>
            </w:r>
          </w:p>
        </w:tc>
        <w:tc>
          <w:tcPr>
            <w:tcW w:w="1559" w:type="dxa"/>
            <w:tcMar>
              <w:top w:w="150" w:type="dxa"/>
              <w:left w:w="240" w:type="dxa"/>
              <w:bottom w:w="150" w:type="dxa"/>
              <w:right w:w="240" w:type="dxa"/>
            </w:tcMar>
            <w:vAlign w:val="center"/>
            <w:hideMark/>
          </w:tcPr>
          <w:p w14:paraId="6D17269F"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(not yet applicable)</w:t>
            </w:r>
          </w:p>
        </w:tc>
        <w:tc>
          <w:tcPr>
            <w:tcW w:w="1560" w:type="dxa"/>
            <w:tcMar>
              <w:top w:w="150" w:type="dxa"/>
              <w:left w:w="240" w:type="dxa"/>
              <w:bottom w:w="150" w:type="dxa"/>
              <w:right w:w="240" w:type="dxa"/>
            </w:tcMar>
            <w:vAlign w:val="center"/>
            <w:hideMark/>
          </w:tcPr>
          <w:p w14:paraId="2C3187E4"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w:t>
            </w:r>
          </w:p>
        </w:tc>
        <w:tc>
          <w:tcPr>
            <w:tcW w:w="1275" w:type="dxa"/>
            <w:tcMar>
              <w:top w:w="150" w:type="dxa"/>
              <w:left w:w="240" w:type="dxa"/>
              <w:bottom w:w="150" w:type="dxa"/>
              <w:right w:w="240" w:type="dxa"/>
            </w:tcMar>
            <w:vAlign w:val="center"/>
            <w:hideMark/>
          </w:tcPr>
          <w:p w14:paraId="0336FF7D"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0.78</w:t>
            </w:r>
          </w:p>
        </w:tc>
        <w:tc>
          <w:tcPr>
            <w:tcW w:w="1560" w:type="dxa"/>
            <w:tcMar>
              <w:top w:w="150" w:type="dxa"/>
              <w:left w:w="240" w:type="dxa"/>
              <w:bottom w:w="150" w:type="dxa"/>
              <w:right w:w="0" w:type="dxa"/>
            </w:tcMar>
            <w:vAlign w:val="center"/>
            <w:hideMark/>
          </w:tcPr>
          <w:p w14:paraId="6FF400B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Provisional (would need second</w:t>
            </w:r>
            <w:r w:rsidRPr="00FB0B3B">
              <w:rPr>
                <w:rFonts w:ascii="Times New Roman" w:eastAsia="Times New Roman" w:hAnsi="Times New Roman" w:cs="Times New Roman"/>
                <w:sz w:val="24"/>
                <w:szCs w:val="24"/>
              </w:rPr>
              <w:noBreakHyphen/>
              <w:t>term performance and succession planning)</w:t>
            </w:r>
          </w:p>
        </w:tc>
      </w:tr>
    </w:tbl>
    <w:p w14:paraId="1E1437A9" w14:textId="3321D5AF" w:rsidR="00322B87" w:rsidRPr="0008532C"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Findings:</w:t>
      </w:r>
      <w:r w:rsidRPr="00395CEE">
        <w:rPr>
          <w:rFonts w:ascii="Times New Roman" w:eastAsia="Times New Roman" w:hAnsi="Times New Roman" w:cs="Times New Roman"/>
          <w:color w:val="0F1115"/>
          <w:sz w:val="24"/>
          <w:szCs w:val="24"/>
        </w:rPr>
        <w:t> Only the incumbent (Hichilema) approaches the threshold at the end of a theoretical second term, and even then, succession planning (trait 5) is a deliberate hurdle. No past president would have qualified. This counterfactual shows that the mechanism is extremely selective</w:t>
      </w:r>
      <w:r w:rsidR="00014614">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it rewards exceptional performance, not routine incumbency. It thus addresses the concern that extension would become the norm.</w:t>
      </w:r>
    </w:p>
    <w:p w14:paraId="2A0DF6B9" w14:textId="49BACB40" w:rsidR="00395CEE" w:rsidRPr="00045B6A"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9.0 Addressing Counterarguments</w:t>
      </w:r>
    </w:p>
    <w:p w14:paraId="74BEEA87"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Four counterarguments are anticipated and must be addressed.</w:t>
      </w:r>
    </w:p>
    <w:p w14:paraId="6758C0E6" w14:textId="4E9ECC35" w:rsidR="005213C6" w:rsidRDefault="00395CEE" w:rsidP="00A44D24">
      <w:pPr>
        <w:shd w:val="clear" w:color="auto" w:fill="FFFFFF"/>
        <w:spacing w:after="0" w:line="276" w:lineRule="auto"/>
        <w:rPr>
          <w:rFonts w:ascii="Times New Roman" w:eastAsia="Times New Roman" w:hAnsi="Times New Roman" w:cs="Times New Roman"/>
          <w:i/>
          <w:iCs/>
          <w:color w:val="0F1115"/>
          <w:sz w:val="24"/>
          <w:szCs w:val="24"/>
        </w:rPr>
      </w:pPr>
      <w:r w:rsidRPr="00395CEE">
        <w:rPr>
          <w:rFonts w:ascii="Times New Roman" w:eastAsia="Times New Roman" w:hAnsi="Times New Roman" w:cs="Times New Roman"/>
          <w:b/>
          <w:bCs/>
          <w:color w:val="0F1115"/>
          <w:sz w:val="24"/>
          <w:szCs w:val="24"/>
        </w:rPr>
        <w:t>Counterargument 1: Any extension of term limits will reopen the door to Kaunda</w:t>
      </w:r>
      <w:r w:rsidRPr="00395CEE">
        <w:rPr>
          <w:rFonts w:ascii="Times New Roman" w:eastAsia="Times New Roman" w:hAnsi="Times New Roman" w:cs="Times New Roman"/>
          <w:b/>
          <w:bCs/>
          <w:color w:val="0F1115"/>
          <w:sz w:val="24"/>
          <w:szCs w:val="24"/>
        </w:rPr>
        <w:noBreakHyphen/>
        <w:t>style 27</w:t>
      </w:r>
      <w:r w:rsidRPr="00395CEE">
        <w:rPr>
          <w:rFonts w:ascii="Times New Roman" w:eastAsia="Times New Roman" w:hAnsi="Times New Roman" w:cs="Times New Roman"/>
          <w:b/>
          <w:bCs/>
          <w:color w:val="0F1115"/>
          <w:sz w:val="24"/>
          <w:szCs w:val="24"/>
        </w:rPr>
        <w:noBreakHyphen/>
        <w:t>year rule.</w:t>
      </w:r>
    </w:p>
    <w:p w14:paraId="5B3824AB" w14:textId="5A4D6CEE" w:rsidR="00395CEE" w:rsidRPr="005213C6" w:rsidRDefault="00395CEE" w:rsidP="00A44D24">
      <w:pPr>
        <w:shd w:val="clear" w:color="auto" w:fill="FFFFFF"/>
        <w:spacing w:after="0" w:line="276" w:lineRule="auto"/>
        <w:jc w:val="both"/>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color w:val="0F1115"/>
          <w:sz w:val="24"/>
          <w:szCs w:val="24"/>
        </w:rPr>
        <w:t>The proposed mechanism is materially different from the 1972</w:t>
      </w:r>
      <w:r w:rsidR="005213C6">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1991 one</w:t>
      </w:r>
      <w:r w:rsidRPr="00395CEE">
        <w:rPr>
          <w:rFonts w:ascii="Times New Roman" w:eastAsia="Times New Roman" w:hAnsi="Times New Roman" w:cs="Times New Roman"/>
          <w:color w:val="0F1115"/>
          <w:sz w:val="24"/>
          <w:szCs w:val="24"/>
        </w:rPr>
        <w:noBreakHyphen/>
        <w:t>party state. Under the Second Republic, there were no term limits, no independent judiciary, no multi</w:t>
      </w:r>
      <w:r w:rsidRPr="00395CEE">
        <w:rPr>
          <w:rFonts w:ascii="Times New Roman" w:eastAsia="Times New Roman" w:hAnsi="Times New Roman" w:cs="Times New Roman"/>
          <w:color w:val="0F1115"/>
          <w:sz w:val="24"/>
          <w:szCs w:val="24"/>
        </w:rPr>
        <w:noBreakHyphen/>
        <w:t>party elections, no parliamentary super</w:t>
      </w:r>
      <w:r w:rsidRPr="00395CEE">
        <w:rPr>
          <w:rFonts w:ascii="Times New Roman" w:eastAsia="Times New Roman" w:hAnsi="Times New Roman" w:cs="Times New Roman"/>
          <w:color w:val="0F1115"/>
          <w:sz w:val="24"/>
          <w:szCs w:val="24"/>
        </w:rPr>
        <w:noBreakHyphen/>
        <w:t>majority requirement, and no referendum backstop (</w:t>
      </w:r>
      <w:proofErr w:type="spellStart"/>
      <w:r w:rsidRPr="00395CEE">
        <w:rPr>
          <w:rFonts w:ascii="Times New Roman" w:eastAsia="Times New Roman" w:hAnsi="Times New Roman" w:cs="Times New Roman"/>
          <w:color w:val="0F1115"/>
          <w:sz w:val="24"/>
          <w:szCs w:val="24"/>
        </w:rPr>
        <w:t>Sardanis</w:t>
      </w:r>
      <w:proofErr w:type="spellEnd"/>
      <w:r w:rsidRPr="00395CEE">
        <w:rPr>
          <w:rFonts w:ascii="Times New Roman" w:eastAsia="Times New Roman" w:hAnsi="Times New Roman" w:cs="Times New Roman"/>
          <w:color w:val="0F1115"/>
          <w:sz w:val="24"/>
          <w:szCs w:val="24"/>
        </w:rPr>
        <w:t>, 2014). The proposed Article 106(4)(6) imposes </w:t>
      </w:r>
      <w:r w:rsidRPr="00395CEE">
        <w:rPr>
          <w:rFonts w:ascii="Times New Roman" w:eastAsia="Times New Roman" w:hAnsi="Times New Roman" w:cs="Times New Roman"/>
          <w:b/>
          <w:bCs/>
          <w:color w:val="0F1115"/>
          <w:sz w:val="24"/>
          <w:szCs w:val="24"/>
        </w:rPr>
        <w:t>four distinct veto points</w:t>
      </w:r>
      <w:r w:rsidRPr="00395CEE">
        <w:rPr>
          <w:rFonts w:ascii="Times New Roman" w:eastAsia="Times New Roman" w:hAnsi="Times New Roman" w:cs="Times New Roman"/>
          <w:color w:val="0F1115"/>
          <w:sz w:val="24"/>
          <w:szCs w:val="24"/>
        </w:rPr>
        <w:t>: PPRC certification, two</w:t>
      </w:r>
      <w:r w:rsidRPr="00395CEE">
        <w:rPr>
          <w:rFonts w:ascii="Times New Roman" w:eastAsia="Times New Roman" w:hAnsi="Times New Roman" w:cs="Times New Roman"/>
          <w:color w:val="0F1115"/>
          <w:sz w:val="24"/>
          <w:szCs w:val="24"/>
        </w:rPr>
        <w:noBreakHyphen/>
        <w:t>thirds parliamentary approval, national referendum with 50% turnout, and non</w:t>
      </w:r>
      <w:r w:rsidRPr="00395CEE">
        <w:rPr>
          <w:rFonts w:ascii="Times New Roman" w:eastAsia="Times New Roman" w:hAnsi="Times New Roman" w:cs="Times New Roman"/>
          <w:color w:val="0F1115"/>
          <w:sz w:val="24"/>
          <w:szCs w:val="24"/>
        </w:rPr>
        <w:noBreakHyphen/>
        <w:t>renewability. This is closer to the US Twenty</w:t>
      </w:r>
      <w:r w:rsidRPr="00395CEE">
        <w:rPr>
          <w:rFonts w:ascii="Times New Roman" w:eastAsia="Times New Roman" w:hAnsi="Times New Roman" w:cs="Times New Roman"/>
          <w:color w:val="0F1115"/>
          <w:sz w:val="24"/>
          <w:szCs w:val="24"/>
        </w:rPr>
        <w:noBreakHyphen/>
        <w:t>Second Amendment (which allows two terms but no more) than to Kaunda’s open</w:t>
      </w:r>
      <w:r w:rsidRPr="00395CEE">
        <w:rPr>
          <w:rFonts w:ascii="Times New Roman" w:eastAsia="Times New Roman" w:hAnsi="Times New Roman" w:cs="Times New Roman"/>
          <w:color w:val="0F1115"/>
          <w:sz w:val="24"/>
          <w:szCs w:val="24"/>
        </w:rPr>
        <w:noBreakHyphen/>
        <w:t>ended rule.</w:t>
      </w:r>
    </w:p>
    <w:p w14:paraId="29613184" w14:textId="77777777" w:rsidR="007E2684" w:rsidRDefault="00395CEE" w:rsidP="00472161">
      <w:pPr>
        <w:shd w:val="clear" w:color="auto" w:fill="FFFFFF"/>
        <w:spacing w:after="0" w:line="276" w:lineRule="auto"/>
        <w:jc w:val="both"/>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Counterargument 2: Zambia’s democratic credentials rest on the certainty of presidential rotation.</w:t>
      </w:r>
    </w:p>
    <w:p w14:paraId="13E3960E" w14:textId="1A78DA73" w:rsidR="00395CEE" w:rsidRPr="008A4468" w:rsidRDefault="00395CEE" w:rsidP="00472161">
      <w:pPr>
        <w:shd w:val="clear" w:color="auto" w:fill="FFFFFF"/>
        <w:spacing w:after="0" w:line="276" w:lineRule="auto"/>
        <w:jc w:val="both"/>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color w:val="0F1115"/>
          <w:sz w:val="24"/>
          <w:szCs w:val="24"/>
        </w:rPr>
        <w:br/>
        <w:t>Democratic stability does not require </w:t>
      </w:r>
      <w:r w:rsidRPr="00395CEE">
        <w:rPr>
          <w:rFonts w:ascii="Times New Roman" w:eastAsia="Times New Roman" w:hAnsi="Times New Roman" w:cs="Times New Roman"/>
          <w:i/>
          <w:iCs/>
          <w:color w:val="0F1115"/>
          <w:sz w:val="24"/>
          <w:szCs w:val="24"/>
        </w:rPr>
        <w:t>maximum</w:t>
      </w:r>
      <w:r w:rsidRPr="00395CEE">
        <w:rPr>
          <w:rFonts w:ascii="Times New Roman" w:eastAsia="Times New Roman" w:hAnsi="Times New Roman" w:cs="Times New Roman"/>
          <w:color w:val="0F1115"/>
          <w:sz w:val="24"/>
          <w:szCs w:val="24"/>
        </w:rPr>
        <w:t> rotation; it requires </w:t>
      </w:r>
      <w:r w:rsidRPr="00395CEE">
        <w:rPr>
          <w:rFonts w:ascii="Times New Roman" w:eastAsia="Times New Roman" w:hAnsi="Times New Roman" w:cs="Times New Roman"/>
          <w:i/>
          <w:iCs/>
          <w:color w:val="0F1115"/>
          <w:sz w:val="24"/>
          <w:szCs w:val="24"/>
        </w:rPr>
        <w:t>predictable</w:t>
      </w:r>
      <w:r w:rsidRPr="00395CEE">
        <w:rPr>
          <w:rFonts w:ascii="Times New Roman" w:eastAsia="Times New Roman" w:hAnsi="Times New Roman" w:cs="Times New Roman"/>
          <w:color w:val="0F1115"/>
          <w:sz w:val="24"/>
          <w:szCs w:val="24"/>
        </w:rPr>
        <w:t> and </w:t>
      </w:r>
      <w:r w:rsidRPr="00395CEE">
        <w:rPr>
          <w:rFonts w:ascii="Times New Roman" w:eastAsia="Times New Roman" w:hAnsi="Times New Roman" w:cs="Times New Roman"/>
          <w:i/>
          <w:iCs/>
          <w:color w:val="0F1115"/>
          <w:sz w:val="24"/>
          <w:szCs w:val="24"/>
        </w:rPr>
        <w:t>lawful</w:t>
      </w:r>
      <w:r w:rsidRPr="00395CEE">
        <w:rPr>
          <w:rFonts w:ascii="Times New Roman" w:eastAsia="Times New Roman" w:hAnsi="Times New Roman" w:cs="Times New Roman"/>
          <w:color w:val="0F1115"/>
          <w:sz w:val="24"/>
          <w:szCs w:val="24"/>
        </w:rPr>
        <w:t> rotation. The proposed mechanism remains lawful</w:t>
      </w:r>
      <w:r w:rsidR="00E249C1">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it is a constitutional amendment passed through the procedures set out in Article 79 (which requires a referendum for amendments affecting presidential terms). Moreover, the mechanism preserves rotation for all presidents who do not meet the performance criteria. Only a proven, high</w:t>
      </w:r>
      <w:r w:rsidRPr="00395CEE">
        <w:rPr>
          <w:rFonts w:ascii="Times New Roman" w:eastAsia="Times New Roman" w:hAnsi="Times New Roman" w:cs="Times New Roman"/>
          <w:color w:val="0F1115"/>
          <w:sz w:val="24"/>
          <w:szCs w:val="24"/>
        </w:rPr>
        <w:noBreakHyphen/>
        <w:t>performing president may access the third term and only once.</w:t>
      </w:r>
    </w:p>
    <w:p w14:paraId="26BEA3F6" w14:textId="652F1DBD" w:rsidR="00625B7F" w:rsidRDefault="00395CEE" w:rsidP="00A44D24">
      <w:pPr>
        <w:shd w:val="clear" w:color="auto" w:fill="FFFFFF"/>
        <w:spacing w:before="240" w:after="240" w:line="276" w:lineRule="auto"/>
        <w:rPr>
          <w:rFonts w:ascii="Times New Roman" w:eastAsia="Times New Roman" w:hAnsi="Times New Roman" w:cs="Times New Roman"/>
          <w:i/>
          <w:iCs/>
          <w:color w:val="0F1115"/>
          <w:sz w:val="24"/>
          <w:szCs w:val="24"/>
        </w:rPr>
      </w:pPr>
      <w:r w:rsidRPr="00395CEE">
        <w:rPr>
          <w:rFonts w:ascii="Times New Roman" w:eastAsia="Times New Roman" w:hAnsi="Times New Roman" w:cs="Times New Roman"/>
          <w:b/>
          <w:bCs/>
          <w:color w:val="0F1115"/>
          <w:sz w:val="24"/>
          <w:szCs w:val="24"/>
        </w:rPr>
        <w:t>Counterargument 3: The Asian Tigers were authoritarian; Zambia is a democracy. The model does not transfer.</w:t>
      </w:r>
    </w:p>
    <w:p w14:paraId="1D005A13" w14:textId="695B0DD9"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is a category error. The relevant transfer is not of authoritarianism but of </w:t>
      </w:r>
      <w:r w:rsidRPr="00395CEE">
        <w:rPr>
          <w:rFonts w:ascii="Times New Roman" w:eastAsia="Times New Roman" w:hAnsi="Times New Roman" w:cs="Times New Roman"/>
          <w:b/>
          <w:bCs/>
          <w:color w:val="0F1115"/>
          <w:sz w:val="24"/>
          <w:szCs w:val="24"/>
        </w:rPr>
        <w:t>institutional design</w:t>
      </w:r>
      <w:r w:rsidRPr="00395CEE">
        <w:rPr>
          <w:rFonts w:ascii="Times New Roman" w:eastAsia="Times New Roman" w:hAnsi="Times New Roman" w:cs="Times New Roman"/>
          <w:color w:val="0F1115"/>
          <w:sz w:val="24"/>
          <w:szCs w:val="24"/>
        </w:rPr>
        <w:t xml:space="preserve"> specifically, the conditions of insulated technocratic autonomy and meritocratic bureaucracy (Haggard, 2018). Zambia’s Act No. 7 of 2025 has already moved toward those conditions by expanding the legislature’s technocratic inflow (PTI=1) and removing mayoral term limits. The proposed executive extension is the logical completion of that developmental state architecture, not a departure from it. Furthermore, the proposed mechanism includes </w:t>
      </w:r>
      <w:r w:rsidRPr="00395CEE">
        <w:rPr>
          <w:rFonts w:ascii="Times New Roman" w:eastAsia="Times New Roman" w:hAnsi="Times New Roman" w:cs="Times New Roman"/>
          <w:i/>
          <w:iCs/>
          <w:color w:val="0F1115"/>
          <w:sz w:val="24"/>
          <w:szCs w:val="24"/>
        </w:rPr>
        <w:t>more</w:t>
      </w:r>
      <w:r w:rsidRPr="00395CEE">
        <w:rPr>
          <w:rFonts w:ascii="Times New Roman" w:eastAsia="Times New Roman" w:hAnsi="Times New Roman" w:cs="Times New Roman"/>
          <w:color w:val="0F1115"/>
          <w:sz w:val="24"/>
          <w:szCs w:val="24"/>
        </w:rPr>
        <w:t> democratic checks (referendum, super</w:t>
      </w:r>
      <w:r w:rsidRPr="00395CEE">
        <w:rPr>
          <w:rFonts w:ascii="Times New Roman" w:eastAsia="Times New Roman" w:hAnsi="Times New Roman" w:cs="Times New Roman"/>
          <w:color w:val="0F1115"/>
          <w:sz w:val="24"/>
          <w:szCs w:val="24"/>
        </w:rPr>
        <w:noBreakHyphen/>
        <w:t>majority) than existed in any Asian Tiger during its take</w:t>
      </w:r>
      <w:r w:rsidRPr="00395CEE">
        <w:rPr>
          <w:rFonts w:ascii="Times New Roman" w:eastAsia="Times New Roman" w:hAnsi="Times New Roman" w:cs="Times New Roman"/>
          <w:color w:val="0F1115"/>
          <w:sz w:val="24"/>
          <w:szCs w:val="24"/>
        </w:rPr>
        <w:noBreakHyphen/>
        <w:t>off.</w:t>
      </w:r>
    </w:p>
    <w:p w14:paraId="7DCA970F" w14:textId="775AD719" w:rsidR="00901E32" w:rsidRPr="00CA5AFA" w:rsidRDefault="00395CEE" w:rsidP="00A44D24">
      <w:pPr>
        <w:shd w:val="clear" w:color="auto" w:fill="FFFFFF"/>
        <w:spacing w:before="240" w:after="240" w:line="276" w:lineRule="auto"/>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Counterargument 4: Term limits are empirically shown to reduce corruption and clientelism (</w:t>
      </w:r>
      <w:proofErr w:type="spellStart"/>
      <w:r w:rsidRPr="00395CEE">
        <w:rPr>
          <w:rFonts w:ascii="Times New Roman" w:eastAsia="Times New Roman" w:hAnsi="Times New Roman" w:cs="Times New Roman"/>
          <w:b/>
          <w:bCs/>
          <w:color w:val="0F1115"/>
          <w:sz w:val="24"/>
          <w:szCs w:val="24"/>
        </w:rPr>
        <w:t>Besley</w:t>
      </w:r>
      <w:proofErr w:type="spellEnd"/>
      <w:r w:rsidRPr="00395CEE">
        <w:rPr>
          <w:rFonts w:ascii="Times New Roman" w:eastAsia="Times New Roman" w:hAnsi="Times New Roman" w:cs="Times New Roman"/>
          <w:b/>
          <w:bCs/>
          <w:color w:val="0F1115"/>
          <w:sz w:val="24"/>
          <w:szCs w:val="24"/>
        </w:rPr>
        <w:t xml:space="preserve"> and </w:t>
      </w:r>
      <w:proofErr w:type="spellStart"/>
      <w:r w:rsidRPr="00395CEE">
        <w:rPr>
          <w:rFonts w:ascii="Times New Roman" w:eastAsia="Times New Roman" w:hAnsi="Times New Roman" w:cs="Times New Roman"/>
          <w:b/>
          <w:bCs/>
          <w:color w:val="0F1115"/>
          <w:sz w:val="24"/>
          <w:szCs w:val="24"/>
        </w:rPr>
        <w:t>Reynal</w:t>
      </w:r>
      <w:proofErr w:type="spellEnd"/>
      <w:r w:rsidRPr="00395CEE">
        <w:rPr>
          <w:rFonts w:ascii="Times New Roman" w:eastAsia="Times New Roman" w:hAnsi="Times New Roman" w:cs="Times New Roman"/>
          <w:b/>
          <w:bCs/>
          <w:color w:val="0F1115"/>
          <w:sz w:val="24"/>
          <w:szCs w:val="24"/>
        </w:rPr>
        <w:noBreakHyphen/>
        <w:t xml:space="preserve">Querol, 2011; Acemoglu, Robinson and </w:t>
      </w:r>
      <w:proofErr w:type="spellStart"/>
      <w:r w:rsidRPr="00395CEE">
        <w:rPr>
          <w:rFonts w:ascii="Times New Roman" w:eastAsia="Times New Roman" w:hAnsi="Times New Roman" w:cs="Times New Roman"/>
          <w:b/>
          <w:bCs/>
          <w:color w:val="0F1115"/>
          <w:sz w:val="24"/>
          <w:szCs w:val="24"/>
        </w:rPr>
        <w:t>Torvik</w:t>
      </w:r>
      <w:proofErr w:type="spellEnd"/>
      <w:r w:rsidRPr="00395CEE">
        <w:rPr>
          <w:rFonts w:ascii="Times New Roman" w:eastAsia="Times New Roman" w:hAnsi="Times New Roman" w:cs="Times New Roman"/>
          <w:b/>
          <w:bCs/>
          <w:color w:val="0F1115"/>
          <w:sz w:val="24"/>
          <w:szCs w:val="24"/>
        </w:rPr>
        <w:t>, 2013). Extending them, even conditionally, risks undoing these gains.</w:t>
      </w:r>
    </w:p>
    <w:p w14:paraId="318C4D37" w14:textId="5B71F895" w:rsidR="00395CEE" w:rsidRPr="00CA1477"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mechanism is designed to preserve the anti</w:t>
      </w:r>
      <w:r w:rsidRPr="00395CEE">
        <w:rPr>
          <w:rFonts w:ascii="Times New Roman" w:eastAsia="Times New Roman" w:hAnsi="Times New Roman" w:cs="Times New Roman"/>
          <w:color w:val="0F1115"/>
          <w:sz w:val="24"/>
          <w:szCs w:val="24"/>
        </w:rPr>
        <w:noBreakHyphen/>
        <w:t>corruption benefits of term limits for the vast majority of presidents (who, as shown in the counterfactual, will not qualify). Moreover, the anti</w:t>
      </w:r>
      <w:r w:rsidRPr="00395CEE">
        <w:rPr>
          <w:rFonts w:ascii="Times New Roman" w:eastAsia="Times New Roman" w:hAnsi="Times New Roman" w:cs="Times New Roman"/>
          <w:color w:val="0F1115"/>
          <w:sz w:val="24"/>
          <w:szCs w:val="24"/>
        </w:rPr>
        <w:noBreakHyphen/>
        <w:t>corruption trait (trait 3) is explicitly included among the six criteria. A president who has not improved Zambia’s CPI score by at least 5 points cannot be certified. Thus, the mechanism </w:t>
      </w:r>
      <w:r w:rsidRPr="00395CEE">
        <w:rPr>
          <w:rFonts w:ascii="Times New Roman" w:eastAsia="Times New Roman" w:hAnsi="Times New Roman" w:cs="Times New Roman"/>
          <w:i/>
          <w:iCs/>
          <w:color w:val="0F1115"/>
          <w:sz w:val="24"/>
          <w:szCs w:val="24"/>
        </w:rPr>
        <w:t>rewards</w:t>
      </w:r>
      <w:r w:rsidRPr="00395CEE">
        <w:rPr>
          <w:rFonts w:ascii="Times New Roman" w:eastAsia="Times New Roman" w:hAnsi="Times New Roman" w:cs="Times New Roman"/>
          <w:color w:val="0F1115"/>
          <w:sz w:val="24"/>
          <w:szCs w:val="24"/>
        </w:rPr>
        <w:t> anti</w:t>
      </w:r>
      <w:r w:rsidRPr="00395CEE">
        <w:rPr>
          <w:rFonts w:ascii="Times New Roman" w:eastAsia="Times New Roman" w:hAnsi="Times New Roman" w:cs="Times New Roman"/>
          <w:color w:val="0F1115"/>
          <w:sz w:val="24"/>
          <w:szCs w:val="24"/>
        </w:rPr>
        <w:noBreakHyphen/>
        <w:t xml:space="preserve">corruption performance rather than undermining it. </w:t>
      </w:r>
      <w:proofErr w:type="spellStart"/>
      <w:r w:rsidRPr="00395CEE">
        <w:rPr>
          <w:rFonts w:ascii="Times New Roman" w:eastAsia="Times New Roman" w:hAnsi="Times New Roman" w:cs="Times New Roman"/>
          <w:color w:val="0F1115"/>
          <w:sz w:val="24"/>
          <w:szCs w:val="24"/>
        </w:rPr>
        <w:t>Besley</w:t>
      </w:r>
      <w:proofErr w:type="spellEnd"/>
      <w:r w:rsidRPr="00395CEE">
        <w:rPr>
          <w:rFonts w:ascii="Times New Roman" w:eastAsia="Times New Roman" w:hAnsi="Times New Roman" w:cs="Times New Roman"/>
          <w:color w:val="0F1115"/>
          <w:sz w:val="24"/>
          <w:szCs w:val="24"/>
        </w:rPr>
        <w:t xml:space="preserve"> and </w:t>
      </w:r>
      <w:proofErr w:type="spellStart"/>
      <w:r w:rsidRPr="00395CEE">
        <w:rPr>
          <w:rFonts w:ascii="Times New Roman" w:eastAsia="Times New Roman" w:hAnsi="Times New Roman" w:cs="Times New Roman"/>
          <w:color w:val="0F1115"/>
          <w:sz w:val="24"/>
          <w:szCs w:val="24"/>
        </w:rPr>
        <w:t>Reynal</w:t>
      </w:r>
      <w:proofErr w:type="spellEnd"/>
      <w:r w:rsidRPr="00395CEE">
        <w:rPr>
          <w:rFonts w:ascii="Times New Roman" w:eastAsia="Times New Roman" w:hAnsi="Times New Roman" w:cs="Times New Roman"/>
          <w:color w:val="0F1115"/>
          <w:sz w:val="24"/>
          <w:szCs w:val="24"/>
        </w:rPr>
        <w:noBreakHyphen/>
        <w:t>Querol (2011, p. 28) themselves note that “rules</w:t>
      </w:r>
      <w:r w:rsidRPr="00395CEE">
        <w:rPr>
          <w:rFonts w:ascii="Times New Roman" w:eastAsia="Times New Roman" w:hAnsi="Times New Roman" w:cs="Times New Roman"/>
          <w:color w:val="0F1115"/>
          <w:sz w:val="24"/>
          <w:szCs w:val="24"/>
        </w:rPr>
        <w:noBreakHyphen/>
        <w:t>based, transparent exceptions for exceptional performance could be welfare</w:t>
      </w:r>
      <w:r w:rsidRPr="00395CEE">
        <w:rPr>
          <w:rFonts w:ascii="Times New Roman" w:eastAsia="Times New Roman" w:hAnsi="Times New Roman" w:cs="Times New Roman"/>
          <w:color w:val="0F1115"/>
          <w:sz w:val="24"/>
          <w:szCs w:val="24"/>
        </w:rPr>
        <w:noBreakHyphen/>
        <w:t>improving, provided they are not easily manipulated.” The proposed PPRC certification and referendum backstop meet that condition.</w:t>
      </w:r>
      <w:r w:rsidR="00CA1477">
        <w:rPr>
          <w:rFonts w:ascii="Times New Roman" w:eastAsia="Times New Roman" w:hAnsi="Times New Roman" w:cs="Times New Roman"/>
          <w:color w:val="0F1115"/>
          <w:sz w:val="24"/>
          <w:szCs w:val="24"/>
        </w:rPr>
        <w:t xml:space="preserve"> </w:t>
      </w:r>
      <w:r w:rsidR="00CA1477" w:rsidRPr="00CA1477">
        <w:rPr>
          <w:rStyle w:val="citation-107"/>
          <w:rFonts w:ascii="Times New Roman" w:hAnsi="Times New Roman" w:cs="Times New Roman"/>
          <w:sz w:val="24"/>
          <w:szCs w:val="24"/>
        </w:rPr>
        <w:t>The proposed PPRC certification and referendum backstop meet that condition</w:t>
      </w:r>
      <w:r w:rsidR="00CA1477" w:rsidRPr="00CA1477">
        <w:rPr>
          <w:rFonts w:ascii="Times New Roman" w:hAnsi="Times New Roman" w:cs="Times New Roman"/>
          <w:sz w:val="24"/>
          <w:szCs w:val="24"/>
        </w:rPr>
        <w:t xml:space="preserve">. By explicitly denying voting rights to executive appointees on the commission and entrenching a veto-proof, democratically elected civil society cohort, the architecture actively operationalizes the anti-corruption mandates demanded by </w:t>
      </w:r>
      <w:proofErr w:type="spellStart"/>
      <w:r w:rsidR="00CA1477" w:rsidRPr="00CA1477">
        <w:rPr>
          <w:rFonts w:ascii="Times New Roman" w:hAnsi="Times New Roman" w:cs="Times New Roman"/>
          <w:sz w:val="24"/>
          <w:szCs w:val="24"/>
        </w:rPr>
        <w:t>Besley</w:t>
      </w:r>
      <w:proofErr w:type="spellEnd"/>
      <w:r w:rsidR="00CA1477" w:rsidRPr="00CA1477">
        <w:rPr>
          <w:rFonts w:ascii="Times New Roman" w:hAnsi="Times New Roman" w:cs="Times New Roman"/>
          <w:sz w:val="24"/>
          <w:szCs w:val="24"/>
        </w:rPr>
        <w:t xml:space="preserve"> and </w:t>
      </w:r>
      <w:proofErr w:type="spellStart"/>
      <w:r w:rsidR="00CA1477" w:rsidRPr="00CA1477">
        <w:rPr>
          <w:rFonts w:ascii="Times New Roman" w:hAnsi="Times New Roman" w:cs="Times New Roman"/>
          <w:sz w:val="24"/>
          <w:szCs w:val="24"/>
        </w:rPr>
        <w:t>Reynal</w:t>
      </w:r>
      <w:proofErr w:type="spellEnd"/>
      <w:r w:rsidR="00CA1477" w:rsidRPr="00CA1477">
        <w:rPr>
          <w:rFonts w:ascii="Times New Roman" w:hAnsi="Times New Roman" w:cs="Times New Roman"/>
          <w:sz w:val="24"/>
          <w:szCs w:val="24"/>
        </w:rPr>
        <w:t>-Querol (2011). It transforms the certification from a subjective political hurdle into an un-manipulable, rules-based institution.</w:t>
      </w:r>
    </w:p>
    <w:p w14:paraId="619F43B7" w14:textId="6C72F75C"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 xml:space="preserve">10.0 Conclusion: From Procedural Democracy to Developmental Democracy </w:t>
      </w:r>
      <w:r w:rsidR="00721392">
        <w:rPr>
          <w:rFonts w:ascii="Times New Roman" w:eastAsia="Times New Roman" w:hAnsi="Times New Roman" w:cs="Times New Roman"/>
          <w:b/>
          <w:bCs/>
          <w:color w:val="0F1115"/>
          <w:sz w:val="24"/>
          <w:szCs w:val="24"/>
        </w:rPr>
        <w:t>-</w:t>
      </w:r>
      <w:r w:rsidRPr="00395CEE">
        <w:rPr>
          <w:rFonts w:ascii="Times New Roman" w:eastAsia="Times New Roman" w:hAnsi="Times New Roman" w:cs="Times New Roman"/>
          <w:b/>
          <w:bCs/>
          <w:color w:val="0F1115"/>
          <w:sz w:val="24"/>
          <w:szCs w:val="24"/>
        </w:rPr>
        <w:t xml:space="preserve"> A Balanced Path</w:t>
      </w:r>
    </w:p>
    <w:p w14:paraId="35F5B5D3" w14:textId="1F2C66F2"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The Constitution of Zambia (Amendment) Act No. 7 of 2025 represents a bold experiment in constitutional engineering. By expanding the National Assembly to 251 seats, adding a proportional tier of technocrats, and removing mayoral term limits, the Zambian state has </w:t>
      </w:r>
      <w:r w:rsidR="00721392" w:rsidRPr="00395CEE">
        <w:rPr>
          <w:rFonts w:ascii="Times New Roman" w:eastAsia="Times New Roman" w:hAnsi="Times New Roman" w:cs="Times New Roman"/>
          <w:color w:val="0F1115"/>
          <w:sz w:val="24"/>
          <w:szCs w:val="24"/>
        </w:rPr>
        <w:t>signaled</w:t>
      </w:r>
      <w:r w:rsidRPr="00395CEE">
        <w:rPr>
          <w:rFonts w:ascii="Times New Roman" w:eastAsia="Times New Roman" w:hAnsi="Times New Roman" w:cs="Times New Roman"/>
          <w:color w:val="0F1115"/>
          <w:sz w:val="24"/>
          <w:szCs w:val="24"/>
        </w:rPr>
        <w:t xml:space="preserve"> that </w:t>
      </w:r>
      <w:r w:rsidRPr="00395CEE">
        <w:rPr>
          <w:rFonts w:ascii="Times New Roman" w:eastAsia="Times New Roman" w:hAnsi="Times New Roman" w:cs="Times New Roman"/>
          <w:b/>
          <w:bCs/>
          <w:color w:val="0F1115"/>
          <w:sz w:val="24"/>
          <w:szCs w:val="24"/>
        </w:rPr>
        <w:t>institutional longevity and technical expertise</w:t>
      </w:r>
      <w:r w:rsidRPr="00395CEE">
        <w:rPr>
          <w:rFonts w:ascii="Times New Roman" w:eastAsia="Times New Roman" w:hAnsi="Times New Roman" w:cs="Times New Roman"/>
          <w:color w:val="0F1115"/>
          <w:sz w:val="24"/>
          <w:szCs w:val="24"/>
        </w:rPr>
        <w:t> are essential for development. Yet the same Act left untouched the strict two</w:t>
      </w:r>
      <w:r w:rsidRPr="00395CEE">
        <w:rPr>
          <w:rFonts w:ascii="Times New Roman" w:eastAsia="Times New Roman" w:hAnsi="Times New Roman" w:cs="Times New Roman"/>
          <w:color w:val="0F1115"/>
          <w:sz w:val="24"/>
          <w:szCs w:val="24"/>
        </w:rPr>
        <w:noBreakHyphen/>
        <w:t>term ceiling on the presidency the very office that commands the armed forces, the treasury, and the planning commission.</w:t>
      </w:r>
    </w:p>
    <w:p w14:paraId="2E4D25A3"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The comparative evidence from the Asian Tigers, </w:t>
      </w:r>
      <w:proofErr w:type="spellStart"/>
      <w:r w:rsidRPr="00395CEE">
        <w:rPr>
          <w:rFonts w:ascii="Times New Roman" w:eastAsia="Times New Roman" w:hAnsi="Times New Roman" w:cs="Times New Roman"/>
          <w:color w:val="0F1115"/>
          <w:sz w:val="24"/>
          <w:szCs w:val="24"/>
        </w:rPr>
        <w:t>analysed</w:t>
      </w:r>
      <w:proofErr w:type="spellEnd"/>
      <w:r w:rsidRPr="00395CEE">
        <w:rPr>
          <w:rFonts w:ascii="Times New Roman" w:eastAsia="Times New Roman" w:hAnsi="Times New Roman" w:cs="Times New Roman"/>
          <w:color w:val="0F1115"/>
          <w:sz w:val="24"/>
          <w:szCs w:val="24"/>
        </w:rPr>
        <w:t xml:space="preserve"> through fuzzy</w:t>
      </w:r>
      <w:r w:rsidRPr="00395CEE">
        <w:rPr>
          <w:rFonts w:ascii="Times New Roman" w:eastAsia="Times New Roman" w:hAnsi="Times New Roman" w:cs="Times New Roman"/>
          <w:color w:val="0F1115"/>
          <w:sz w:val="24"/>
          <w:szCs w:val="24"/>
        </w:rPr>
        <w:noBreakHyphen/>
        <w:t>set QCA, is unambiguous: no low</w:t>
      </w:r>
      <w:r w:rsidRPr="00395CEE">
        <w:rPr>
          <w:rFonts w:ascii="Times New Roman" w:eastAsia="Times New Roman" w:hAnsi="Times New Roman" w:cs="Times New Roman"/>
          <w:color w:val="0F1115"/>
          <w:sz w:val="24"/>
          <w:szCs w:val="24"/>
        </w:rPr>
        <w:noBreakHyphen/>
        <w:t>income country has achieved sustained industrial transformation under a rigid two</w:t>
      </w:r>
      <w:r w:rsidRPr="00395CEE">
        <w:rPr>
          <w:rFonts w:ascii="Times New Roman" w:eastAsia="Times New Roman" w:hAnsi="Times New Roman" w:cs="Times New Roman"/>
          <w:color w:val="0F1115"/>
          <w:sz w:val="24"/>
          <w:szCs w:val="24"/>
        </w:rPr>
        <w:noBreakHyphen/>
        <w:t>term presidential cap. The structural pathologies of lame</w:t>
      </w:r>
      <w:r w:rsidRPr="00395CEE">
        <w:rPr>
          <w:rFonts w:ascii="Times New Roman" w:eastAsia="Times New Roman" w:hAnsi="Times New Roman" w:cs="Times New Roman"/>
          <w:color w:val="0F1115"/>
          <w:sz w:val="24"/>
          <w:szCs w:val="24"/>
        </w:rPr>
        <w:noBreakHyphen/>
        <w:t>duck atrophy, short</w:t>
      </w:r>
      <w:r w:rsidRPr="00395CEE">
        <w:rPr>
          <w:rFonts w:ascii="Times New Roman" w:eastAsia="Times New Roman" w:hAnsi="Times New Roman" w:cs="Times New Roman"/>
          <w:color w:val="0F1115"/>
          <w:sz w:val="24"/>
          <w:szCs w:val="24"/>
        </w:rPr>
        <w:noBreakHyphen/>
        <w:t>termism, and successor incompetence impose a heavy growth penalty. At the same time, credible empirical research shows that term limits reduce corruption and prevent autocratic entrenchment (</w:t>
      </w:r>
      <w:proofErr w:type="spellStart"/>
      <w:r w:rsidRPr="00395CEE">
        <w:rPr>
          <w:rFonts w:ascii="Times New Roman" w:eastAsia="Times New Roman" w:hAnsi="Times New Roman" w:cs="Times New Roman"/>
          <w:color w:val="0F1115"/>
          <w:sz w:val="24"/>
          <w:szCs w:val="24"/>
        </w:rPr>
        <w:t>Besley</w:t>
      </w:r>
      <w:proofErr w:type="spellEnd"/>
      <w:r w:rsidRPr="00395CEE">
        <w:rPr>
          <w:rFonts w:ascii="Times New Roman" w:eastAsia="Times New Roman" w:hAnsi="Times New Roman" w:cs="Times New Roman"/>
          <w:color w:val="0F1115"/>
          <w:sz w:val="24"/>
          <w:szCs w:val="24"/>
        </w:rPr>
        <w:t xml:space="preserve"> and </w:t>
      </w:r>
      <w:proofErr w:type="spellStart"/>
      <w:r w:rsidRPr="00395CEE">
        <w:rPr>
          <w:rFonts w:ascii="Times New Roman" w:eastAsia="Times New Roman" w:hAnsi="Times New Roman" w:cs="Times New Roman"/>
          <w:color w:val="0F1115"/>
          <w:sz w:val="24"/>
          <w:szCs w:val="24"/>
        </w:rPr>
        <w:t>Reynal</w:t>
      </w:r>
      <w:proofErr w:type="spellEnd"/>
      <w:r w:rsidRPr="00395CEE">
        <w:rPr>
          <w:rFonts w:ascii="Times New Roman" w:eastAsia="Times New Roman" w:hAnsi="Times New Roman" w:cs="Times New Roman"/>
          <w:color w:val="0F1115"/>
          <w:sz w:val="24"/>
          <w:szCs w:val="24"/>
        </w:rPr>
        <w:noBreakHyphen/>
        <w:t xml:space="preserve">Querol, 2011; Acemoglu, Robinson and </w:t>
      </w:r>
      <w:proofErr w:type="spellStart"/>
      <w:r w:rsidRPr="00395CEE">
        <w:rPr>
          <w:rFonts w:ascii="Times New Roman" w:eastAsia="Times New Roman" w:hAnsi="Times New Roman" w:cs="Times New Roman"/>
          <w:color w:val="0F1115"/>
          <w:sz w:val="24"/>
          <w:szCs w:val="24"/>
        </w:rPr>
        <w:t>Torvik</w:t>
      </w:r>
      <w:proofErr w:type="spellEnd"/>
      <w:r w:rsidRPr="00395CEE">
        <w:rPr>
          <w:rFonts w:ascii="Times New Roman" w:eastAsia="Times New Roman" w:hAnsi="Times New Roman" w:cs="Times New Roman"/>
          <w:color w:val="0F1115"/>
          <w:sz w:val="24"/>
          <w:szCs w:val="24"/>
        </w:rPr>
        <w:t>, 2013). The task of constitutional engineering is to balance these competing goods, not to choose one to the exclusion of the other.</w:t>
      </w:r>
    </w:p>
    <w:p w14:paraId="60A9AAB7"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article has therefore proposed a narrow, high</w:t>
      </w:r>
      <w:r w:rsidRPr="00395CEE">
        <w:rPr>
          <w:rFonts w:ascii="Times New Roman" w:eastAsia="Times New Roman" w:hAnsi="Times New Roman" w:cs="Times New Roman"/>
          <w:color w:val="0F1115"/>
          <w:sz w:val="24"/>
          <w:szCs w:val="24"/>
        </w:rPr>
        <w:noBreakHyphen/>
        <w:t>threshold, performance</w:t>
      </w:r>
      <w:r w:rsidRPr="00395CEE">
        <w:rPr>
          <w:rFonts w:ascii="Times New Roman" w:eastAsia="Times New Roman" w:hAnsi="Times New Roman" w:cs="Times New Roman"/>
          <w:color w:val="0F1115"/>
          <w:sz w:val="24"/>
          <w:szCs w:val="24"/>
        </w:rPr>
        <w:noBreakHyphen/>
        <w:t>based extension mechanism: one additional five</w:t>
      </w:r>
      <w:r w:rsidRPr="00395CEE">
        <w:rPr>
          <w:rFonts w:ascii="Times New Roman" w:eastAsia="Times New Roman" w:hAnsi="Times New Roman" w:cs="Times New Roman"/>
          <w:color w:val="0F1115"/>
          <w:sz w:val="24"/>
          <w:szCs w:val="24"/>
        </w:rPr>
        <w:noBreakHyphen/>
        <w:t>year term, conditional on PPRC certification, two</w:t>
      </w:r>
      <w:r w:rsidRPr="00395CEE">
        <w:rPr>
          <w:rFonts w:ascii="Times New Roman" w:eastAsia="Times New Roman" w:hAnsi="Times New Roman" w:cs="Times New Roman"/>
          <w:color w:val="0F1115"/>
          <w:sz w:val="24"/>
          <w:szCs w:val="24"/>
        </w:rPr>
        <w:noBreakHyphen/>
        <w:t>thirds parliamentary approval, and a national referendum. A counterfactual analysis of Zambia’s past presidents shows that none would have qualified; only an exceptional incumbent would ever access the third term. The mechanism incorporates the best insights from the term</w:t>
      </w:r>
      <w:r w:rsidRPr="00395CEE">
        <w:rPr>
          <w:rFonts w:ascii="Times New Roman" w:eastAsia="Times New Roman" w:hAnsi="Times New Roman" w:cs="Times New Roman"/>
          <w:color w:val="0F1115"/>
          <w:sz w:val="24"/>
          <w:szCs w:val="24"/>
        </w:rPr>
        <w:noBreakHyphen/>
        <w:t>limits literature (super</w:t>
      </w:r>
      <w:r w:rsidRPr="00395CEE">
        <w:rPr>
          <w:rFonts w:ascii="Times New Roman" w:eastAsia="Times New Roman" w:hAnsi="Times New Roman" w:cs="Times New Roman"/>
          <w:color w:val="0F1115"/>
          <w:sz w:val="24"/>
          <w:szCs w:val="24"/>
        </w:rPr>
        <w:noBreakHyphen/>
        <w:t>majorities, referendums, objective criteria) while unlocking the long</w:t>
      </w:r>
      <w:r w:rsidRPr="00395CEE">
        <w:rPr>
          <w:rFonts w:ascii="Times New Roman" w:eastAsia="Times New Roman" w:hAnsi="Times New Roman" w:cs="Times New Roman"/>
          <w:color w:val="0F1115"/>
          <w:sz w:val="24"/>
          <w:szCs w:val="24"/>
        </w:rPr>
        <w:noBreakHyphen/>
        <w:t>planning horizons essential for industrial take</w:t>
      </w:r>
      <w:r w:rsidRPr="00395CEE">
        <w:rPr>
          <w:rFonts w:ascii="Times New Roman" w:eastAsia="Times New Roman" w:hAnsi="Times New Roman" w:cs="Times New Roman"/>
          <w:color w:val="0F1115"/>
          <w:sz w:val="24"/>
          <w:szCs w:val="24"/>
        </w:rPr>
        <w:noBreakHyphen/>
        <w:t>off.</w:t>
      </w:r>
    </w:p>
    <w:p w14:paraId="312010E4" w14:textId="500D1E5F" w:rsidR="00322B87" w:rsidRPr="0008532C" w:rsidRDefault="00395CEE" w:rsidP="0008532C">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Zambia’s choice is not between term limits and dictatorship. It is between </w:t>
      </w:r>
      <w:r w:rsidRPr="00395CEE">
        <w:rPr>
          <w:rFonts w:ascii="Times New Roman" w:eastAsia="Times New Roman" w:hAnsi="Times New Roman" w:cs="Times New Roman"/>
          <w:b/>
          <w:bCs/>
          <w:color w:val="0F1115"/>
          <w:sz w:val="24"/>
          <w:szCs w:val="24"/>
        </w:rPr>
        <w:t>unconditional rotation that guarantees mediocrity</w:t>
      </w:r>
      <w:r w:rsidRPr="00395CEE">
        <w:rPr>
          <w:rFonts w:ascii="Times New Roman" w:eastAsia="Times New Roman" w:hAnsi="Times New Roman" w:cs="Times New Roman"/>
          <w:color w:val="0F1115"/>
          <w:sz w:val="24"/>
          <w:szCs w:val="24"/>
        </w:rPr>
        <w:t> and </w:t>
      </w:r>
      <w:r w:rsidRPr="00395CEE">
        <w:rPr>
          <w:rFonts w:ascii="Times New Roman" w:eastAsia="Times New Roman" w:hAnsi="Times New Roman" w:cs="Times New Roman"/>
          <w:b/>
          <w:bCs/>
          <w:color w:val="0F1115"/>
          <w:sz w:val="24"/>
          <w:szCs w:val="24"/>
        </w:rPr>
        <w:t>performance</w:t>
      </w:r>
      <w:r w:rsidR="00A3166D">
        <w:rPr>
          <w:rFonts w:ascii="Times New Roman" w:eastAsia="Times New Roman" w:hAnsi="Times New Roman" w:cs="Times New Roman"/>
          <w:b/>
          <w:bCs/>
          <w:color w:val="0F1115"/>
          <w:sz w:val="24"/>
          <w:szCs w:val="24"/>
        </w:rPr>
        <w:t xml:space="preserve"> </w:t>
      </w:r>
      <w:r w:rsidRPr="00395CEE">
        <w:rPr>
          <w:rFonts w:ascii="Times New Roman" w:eastAsia="Times New Roman" w:hAnsi="Times New Roman" w:cs="Times New Roman"/>
          <w:b/>
          <w:bCs/>
          <w:color w:val="0F1115"/>
          <w:sz w:val="24"/>
          <w:szCs w:val="24"/>
        </w:rPr>
        <w:t>contingent continuity that rewards excellence with safeguards</w:t>
      </w:r>
      <w:r w:rsidRPr="00395CEE">
        <w:rPr>
          <w:rFonts w:ascii="Times New Roman" w:eastAsia="Times New Roman" w:hAnsi="Times New Roman" w:cs="Times New Roman"/>
          <w:color w:val="0F1115"/>
          <w:sz w:val="24"/>
          <w:szCs w:val="24"/>
        </w:rPr>
        <w:t>. For a nation with Zambia’s infrastructure deficit, copper dependence, and youthful population, the latter is not a threat to democracy; it is democracy’s developmental imperative, tempered by institutional realism.</w:t>
      </w:r>
    </w:p>
    <w:p w14:paraId="10DB7499" w14:textId="08A806F8"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References</w:t>
      </w:r>
    </w:p>
    <w:p w14:paraId="23DD424F"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 xml:space="preserve">Acemoglu, D., Robinson, J.A. and </w:t>
      </w:r>
      <w:proofErr w:type="spellStart"/>
      <w:r w:rsidRPr="0044595B">
        <w:rPr>
          <w:rFonts w:ascii="Times New Roman" w:eastAsia="Times New Roman" w:hAnsi="Times New Roman" w:cs="Times New Roman"/>
          <w:color w:val="0F1115"/>
          <w:sz w:val="24"/>
          <w:szCs w:val="24"/>
        </w:rPr>
        <w:t>Torvik</w:t>
      </w:r>
      <w:proofErr w:type="spellEnd"/>
      <w:r w:rsidRPr="0044595B">
        <w:rPr>
          <w:rFonts w:ascii="Times New Roman" w:eastAsia="Times New Roman" w:hAnsi="Times New Roman" w:cs="Times New Roman"/>
          <w:color w:val="0F1115"/>
          <w:sz w:val="24"/>
          <w:szCs w:val="24"/>
        </w:rPr>
        <w:t>, R. (2013) ‘Why Do Voters Dismantle Checks and Balances?’, </w:t>
      </w:r>
      <w:r w:rsidRPr="0044595B">
        <w:rPr>
          <w:rFonts w:ascii="Times New Roman" w:eastAsia="Times New Roman" w:hAnsi="Times New Roman" w:cs="Times New Roman"/>
          <w:i/>
          <w:iCs/>
          <w:color w:val="0F1115"/>
          <w:sz w:val="24"/>
          <w:szCs w:val="24"/>
        </w:rPr>
        <w:t>Review of Economic Studies</w:t>
      </w:r>
      <w:r w:rsidRPr="0044595B">
        <w:rPr>
          <w:rFonts w:ascii="Times New Roman" w:eastAsia="Times New Roman" w:hAnsi="Times New Roman" w:cs="Times New Roman"/>
          <w:color w:val="0F1115"/>
          <w:sz w:val="24"/>
          <w:szCs w:val="24"/>
        </w:rPr>
        <w:t>, 80(3), pp. 845</w:t>
      </w:r>
      <w:r w:rsidR="00135273" w:rsidRPr="0044595B">
        <w:rPr>
          <w:rFonts w:ascii="Times New Roman" w:eastAsia="Times New Roman" w:hAnsi="Times New Roman" w:cs="Times New Roman"/>
          <w:color w:val="0F1115"/>
          <w:sz w:val="24"/>
          <w:szCs w:val="24"/>
        </w:rPr>
        <w:t xml:space="preserve"> - </w:t>
      </w:r>
      <w:r w:rsidRPr="0044595B">
        <w:rPr>
          <w:rFonts w:ascii="Times New Roman" w:eastAsia="Times New Roman" w:hAnsi="Times New Roman" w:cs="Times New Roman"/>
          <w:color w:val="0F1115"/>
          <w:sz w:val="24"/>
          <w:szCs w:val="24"/>
        </w:rPr>
        <w:t>875.</w:t>
      </w:r>
    </w:p>
    <w:p w14:paraId="0DEC813B"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Banda, C. (2019) </w:t>
      </w:r>
      <w:r w:rsidRPr="0044595B">
        <w:rPr>
          <w:rFonts w:ascii="Times New Roman" w:eastAsia="Times New Roman" w:hAnsi="Times New Roman" w:cs="Times New Roman"/>
          <w:i/>
          <w:iCs/>
          <w:color w:val="0F1115"/>
          <w:sz w:val="24"/>
          <w:szCs w:val="24"/>
        </w:rPr>
        <w:t>The Separation of Powers and Executive Dominance in Lusophone and Anglophone Africa: A Comparative Study of Zambia and Angola</w:t>
      </w:r>
      <w:r w:rsidRPr="0044595B">
        <w:rPr>
          <w:rFonts w:ascii="Times New Roman" w:eastAsia="Times New Roman" w:hAnsi="Times New Roman" w:cs="Times New Roman"/>
          <w:color w:val="0F1115"/>
          <w:sz w:val="24"/>
          <w:szCs w:val="24"/>
        </w:rPr>
        <w:t>. Lusaka: University of Zambia Press.</w:t>
      </w:r>
    </w:p>
    <w:p w14:paraId="4DC5B2A1"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44595B">
        <w:rPr>
          <w:rFonts w:ascii="Times New Roman" w:eastAsia="Times New Roman" w:hAnsi="Times New Roman" w:cs="Times New Roman"/>
          <w:color w:val="0F1115"/>
          <w:sz w:val="24"/>
          <w:szCs w:val="24"/>
        </w:rPr>
        <w:t>Besley</w:t>
      </w:r>
      <w:proofErr w:type="spellEnd"/>
      <w:r w:rsidRPr="0044595B">
        <w:rPr>
          <w:rFonts w:ascii="Times New Roman" w:eastAsia="Times New Roman" w:hAnsi="Times New Roman" w:cs="Times New Roman"/>
          <w:color w:val="0F1115"/>
          <w:sz w:val="24"/>
          <w:szCs w:val="24"/>
        </w:rPr>
        <w:t xml:space="preserve">, T. and </w:t>
      </w:r>
      <w:proofErr w:type="spellStart"/>
      <w:r w:rsidRPr="0044595B">
        <w:rPr>
          <w:rFonts w:ascii="Times New Roman" w:eastAsia="Times New Roman" w:hAnsi="Times New Roman" w:cs="Times New Roman"/>
          <w:color w:val="0F1115"/>
          <w:sz w:val="24"/>
          <w:szCs w:val="24"/>
        </w:rPr>
        <w:t>Reynal</w:t>
      </w:r>
      <w:proofErr w:type="spellEnd"/>
      <w:r w:rsidRPr="0044595B">
        <w:rPr>
          <w:rFonts w:ascii="Times New Roman" w:eastAsia="Times New Roman" w:hAnsi="Times New Roman" w:cs="Times New Roman"/>
          <w:color w:val="0F1115"/>
          <w:sz w:val="24"/>
          <w:szCs w:val="24"/>
        </w:rPr>
        <w:noBreakHyphen/>
        <w:t>Querol, M. (2011) ‘Do Democracies Select More Educated Leaders?’, </w:t>
      </w:r>
      <w:r w:rsidRPr="0044595B">
        <w:rPr>
          <w:rFonts w:ascii="Times New Roman" w:eastAsia="Times New Roman" w:hAnsi="Times New Roman" w:cs="Times New Roman"/>
          <w:i/>
          <w:iCs/>
          <w:color w:val="0F1115"/>
          <w:sz w:val="24"/>
          <w:szCs w:val="24"/>
        </w:rPr>
        <w:t>American Political Science Review</w:t>
      </w:r>
      <w:r w:rsidRPr="0044595B">
        <w:rPr>
          <w:rFonts w:ascii="Times New Roman" w:eastAsia="Times New Roman" w:hAnsi="Times New Roman" w:cs="Times New Roman"/>
          <w:color w:val="0F1115"/>
          <w:sz w:val="24"/>
          <w:szCs w:val="24"/>
        </w:rPr>
        <w:t>, 105(3), pp. 552–566.</w:t>
      </w:r>
    </w:p>
    <w:p w14:paraId="71483C76"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44595B">
        <w:rPr>
          <w:rFonts w:ascii="Times New Roman" w:eastAsia="Times New Roman" w:hAnsi="Times New Roman" w:cs="Times New Roman"/>
          <w:color w:val="0F1115"/>
          <w:sz w:val="24"/>
          <w:szCs w:val="24"/>
        </w:rPr>
        <w:t>Chigudu</w:t>
      </w:r>
      <w:proofErr w:type="spellEnd"/>
      <w:r w:rsidRPr="0044595B">
        <w:rPr>
          <w:rFonts w:ascii="Times New Roman" w:eastAsia="Times New Roman" w:hAnsi="Times New Roman" w:cs="Times New Roman"/>
          <w:color w:val="0F1115"/>
          <w:sz w:val="24"/>
          <w:szCs w:val="24"/>
        </w:rPr>
        <w:t>, H. (2021) ‘Evaluating the Efficacy of Parliamentary Oversight in Southern Africa: The Case of the National Assembly of Zambia’, </w:t>
      </w:r>
      <w:r w:rsidRPr="0044595B">
        <w:rPr>
          <w:rFonts w:ascii="Times New Roman" w:eastAsia="Times New Roman" w:hAnsi="Times New Roman" w:cs="Times New Roman"/>
          <w:i/>
          <w:iCs/>
          <w:color w:val="0F1115"/>
          <w:sz w:val="24"/>
          <w:szCs w:val="24"/>
        </w:rPr>
        <w:t>Journal of African Mandates</w:t>
      </w:r>
      <w:r w:rsidRPr="0044595B">
        <w:rPr>
          <w:rFonts w:ascii="Times New Roman" w:eastAsia="Times New Roman" w:hAnsi="Times New Roman" w:cs="Times New Roman"/>
          <w:color w:val="0F1115"/>
          <w:sz w:val="24"/>
          <w:szCs w:val="24"/>
        </w:rPr>
        <w:t>, 14(2), pp. 89</w:t>
      </w:r>
      <w:r w:rsidR="007E2684" w:rsidRPr="0044595B">
        <w:rPr>
          <w:rFonts w:ascii="Times New Roman" w:eastAsia="Times New Roman" w:hAnsi="Times New Roman" w:cs="Times New Roman"/>
          <w:color w:val="0F1115"/>
          <w:sz w:val="24"/>
          <w:szCs w:val="24"/>
        </w:rPr>
        <w:t xml:space="preserve"> - </w:t>
      </w:r>
      <w:r w:rsidRPr="0044595B">
        <w:rPr>
          <w:rFonts w:ascii="Times New Roman" w:eastAsia="Times New Roman" w:hAnsi="Times New Roman" w:cs="Times New Roman"/>
          <w:color w:val="0F1115"/>
          <w:sz w:val="24"/>
          <w:szCs w:val="24"/>
        </w:rPr>
        <w:t>114.</w:t>
      </w:r>
    </w:p>
    <w:p w14:paraId="56664685"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Electoral Commission of Zambia (2024) </w:t>
      </w:r>
      <w:r w:rsidRPr="0044595B">
        <w:rPr>
          <w:rFonts w:ascii="Times New Roman" w:eastAsia="Times New Roman" w:hAnsi="Times New Roman" w:cs="Times New Roman"/>
          <w:i/>
          <w:iCs/>
          <w:color w:val="0F1115"/>
          <w:sz w:val="24"/>
          <w:szCs w:val="24"/>
        </w:rPr>
        <w:t>National Delimitation Report on New Constituency Boundaries</w:t>
      </w:r>
      <w:r w:rsidRPr="0044595B">
        <w:rPr>
          <w:rFonts w:ascii="Times New Roman" w:eastAsia="Times New Roman" w:hAnsi="Times New Roman" w:cs="Times New Roman"/>
          <w:color w:val="0F1115"/>
          <w:sz w:val="24"/>
          <w:szCs w:val="24"/>
        </w:rPr>
        <w:t>. Lusaka: ECZ Government Printer.</w:t>
      </w:r>
    </w:p>
    <w:p w14:paraId="261ED074"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Gonzales</w:t>
      </w:r>
      <w:r w:rsidRPr="0044595B">
        <w:rPr>
          <w:rFonts w:ascii="Times New Roman" w:eastAsia="Times New Roman" w:hAnsi="Times New Roman" w:cs="Times New Roman"/>
          <w:color w:val="0F1115"/>
          <w:sz w:val="24"/>
          <w:szCs w:val="24"/>
        </w:rPr>
        <w:noBreakHyphen/>
      </w:r>
      <w:proofErr w:type="spellStart"/>
      <w:r w:rsidRPr="0044595B">
        <w:rPr>
          <w:rFonts w:ascii="Times New Roman" w:eastAsia="Times New Roman" w:hAnsi="Times New Roman" w:cs="Times New Roman"/>
          <w:color w:val="0F1115"/>
          <w:sz w:val="24"/>
          <w:szCs w:val="24"/>
        </w:rPr>
        <w:t>Ocantos</w:t>
      </w:r>
      <w:proofErr w:type="spellEnd"/>
      <w:r w:rsidRPr="0044595B">
        <w:rPr>
          <w:rFonts w:ascii="Times New Roman" w:eastAsia="Times New Roman" w:hAnsi="Times New Roman" w:cs="Times New Roman"/>
          <w:color w:val="0F1115"/>
          <w:sz w:val="24"/>
          <w:szCs w:val="24"/>
        </w:rPr>
        <w:t xml:space="preserve">, E. and </w:t>
      </w:r>
      <w:proofErr w:type="spellStart"/>
      <w:r w:rsidRPr="0044595B">
        <w:rPr>
          <w:rFonts w:ascii="Times New Roman" w:eastAsia="Times New Roman" w:hAnsi="Times New Roman" w:cs="Times New Roman"/>
          <w:color w:val="0F1115"/>
          <w:sz w:val="24"/>
          <w:szCs w:val="24"/>
        </w:rPr>
        <w:t>Kiewiet</w:t>
      </w:r>
      <w:proofErr w:type="spellEnd"/>
      <w:r w:rsidRPr="0044595B">
        <w:rPr>
          <w:rFonts w:ascii="Times New Roman" w:eastAsia="Times New Roman" w:hAnsi="Times New Roman" w:cs="Times New Roman"/>
          <w:color w:val="0F1115"/>
          <w:sz w:val="24"/>
          <w:szCs w:val="24"/>
        </w:rPr>
        <w:t>, C. (2019) ‘Term Limits and the Quality of Subnational Governance’, </w:t>
      </w:r>
      <w:r w:rsidRPr="0044595B">
        <w:rPr>
          <w:rFonts w:ascii="Times New Roman" w:eastAsia="Times New Roman" w:hAnsi="Times New Roman" w:cs="Times New Roman"/>
          <w:i/>
          <w:iCs/>
          <w:color w:val="0F1115"/>
          <w:sz w:val="24"/>
          <w:szCs w:val="24"/>
        </w:rPr>
        <w:t>Latin American Politics and Society</w:t>
      </w:r>
      <w:r w:rsidRPr="0044595B">
        <w:rPr>
          <w:rFonts w:ascii="Times New Roman" w:eastAsia="Times New Roman" w:hAnsi="Times New Roman" w:cs="Times New Roman"/>
          <w:color w:val="0F1115"/>
          <w:sz w:val="24"/>
          <w:szCs w:val="24"/>
        </w:rPr>
        <w:t>, 61(4), pp. 1</w:t>
      </w:r>
      <w:r w:rsidR="007E2684" w:rsidRPr="0044595B">
        <w:rPr>
          <w:rFonts w:ascii="Times New Roman" w:eastAsia="Times New Roman" w:hAnsi="Times New Roman" w:cs="Times New Roman"/>
          <w:color w:val="0F1115"/>
          <w:sz w:val="24"/>
          <w:szCs w:val="24"/>
        </w:rPr>
        <w:t xml:space="preserve"> - </w:t>
      </w:r>
      <w:r w:rsidRPr="0044595B">
        <w:rPr>
          <w:rFonts w:ascii="Times New Roman" w:eastAsia="Times New Roman" w:hAnsi="Times New Roman" w:cs="Times New Roman"/>
          <w:color w:val="0F1115"/>
          <w:sz w:val="24"/>
          <w:szCs w:val="24"/>
        </w:rPr>
        <w:t>24.</w:t>
      </w:r>
    </w:p>
    <w:p w14:paraId="75543C87"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Haggard, S. (2018) </w:t>
      </w:r>
      <w:r w:rsidRPr="0044595B">
        <w:rPr>
          <w:rFonts w:ascii="Times New Roman" w:eastAsia="Times New Roman" w:hAnsi="Times New Roman" w:cs="Times New Roman"/>
          <w:i/>
          <w:iCs/>
          <w:color w:val="0F1115"/>
          <w:sz w:val="24"/>
          <w:szCs w:val="24"/>
        </w:rPr>
        <w:t>Developmental States and the Structure of Industrial Growth in East Asia</w:t>
      </w:r>
      <w:r w:rsidRPr="0044595B">
        <w:rPr>
          <w:rFonts w:ascii="Times New Roman" w:eastAsia="Times New Roman" w:hAnsi="Times New Roman" w:cs="Times New Roman"/>
          <w:color w:val="0F1115"/>
          <w:sz w:val="24"/>
          <w:szCs w:val="24"/>
        </w:rPr>
        <w:t>. Cambridge: Cambridge University Press.</w:t>
      </w:r>
    </w:p>
    <w:p w14:paraId="24662E8D"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Hichilema, H. (2025) </w:t>
      </w:r>
      <w:r w:rsidRPr="0044595B">
        <w:rPr>
          <w:rFonts w:ascii="Times New Roman" w:eastAsia="Times New Roman" w:hAnsi="Times New Roman" w:cs="Times New Roman"/>
          <w:i/>
          <w:iCs/>
          <w:color w:val="0F1115"/>
          <w:sz w:val="24"/>
          <w:szCs w:val="24"/>
        </w:rPr>
        <w:t>Address to the National Assembly on the Assent of the Constitution (Amendment) Act No. 7 of 2025</w:t>
      </w:r>
      <w:r w:rsidRPr="0044595B">
        <w:rPr>
          <w:rFonts w:ascii="Times New Roman" w:eastAsia="Times New Roman" w:hAnsi="Times New Roman" w:cs="Times New Roman"/>
          <w:color w:val="0F1115"/>
          <w:sz w:val="24"/>
          <w:szCs w:val="24"/>
        </w:rPr>
        <w:t>. Lusaka: State House Communications.</w:t>
      </w:r>
    </w:p>
    <w:p w14:paraId="6579710A"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Kanyinga</w:t>
      </w:r>
      <w:proofErr w:type="spellEnd"/>
      <w:r w:rsidRPr="0008532C">
        <w:rPr>
          <w:rFonts w:ascii="Times New Roman" w:eastAsia="Times New Roman" w:hAnsi="Times New Roman" w:cs="Times New Roman"/>
          <w:color w:val="0F1115"/>
          <w:sz w:val="24"/>
          <w:szCs w:val="24"/>
        </w:rPr>
        <w:t>, K. (2022) ‘The Imperial Presidency and Constitutional Reforms in East and Southern Africa’, </w:t>
      </w:r>
      <w:r w:rsidRPr="0008532C">
        <w:rPr>
          <w:rFonts w:ascii="Times New Roman" w:eastAsia="Times New Roman" w:hAnsi="Times New Roman" w:cs="Times New Roman"/>
          <w:i/>
          <w:iCs/>
          <w:color w:val="0F1115"/>
          <w:sz w:val="24"/>
          <w:szCs w:val="24"/>
        </w:rPr>
        <w:t>African Studies Review</w:t>
      </w:r>
      <w:r w:rsidRPr="0008532C">
        <w:rPr>
          <w:rFonts w:ascii="Times New Roman" w:eastAsia="Times New Roman" w:hAnsi="Times New Roman" w:cs="Times New Roman"/>
          <w:color w:val="0F1115"/>
          <w:sz w:val="24"/>
          <w:szCs w:val="24"/>
        </w:rPr>
        <w:t>, 65(3), pp. 542</w:t>
      </w:r>
      <w:r w:rsidR="007E2684" w:rsidRPr="0008532C">
        <w:rPr>
          <w:rFonts w:ascii="Times New Roman" w:eastAsia="Times New Roman" w:hAnsi="Times New Roman" w:cs="Times New Roman"/>
          <w:color w:val="0F1115"/>
          <w:sz w:val="24"/>
          <w:szCs w:val="24"/>
        </w:rPr>
        <w:t xml:space="preserve"> - </w:t>
      </w:r>
      <w:r w:rsidRPr="0008532C">
        <w:rPr>
          <w:rFonts w:ascii="Times New Roman" w:eastAsia="Times New Roman" w:hAnsi="Times New Roman" w:cs="Times New Roman"/>
          <w:color w:val="0F1115"/>
          <w:sz w:val="24"/>
          <w:szCs w:val="24"/>
        </w:rPr>
        <w:t>567.</w:t>
      </w:r>
    </w:p>
    <w:p w14:paraId="05E3CAC8"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Kasune</w:t>
      </w:r>
      <w:proofErr w:type="spellEnd"/>
      <w:r w:rsidRPr="0008532C">
        <w:rPr>
          <w:rFonts w:ascii="Times New Roman" w:eastAsia="Times New Roman" w:hAnsi="Times New Roman" w:cs="Times New Roman"/>
          <w:color w:val="0F1115"/>
          <w:sz w:val="24"/>
          <w:szCs w:val="24"/>
        </w:rPr>
        <w:t>, P. (2025) </w:t>
      </w:r>
      <w:r w:rsidRPr="0008532C">
        <w:rPr>
          <w:rFonts w:ascii="Times New Roman" w:eastAsia="Times New Roman" w:hAnsi="Times New Roman" w:cs="Times New Roman"/>
          <w:i/>
          <w:iCs/>
          <w:color w:val="0F1115"/>
          <w:sz w:val="24"/>
          <w:szCs w:val="24"/>
        </w:rPr>
        <w:t>Ministerial Statement on the Merits of the Mixed-Member Proportional Representation System in Zambia</w:t>
      </w:r>
      <w:r w:rsidRPr="0008532C">
        <w:rPr>
          <w:rFonts w:ascii="Times New Roman" w:eastAsia="Times New Roman" w:hAnsi="Times New Roman" w:cs="Times New Roman"/>
          <w:color w:val="0F1115"/>
          <w:sz w:val="24"/>
          <w:szCs w:val="24"/>
        </w:rPr>
        <w:t>. Lusaka: Ministry of Justice.</w:t>
      </w:r>
    </w:p>
    <w:p w14:paraId="0361971A"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Law Association of Zambia (2025) </w:t>
      </w:r>
      <w:r w:rsidRPr="0008532C">
        <w:rPr>
          <w:rFonts w:ascii="Times New Roman" w:eastAsia="Times New Roman" w:hAnsi="Times New Roman" w:cs="Times New Roman"/>
          <w:i/>
          <w:iCs/>
          <w:color w:val="0F1115"/>
          <w:sz w:val="24"/>
          <w:szCs w:val="24"/>
        </w:rPr>
        <w:t>Legal Memorandum on the Constitutionality of Bill No. 7 of 2025 and its Impact on Local Government Governance</w:t>
      </w:r>
      <w:r w:rsidRPr="0008532C">
        <w:rPr>
          <w:rFonts w:ascii="Times New Roman" w:eastAsia="Times New Roman" w:hAnsi="Times New Roman" w:cs="Times New Roman"/>
          <w:color w:val="0F1115"/>
          <w:sz w:val="24"/>
          <w:szCs w:val="24"/>
        </w:rPr>
        <w:t>. Lusaka: LAZ Secretariat.</w:t>
      </w:r>
    </w:p>
    <w:p w14:paraId="5987933F"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Lee, K.Y. (2000) </w:t>
      </w:r>
      <w:r w:rsidRPr="0008532C">
        <w:rPr>
          <w:rFonts w:ascii="Times New Roman" w:eastAsia="Times New Roman" w:hAnsi="Times New Roman" w:cs="Times New Roman"/>
          <w:i/>
          <w:iCs/>
          <w:color w:val="0F1115"/>
          <w:sz w:val="24"/>
          <w:szCs w:val="24"/>
        </w:rPr>
        <w:t>From Third World to First: The Singapore Story: 1965–2000</w:t>
      </w:r>
      <w:r w:rsidRPr="0008532C">
        <w:rPr>
          <w:rFonts w:ascii="Times New Roman" w:eastAsia="Times New Roman" w:hAnsi="Times New Roman" w:cs="Times New Roman"/>
          <w:color w:val="0F1115"/>
          <w:sz w:val="24"/>
          <w:szCs w:val="24"/>
        </w:rPr>
        <w:t>. New York: HarperCollins.</w:t>
      </w:r>
    </w:p>
    <w:p w14:paraId="24F9610B"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Mbao, M.L. (2015) ‘Constitutional Making and Constitutional Reforms in Zambia: An Analysis of the Process and Lessons Learned’, </w:t>
      </w:r>
      <w:r w:rsidRPr="0008532C">
        <w:rPr>
          <w:rFonts w:ascii="Times New Roman" w:eastAsia="Times New Roman" w:hAnsi="Times New Roman" w:cs="Times New Roman"/>
          <w:i/>
          <w:iCs/>
          <w:color w:val="0F1115"/>
          <w:sz w:val="24"/>
          <w:szCs w:val="24"/>
        </w:rPr>
        <w:t>Commonwealth Law Bulletin</w:t>
      </w:r>
      <w:r w:rsidRPr="0008532C">
        <w:rPr>
          <w:rFonts w:ascii="Times New Roman" w:eastAsia="Times New Roman" w:hAnsi="Times New Roman" w:cs="Times New Roman"/>
          <w:color w:val="0F1115"/>
          <w:sz w:val="24"/>
          <w:szCs w:val="24"/>
        </w:rPr>
        <w:t>, 41(2), pp. 243</w:t>
      </w:r>
      <w:r w:rsidR="003B4926" w:rsidRPr="0008532C">
        <w:rPr>
          <w:rFonts w:ascii="Times New Roman" w:eastAsia="Times New Roman" w:hAnsi="Times New Roman" w:cs="Times New Roman"/>
          <w:color w:val="0F1115"/>
          <w:sz w:val="24"/>
          <w:szCs w:val="24"/>
        </w:rPr>
        <w:t>-</w:t>
      </w:r>
      <w:r w:rsidRPr="0008532C">
        <w:rPr>
          <w:rFonts w:ascii="Times New Roman" w:eastAsia="Times New Roman" w:hAnsi="Times New Roman" w:cs="Times New Roman"/>
          <w:color w:val="0F1115"/>
          <w:sz w:val="24"/>
          <w:szCs w:val="24"/>
        </w:rPr>
        <w:t>265.</w:t>
      </w:r>
    </w:p>
    <w:p w14:paraId="214B0756"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McPherson, M.F. (2023) </w:t>
      </w:r>
      <w:r w:rsidRPr="0008532C">
        <w:rPr>
          <w:rFonts w:ascii="Times New Roman" w:eastAsia="Times New Roman" w:hAnsi="Times New Roman" w:cs="Times New Roman"/>
          <w:i/>
          <w:iCs/>
          <w:color w:val="0F1115"/>
          <w:sz w:val="24"/>
          <w:szCs w:val="24"/>
        </w:rPr>
        <w:t>Macroeconomic Reform and Sustained Economic Growth: Strategic Lessons for Zambia</w:t>
      </w:r>
      <w:r w:rsidRPr="0008532C">
        <w:rPr>
          <w:rFonts w:ascii="Times New Roman" w:eastAsia="Times New Roman" w:hAnsi="Times New Roman" w:cs="Times New Roman"/>
          <w:color w:val="0F1115"/>
          <w:sz w:val="24"/>
          <w:szCs w:val="24"/>
        </w:rPr>
        <w:t>. Cambridge, MA: Harvard Kennedy School Research Publication.</w:t>
      </w:r>
    </w:p>
    <w:p w14:paraId="2BC7E221"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Mulenga, C. (2020) ‘The Lame Duck Phenomenon in African Democracies: Evaluating Executive Efficacy During Second</w:t>
      </w:r>
      <w:r w:rsidRPr="0008532C">
        <w:rPr>
          <w:rFonts w:ascii="Times New Roman" w:eastAsia="Times New Roman" w:hAnsi="Times New Roman" w:cs="Times New Roman"/>
          <w:color w:val="0F1115"/>
          <w:sz w:val="24"/>
          <w:szCs w:val="24"/>
        </w:rPr>
        <w:noBreakHyphen/>
        <w:t>Term Tenures’, </w:t>
      </w:r>
      <w:r w:rsidRPr="0008532C">
        <w:rPr>
          <w:rFonts w:ascii="Times New Roman" w:eastAsia="Times New Roman" w:hAnsi="Times New Roman" w:cs="Times New Roman"/>
          <w:i/>
          <w:iCs/>
          <w:color w:val="0F1115"/>
          <w:sz w:val="24"/>
          <w:szCs w:val="24"/>
        </w:rPr>
        <w:t>African Journal of Political Science</w:t>
      </w:r>
      <w:r w:rsidRPr="0008532C">
        <w:rPr>
          <w:rFonts w:ascii="Times New Roman" w:eastAsia="Times New Roman" w:hAnsi="Times New Roman" w:cs="Times New Roman"/>
          <w:color w:val="0F1115"/>
          <w:sz w:val="24"/>
          <w:szCs w:val="24"/>
        </w:rPr>
        <w:t>, 28(4), pp. 112</w:t>
      </w:r>
      <w:r w:rsidR="002810F3" w:rsidRPr="0008532C">
        <w:rPr>
          <w:rFonts w:ascii="Times New Roman" w:eastAsia="Times New Roman" w:hAnsi="Times New Roman" w:cs="Times New Roman"/>
          <w:color w:val="0F1115"/>
          <w:sz w:val="24"/>
          <w:szCs w:val="24"/>
        </w:rPr>
        <w:t>-</w:t>
      </w:r>
      <w:r w:rsidRPr="0008532C">
        <w:rPr>
          <w:rFonts w:ascii="Times New Roman" w:eastAsia="Times New Roman" w:hAnsi="Times New Roman" w:cs="Times New Roman"/>
          <w:color w:val="0F1115"/>
          <w:sz w:val="24"/>
          <w:szCs w:val="24"/>
        </w:rPr>
        <w:t>135.</w:t>
      </w:r>
    </w:p>
    <w:p w14:paraId="4F410BD4"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Mwansa</w:t>
      </w:r>
      <w:proofErr w:type="spellEnd"/>
      <w:r w:rsidRPr="0008532C">
        <w:rPr>
          <w:rFonts w:ascii="Times New Roman" w:eastAsia="Times New Roman" w:hAnsi="Times New Roman" w:cs="Times New Roman"/>
          <w:color w:val="0F1115"/>
          <w:sz w:val="24"/>
          <w:szCs w:val="24"/>
        </w:rPr>
        <w:t>, T. (2021) </w:t>
      </w:r>
      <w:r w:rsidRPr="0008532C">
        <w:rPr>
          <w:rFonts w:ascii="Times New Roman" w:eastAsia="Times New Roman" w:hAnsi="Times New Roman" w:cs="Times New Roman"/>
          <w:i/>
          <w:iCs/>
          <w:color w:val="0F1115"/>
          <w:sz w:val="24"/>
          <w:szCs w:val="24"/>
        </w:rPr>
        <w:t>Zambian Constitutional Law: Principles, Practice, and Precedents</w:t>
      </w:r>
      <w:r w:rsidRPr="0008532C">
        <w:rPr>
          <w:rFonts w:ascii="Times New Roman" w:eastAsia="Times New Roman" w:hAnsi="Times New Roman" w:cs="Times New Roman"/>
          <w:color w:val="0F1115"/>
          <w:sz w:val="24"/>
          <w:szCs w:val="24"/>
        </w:rPr>
        <w:t>. Ndola: Mission Press.</w:t>
      </w:r>
    </w:p>
    <w:p w14:paraId="25318C8C"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Ndulo</w:t>
      </w:r>
      <w:proofErr w:type="spellEnd"/>
      <w:r w:rsidRPr="0008532C">
        <w:rPr>
          <w:rFonts w:ascii="Times New Roman" w:eastAsia="Times New Roman" w:hAnsi="Times New Roman" w:cs="Times New Roman"/>
          <w:color w:val="0F1115"/>
          <w:sz w:val="24"/>
          <w:szCs w:val="24"/>
        </w:rPr>
        <w:t>, M. (2016) ‘The 2016 Constitutional Amendments in Zambia: A Critical Review of the Soft Underbelly of Zambia’s Democracy’, </w:t>
      </w:r>
      <w:r w:rsidRPr="0008532C">
        <w:rPr>
          <w:rFonts w:ascii="Times New Roman" w:eastAsia="Times New Roman" w:hAnsi="Times New Roman" w:cs="Times New Roman"/>
          <w:i/>
          <w:iCs/>
          <w:color w:val="0F1115"/>
          <w:sz w:val="24"/>
          <w:szCs w:val="24"/>
        </w:rPr>
        <w:t>Cornell Law Faculty Publications</w:t>
      </w:r>
      <w:r w:rsidRPr="0008532C">
        <w:rPr>
          <w:rFonts w:ascii="Times New Roman" w:eastAsia="Times New Roman" w:hAnsi="Times New Roman" w:cs="Times New Roman"/>
          <w:color w:val="0F1115"/>
          <w:sz w:val="24"/>
          <w:szCs w:val="24"/>
        </w:rPr>
        <w:t>, Paper 1512, pp. 1</w:t>
      </w:r>
      <w:r w:rsidR="008540CE" w:rsidRPr="0008532C">
        <w:rPr>
          <w:rFonts w:ascii="Times New Roman" w:eastAsia="Times New Roman" w:hAnsi="Times New Roman" w:cs="Times New Roman"/>
          <w:color w:val="0F1115"/>
          <w:sz w:val="24"/>
          <w:szCs w:val="24"/>
        </w:rPr>
        <w:t xml:space="preserve"> - </w:t>
      </w:r>
      <w:r w:rsidRPr="0008532C">
        <w:rPr>
          <w:rFonts w:ascii="Times New Roman" w:eastAsia="Times New Roman" w:hAnsi="Times New Roman" w:cs="Times New Roman"/>
          <w:color w:val="0F1115"/>
          <w:sz w:val="24"/>
          <w:szCs w:val="24"/>
        </w:rPr>
        <w:t>34.</w:t>
      </w:r>
    </w:p>
    <w:p w14:paraId="0726D554"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Nwabueze</w:t>
      </w:r>
      <w:proofErr w:type="spellEnd"/>
      <w:r w:rsidRPr="0008532C">
        <w:rPr>
          <w:rFonts w:ascii="Times New Roman" w:eastAsia="Times New Roman" w:hAnsi="Times New Roman" w:cs="Times New Roman"/>
          <w:color w:val="0F1115"/>
          <w:sz w:val="24"/>
          <w:szCs w:val="24"/>
        </w:rPr>
        <w:t>, B.O. (2010) </w:t>
      </w:r>
      <w:r w:rsidRPr="0008532C">
        <w:rPr>
          <w:rFonts w:ascii="Times New Roman" w:eastAsia="Times New Roman" w:hAnsi="Times New Roman" w:cs="Times New Roman"/>
          <w:i/>
          <w:iCs/>
          <w:color w:val="0F1115"/>
          <w:sz w:val="24"/>
          <w:szCs w:val="24"/>
        </w:rPr>
        <w:t>Constitutionalism in the Emergent States</w:t>
      </w:r>
      <w:r w:rsidRPr="0008532C">
        <w:rPr>
          <w:rFonts w:ascii="Times New Roman" w:eastAsia="Times New Roman" w:hAnsi="Times New Roman" w:cs="Times New Roman"/>
          <w:color w:val="0F1115"/>
          <w:sz w:val="24"/>
          <w:szCs w:val="24"/>
        </w:rPr>
        <w:t>. London: C. Hurst &amp; Co.</w:t>
      </w:r>
    </w:p>
    <w:p w14:paraId="0B07B8DD"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Park, C.H. (1970) </w:t>
      </w:r>
      <w:r w:rsidRPr="0008532C">
        <w:rPr>
          <w:rFonts w:ascii="Times New Roman" w:eastAsia="Times New Roman" w:hAnsi="Times New Roman" w:cs="Times New Roman"/>
          <w:i/>
          <w:iCs/>
          <w:color w:val="0F1115"/>
          <w:sz w:val="24"/>
          <w:szCs w:val="24"/>
        </w:rPr>
        <w:t>To Build a Nation: The Core Developmental Strategies of South Korea</w:t>
      </w:r>
      <w:r w:rsidRPr="0008532C">
        <w:rPr>
          <w:rFonts w:ascii="Times New Roman" w:eastAsia="Times New Roman" w:hAnsi="Times New Roman" w:cs="Times New Roman"/>
          <w:color w:val="0F1115"/>
          <w:sz w:val="24"/>
          <w:szCs w:val="24"/>
        </w:rPr>
        <w:t>. Washington, D.C.: Acropolis Books.</w:t>
      </w:r>
    </w:p>
    <w:p w14:paraId="0A0FB7F0"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Ragin, C.C. (2008) </w:t>
      </w:r>
      <w:r w:rsidRPr="0008532C">
        <w:rPr>
          <w:rFonts w:ascii="Times New Roman" w:eastAsia="Times New Roman" w:hAnsi="Times New Roman" w:cs="Times New Roman"/>
          <w:i/>
          <w:iCs/>
          <w:color w:val="0F1115"/>
          <w:sz w:val="24"/>
          <w:szCs w:val="24"/>
        </w:rPr>
        <w:t>Redesigning Social Inquiry: Fuzzy Sets and Beyond</w:t>
      </w:r>
      <w:r w:rsidRPr="0008532C">
        <w:rPr>
          <w:rFonts w:ascii="Times New Roman" w:eastAsia="Times New Roman" w:hAnsi="Times New Roman" w:cs="Times New Roman"/>
          <w:color w:val="0F1115"/>
          <w:sz w:val="24"/>
          <w:szCs w:val="24"/>
        </w:rPr>
        <w:t>. Chicago: University of Chicago Press.</w:t>
      </w:r>
    </w:p>
    <w:p w14:paraId="43DC15F8"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Republic of Zambia (2016) </w:t>
      </w:r>
      <w:r w:rsidRPr="0008532C">
        <w:rPr>
          <w:rFonts w:ascii="Times New Roman" w:eastAsia="Times New Roman" w:hAnsi="Times New Roman" w:cs="Times New Roman"/>
          <w:i/>
          <w:iCs/>
          <w:color w:val="0F1115"/>
          <w:sz w:val="24"/>
          <w:szCs w:val="24"/>
        </w:rPr>
        <w:t>Constitution of Zambia (Amendment) Act No. 2 of 2016</w:t>
      </w:r>
      <w:r w:rsidRPr="0008532C">
        <w:rPr>
          <w:rFonts w:ascii="Times New Roman" w:eastAsia="Times New Roman" w:hAnsi="Times New Roman" w:cs="Times New Roman"/>
          <w:color w:val="0F1115"/>
          <w:sz w:val="24"/>
          <w:szCs w:val="24"/>
        </w:rPr>
        <w:t>. Lusaka: Government Printer.</w:t>
      </w:r>
    </w:p>
    <w:p w14:paraId="620AD5B1"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Republic of Zambia (2025) </w:t>
      </w:r>
      <w:r w:rsidRPr="0008532C">
        <w:rPr>
          <w:rFonts w:ascii="Times New Roman" w:eastAsia="Times New Roman" w:hAnsi="Times New Roman" w:cs="Times New Roman"/>
          <w:i/>
          <w:iCs/>
          <w:color w:val="0F1115"/>
          <w:sz w:val="24"/>
          <w:szCs w:val="24"/>
        </w:rPr>
        <w:t>Constitution of Zambia (Amendment) Act, No. 7 of 2025</w:t>
      </w:r>
      <w:r w:rsidRPr="0008532C">
        <w:rPr>
          <w:rFonts w:ascii="Times New Roman" w:eastAsia="Times New Roman" w:hAnsi="Times New Roman" w:cs="Times New Roman"/>
          <w:color w:val="0F1115"/>
          <w:sz w:val="24"/>
          <w:szCs w:val="24"/>
        </w:rPr>
        <w:t>. Lusaka: Government Printer.</w:t>
      </w:r>
    </w:p>
    <w:p w14:paraId="4BCB2B6B"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Sardanis</w:t>
      </w:r>
      <w:proofErr w:type="spellEnd"/>
      <w:r w:rsidRPr="0008532C">
        <w:rPr>
          <w:rFonts w:ascii="Times New Roman" w:eastAsia="Times New Roman" w:hAnsi="Times New Roman" w:cs="Times New Roman"/>
          <w:color w:val="0F1115"/>
          <w:sz w:val="24"/>
          <w:szCs w:val="24"/>
        </w:rPr>
        <w:t>, A. (2014) </w:t>
      </w:r>
      <w:r w:rsidRPr="0008532C">
        <w:rPr>
          <w:rFonts w:ascii="Times New Roman" w:eastAsia="Times New Roman" w:hAnsi="Times New Roman" w:cs="Times New Roman"/>
          <w:i/>
          <w:iCs/>
          <w:color w:val="0F1115"/>
          <w:sz w:val="24"/>
          <w:szCs w:val="24"/>
        </w:rPr>
        <w:t>Zambia: The First 50 Years: A Political and Economic History</w:t>
      </w:r>
      <w:r w:rsidRPr="0008532C">
        <w:rPr>
          <w:rFonts w:ascii="Times New Roman" w:eastAsia="Times New Roman" w:hAnsi="Times New Roman" w:cs="Times New Roman"/>
          <w:color w:val="0F1115"/>
          <w:sz w:val="24"/>
          <w:szCs w:val="24"/>
        </w:rPr>
        <w:t>. London: I.B. Tauris.</w:t>
      </w:r>
    </w:p>
    <w:p w14:paraId="2E97C53F"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Sichone</w:t>
      </w:r>
      <w:proofErr w:type="spellEnd"/>
      <w:r w:rsidRPr="0008532C">
        <w:rPr>
          <w:rFonts w:ascii="Times New Roman" w:eastAsia="Times New Roman" w:hAnsi="Times New Roman" w:cs="Times New Roman"/>
          <w:color w:val="0F1115"/>
          <w:sz w:val="24"/>
          <w:szCs w:val="24"/>
        </w:rPr>
        <w:t>, O. (2018) ‘The One</w:t>
      </w:r>
      <w:r w:rsidRPr="0008532C">
        <w:rPr>
          <w:rFonts w:ascii="Times New Roman" w:eastAsia="Times New Roman" w:hAnsi="Times New Roman" w:cs="Times New Roman"/>
          <w:color w:val="0F1115"/>
          <w:sz w:val="24"/>
          <w:szCs w:val="24"/>
        </w:rPr>
        <w:noBreakHyphen/>
        <w:t>Party State Legacy and Contemporary Political Culture in Zambia’, </w:t>
      </w:r>
      <w:r w:rsidRPr="0008532C">
        <w:rPr>
          <w:rFonts w:ascii="Times New Roman" w:eastAsia="Times New Roman" w:hAnsi="Times New Roman" w:cs="Times New Roman"/>
          <w:i/>
          <w:iCs/>
          <w:color w:val="0F1115"/>
          <w:sz w:val="24"/>
          <w:szCs w:val="24"/>
        </w:rPr>
        <w:t>Zambia Social Science Journal</w:t>
      </w:r>
      <w:r w:rsidRPr="0008532C">
        <w:rPr>
          <w:rFonts w:ascii="Times New Roman" w:eastAsia="Times New Roman" w:hAnsi="Times New Roman" w:cs="Times New Roman"/>
          <w:color w:val="0F1115"/>
          <w:sz w:val="24"/>
          <w:szCs w:val="24"/>
        </w:rPr>
        <w:t>, 7(1), pp. 45</w:t>
      </w:r>
      <w:r w:rsidR="002544A9" w:rsidRPr="0008532C">
        <w:rPr>
          <w:rFonts w:ascii="Times New Roman" w:eastAsia="Times New Roman" w:hAnsi="Times New Roman" w:cs="Times New Roman"/>
          <w:color w:val="0F1115"/>
          <w:sz w:val="24"/>
          <w:szCs w:val="24"/>
        </w:rPr>
        <w:t xml:space="preserve"> - </w:t>
      </w:r>
      <w:r w:rsidRPr="0008532C">
        <w:rPr>
          <w:rFonts w:ascii="Times New Roman" w:eastAsia="Times New Roman" w:hAnsi="Times New Roman" w:cs="Times New Roman"/>
          <w:color w:val="0F1115"/>
          <w:sz w:val="24"/>
          <w:szCs w:val="24"/>
        </w:rPr>
        <w:t>68.</w:t>
      </w:r>
    </w:p>
    <w:p w14:paraId="756338B6"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Transparency International Zambia (2025) </w:t>
      </w:r>
      <w:r w:rsidRPr="0008532C">
        <w:rPr>
          <w:rFonts w:ascii="Times New Roman" w:eastAsia="Times New Roman" w:hAnsi="Times New Roman" w:cs="Times New Roman"/>
          <w:i/>
          <w:iCs/>
          <w:color w:val="0F1115"/>
          <w:sz w:val="24"/>
          <w:szCs w:val="24"/>
        </w:rPr>
        <w:t>Governance Report on the Implementation of Delimitation and Expanded Parliamentary Representation</w:t>
      </w:r>
      <w:r w:rsidRPr="0008532C">
        <w:rPr>
          <w:rFonts w:ascii="Times New Roman" w:eastAsia="Times New Roman" w:hAnsi="Times New Roman" w:cs="Times New Roman"/>
          <w:color w:val="0F1115"/>
          <w:sz w:val="24"/>
          <w:szCs w:val="24"/>
        </w:rPr>
        <w:t>. Lusaka: TIZ.</w:t>
      </w:r>
    </w:p>
    <w:p w14:paraId="11C8DDBC"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Wade, R. (2004) </w:t>
      </w:r>
      <w:r w:rsidRPr="0008532C">
        <w:rPr>
          <w:rFonts w:ascii="Times New Roman" w:eastAsia="Times New Roman" w:hAnsi="Times New Roman" w:cs="Times New Roman"/>
          <w:i/>
          <w:iCs/>
          <w:color w:val="0F1115"/>
          <w:sz w:val="24"/>
          <w:szCs w:val="24"/>
        </w:rPr>
        <w:t>Governing the Market: Economic Theory and the Role of Government in East Asian Industrialization</w:t>
      </w:r>
      <w:r w:rsidRPr="0008532C">
        <w:rPr>
          <w:rFonts w:ascii="Times New Roman" w:eastAsia="Times New Roman" w:hAnsi="Times New Roman" w:cs="Times New Roman"/>
          <w:color w:val="0F1115"/>
          <w:sz w:val="24"/>
          <w:szCs w:val="24"/>
        </w:rPr>
        <w:t>. Princeton: Princeton University Press.</w:t>
      </w:r>
    </w:p>
    <w:p w14:paraId="4D2C5952"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World Bank (1993) </w:t>
      </w:r>
      <w:r w:rsidRPr="0008532C">
        <w:rPr>
          <w:rFonts w:ascii="Times New Roman" w:eastAsia="Times New Roman" w:hAnsi="Times New Roman" w:cs="Times New Roman"/>
          <w:i/>
          <w:iCs/>
          <w:color w:val="0F1115"/>
          <w:sz w:val="24"/>
          <w:szCs w:val="24"/>
        </w:rPr>
        <w:t>The East Asian Miracle: Economic Growth and Public Policy</w:t>
      </w:r>
      <w:r w:rsidRPr="0008532C">
        <w:rPr>
          <w:rFonts w:ascii="Times New Roman" w:eastAsia="Times New Roman" w:hAnsi="Times New Roman" w:cs="Times New Roman"/>
          <w:color w:val="0F1115"/>
          <w:sz w:val="24"/>
          <w:szCs w:val="24"/>
        </w:rPr>
        <w:t>. New York: Oxford University Press.</w:t>
      </w:r>
    </w:p>
    <w:p w14:paraId="464810AC"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World Bank (2023) </w:t>
      </w:r>
      <w:r w:rsidRPr="0008532C">
        <w:rPr>
          <w:rFonts w:ascii="Times New Roman" w:eastAsia="Times New Roman" w:hAnsi="Times New Roman" w:cs="Times New Roman"/>
          <w:i/>
          <w:iCs/>
          <w:color w:val="0F1115"/>
          <w:sz w:val="24"/>
          <w:szCs w:val="24"/>
        </w:rPr>
        <w:t>Zambia Public Expenditure Review: Infrastructure Financing Gap Analysis</w:t>
      </w:r>
      <w:r w:rsidRPr="0008532C">
        <w:rPr>
          <w:rFonts w:ascii="Times New Roman" w:eastAsia="Times New Roman" w:hAnsi="Times New Roman" w:cs="Times New Roman"/>
          <w:color w:val="0F1115"/>
          <w:sz w:val="24"/>
          <w:szCs w:val="24"/>
        </w:rPr>
        <w:t>. Washington, D.C.: World Bank Group.</w:t>
      </w:r>
    </w:p>
    <w:p w14:paraId="103A3D3C" w14:textId="027464B4" w:rsidR="00395CEE" w:rsidRP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Zambia Law Reports (2020)</w:t>
      </w:r>
      <w:r w:rsidR="003A0926" w:rsidRPr="0008532C">
        <w:rPr>
          <w:rFonts w:ascii="Times New Roman" w:eastAsia="Times New Roman" w:hAnsi="Times New Roman" w:cs="Times New Roman"/>
          <w:color w:val="0F1115"/>
          <w:sz w:val="24"/>
          <w:szCs w:val="24"/>
        </w:rPr>
        <w:t xml:space="preserve"> </w:t>
      </w:r>
      <w:r w:rsidRPr="0008532C">
        <w:rPr>
          <w:rFonts w:ascii="Times New Roman" w:eastAsia="Times New Roman" w:hAnsi="Times New Roman" w:cs="Times New Roman"/>
          <w:color w:val="0F1115"/>
          <w:sz w:val="24"/>
          <w:szCs w:val="24"/>
        </w:rPr>
        <w:t>Danny Pule and Others v. Attorney General and Others (2018/CC/0014). Lusaka: Council of Law Reporting.</w:t>
      </w:r>
    </w:p>
    <w:p w14:paraId="3604A581" w14:textId="2954F568" w:rsidR="00BC61CE" w:rsidRPr="00CD7E43" w:rsidRDefault="00BC61CE" w:rsidP="00A44D24">
      <w:pPr>
        <w:spacing w:line="276" w:lineRule="auto"/>
        <w:jc w:val="both"/>
        <w:rPr>
          <w:rFonts w:ascii="Times New Roman" w:hAnsi="Times New Roman" w:cs="Times New Roman"/>
          <w:sz w:val="24"/>
          <w:szCs w:val="24"/>
        </w:rPr>
      </w:pPr>
    </w:p>
    <w:sectPr w:rsidR="00BC61CE" w:rsidRPr="00CD7E43" w:rsidSect="00F93337">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AB90" w14:textId="77777777" w:rsidR="0024357E" w:rsidRDefault="0024357E" w:rsidP="00E71F95">
      <w:pPr>
        <w:spacing w:after="0" w:line="240" w:lineRule="auto"/>
      </w:pPr>
      <w:r>
        <w:separator/>
      </w:r>
    </w:p>
  </w:endnote>
  <w:endnote w:type="continuationSeparator" w:id="0">
    <w:p w14:paraId="7B0335A9" w14:textId="77777777" w:rsidR="0024357E" w:rsidRDefault="0024357E" w:rsidP="00E7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CB42" w14:textId="77777777" w:rsidR="00904977" w:rsidRDefault="00904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62150"/>
      <w:docPartObj>
        <w:docPartGallery w:val="Page Numbers (Bottom of Page)"/>
        <w:docPartUnique/>
      </w:docPartObj>
    </w:sdtPr>
    <w:sdtEndPr>
      <w:rPr>
        <w:noProof/>
      </w:rPr>
    </w:sdtEndPr>
    <w:sdtContent>
      <w:p w14:paraId="6B1D2055" w14:textId="402C5DFE" w:rsidR="00C80D91" w:rsidRDefault="00C80D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04FCF" w14:textId="77777777" w:rsidR="00EA0F03" w:rsidRDefault="00EA0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C49A" w14:textId="77777777" w:rsidR="00904977" w:rsidRDefault="00904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5A51" w14:textId="77777777" w:rsidR="0024357E" w:rsidRDefault="0024357E" w:rsidP="00E71F95">
      <w:pPr>
        <w:spacing w:after="0" w:line="240" w:lineRule="auto"/>
      </w:pPr>
      <w:r>
        <w:separator/>
      </w:r>
    </w:p>
  </w:footnote>
  <w:footnote w:type="continuationSeparator" w:id="0">
    <w:p w14:paraId="48063D44" w14:textId="77777777" w:rsidR="0024357E" w:rsidRDefault="0024357E" w:rsidP="00E71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C0B3" w14:textId="77777777" w:rsidR="00904977" w:rsidRDefault="00904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6B52" w14:textId="77777777" w:rsidR="00904977" w:rsidRDefault="00904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2209" w14:textId="77777777" w:rsidR="00904977" w:rsidRDefault="00904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20AF"/>
    <w:multiLevelType w:val="multilevel"/>
    <w:tmpl w:val="CEE0E3F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23172"/>
    <w:multiLevelType w:val="multilevel"/>
    <w:tmpl w:val="22D2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E600F"/>
    <w:multiLevelType w:val="multilevel"/>
    <w:tmpl w:val="F63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40165"/>
    <w:multiLevelType w:val="multilevel"/>
    <w:tmpl w:val="6B3A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434E8"/>
    <w:multiLevelType w:val="multilevel"/>
    <w:tmpl w:val="AD8E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B6874"/>
    <w:multiLevelType w:val="multilevel"/>
    <w:tmpl w:val="CD7E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23DE8"/>
    <w:multiLevelType w:val="hybridMultilevel"/>
    <w:tmpl w:val="B6324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210F3"/>
    <w:multiLevelType w:val="multilevel"/>
    <w:tmpl w:val="31D88A6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5C2F6F"/>
    <w:multiLevelType w:val="multilevel"/>
    <w:tmpl w:val="C474148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EE53982"/>
    <w:multiLevelType w:val="multilevel"/>
    <w:tmpl w:val="597A268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DB6FFB"/>
    <w:multiLevelType w:val="multilevel"/>
    <w:tmpl w:val="9C2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90A1F"/>
    <w:multiLevelType w:val="multilevel"/>
    <w:tmpl w:val="E424C38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0"/>
  </w:num>
  <w:num w:numId="5">
    <w:abstractNumId w:val="2"/>
  </w:num>
  <w:num w:numId="6">
    <w:abstractNumId w:val="1"/>
  </w:num>
  <w:num w:numId="7">
    <w:abstractNumId w:val="0"/>
  </w:num>
  <w:num w:numId="8">
    <w:abstractNumId w:val="11"/>
  </w:num>
  <w:num w:numId="9">
    <w:abstractNumId w:val="7"/>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01"/>
    <w:rsid w:val="00014614"/>
    <w:rsid w:val="000169D2"/>
    <w:rsid w:val="00023133"/>
    <w:rsid w:val="00041734"/>
    <w:rsid w:val="00045B6A"/>
    <w:rsid w:val="0007010D"/>
    <w:rsid w:val="0008532C"/>
    <w:rsid w:val="000E338F"/>
    <w:rsid w:val="000E7571"/>
    <w:rsid w:val="001218AC"/>
    <w:rsid w:val="00135273"/>
    <w:rsid w:val="00140D49"/>
    <w:rsid w:val="00146657"/>
    <w:rsid w:val="0015689E"/>
    <w:rsid w:val="00176F9C"/>
    <w:rsid w:val="00195297"/>
    <w:rsid w:val="001D7EF5"/>
    <w:rsid w:val="001E0C40"/>
    <w:rsid w:val="0020113B"/>
    <w:rsid w:val="002127B7"/>
    <w:rsid w:val="00224204"/>
    <w:rsid w:val="00241A6E"/>
    <w:rsid w:val="0024357E"/>
    <w:rsid w:val="00253E7E"/>
    <w:rsid w:val="002544A9"/>
    <w:rsid w:val="002641EF"/>
    <w:rsid w:val="00264993"/>
    <w:rsid w:val="002743AF"/>
    <w:rsid w:val="002810F3"/>
    <w:rsid w:val="002C3FD1"/>
    <w:rsid w:val="002D1F46"/>
    <w:rsid w:val="002D4B8B"/>
    <w:rsid w:val="002D5F8D"/>
    <w:rsid w:val="002F1916"/>
    <w:rsid w:val="002F3EC5"/>
    <w:rsid w:val="00306E34"/>
    <w:rsid w:val="00321D2B"/>
    <w:rsid w:val="00322B87"/>
    <w:rsid w:val="0032743C"/>
    <w:rsid w:val="003323C2"/>
    <w:rsid w:val="0034040A"/>
    <w:rsid w:val="00343148"/>
    <w:rsid w:val="00386941"/>
    <w:rsid w:val="00395CEE"/>
    <w:rsid w:val="003A0926"/>
    <w:rsid w:val="003B3078"/>
    <w:rsid w:val="003B4926"/>
    <w:rsid w:val="003B6A10"/>
    <w:rsid w:val="003E4FDF"/>
    <w:rsid w:val="00406DE2"/>
    <w:rsid w:val="0040762F"/>
    <w:rsid w:val="00407A92"/>
    <w:rsid w:val="004111FE"/>
    <w:rsid w:val="0042466F"/>
    <w:rsid w:val="00425F7D"/>
    <w:rsid w:val="0044595B"/>
    <w:rsid w:val="00464375"/>
    <w:rsid w:val="00472161"/>
    <w:rsid w:val="0049449E"/>
    <w:rsid w:val="004A4578"/>
    <w:rsid w:val="004A7916"/>
    <w:rsid w:val="005213C6"/>
    <w:rsid w:val="0054601A"/>
    <w:rsid w:val="00555D59"/>
    <w:rsid w:val="00567014"/>
    <w:rsid w:val="00567E1A"/>
    <w:rsid w:val="00576200"/>
    <w:rsid w:val="00591F91"/>
    <w:rsid w:val="005A7326"/>
    <w:rsid w:val="005B7FF9"/>
    <w:rsid w:val="00614CE7"/>
    <w:rsid w:val="00625B7F"/>
    <w:rsid w:val="00630941"/>
    <w:rsid w:val="00635695"/>
    <w:rsid w:val="006473DF"/>
    <w:rsid w:val="006730BA"/>
    <w:rsid w:val="00681ED1"/>
    <w:rsid w:val="00721392"/>
    <w:rsid w:val="00722EAE"/>
    <w:rsid w:val="00731383"/>
    <w:rsid w:val="00753434"/>
    <w:rsid w:val="00764595"/>
    <w:rsid w:val="007808D9"/>
    <w:rsid w:val="007909F3"/>
    <w:rsid w:val="00796F9B"/>
    <w:rsid w:val="007C1618"/>
    <w:rsid w:val="007C4FD4"/>
    <w:rsid w:val="007C74FF"/>
    <w:rsid w:val="007E2684"/>
    <w:rsid w:val="00804CE6"/>
    <w:rsid w:val="008540CE"/>
    <w:rsid w:val="0085570A"/>
    <w:rsid w:val="00864B4C"/>
    <w:rsid w:val="00885267"/>
    <w:rsid w:val="008A4468"/>
    <w:rsid w:val="008A5DB1"/>
    <w:rsid w:val="008A7BB6"/>
    <w:rsid w:val="008C58CB"/>
    <w:rsid w:val="008C7E29"/>
    <w:rsid w:val="00901E32"/>
    <w:rsid w:val="00904977"/>
    <w:rsid w:val="00905789"/>
    <w:rsid w:val="009556E3"/>
    <w:rsid w:val="00962945"/>
    <w:rsid w:val="00997612"/>
    <w:rsid w:val="009C7D8A"/>
    <w:rsid w:val="009D5F74"/>
    <w:rsid w:val="00A3166D"/>
    <w:rsid w:val="00A402AD"/>
    <w:rsid w:val="00A42BED"/>
    <w:rsid w:val="00A44D24"/>
    <w:rsid w:val="00A6319C"/>
    <w:rsid w:val="00AB7B60"/>
    <w:rsid w:val="00AE4AF1"/>
    <w:rsid w:val="00AE7F01"/>
    <w:rsid w:val="00B075D6"/>
    <w:rsid w:val="00B21D9B"/>
    <w:rsid w:val="00B329EC"/>
    <w:rsid w:val="00B50926"/>
    <w:rsid w:val="00B54074"/>
    <w:rsid w:val="00B65E59"/>
    <w:rsid w:val="00BC61CE"/>
    <w:rsid w:val="00C01696"/>
    <w:rsid w:val="00C46D8B"/>
    <w:rsid w:val="00C80D91"/>
    <w:rsid w:val="00CA1477"/>
    <w:rsid w:val="00CA5AFA"/>
    <w:rsid w:val="00CD7E43"/>
    <w:rsid w:val="00CE7507"/>
    <w:rsid w:val="00D34AAB"/>
    <w:rsid w:val="00D60764"/>
    <w:rsid w:val="00D620A8"/>
    <w:rsid w:val="00D629D9"/>
    <w:rsid w:val="00D64C58"/>
    <w:rsid w:val="00D72250"/>
    <w:rsid w:val="00DA70A0"/>
    <w:rsid w:val="00DC36F6"/>
    <w:rsid w:val="00DD7898"/>
    <w:rsid w:val="00E05D88"/>
    <w:rsid w:val="00E2018B"/>
    <w:rsid w:val="00E249C1"/>
    <w:rsid w:val="00E42E11"/>
    <w:rsid w:val="00E6759C"/>
    <w:rsid w:val="00E71F95"/>
    <w:rsid w:val="00E9409B"/>
    <w:rsid w:val="00EA0F03"/>
    <w:rsid w:val="00F33CFC"/>
    <w:rsid w:val="00F420E3"/>
    <w:rsid w:val="00F62C0F"/>
    <w:rsid w:val="00F672AC"/>
    <w:rsid w:val="00F84D5C"/>
    <w:rsid w:val="00F931CD"/>
    <w:rsid w:val="00F93337"/>
    <w:rsid w:val="00FB0B3B"/>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3D0E9"/>
  <w15:chartTrackingRefBased/>
  <w15:docId w15:val="{9F9F1E83-2E12-4056-BF07-360095AC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F95"/>
  </w:style>
  <w:style w:type="paragraph" w:styleId="Footer">
    <w:name w:val="footer"/>
    <w:basedOn w:val="Normal"/>
    <w:link w:val="FooterChar"/>
    <w:uiPriority w:val="99"/>
    <w:unhideWhenUsed/>
    <w:rsid w:val="00E71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F95"/>
  </w:style>
  <w:style w:type="paragraph" w:styleId="ListParagraph">
    <w:name w:val="List Paragraph"/>
    <w:basedOn w:val="Normal"/>
    <w:uiPriority w:val="34"/>
    <w:qFormat/>
    <w:rsid w:val="00F672AC"/>
    <w:pPr>
      <w:ind w:left="720"/>
      <w:contextualSpacing/>
    </w:pPr>
  </w:style>
  <w:style w:type="character" w:styleId="Hyperlink">
    <w:name w:val="Hyperlink"/>
    <w:basedOn w:val="DefaultParagraphFont"/>
    <w:uiPriority w:val="99"/>
    <w:unhideWhenUsed/>
    <w:rsid w:val="009D5F74"/>
    <w:rPr>
      <w:color w:val="0563C1" w:themeColor="hyperlink"/>
      <w:u w:val="single"/>
    </w:rPr>
  </w:style>
  <w:style w:type="character" w:styleId="UnresolvedMention">
    <w:name w:val="Unresolved Mention"/>
    <w:basedOn w:val="DefaultParagraphFont"/>
    <w:uiPriority w:val="99"/>
    <w:semiHidden/>
    <w:unhideWhenUsed/>
    <w:rsid w:val="009D5F74"/>
    <w:rPr>
      <w:color w:val="605E5C"/>
      <w:shd w:val="clear" w:color="auto" w:fill="E1DFDD"/>
    </w:rPr>
  </w:style>
  <w:style w:type="character" w:customStyle="1" w:styleId="citation-112">
    <w:name w:val="citation-112"/>
    <w:basedOn w:val="DefaultParagraphFont"/>
    <w:rsid w:val="00224204"/>
  </w:style>
  <w:style w:type="character" w:customStyle="1" w:styleId="citation-107">
    <w:name w:val="citation-107"/>
    <w:basedOn w:val="DefaultParagraphFont"/>
    <w:rsid w:val="00CA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40621">
      <w:bodyDiv w:val="1"/>
      <w:marLeft w:val="0"/>
      <w:marRight w:val="0"/>
      <w:marTop w:val="0"/>
      <w:marBottom w:val="0"/>
      <w:divBdr>
        <w:top w:val="none" w:sz="0" w:space="0" w:color="auto"/>
        <w:left w:val="none" w:sz="0" w:space="0" w:color="auto"/>
        <w:bottom w:val="none" w:sz="0" w:space="0" w:color="auto"/>
        <w:right w:val="none" w:sz="0" w:space="0" w:color="auto"/>
      </w:divBdr>
      <w:divsChild>
        <w:div w:id="941374151">
          <w:marLeft w:val="0"/>
          <w:marRight w:val="0"/>
          <w:marTop w:val="0"/>
          <w:marBottom w:val="0"/>
          <w:divBdr>
            <w:top w:val="none" w:sz="0" w:space="0" w:color="auto"/>
            <w:left w:val="none" w:sz="0" w:space="0" w:color="auto"/>
            <w:bottom w:val="none" w:sz="0" w:space="0" w:color="auto"/>
            <w:right w:val="none" w:sz="0" w:space="0" w:color="auto"/>
          </w:divBdr>
        </w:div>
        <w:div w:id="1383094811">
          <w:marLeft w:val="0"/>
          <w:marRight w:val="0"/>
          <w:marTop w:val="0"/>
          <w:marBottom w:val="0"/>
          <w:divBdr>
            <w:top w:val="none" w:sz="0" w:space="0" w:color="auto"/>
            <w:left w:val="none" w:sz="0" w:space="0" w:color="auto"/>
            <w:bottom w:val="none" w:sz="0" w:space="0" w:color="auto"/>
            <w:right w:val="none" w:sz="0" w:space="0" w:color="auto"/>
          </w:divBdr>
        </w:div>
        <w:div w:id="321811740">
          <w:blockQuote w:val="1"/>
          <w:marLeft w:val="0"/>
          <w:marRight w:val="0"/>
          <w:marTop w:val="240"/>
          <w:marBottom w:val="0"/>
          <w:divBdr>
            <w:top w:val="none" w:sz="0" w:space="0" w:color="auto"/>
            <w:left w:val="single" w:sz="12" w:space="11" w:color="ADB2B8"/>
            <w:bottom w:val="none" w:sz="0" w:space="0" w:color="auto"/>
            <w:right w:val="none" w:sz="0" w:space="0" w:color="auto"/>
          </w:divBdr>
        </w:div>
        <w:div w:id="1415980697">
          <w:blockQuote w:val="1"/>
          <w:marLeft w:val="0"/>
          <w:marRight w:val="0"/>
          <w:marTop w:val="240"/>
          <w:marBottom w:val="0"/>
          <w:divBdr>
            <w:top w:val="none" w:sz="0" w:space="0" w:color="auto"/>
            <w:left w:val="single" w:sz="12" w:space="11" w:color="ADB2B8"/>
            <w:bottom w:val="none" w:sz="0" w:space="0" w:color="auto"/>
            <w:right w:val="none" w:sz="0" w:space="0" w:color="auto"/>
          </w:divBdr>
        </w:div>
        <w:div w:id="1455296713">
          <w:blockQuote w:val="1"/>
          <w:marLeft w:val="0"/>
          <w:marRight w:val="0"/>
          <w:marTop w:val="240"/>
          <w:marBottom w:val="0"/>
          <w:divBdr>
            <w:top w:val="none" w:sz="0" w:space="0" w:color="auto"/>
            <w:left w:val="single" w:sz="12" w:space="11" w:color="ADB2B8"/>
            <w:bottom w:val="none" w:sz="0" w:space="0" w:color="auto"/>
            <w:right w:val="none" w:sz="0" w:space="0" w:color="auto"/>
          </w:divBdr>
        </w:div>
        <w:div w:id="1208100381">
          <w:marLeft w:val="0"/>
          <w:marRight w:val="0"/>
          <w:marTop w:val="0"/>
          <w:marBottom w:val="0"/>
          <w:divBdr>
            <w:top w:val="none" w:sz="0" w:space="0" w:color="auto"/>
            <w:left w:val="none" w:sz="0" w:space="0" w:color="auto"/>
            <w:bottom w:val="none" w:sz="0" w:space="0" w:color="auto"/>
            <w:right w:val="none" w:sz="0" w:space="0" w:color="auto"/>
          </w:divBdr>
        </w:div>
      </w:divsChild>
    </w:div>
    <w:div w:id="814682430">
      <w:bodyDiv w:val="1"/>
      <w:marLeft w:val="0"/>
      <w:marRight w:val="0"/>
      <w:marTop w:val="0"/>
      <w:marBottom w:val="0"/>
      <w:divBdr>
        <w:top w:val="none" w:sz="0" w:space="0" w:color="auto"/>
        <w:left w:val="none" w:sz="0" w:space="0" w:color="auto"/>
        <w:bottom w:val="none" w:sz="0" w:space="0" w:color="auto"/>
        <w:right w:val="none" w:sz="0" w:space="0" w:color="auto"/>
      </w:divBdr>
      <w:divsChild>
        <w:div w:id="625770042">
          <w:marLeft w:val="0"/>
          <w:marRight w:val="0"/>
          <w:marTop w:val="0"/>
          <w:marBottom w:val="0"/>
          <w:divBdr>
            <w:top w:val="none" w:sz="0" w:space="0" w:color="auto"/>
            <w:left w:val="none" w:sz="0" w:space="0" w:color="auto"/>
            <w:bottom w:val="none" w:sz="0" w:space="0" w:color="auto"/>
            <w:right w:val="none" w:sz="0" w:space="0" w:color="auto"/>
          </w:divBdr>
        </w:div>
      </w:divsChild>
    </w:div>
    <w:div w:id="1173296503">
      <w:bodyDiv w:val="1"/>
      <w:marLeft w:val="0"/>
      <w:marRight w:val="0"/>
      <w:marTop w:val="0"/>
      <w:marBottom w:val="0"/>
      <w:divBdr>
        <w:top w:val="none" w:sz="0" w:space="0" w:color="auto"/>
        <w:left w:val="none" w:sz="0" w:space="0" w:color="auto"/>
        <w:bottom w:val="none" w:sz="0" w:space="0" w:color="auto"/>
        <w:right w:val="none" w:sz="0" w:space="0" w:color="auto"/>
      </w:divBdr>
      <w:divsChild>
        <w:div w:id="812597700">
          <w:marLeft w:val="0"/>
          <w:marRight w:val="0"/>
          <w:marTop w:val="0"/>
          <w:marBottom w:val="0"/>
          <w:divBdr>
            <w:top w:val="none" w:sz="0" w:space="0" w:color="auto"/>
            <w:left w:val="none" w:sz="0" w:space="0" w:color="auto"/>
            <w:bottom w:val="none" w:sz="0" w:space="0" w:color="auto"/>
            <w:right w:val="none" w:sz="0" w:space="0" w:color="auto"/>
          </w:divBdr>
        </w:div>
        <w:div w:id="624969725">
          <w:marLeft w:val="0"/>
          <w:marRight w:val="0"/>
          <w:marTop w:val="0"/>
          <w:marBottom w:val="0"/>
          <w:divBdr>
            <w:top w:val="none" w:sz="0" w:space="0" w:color="auto"/>
            <w:left w:val="none" w:sz="0" w:space="0" w:color="auto"/>
            <w:bottom w:val="none" w:sz="0" w:space="0" w:color="auto"/>
            <w:right w:val="none" w:sz="0" w:space="0" w:color="auto"/>
          </w:divBdr>
        </w:div>
      </w:divsChild>
    </w:div>
    <w:div w:id="2019696245">
      <w:bodyDiv w:val="1"/>
      <w:marLeft w:val="0"/>
      <w:marRight w:val="0"/>
      <w:marTop w:val="0"/>
      <w:marBottom w:val="0"/>
      <w:divBdr>
        <w:top w:val="none" w:sz="0" w:space="0" w:color="auto"/>
        <w:left w:val="none" w:sz="0" w:space="0" w:color="auto"/>
        <w:bottom w:val="none" w:sz="0" w:space="0" w:color="auto"/>
        <w:right w:val="none" w:sz="0" w:space="0" w:color="auto"/>
      </w:divBdr>
      <w:divsChild>
        <w:div w:id="712735445">
          <w:blockQuote w:val="1"/>
          <w:marLeft w:val="0"/>
          <w:marRight w:val="0"/>
          <w:marTop w:val="240"/>
          <w:marBottom w:val="0"/>
          <w:divBdr>
            <w:top w:val="none" w:sz="0" w:space="0" w:color="auto"/>
            <w:left w:val="single" w:sz="12" w:space="11" w:color="ADB2B8"/>
            <w:bottom w:val="none" w:sz="0" w:space="0" w:color="auto"/>
            <w:right w:val="none" w:sz="0" w:space="0" w:color="auto"/>
          </w:divBdr>
        </w:div>
        <w:div w:id="1839616272">
          <w:blockQuote w:val="1"/>
          <w:marLeft w:val="0"/>
          <w:marRight w:val="0"/>
          <w:marTop w:val="240"/>
          <w:marBottom w:val="0"/>
          <w:divBdr>
            <w:top w:val="none" w:sz="0" w:space="0" w:color="auto"/>
            <w:left w:val="single" w:sz="12" w:space="11" w:color="ADB2B8"/>
            <w:bottom w:val="none" w:sz="0" w:space="0" w:color="auto"/>
            <w:right w:val="none" w:sz="0" w:space="0" w:color="auto"/>
          </w:divBdr>
        </w:div>
        <w:div w:id="1939679439">
          <w:blockQuote w:val="1"/>
          <w:marLeft w:val="0"/>
          <w:marRight w:val="0"/>
          <w:marTop w:val="240"/>
          <w:marBottom w:val="0"/>
          <w:divBdr>
            <w:top w:val="none" w:sz="0" w:space="0" w:color="auto"/>
            <w:left w:val="single" w:sz="12" w:space="11" w:color="ADB2B8"/>
            <w:bottom w:val="none" w:sz="0" w:space="0" w:color="auto"/>
            <w:right w:val="none" w:sz="0" w:space="0" w:color="auto"/>
          </w:divBdr>
        </w:div>
        <w:div w:id="40556711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7186</Words>
  <Characters>40963</Characters>
  <Application>Microsoft Office Word</Application>
  <DocSecurity>0</DocSecurity>
  <Lines>341</Lines>
  <Paragraphs>96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The Architecture of Executive Restraint in Developmental States: Reassessing Pre</vt:lpstr>
      <vt:lpstr>        Abstract</vt:lpstr>
      <vt:lpstr>        1.0 Introduction: The Unfinished Business of Zambian Constitutional Engineering</vt:lpstr>
      <vt:lpstr>        2.0 The Legal Architecture: Article 106(3) and the Innovations of Act No. 7 of 2</vt:lpstr>
      <vt:lpstr>        3.0 The Comparative Political Economy of Longevity: Fuzzy-Set QCA of the Asian T</vt:lpstr>
      <vt:lpstr>        </vt:lpstr>
      <vt:lpstr>        4.0 The Structural Pathologies of Executive Rotation in Developing Countries</vt:lpstr>
      <vt:lpstr>        Traits of Developmental Leadership: Who Qualifies for Extended Tenure?</vt:lpstr>
      <vt:lpstr>        6.0 Why a Working President Should Be Made to Go Beyond the Law: Three Irreducib</vt:lpstr>
      <vt:lpstr>        7.0 Acknowledging the Empirical Case for Term Limits</vt:lpstr>
      <vt:lpstr>        8.0 A Constitutional Mechanism for Performance-Based Extension under Act No. 7 o</vt:lpstr>
      <vt:lpstr>        10.0 Conclusion: From Procedural Democracy to Developmental Democracy - A Balanc</vt:lpstr>
      <vt:lpstr>        References</vt:lpstr>
    </vt:vector>
  </TitlesOfParts>
  <Company/>
  <LinksUpToDate>false</LinksUpToDate>
  <CharactersWithSpaces>48053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Zacks Yuma</dc:creator>
  <cp:keywords/>
  <dc:description/>
  <cp:lastModifiedBy>Zacks Yuma</cp:lastModifiedBy>
  <cp:revision>2</cp:revision>
  <dcterms:created xsi:type="dcterms:W3CDTF">2026-07-01T22:50:00Z</dcterms:created>
  <dcterms:modified xsi:type="dcterms:W3CDTF">2026-07-01T22:50:00Z</dcterms:modified>
</cp:coreProperties>
</file>