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80" w:lineRule="auto" w:before="63"/>
        <w:ind w:left="0" w:right="995"/>
        <w:jc w:val="center"/>
      </w:pPr>
      <w:r>
        <w:rPr/>
        <w:t>Quantifying</w:t>
      </w:r>
      <w:r>
        <w:rPr>
          <w:spacing w:val="-3"/>
        </w:rPr>
        <w:t> </w:t>
      </w:r>
      <w:r>
        <w:rPr/>
        <w:t>Corporate</w:t>
      </w:r>
      <w:r>
        <w:rPr>
          <w:spacing w:val="-4"/>
        </w:rPr>
        <w:t> </w:t>
      </w:r>
      <w:r>
        <w:rPr/>
        <w:t>Contributions</w:t>
      </w:r>
      <w:r>
        <w:rPr>
          <w:spacing w:val="-6"/>
        </w:rPr>
        <w:t> </w:t>
      </w:r>
      <w:r>
        <w:rPr/>
        <w:t>to</w:t>
      </w:r>
      <w:r>
        <w:rPr>
          <w:spacing w:val="-3"/>
        </w:rPr>
        <w:t> </w:t>
      </w:r>
      <w:r>
        <w:rPr/>
        <w:t>National</w:t>
      </w:r>
      <w:r>
        <w:rPr>
          <w:spacing w:val="-8"/>
        </w:rPr>
        <w:t> </w:t>
      </w:r>
      <w:r>
        <w:rPr/>
        <w:t>Decarbonisation:</w:t>
      </w:r>
      <w:r>
        <w:rPr>
          <w:spacing w:val="-2"/>
        </w:rPr>
        <w:t> </w:t>
      </w:r>
      <w:r>
        <w:rPr/>
        <w:t>The</w:t>
      </w:r>
      <w:r>
        <w:rPr>
          <w:spacing w:val="-4"/>
        </w:rPr>
        <w:t> </w:t>
      </w:r>
      <w:r>
        <w:rPr/>
        <w:t>Case</w:t>
      </w:r>
      <w:r>
        <w:rPr>
          <w:spacing w:val="-4"/>
        </w:rPr>
        <w:t> </w:t>
      </w:r>
      <w:r>
        <w:rPr/>
        <w:t>of</w:t>
      </w:r>
      <w:r>
        <w:rPr>
          <w:spacing w:val="-6"/>
        </w:rPr>
        <w:t> </w:t>
      </w:r>
      <w:r>
        <w:rPr/>
        <w:t>SSE’s Renewable</w:t>
      </w:r>
      <w:r>
        <w:rPr>
          <w:spacing w:val="-1"/>
        </w:rPr>
        <w:t> </w:t>
      </w:r>
      <w:r>
        <w:rPr/>
        <w:t>Energy</w:t>
      </w:r>
      <w:r>
        <w:rPr>
          <w:spacing w:val="-1"/>
        </w:rPr>
        <w:t> </w:t>
      </w:r>
      <w:r>
        <w:rPr/>
        <w:t>Portfolio</w:t>
      </w:r>
      <w:r>
        <w:rPr>
          <w:spacing w:val="-1"/>
        </w:rPr>
        <w:t> </w:t>
      </w:r>
      <w:r>
        <w:rPr/>
        <w:t>and</w:t>
      </w:r>
      <w:r>
        <w:rPr>
          <w:spacing w:val="-1"/>
        </w:rPr>
        <w:t> </w:t>
      </w:r>
      <w:r>
        <w:rPr/>
        <w:t>Carbon</w:t>
      </w:r>
      <w:r>
        <w:rPr>
          <w:spacing w:val="-1"/>
        </w:rPr>
        <w:t> </w:t>
      </w:r>
      <w:r>
        <w:rPr/>
        <w:t>Emissions</w:t>
      </w:r>
      <w:r>
        <w:rPr>
          <w:spacing w:val="-2"/>
        </w:rPr>
        <w:t> </w:t>
      </w:r>
      <w:r>
        <w:rPr/>
        <w:t>Reduction</w:t>
      </w:r>
      <w:r>
        <w:rPr>
          <w:spacing w:val="-4"/>
        </w:rPr>
        <w:t> </w:t>
      </w:r>
      <w:r>
        <w:rPr/>
        <w:t>in</w:t>
      </w:r>
      <w:r>
        <w:rPr>
          <w:spacing w:val="-4"/>
        </w:rPr>
        <w:t> </w:t>
      </w:r>
      <w:r>
        <w:rPr/>
        <w:t>the</w:t>
      </w:r>
      <w:r>
        <w:rPr>
          <w:spacing w:val="-1"/>
        </w:rPr>
        <w:t> </w:t>
      </w:r>
      <w:r>
        <w:rPr/>
        <w:t>United</w:t>
      </w:r>
      <w:r>
        <w:rPr>
          <w:spacing w:val="-4"/>
        </w:rPr>
        <w:t> </w:t>
      </w:r>
      <w:r>
        <w:rPr/>
        <w:t>Kingdom (2020 2024)</w:t>
      </w:r>
    </w:p>
    <w:p>
      <w:pPr>
        <w:pStyle w:val="BodyText"/>
        <w:ind w:left="0"/>
        <w:rPr>
          <w:b/>
        </w:rPr>
      </w:pPr>
    </w:p>
    <w:p>
      <w:pPr>
        <w:pStyle w:val="BodyText"/>
        <w:spacing w:before="78"/>
        <w:ind w:left="0"/>
        <w:rPr>
          <w:b/>
        </w:rPr>
      </w:pPr>
    </w:p>
    <w:p>
      <w:pPr>
        <w:pStyle w:val="BodyText"/>
        <w:spacing w:before="1"/>
        <w:ind w:left="945" w:right="1932"/>
        <w:jc w:val="center"/>
      </w:pPr>
      <w:r>
        <w:rPr/>
        <w:t/>
      </w:r>
      <w:r>
        <w:rPr>
          <w:spacing w:val="-6"/>
        </w:rPr>
        <w:t/>
      </w:r>
      <w:r>
        <w:rPr>
          <w:spacing w:val="-2"/>
        </w:rPr>
        <w:t/>
      </w:r>
    </w:p>
    <w:p>
      <w:pPr>
        <w:pStyle w:val="BodyText"/>
        <w:spacing w:line="417" w:lineRule="auto" w:before="204"/>
        <w:ind w:left="945" w:right="1932"/>
        <w:jc w:val="center"/>
      </w:pPr>
      <w:r>
        <w:rPr/>
        <w:t/>
      </w:r>
      <w:r>
        <w:rPr>
          <w:spacing w:val="-12"/>
        </w:rPr>
        <w:t/>
      </w:r>
      <w:r>
        <w:rPr/>
        <w:t/>
      </w:r>
      <w:r>
        <w:rPr>
          <w:spacing w:val="-7"/>
        </w:rPr>
        <w:t/>
      </w:r>
      <w:r>
        <w:rPr/>
        <w:t/>
      </w:r>
      <w:r>
        <w:rPr>
          <w:spacing w:val="-6"/>
        </w:rPr>
        <w:t/>
      </w:r>
      <w:r>
        <w:rPr/>
        <w:t/>
      </w:r>
      <w:r>
        <w:rPr>
          <w:spacing w:val="-5"/>
        </w:rPr>
        <w:t/>
      </w:r>
      <w:r>
        <w:rPr/>
        <w:t/>
      </w:r>
      <w:hyperlink r:id="rId6">
        <w:r>
          <w:rPr>
            <w:spacing w:val="-2"/>
          </w:rPr>
          <w:t/>
        </w:r>
      </w:hyperlink>
    </w:p>
    <w:p>
      <w:pPr>
        <w:pStyle w:val="BodyText"/>
        <w:spacing w:before="4"/>
        <w:ind w:left="945" w:right="1936"/>
        <w:jc w:val="center"/>
      </w:pPr>
      <w:r>
        <w:rPr/>
        <w:t/>
      </w:r>
      <w:r>
        <w:rPr>
          <w:spacing w:val="1"/>
        </w:rPr>
        <w:t/>
      </w:r>
      <w:r>
        <w:rPr>
          <w:spacing w:val="-2"/>
        </w:rPr>
        <w:t/>
      </w:r>
    </w:p>
    <w:p>
      <w:pPr>
        <w:pStyle w:val="BodyText"/>
        <w:ind w:left="0"/>
      </w:pPr>
    </w:p>
    <w:p>
      <w:pPr>
        <w:pStyle w:val="BodyText"/>
        <w:ind w:left="0"/>
      </w:pPr>
    </w:p>
    <w:p>
      <w:pPr>
        <w:pStyle w:val="BodyText"/>
        <w:spacing w:before="102"/>
        <w:ind w:left="0"/>
      </w:pPr>
    </w:p>
    <w:p>
      <w:pPr>
        <w:pStyle w:val="Heading1"/>
      </w:pPr>
      <w:r>
        <w:rPr>
          <w:spacing w:val="-2"/>
        </w:rPr>
        <w:t>Abstract</w:t>
      </w:r>
    </w:p>
    <w:p>
      <w:pPr>
        <w:pStyle w:val="BodyText"/>
        <w:spacing w:line="278" w:lineRule="auto" w:before="199"/>
        <w:ind w:right="1005"/>
        <w:jc w:val="both"/>
      </w:pPr>
      <w:r>
        <w:rPr/>
        <w:t>This</w:t>
      </w:r>
      <w:r>
        <w:rPr>
          <w:spacing w:val="-3"/>
        </w:rPr>
        <w:t> </w:t>
      </w:r>
      <w:r>
        <w:rPr/>
        <w:t>study</w:t>
      </w:r>
      <w:r>
        <w:rPr>
          <w:spacing w:val="-6"/>
        </w:rPr>
        <w:t> </w:t>
      </w:r>
      <w:r>
        <w:rPr/>
        <w:t>investigates</w:t>
      </w:r>
      <w:r>
        <w:rPr>
          <w:spacing w:val="-3"/>
        </w:rPr>
        <w:t> </w:t>
      </w:r>
      <w:r>
        <w:rPr/>
        <w:t>the</w:t>
      </w:r>
      <w:r>
        <w:rPr>
          <w:spacing w:val="-2"/>
        </w:rPr>
        <w:t> </w:t>
      </w:r>
      <w:r>
        <w:rPr/>
        <w:t>measurable</w:t>
      </w:r>
      <w:r>
        <w:rPr>
          <w:spacing w:val="-2"/>
        </w:rPr>
        <w:t> </w:t>
      </w:r>
      <w:r>
        <w:rPr/>
        <w:t>contribution</w:t>
      </w:r>
      <w:r>
        <w:rPr>
          <w:spacing w:val="-6"/>
        </w:rPr>
        <w:t> </w:t>
      </w:r>
      <w:r>
        <w:rPr/>
        <w:t>of</w:t>
      </w:r>
      <w:r>
        <w:rPr>
          <w:spacing w:val="-9"/>
        </w:rPr>
        <w:t> </w:t>
      </w:r>
      <w:r>
        <w:rPr/>
        <w:t>SSE plc, a</w:t>
      </w:r>
      <w:r>
        <w:rPr>
          <w:spacing w:val="-2"/>
        </w:rPr>
        <w:t> </w:t>
      </w:r>
      <w:r>
        <w:rPr/>
        <w:t>major UK</w:t>
      </w:r>
      <w:r>
        <w:rPr>
          <w:spacing w:val="-7"/>
        </w:rPr>
        <w:t> </w:t>
      </w:r>
      <w:r>
        <w:rPr/>
        <w:t>renewable</w:t>
      </w:r>
      <w:r>
        <w:rPr>
          <w:spacing w:val="-2"/>
        </w:rPr>
        <w:t> </w:t>
      </w:r>
      <w:r>
        <w:rPr/>
        <w:t>energy company,</w:t>
      </w:r>
      <w:r>
        <w:rPr>
          <w:spacing w:val="-7"/>
        </w:rPr>
        <w:t> </w:t>
      </w:r>
      <w:r>
        <w:rPr/>
        <w:t>to</w:t>
      </w:r>
      <w:r>
        <w:rPr>
          <w:spacing w:val="-8"/>
        </w:rPr>
        <w:t> </w:t>
      </w:r>
      <w:r>
        <w:rPr/>
        <w:t>national</w:t>
      </w:r>
      <w:r>
        <w:rPr>
          <w:spacing w:val="-12"/>
        </w:rPr>
        <w:t> </w:t>
      </w:r>
      <w:r>
        <w:rPr/>
        <w:t>carbon</w:t>
      </w:r>
      <w:r>
        <w:rPr>
          <w:spacing w:val="-8"/>
        </w:rPr>
        <w:t> </w:t>
      </w:r>
      <w:r>
        <w:rPr/>
        <w:t>emission</w:t>
      </w:r>
      <w:r>
        <w:rPr>
          <w:spacing w:val="-12"/>
        </w:rPr>
        <w:t> </w:t>
      </w:r>
      <w:r>
        <w:rPr/>
        <w:t>reduction</w:t>
      </w:r>
      <w:r>
        <w:rPr>
          <w:spacing w:val="-12"/>
        </w:rPr>
        <w:t> </w:t>
      </w:r>
      <w:r>
        <w:rPr/>
        <w:t>efforts.</w:t>
      </w:r>
      <w:r>
        <w:rPr>
          <w:spacing w:val="-6"/>
        </w:rPr>
        <w:t> </w:t>
      </w:r>
      <w:r>
        <w:rPr/>
        <w:t>Recognising</w:t>
      </w:r>
      <w:r>
        <w:rPr>
          <w:spacing w:val="-8"/>
        </w:rPr>
        <w:t> </w:t>
      </w:r>
      <w:r>
        <w:rPr/>
        <w:t>the</w:t>
      </w:r>
      <w:r>
        <w:rPr>
          <w:spacing w:val="-9"/>
        </w:rPr>
        <w:t> </w:t>
      </w:r>
      <w:r>
        <w:rPr/>
        <w:t>critical</w:t>
      </w:r>
      <w:r>
        <w:rPr>
          <w:spacing w:val="-12"/>
        </w:rPr>
        <w:t> </w:t>
      </w:r>
      <w:r>
        <w:rPr/>
        <w:t>role</w:t>
      </w:r>
      <w:r>
        <w:rPr>
          <w:spacing w:val="-9"/>
        </w:rPr>
        <w:t> </w:t>
      </w:r>
      <w:r>
        <w:rPr/>
        <w:t>of</w:t>
      </w:r>
      <w:r>
        <w:rPr>
          <w:spacing w:val="-15"/>
        </w:rPr>
        <w:t> </w:t>
      </w:r>
      <w:r>
        <w:rPr/>
        <w:t>private sector actors in achieving the UK’s net zero targets, the research quantifies SSE’s renewable electricity output, estimates the corresponding avoided carbon emissions, and evaluates the company’s alignment with national decarbonisation goals. A quantitative, single case study design was used, drawing on secondary data from company reports and official government sources. Carbon emissions displacement was calculated using the UK Government’s carbon intensity conversion factors.</w:t>
      </w:r>
    </w:p>
    <w:p>
      <w:pPr>
        <w:pStyle w:val="BodyText"/>
        <w:spacing w:line="278" w:lineRule="auto" w:before="171"/>
        <w:ind w:right="1013"/>
        <w:jc w:val="both"/>
      </w:pPr>
      <w:r>
        <w:rPr/>
        <w:t>Between 2020 and 2024, SSE generated approximately 51.8 TWh of renewable electricity contributing</w:t>
      </w:r>
      <w:r>
        <w:rPr>
          <w:spacing w:val="-15"/>
        </w:rPr>
        <w:t> </w:t>
      </w:r>
      <w:r>
        <w:rPr/>
        <w:t>7</w:t>
      </w:r>
      <w:r>
        <w:rPr>
          <w:spacing w:val="-14"/>
        </w:rPr>
        <w:t> </w:t>
      </w:r>
      <w:r>
        <w:rPr/>
        <w:t>8.4%</w:t>
      </w:r>
      <w:r>
        <w:rPr>
          <w:spacing w:val="-14"/>
        </w:rPr>
        <w:t> </w:t>
      </w:r>
      <w:r>
        <w:rPr/>
        <w:t>of</w:t>
      </w:r>
      <w:r>
        <w:rPr>
          <w:spacing w:val="-15"/>
        </w:rPr>
        <w:t> </w:t>
      </w:r>
      <w:r>
        <w:rPr/>
        <w:t>the</w:t>
      </w:r>
      <w:r>
        <w:rPr>
          <w:spacing w:val="-12"/>
        </w:rPr>
        <w:t> </w:t>
      </w:r>
      <w:r>
        <w:rPr/>
        <w:t>UK’s</w:t>
      </w:r>
      <w:r>
        <w:rPr>
          <w:spacing w:val="-13"/>
        </w:rPr>
        <w:t> </w:t>
      </w:r>
      <w:r>
        <w:rPr/>
        <w:t>annual</w:t>
      </w:r>
      <w:r>
        <w:rPr>
          <w:spacing w:val="-15"/>
        </w:rPr>
        <w:t> </w:t>
      </w:r>
      <w:r>
        <w:rPr/>
        <w:t>renewable</w:t>
      </w:r>
      <w:r>
        <w:rPr>
          <w:spacing w:val="-8"/>
        </w:rPr>
        <w:t> </w:t>
      </w:r>
      <w:r>
        <w:rPr/>
        <w:t>generation</w:t>
      </w:r>
      <w:r>
        <w:rPr>
          <w:spacing w:val="-15"/>
        </w:rPr>
        <w:t> </w:t>
      </w:r>
      <w:r>
        <w:rPr/>
        <w:t>and</w:t>
      </w:r>
      <w:r>
        <w:rPr>
          <w:spacing w:val="-12"/>
        </w:rPr>
        <w:t> </w:t>
      </w:r>
      <w:r>
        <w:rPr/>
        <w:t>helped</w:t>
      </w:r>
      <w:r>
        <w:rPr>
          <w:spacing w:val="-12"/>
        </w:rPr>
        <w:t> </w:t>
      </w:r>
      <w:r>
        <w:rPr/>
        <w:t>avoid</w:t>
      </w:r>
      <w:r>
        <w:rPr>
          <w:spacing w:val="-12"/>
        </w:rPr>
        <w:t> </w:t>
      </w:r>
      <w:r>
        <w:rPr/>
        <w:t>over</w:t>
      </w:r>
      <w:r>
        <w:rPr>
          <w:spacing w:val="-10"/>
        </w:rPr>
        <w:t> </w:t>
      </w:r>
      <w:r>
        <w:rPr/>
        <w:t>12</w:t>
      </w:r>
      <w:r>
        <w:rPr>
          <w:spacing w:val="-12"/>
        </w:rPr>
        <w:t> </w:t>
      </w:r>
      <w:r>
        <w:rPr/>
        <w:t>million tonnes</w:t>
      </w:r>
      <w:r>
        <w:rPr>
          <w:spacing w:val="-10"/>
        </w:rPr>
        <w:t> </w:t>
      </w:r>
      <w:r>
        <w:rPr/>
        <w:t>of</w:t>
      </w:r>
      <w:r>
        <w:rPr>
          <w:spacing w:val="-15"/>
        </w:rPr>
        <w:t> </w:t>
      </w:r>
      <w:r>
        <w:rPr/>
        <w:t>CO₂</w:t>
      </w:r>
      <w:r>
        <w:rPr>
          <w:spacing w:val="-8"/>
        </w:rPr>
        <w:t> </w:t>
      </w:r>
      <w:r>
        <w:rPr/>
        <w:t>emissions.</w:t>
      </w:r>
      <w:r>
        <w:rPr>
          <w:spacing w:val="-6"/>
        </w:rPr>
        <w:t> </w:t>
      </w:r>
      <w:r>
        <w:rPr/>
        <w:t>This</w:t>
      </w:r>
      <w:r>
        <w:rPr>
          <w:spacing w:val="-6"/>
        </w:rPr>
        <w:t> </w:t>
      </w:r>
      <w:r>
        <w:rPr/>
        <w:t>impact</w:t>
      </w:r>
      <w:r>
        <w:rPr>
          <w:spacing w:val="-3"/>
        </w:rPr>
        <w:t> </w:t>
      </w:r>
      <w:r>
        <w:rPr/>
        <w:t>stems</w:t>
      </w:r>
      <w:r>
        <w:rPr>
          <w:spacing w:val="-6"/>
        </w:rPr>
        <w:t> </w:t>
      </w:r>
      <w:r>
        <w:rPr/>
        <w:t>largely</w:t>
      </w:r>
      <w:r>
        <w:rPr>
          <w:spacing w:val="-12"/>
        </w:rPr>
        <w:t> </w:t>
      </w:r>
      <w:r>
        <w:rPr/>
        <w:t>from</w:t>
      </w:r>
      <w:r>
        <w:rPr>
          <w:spacing w:val="-12"/>
        </w:rPr>
        <w:t> </w:t>
      </w:r>
      <w:r>
        <w:rPr/>
        <w:t>its</w:t>
      </w:r>
      <w:r>
        <w:rPr>
          <w:spacing w:val="-10"/>
        </w:rPr>
        <w:t> </w:t>
      </w:r>
      <w:r>
        <w:rPr/>
        <w:t>offshore</w:t>
      </w:r>
      <w:r>
        <w:rPr>
          <w:spacing w:val="-9"/>
        </w:rPr>
        <w:t> </w:t>
      </w:r>
      <w:r>
        <w:rPr/>
        <w:t>wind</w:t>
      </w:r>
      <w:r>
        <w:rPr>
          <w:spacing w:val="-8"/>
        </w:rPr>
        <w:t> </w:t>
      </w:r>
      <w:r>
        <w:rPr/>
        <w:t>portfolio,</w:t>
      </w:r>
      <w:r>
        <w:rPr>
          <w:spacing w:val="-1"/>
        </w:rPr>
        <w:t> </w:t>
      </w:r>
      <w:r>
        <w:rPr/>
        <w:t>including Dogger Bank and Seagreen, supported by onshore wind and hydroelectric assets. While the findings highlight SSE’s significant role in decarbonisation, limitations include reliance on secondary data and the single company focus, which constrain broader generalisability and analytical depth.</w:t>
      </w:r>
    </w:p>
    <w:p>
      <w:pPr>
        <w:pStyle w:val="BodyText"/>
        <w:spacing w:line="278" w:lineRule="auto" w:before="165"/>
        <w:ind w:right="1013"/>
        <w:jc w:val="both"/>
      </w:pPr>
      <w:r>
        <w:rPr/>
        <w:t>The study recommends future research adopt real time marginal emissions modelling and expand to include comparative multi firm analysis. It also calls for continued government support for private sector renewable investment through stable policy and financial </w:t>
      </w:r>
      <w:r>
        <w:rPr>
          <w:spacing w:val="-2"/>
        </w:rPr>
        <w:t>mechanisms.</w:t>
      </w:r>
    </w:p>
    <w:p>
      <w:pPr>
        <w:pStyle w:val="BodyText"/>
        <w:spacing w:after="0" w:line="278" w:lineRule="auto"/>
        <w:jc w:val="both"/>
        <w:sectPr>
          <w:footerReference w:type="default" r:id="rId5"/>
          <w:type w:val="continuous"/>
          <w:pgSz w:w="11910" w:h="16840"/>
          <w:pgMar w:header="0" w:footer="1064" w:top="1360" w:bottom="1260" w:left="1417" w:right="425"/>
          <w:pgNumType w:start="1"/>
        </w:sectPr>
      </w:pPr>
    </w:p>
    <w:p>
      <w:pPr>
        <w:pStyle w:val="Heading1"/>
        <w:spacing w:before="63"/>
      </w:pPr>
      <w:bookmarkStart w:name="1. Introduction" w:id="1"/>
      <w:bookmarkEnd w:id="1"/>
      <w:r>
        <w:rPr>
          <w:b w:val="0"/>
        </w:rPr>
      </w:r>
      <w:r>
        <w:rPr/>
        <w:t>1.</w:t>
      </w:r>
      <w:r>
        <w:rPr>
          <w:spacing w:val="4"/>
        </w:rPr>
        <w:t> </w:t>
      </w:r>
      <w:r>
        <w:rPr>
          <w:spacing w:val="-2"/>
        </w:rPr>
        <w:t>Introduction</w:t>
      </w:r>
    </w:p>
    <w:p>
      <w:pPr>
        <w:pStyle w:val="BodyText"/>
        <w:spacing w:before="43"/>
        <w:ind w:left="0"/>
        <w:rPr>
          <w:b/>
        </w:rPr>
      </w:pPr>
    </w:p>
    <w:p>
      <w:pPr>
        <w:pStyle w:val="BodyText"/>
        <w:spacing w:line="278" w:lineRule="auto"/>
        <w:ind w:right="952"/>
        <w:jc w:val="both"/>
      </w:pPr>
      <w:r>
        <w:rPr/>
        <w:t>The urgency of climate change mitigation has placed unprecedented pressure on national governments, regulators, and private utilities to decarbonise electricity generation. The Intergovernmental</w:t>
      </w:r>
      <w:r>
        <w:rPr>
          <w:spacing w:val="-4"/>
        </w:rPr>
        <w:t> </w:t>
      </w:r>
      <w:r>
        <w:rPr/>
        <w:t>Panel on Climate Change (IPCC) warns that global greenhouse gas (GHG) emissions</w:t>
      </w:r>
      <w:r>
        <w:rPr>
          <w:spacing w:val="-15"/>
        </w:rPr>
        <w:t> </w:t>
      </w:r>
      <w:r>
        <w:rPr/>
        <w:t>must</w:t>
      </w:r>
      <w:r>
        <w:rPr>
          <w:spacing w:val="-8"/>
        </w:rPr>
        <w:t> </w:t>
      </w:r>
      <w:r>
        <w:rPr/>
        <w:t>peak</w:t>
      </w:r>
      <w:r>
        <w:rPr>
          <w:spacing w:val="-12"/>
        </w:rPr>
        <w:t> </w:t>
      </w:r>
      <w:r>
        <w:rPr/>
        <w:t>by</w:t>
      </w:r>
      <w:r>
        <w:rPr>
          <w:spacing w:val="-15"/>
        </w:rPr>
        <w:t> </w:t>
      </w:r>
      <w:r>
        <w:rPr/>
        <w:t>2025</w:t>
      </w:r>
      <w:r>
        <w:rPr>
          <w:spacing w:val="-12"/>
        </w:rPr>
        <w:t> </w:t>
      </w:r>
      <w:r>
        <w:rPr/>
        <w:t>and</w:t>
      </w:r>
      <w:r>
        <w:rPr>
          <w:spacing w:val="-8"/>
        </w:rPr>
        <w:t> </w:t>
      </w:r>
      <w:r>
        <w:rPr/>
        <w:t>fall</w:t>
      </w:r>
      <w:r>
        <w:rPr>
          <w:spacing w:val="-12"/>
        </w:rPr>
        <w:t> </w:t>
      </w:r>
      <w:r>
        <w:rPr/>
        <w:t>by</w:t>
      </w:r>
      <w:r>
        <w:rPr>
          <w:spacing w:val="-15"/>
        </w:rPr>
        <w:t> </w:t>
      </w:r>
      <w:r>
        <w:rPr/>
        <w:t>43%</w:t>
      </w:r>
      <w:r>
        <w:rPr>
          <w:spacing w:val="-11"/>
        </w:rPr>
        <w:t> </w:t>
      </w:r>
      <w:r>
        <w:rPr/>
        <w:t>by</w:t>
      </w:r>
      <w:r>
        <w:rPr>
          <w:spacing w:val="-15"/>
        </w:rPr>
        <w:t> </w:t>
      </w:r>
      <w:r>
        <w:rPr/>
        <w:t>2030</w:t>
      </w:r>
      <w:r>
        <w:rPr>
          <w:spacing w:val="-12"/>
        </w:rPr>
        <w:t> </w:t>
      </w:r>
      <w:r>
        <w:rPr/>
        <w:t>to</w:t>
      </w:r>
      <w:r>
        <w:rPr>
          <w:spacing w:val="-12"/>
        </w:rPr>
        <w:t> </w:t>
      </w:r>
      <w:r>
        <w:rPr/>
        <w:t>limit</w:t>
      </w:r>
      <w:r>
        <w:rPr>
          <w:spacing w:val="-7"/>
        </w:rPr>
        <w:t> </w:t>
      </w:r>
      <w:r>
        <w:rPr/>
        <w:t>warming</w:t>
      </w:r>
      <w:r>
        <w:rPr>
          <w:spacing w:val="-12"/>
        </w:rPr>
        <w:t> </w:t>
      </w:r>
      <w:r>
        <w:rPr/>
        <w:t>to</w:t>
      </w:r>
      <w:r>
        <w:rPr>
          <w:spacing w:val="-8"/>
        </w:rPr>
        <w:t> </w:t>
      </w:r>
      <w:r>
        <w:rPr/>
        <w:t>1.5</w:t>
      </w:r>
      <w:r>
        <w:rPr>
          <w:spacing w:val="-12"/>
        </w:rPr>
        <w:t> </w:t>
      </w:r>
      <w:r>
        <w:rPr/>
        <w:t>°C</w:t>
      </w:r>
      <w:r>
        <w:rPr>
          <w:spacing w:val="-14"/>
        </w:rPr>
        <w:t> </w:t>
      </w:r>
      <w:r>
        <w:rPr/>
        <w:t>(IPCC,</w:t>
      </w:r>
      <w:r>
        <w:rPr>
          <w:spacing w:val="-10"/>
        </w:rPr>
        <w:t> </w:t>
      </w:r>
      <w:r>
        <w:rPr/>
        <w:t>2022). The power sector, responsible for roughly</w:t>
      </w:r>
      <w:r>
        <w:rPr>
          <w:spacing w:val="-1"/>
        </w:rPr>
        <w:t> </w:t>
      </w:r>
      <w:r>
        <w:rPr/>
        <w:t>40% of</w:t>
      </w:r>
      <w:r>
        <w:rPr>
          <w:spacing w:val="-4"/>
        </w:rPr>
        <w:t> </w:t>
      </w:r>
      <w:r>
        <w:rPr/>
        <w:t>global</w:t>
      </w:r>
      <w:r>
        <w:rPr>
          <w:spacing w:val="-1"/>
        </w:rPr>
        <w:t> </w:t>
      </w:r>
      <w:r>
        <w:rPr/>
        <w:t>CO₂ emissions, is widely</w:t>
      </w:r>
      <w:r>
        <w:rPr>
          <w:spacing w:val="-5"/>
        </w:rPr>
        <w:t> </w:t>
      </w:r>
      <w:r>
        <w:rPr/>
        <w:t>recognised as the linchpin of this transition (IEA, 2023). Rapid technological advances and falling costs for</w:t>
      </w:r>
      <w:r>
        <w:rPr>
          <w:spacing w:val="-15"/>
        </w:rPr>
        <w:t> </w:t>
      </w:r>
      <w:r>
        <w:rPr/>
        <w:t>wind</w:t>
      </w:r>
      <w:r>
        <w:rPr>
          <w:spacing w:val="-15"/>
        </w:rPr>
        <w:t> </w:t>
      </w:r>
      <w:r>
        <w:rPr/>
        <w:t>and</w:t>
      </w:r>
      <w:r>
        <w:rPr>
          <w:spacing w:val="-15"/>
        </w:rPr>
        <w:t> </w:t>
      </w:r>
      <w:r>
        <w:rPr/>
        <w:t>solar</w:t>
      </w:r>
      <w:r>
        <w:rPr>
          <w:spacing w:val="-15"/>
        </w:rPr>
        <w:t> </w:t>
      </w:r>
      <w:r>
        <w:rPr/>
        <w:t>energy</w:t>
      </w:r>
      <w:r>
        <w:rPr>
          <w:spacing w:val="-15"/>
        </w:rPr>
        <w:t> </w:t>
      </w:r>
      <w:r>
        <w:rPr/>
        <w:t>have</w:t>
      </w:r>
      <w:r>
        <w:rPr>
          <w:spacing w:val="-15"/>
        </w:rPr>
        <w:t> </w:t>
      </w:r>
      <w:r>
        <w:rPr/>
        <w:t>created</w:t>
      </w:r>
      <w:r>
        <w:rPr>
          <w:spacing w:val="-15"/>
        </w:rPr>
        <w:t> </w:t>
      </w:r>
      <w:r>
        <w:rPr/>
        <w:t>new</w:t>
      </w:r>
      <w:r>
        <w:rPr>
          <w:spacing w:val="-15"/>
        </w:rPr>
        <w:t> </w:t>
      </w:r>
      <w:r>
        <w:rPr/>
        <w:t>opportunities</w:t>
      </w:r>
      <w:r>
        <w:rPr>
          <w:spacing w:val="-12"/>
        </w:rPr>
        <w:t> </w:t>
      </w:r>
      <w:r>
        <w:rPr/>
        <w:t>for</w:t>
      </w:r>
      <w:r>
        <w:rPr>
          <w:spacing w:val="-13"/>
        </w:rPr>
        <w:t> </w:t>
      </w:r>
      <w:r>
        <w:rPr/>
        <w:t>large</w:t>
      </w:r>
      <w:r>
        <w:rPr>
          <w:spacing w:val="-10"/>
        </w:rPr>
        <w:t> </w:t>
      </w:r>
      <w:r>
        <w:rPr/>
        <w:t>scale</w:t>
      </w:r>
      <w:r>
        <w:rPr>
          <w:spacing w:val="-15"/>
        </w:rPr>
        <w:t> </w:t>
      </w:r>
      <w:r>
        <w:rPr/>
        <w:t>renewable</w:t>
      </w:r>
      <w:r>
        <w:rPr>
          <w:spacing w:val="-15"/>
        </w:rPr>
        <w:t> </w:t>
      </w:r>
      <w:r>
        <w:rPr/>
        <w:t>deployment, yet the pace of change must accelerate to meet international climate targets.</w:t>
      </w:r>
    </w:p>
    <w:p>
      <w:pPr>
        <w:pStyle w:val="BodyText"/>
        <w:spacing w:line="278" w:lineRule="auto" w:before="248"/>
        <w:ind w:right="1010"/>
        <w:jc w:val="both"/>
      </w:pPr>
      <w:r>
        <w:rPr/>
        <w:t>The United Kingdom represents a leading case of national energy transformation. Under the legally</w:t>
      </w:r>
      <w:r>
        <w:rPr>
          <w:spacing w:val="-14"/>
        </w:rPr>
        <w:t> </w:t>
      </w:r>
      <w:r>
        <w:rPr/>
        <w:t>binding</w:t>
      </w:r>
      <w:r>
        <w:rPr>
          <w:spacing w:val="-9"/>
        </w:rPr>
        <w:t> </w:t>
      </w:r>
      <w:r>
        <w:rPr/>
        <w:t>Climate</w:t>
      </w:r>
      <w:r>
        <w:rPr>
          <w:spacing w:val="-10"/>
        </w:rPr>
        <w:t> </w:t>
      </w:r>
      <w:r>
        <w:rPr/>
        <w:t>Change</w:t>
      </w:r>
      <w:r>
        <w:rPr>
          <w:spacing w:val="-10"/>
        </w:rPr>
        <w:t> </w:t>
      </w:r>
      <w:r>
        <w:rPr/>
        <w:t>Act,</w:t>
      </w:r>
      <w:r>
        <w:rPr>
          <w:spacing w:val="-12"/>
        </w:rPr>
        <w:t> </w:t>
      </w:r>
      <w:r>
        <w:rPr/>
        <w:t>the</w:t>
      </w:r>
      <w:r>
        <w:rPr>
          <w:spacing w:val="-10"/>
        </w:rPr>
        <w:t> </w:t>
      </w:r>
      <w:r>
        <w:rPr/>
        <w:t>UK</w:t>
      </w:r>
      <w:r>
        <w:rPr>
          <w:spacing w:val="-14"/>
        </w:rPr>
        <w:t> </w:t>
      </w:r>
      <w:r>
        <w:rPr/>
        <w:t>has</w:t>
      </w:r>
      <w:r>
        <w:rPr>
          <w:spacing w:val="-11"/>
        </w:rPr>
        <w:t> </w:t>
      </w:r>
      <w:r>
        <w:rPr/>
        <w:t>committed</w:t>
      </w:r>
      <w:r>
        <w:rPr>
          <w:spacing w:val="-14"/>
        </w:rPr>
        <w:t> </w:t>
      </w:r>
      <w:r>
        <w:rPr/>
        <w:t>to</w:t>
      </w:r>
      <w:r>
        <w:rPr>
          <w:spacing w:val="-8"/>
        </w:rPr>
        <w:t> </w:t>
      </w:r>
      <w:r>
        <w:rPr/>
        <w:t>achieving</w:t>
      </w:r>
      <w:r>
        <w:rPr>
          <w:spacing w:val="-9"/>
        </w:rPr>
        <w:t> </w:t>
      </w:r>
      <w:r>
        <w:rPr/>
        <w:t>net zero</w:t>
      </w:r>
      <w:r>
        <w:rPr>
          <w:spacing w:val="-9"/>
        </w:rPr>
        <w:t> </w:t>
      </w:r>
      <w:r>
        <w:rPr/>
        <w:t>emissions</w:t>
      </w:r>
      <w:r>
        <w:rPr>
          <w:spacing w:val="-11"/>
        </w:rPr>
        <w:t> </w:t>
      </w:r>
      <w:r>
        <w:rPr/>
        <w:t>by 2050, supported by interim goals of at least 95% low carbon electricity by 2030 and a fully decarbonised</w:t>
      </w:r>
      <w:r>
        <w:rPr>
          <w:spacing w:val="-6"/>
        </w:rPr>
        <w:t> </w:t>
      </w:r>
      <w:r>
        <w:rPr/>
        <w:t>power</w:t>
      </w:r>
      <w:r>
        <w:rPr>
          <w:spacing w:val="-9"/>
        </w:rPr>
        <w:t> </w:t>
      </w:r>
      <w:r>
        <w:rPr/>
        <w:t>system</w:t>
      </w:r>
      <w:r>
        <w:rPr>
          <w:spacing w:val="-15"/>
        </w:rPr>
        <w:t> </w:t>
      </w:r>
      <w:r>
        <w:rPr/>
        <w:t>by</w:t>
      </w:r>
      <w:r>
        <w:rPr>
          <w:spacing w:val="-11"/>
        </w:rPr>
        <w:t> </w:t>
      </w:r>
      <w:r>
        <w:rPr/>
        <w:t>2035</w:t>
      </w:r>
      <w:r>
        <w:rPr>
          <w:spacing w:val="-3"/>
        </w:rPr>
        <w:t> </w:t>
      </w:r>
      <w:r>
        <w:rPr/>
        <w:t>(Department</w:t>
      </w:r>
      <w:r>
        <w:rPr>
          <w:spacing w:val="-2"/>
        </w:rPr>
        <w:t> </w:t>
      </w:r>
      <w:r>
        <w:rPr/>
        <w:t>for</w:t>
      </w:r>
      <w:r>
        <w:rPr>
          <w:spacing w:val="-14"/>
        </w:rPr>
        <w:t> </w:t>
      </w:r>
      <w:r>
        <w:rPr/>
        <w:t>Energy</w:t>
      </w:r>
      <w:r>
        <w:rPr>
          <w:spacing w:val="-15"/>
        </w:rPr>
        <w:t> </w:t>
      </w:r>
      <w:r>
        <w:rPr/>
        <w:t>Security</w:t>
      </w:r>
      <w:r>
        <w:rPr>
          <w:spacing w:val="-15"/>
        </w:rPr>
        <w:t> </w:t>
      </w:r>
      <w:r>
        <w:rPr/>
        <w:t>and</w:t>
      </w:r>
      <w:r>
        <w:rPr>
          <w:spacing w:val="-6"/>
        </w:rPr>
        <w:t> </w:t>
      </w:r>
      <w:r>
        <w:rPr/>
        <w:t>Net</w:t>
      </w:r>
      <w:r>
        <w:rPr>
          <w:spacing w:val="-5"/>
        </w:rPr>
        <w:t> </w:t>
      </w:r>
      <w:r>
        <w:rPr/>
        <w:t>Zero</w:t>
      </w:r>
      <w:r>
        <w:rPr>
          <w:spacing w:val="-6"/>
        </w:rPr>
        <w:t> </w:t>
      </w:r>
      <w:r>
        <w:rPr/>
        <w:t>[DESNZ], 2024).</w:t>
      </w:r>
      <w:r>
        <w:rPr>
          <w:spacing w:val="-5"/>
        </w:rPr>
        <w:t> </w:t>
      </w:r>
      <w:r>
        <w:rPr/>
        <w:t>Progress</w:t>
      </w:r>
      <w:r>
        <w:rPr>
          <w:spacing w:val="-4"/>
        </w:rPr>
        <w:t> </w:t>
      </w:r>
      <w:r>
        <w:rPr/>
        <w:t>to</w:t>
      </w:r>
      <w:r>
        <w:rPr>
          <w:spacing w:val="-2"/>
        </w:rPr>
        <w:t> </w:t>
      </w:r>
      <w:r>
        <w:rPr/>
        <w:t>date</w:t>
      </w:r>
      <w:r>
        <w:rPr>
          <w:spacing w:val="-8"/>
        </w:rPr>
        <w:t> </w:t>
      </w:r>
      <w:r>
        <w:rPr/>
        <w:t>has</w:t>
      </w:r>
      <w:r>
        <w:rPr>
          <w:spacing w:val="-4"/>
        </w:rPr>
        <w:t> </w:t>
      </w:r>
      <w:r>
        <w:rPr/>
        <w:t>been</w:t>
      </w:r>
      <w:r>
        <w:rPr>
          <w:spacing w:val="-7"/>
        </w:rPr>
        <w:t> </w:t>
      </w:r>
      <w:r>
        <w:rPr/>
        <w:t>significant:</w:t>
      </w:r>
      <w:r>
        <w:rPr>
          <w:spacing w:val="-2"/>
        </w:rPr>
        <w:t> </w:t>
      </w:r>
      <w:r>
        <w:rPr/>
        <w:t>in</w:t>
      </w:r>
      <w:r>
        <w:rPr>
          <w:spacing w:val="-7"/>
        </w:rPr>
        <w:t> </w:t>
      </w:r>
      <w:r>
        <w:rPr/>
        <w:t>2024, low carbon</w:t>
      </w:r>
      <w:r>
        <w:rPr>
          <w:spacing w:val="-7"/>
        </w:rPr>
        <w:t> </w:t>
      </w:r>
      <w:r>
        <w:rPr/>
        <w:t>sources</w:t>
      </w:r>
      <w:r>
        <w:rPr>
          <w:spacing w:val="-4"/>
        </w:rPr>
        <w:t> </w:t>
      </w:r>
      <w:r>
        <w:rPr/>
        <w:t>supplied</w:t>
      </w:r>
      <w:r>
        <w:rPr>
          <w:spacing w:val="-2"/>
        </w:rPr>
        <w:t> </w:t>
      </w:r>
      <w:r>
        <w:rPr/>
        <w:t>58%</w:t>
      </w:r>
      <w:r>
        <w:rPr>
          <w:spacing w:val="-5"/>
        </w:rPr>
        <w:t> </w:t>
      </w:r>
      <w:r>
        <w:rPr/>
        <w:t>of</w:t>
      </w:r>
      <w:r>
        <w:rPr>
          <w:spacing w:val="-9"/>
        </w:rPr>
        <w:t> </w:t>
      </w:r>
      <w:r>
        <w:rPr/>
        <w:t>UK electricity, while</w:t>
      </w:r>
      <w:r>
        <w:rPr>
          <w:spacing w:val="-3"/>
        </w:rPr>
        <w:t> </w:t>
      </w:r>
      <w:r>
        <w:rPr/>
        <w:t>the</w:t>
      </w:r>
      <w:r>
        <w:rPr>
          <w:spacing w:val="-3"/>
        </w:rPr>
        <w:t> </w:t>
      </w:r>
      <w:r>
        <w:rPr/>
        <w:t>average</w:t>
      </w:r>
      <w:r>
        <w:rPr>
          <w:spacing w:val="-3"/>
        </w:rPr>
        <w:t> </w:t>
      </w:r>
      <w:r>
        <w:rPr/>
        <w:t>generation</w:t>
      </w:r>
      <w:r>
        <w:rPr>
          <w:spacing w:val="-7"/>
        </w:rPr>
        <w:t> </w:t>
      </w:r>
      <w:r>
        <w:rPr/>
        <w:t>carbon</w:t>
      </w:r>
      <w:r>
        <w:rPr>
          <w:spacing w:val="-2"/>
        </w:rPr>
        <w:t> </w:t>
      </w:r>
      <w:r>
        <w:rPr/>
        <w:t>intensity</w:t>
      </w:r>
      <w:r>
        <w:rPr>
          <w:spacing w:val="-12"/>
        </w:rPr>
        <w:t> </w:t>
      </w:r>
      <w:r>
        <w:rPr/>
        <w:t>declined</w:t>
      </w:r>
      <w:r>
        <w:rPr>
          <w:spacing w:val="-2"/>
        </w:rPr>
        <w:t> </w:t>
      </w:r>
      <w:r>
        <w:rPr/>
        <w:t>to</w:t>
      </w:r>
      <w:r>
        <w:rPr>
          <w:spacing w:val="-2"/>
        </w:rPr>
        <w:t> </w:t>
      </w:r>
      <w:r>
        <w:rPr/>
        <w:t>124</w:t>
      </w:r>
      <w:r>
        <w:rPr>
          <w:spacing w:val="-2"/>
        </w:rPr>
        <w:t> </w:t>
      </w:r>
      <w:r>
        <w:rPr/>
        <w:t>gCO₂/kWh, marking a 70% reduction since 2014 (Carbon Brief, 2025). These achievements reflect a combination of supportive policy mechanisms such as the Contracts for Difference (CfD) scheme and sustained private investment in offshore wind, solar, and emerging clean technologies.</w:t>
      </w:r>
    </w:p>
    <w:p>
      <w:pPr>
        <w:pStyle w:val="BodyText"/>
        <w:spacing w:line="278" w:lineRule="auto" w:before="250"/>
        <w:ind w:right="1008"/>
        <w:jc w:val="both"/>
      </w:pPr>
      <w:r>
        <w:rPr/>
        <w:t>Private</w:t>
      </w:r>
      <w:r>
        <w:rPr>
          <w:spacing w:val="-1"/>
        </w:rPr>
        <w:t> </w:t>
      </w:r>
      <w:r>
        <w:rPr/>
        <w:t>sector</w:t>
      </w:r>
      <w:r>
        <w:rPr>
          <w:spacing w:val="-4"/>
        </w:rPr>
        <w:t> </w:t>
      </w:r>
      <w:r>
        <w:rPr/>
        <w:t>utilities such</w:t>
      </w:r>
      <w:r>
        <w:rPr>
          <w:spacing w:val="-6"/>
        </w:rPr>
        <w:t> </w:t>
      </w:r>
      <w:r>
        <w:rPr/>
        <w:t>as</w:t>
      </w:r>
      <w:r>
        <w:rPr>
          <w:spacing w:val="-3"/>
        </w:rPr>
        <w:t> </w:t>
      </w:r>
      <w:r>
        <w:rPr/>
        <w:t>SSE plc</w:t>
      </w:r>
      <w:r>
        <w:rPr>
          <w:spacing w:val="-2"/>
        </w:rPr>
        <w:t> </w:t>
      </w:r>
      <w:r>
        <w:rPr/>
        <w:t>are</w:t>
      </w:r>
      <w:r>
        <w:rPr>
          <w:spacing w:val="-2"/>
        </w:rPr>
        <w:t> </w:t>
      </w:r>
      <w:r>
        <w:rPr/>
        <w:t>critical</w:t>
      </w:r>
      <w:r>
        <w:rPr>
          <w:spacing w:val="-6"/>
        </w:rPr>
        <w:t> </w:t>
      </w:r>
      <w:r>
        <w:rPr/>
        <w:t>to meeting</w:t>
      </w:r>
      <w:r>
        <w:rPr>
          <w:spacing w:val="-1"/>
        </w:rPr>
        <w:t> </w:t>
      </w:r>
      <w:r>
        <w:rPr/>
        <w:t>these</w:t>
      </w:r>
      <w:r>
        <w:rPr>
          <w:spacing w:val="-2"/>
        </w:rPr>
        <w:t> </w:t>
      </w:r>
      <w:r>
        <w:rPr/>
        <w:t>ambitious</w:t>
      </w:r>
      <w:r>
        <w:rPr>
          <w:spacing w:val="-3"/>
        </w:rPr>
        <w:t> </w:t>
      </w:r>
      <w:r>
        <w:rPr/>
        <w:t>targets,</w:t>
      </w:r>
      <w:r>
        <w:rPr>
          <w:spacing w:val="-4"/>
        </w:rPr>
        <w:t> </w:t>
      </w:r>
      <w:r>
        <w:rPr/>
        <w:t>yet their specific contributions to national emissions reductions remain under documented. Once renewable electricity enters the grid, electrons cannot be traced to individual generators, complicating firm level attribution of avoided emissions (Greenhouse Gas Management Institute, 2022). Most existing research aggregates emissions and generation data at the national level (Niță et al., 2025), which obscures the measurable role of individual firms in driving decarbonisation. This creates a significant knowledge gap, particularly as corporate actors increasingly disclose climate related metrics under frameworks such as the Task Force on Climate Related Financial Disclosures (TCFD) and the EU Corporate Sustainability Reporting Directive (CSRD).</w:t>
      </w:r>
    </w:p>
    <w:p>
      <w:pPr>
        <w:pStyle w:val="BodyText"/>
        <w:spacing w:line="278" w:lineRule="auto" w:before="246"/>
        <w:ind w:right="1009"/>
        <w:jc w:val="both"/>
      </w:pPr>
      <w:r>
        <w:rPr/>
        <w:t>This</w:t>
      </w:r>
      <w:r>
        <w:rPr>
          <w:spacing w:val="-15"/>
        </w:rPr>
        <w:t> </w:t>
      </w:r>
      <w:r>
        <w:rPr/>
        <w:t>study</w:t>
      </w:r>
      <w:r>
        <w:rPr>
          <w:spacing w:val="-15"/>
        </w:rPr>
        <w:t> </w:t>
      </w:r>
      <w:r>
        <w:rPr/>
        <w:t>addresses</w:t>
      </w:r>
      <w:r>
        <w:rPr>
          <w:spacing w:val="-15"/>
        </w:rPr>
        <w:t> </w:t>
      </w:r>
      <w:r>
        <w:rPr/>
        <w:t>that</w:t>
      </w:r>
      <w:r>
        <w:rPr>
          <w:spacing w:val="-9"/>
        </w:rPr>
        <w:t> </w:t>
      </w:r>
      <w:r>
        <w:rPr/>
        <w:t>gap</w:t>
      </w:r>
      <w:r>
        <w:rPr>
          <w:spacing w:val="-10"/>
        </w:rPr>
        <w:t> </w:t>
      </w:r>
      <w:r>
        <w:rPr/>
        <w:t>by</w:t>
      </w:r>
      <w:r>
        <w:rPr>
          <w:spacing w:val="-15"/>
        </w:rPr>
        <w:t> </w:t>
      </w:r>
      <w:r>
        <w:rPr/>
        <w:t>quantifying</w:t>
      </w:r>
      <w:r>
        <w:rPr>
          <w:spacing w:val="-10"/>
        </w:rPr>
        <w:t> </w:t>
      </w:r>
      <w:r>
        <w:rPr/>
        <w:t>SSE’s</w:t>
      </w:r>
      <w:r>
        <w:rPr>
          <w:spacing w:val="-7"/>
        </w:rPr>
        <w:t> </w:t>
      </w:r>
      <w:r>
        <w:rPr/>
        <w:t>renewable</w:t>
      </w:r>
      <w:r>
        <w:rPr>
          <w:spacing w:val="-11"/>
        </w:rPr>
        <w:t> </w:t>
      </w:r>
      <w:r>
        <w:rPr/>
        <w:t>electricity</w:t>
      </w:r>
      <w:r>
        <w:rPr>
          <w:spacing w:val="-15"/>
        </w:rPr>
        <w:t> </w:t>
      </w:r>
      <w:r>
        <w:rPr/>
        <w:t>output</w:t>
      </w:r>
      <w:r>
        <w:rPr>
          <w:spacing w:val="-5"/>
        </w:rPr>
        <w:t> </w:t>
      </w:r>
      <w:r>
        <w:rPr/>
        <w:t>and</w:t>
      </w:r>
      <w:r>
        <w:rPr>
          <w:spacing w:val="-10"/>
        </w:rPr>
        <w:t> </w:t>
      </w:r>
      <w:r>
        <w:rPr/>
        <w:t>estimating the</w:t>
      </w:r>
      <w:r>
        <w:rPr>
          <w:spacing w:val="-15"/>
        </w:rPr>
        <w:t> </w:t>
      </w:r>
      <w:r>
        <w:rPr/>
        <w:t>associated</w:t>
      </w:r>
      <w:r>
        <w:rPr>
          <w:spacing w:val="-15"/>
        </w:rPr>
        <w:t> </w:t>
      </w:r>
      <w:r>
        <w:rPr/>
        <w:t>avoided</w:t>
      </w:r>
      <w:r>
        <w:rPr>
          <w:spacing w:val="-15"/>
        </w:rPr>
        <w:t> </w:t>
      </w:r>
      <w:r>
        <w:rPr/>
        <w:t>emissions</w:t>
      </w:r>
      <w:r>
        <w:rPr>
          <w:spacing w:val="-15"/>
        </w:rPr>
        <w:t> </w:t>
      </w:r>
      <w:r>
        <w:rPr/>
        <w:t>over</w:t>
      </w:r>
      <w:r>
        <w:rPr>
          <w:spacing w:val="-15"/>
        </w:rPr>
        <w:t> </w:t>
      </w:r>
      <w:r>
        <w:rPr/>
        <w:t>the</w:t>
      </w:r>
      <w:r>
        <w:rPr>
          <w:spacing w:val="-15"/>
        </w:rPr>
        <w:t> </w:t>
      </w:r>
      <w:r>
        <w:rPr/>
        <w:t>period</w:t>
      </w:r>
      <w:r>
        <w:rPr>
          <w:spacing w:val="-15"/>
        </w:rPr>
        <w:t> </w:t>
      </w:r>
      <w:r>
        <w:rPr/>
        <w:t>2020</w:t>
      </w:r>
      <w:r>
        <w:rPr>
          <w:spacing w:val="-15"/>
        </w:rPr>
        <w:t> </w:t>
      </w:r>
      <w:r>
        <w:rPr/>
        <w:t>2024,</w:t>
      </w:r>
      <w:r>
        <w:rPr>
          <w:spacing w:val="-15"/>
        </w:rPr>
        <w:t> </w:t>
      </w:r>
      <w:r>
        <w:rPr/>
        <w:t>while</w:t>
      </w:r>
      <w:r>
        <w:rPr>
          <w:spacing w:val="-15"/>
        </w:rPr>
        <w:t> </w:t>
      </w:r>
      <w:r>
        <w:rPr/>
        <w:t>situating</w:t>
      </w:r>
      <w:r>
        <w:rPr>
          <w:spacing w:val="-15"/>
        </w:rPr>
        <w:t> </w:t>
      </w:r>
      <w:r>
        <w:rPr/>
        <w:t>these</w:t>
      </w:r>
      <w:r>
        <w:rPr>
          <w:spacing w:val="-15"/>
        </w:rPr>
        <w:t> </w:t>
      </w:r>
      <w:r>
        <w:rPr/>
        <w:t>results</w:t>
      </w:r>
      <w:r>
        <w:rPr>
          <w:spacing w:val="-15"/>
        </w:rPr>
        <w:t> </w:t>
      </w:r>
      <w:r>
        <w:rPr/>
        <w:t>within the</w:t>
      </w:r>
      <w:r>
        <w:rPr>
          <w:spacing w:val="-8"/>
        </w:rPr>
        <w:t> </w:t>
      </w:r>
      <w:r>
        <w:rPr/>
        <w:t>UK’s</w:t>
      </w:r>
      <w:r>
        <w:rPr>
          <w:spacing w:val="-9"/>
        </w:rPr>
        <w:t> </w:t>
      </w:r>
      <w:r>
        <w:rPr/>
        <w:t>broader</w:t>
      </w:r>
      <w:r>
        <w:rPr>
          <w:spacing w:val="-5"/>
        </w:rPr>
        <w:t> </w:t>
      </w:r>
      <w:r>
        <w:rPr/>
        <w:t>renewable</w:t>
      </w:r>
      <w:r>
        <w:rPr>
          <w:spacing w:val="-8"/>
        </w:rPr>
        <w:t> </w:t>
      </w:r>
      <w:r>
        <w:rPr/>
        <w:t>energy</w:t>
      </w:r>
      <w:r>
        <w:rPr>
          <w:spacing w:val="-15"/>
        </w:rPr>
        <w:t> </w:t>
      </w:r>
      <w:r>
        <w:rPr/>
        <w:t>growth</w:t>
      </w:r>
      <w:r>
        <w:rPr>
          <w:spacing w:val="-12"/>
        </w:rPr>
        <w:t> </w:t>
      </w:r>
      <w:r>
        <w:rPr/>
        <w:t>and</w:t>
      </w:r>
      <w:r>
        <w:rPr>
          <w:spacing w:val="-7"/>
        </w:rPr>
        <w:t> </w:t>
      </w:r>
      <w:r>
        <w:rPr/>
        <w:t>decarbonisation</w:t>
      </w:r>
      <w:r>
        <w:rPr>
          <w:spacing w:val="-12"/>
        </w:rPr>
        <w:t> </w:t>
      </w:r>
      <w:r>
        <w:rPr/>
        <w:t>trajectory.</w:t>
      </w:r>
      <w:r>
        <w:rPr>
          <w:spacing w:val="-5"/>
        </w:rPr>
        <w:t> </w:t>
      </w:r>
      <w:r>
        <w:rPr/>
        <w:t>By</w:t>
      </w:r>
      <w:r>
        <w:rPr>
          <w:spacing w:val="-15"/>
        </w:rPr>
        <w:t> </w:t>
      </w:r>
      <w:r>
        <w:rPr/>
        <w:t>combining</w:t>
      </w:r>
      <w:r>
        <w:rPr>
          <w:spacing w:val="-2"/>
        </w:rPr>
        <w:t> </w:t>
      </w:r>
      <w:r>
        <w:rPr/>
        <w:t>firm level generation data with government conversion factors, the research provides a clearer empirical</w:t>
      </w:r>
      <w:r>
        <w:rPr>
          <w:spacing w:val="-12"/>
        </w:rPr>
        <w:t> </w:t>
      </w:r>
      <w:r>
        <w:rPr/>
        <w:t>basis</w:t>
      </w:r>
      <w:r>
        <w:rPr>
          <w:spacing w:val="-5"/>
        </w:rPr>
        <w:t> </w:t>
      </w:r>
      <w:r>
        <w:rPr/>
        <w:t>for</w:t>
      </w:r>
      <w:r>
        <w:rPr>
          <w:spacing w:val="-11"/>
        </w:rPr>
        <w:t> </w:t>
      </w:r>
      <w:r>
        <w:rPr/>
        <w:t>understanding</w:t>
      </w:r>
      <w:r>
        <w:rPr>
          <w:spacing w:val="-8"/>
        </w:rPr>
        <w:t> </w:t>
      </w:r>
      <w:r>
        <w:rPr/>
        <w:t>how</w:t>
      </w:r>
      <w:r>
        <w:rPr>
          <w:spacing w:val="-8"/>
        </w:rPr>
        <w:t> </w:t>
      </w:r>
      <w:r>
        <w:rPr/>
        <w:t>private</w:t>
      </w:r>
      <w:r>
        <w:rPr>
          <w:spacing w:val="-9"/>
        </w:rPr>
        <w:t> </w:t>
      </w:r>
      <w:r>
        <w:rPr/>
        <w:t>utilities</w:t>
      </w:r>
      <w:r>
        <w:rPr>
          <w:spacing w:val="-10"/>
        </w:rPr>
        <w:t> </w:t>
      </w:r>
      <w:r>
        <w:rPr/>
        <w:t>contribute</w:t>
      </w:r>
      <w:r>
        <w:rPr>
          <w:spacing w:val="-13"/>
        </w:rPr>
        <w:t> </w:t>
      </w:r>
      <w:r>
        <w:rPr/>
        <w:t>to</w:t>
      </w:r>
      <w:r>
        <w:rPr>
          <w:spacing w:val="-3"/>
        </w:rPr>
        <w:t> </w:t>
      </w:r>
      <w:r>
        <w:rPr/>
        <w:t>national</w:t>
      </w:r>
      <w:r>
        <w:rPr>
          <w:spacing w:val="-15"/>
        </w:rPr>
        <w:t> </w:t>
      </w:r>
      <w:r>
        <w:rPr/>
        <w:t>climate</w:t>
      </w:r>
      <w:r>
        <w:rPr>
          <w:spacing w:val="-13"/>
        </w:rPr>
        <w:t> </w:t>
      </w:r>
      <w:r>
        <w:rPr/>
        <w:t>objectives and offers insights relevant to both policymakers and corporate sustainability strategists.</w:t>
      </w:r>
    </w:p>
    <w:p>
      <w:pPr>
        <w:pStyle w:val="BodyText"/>
        <w:spacing w:after="0" w:line="278" w:lineRule="auto"/>
        <w:jc w:val="both"/>
        <w:sectPr>
          <w:pgSz w:w="11910" w:h="16840"/>
          <w:pgMar w:header="0" w:footer="1064" w:top="1360" w:bottom="1260" w:left="1417" w:right="425"/>
        </w:sectPr>
      </w:pPr>
    </w:p>
    <w:p>
      <w:pPr>
        <w:pStyle w:val="Heading1"/>
        <w:numPr>
          <w:ilvl w:val="1"/>
          <w:numId w:val="1"/>
        </w:numPr>
        <w:tabs>
          <w:tab w:pos="743" w:val="left" w:leader="none"/>
        </w:tabs>
        <w:spacing w:line="240" w:lineRule="auto" w:before="78" w:after="0"/>
        <w:ind w:left="743" w:right="0" w:hanging="720"/>
        <w:jc w:val="left"/>
      </w:pPr>
      <w:bookmarkStart w:name="2.0 Literature Review and Theoretical Fr" w:id="2"/>
      <w:bookmarkEnd w:id="2"/>
      <w:r>
        <w:rPr>
          <w:b w:val="0"/>
        </w:rPr>
      </w:r>
      <w:r>
        <w:rPr/>
        <w:t>Literature</w:t>
      </w:r>
      <w:r>
        <w:rPr>
          <w:spacing w:val="-3"/>
        </w:rPr>
        <w:t> </w:t>
      </w:r>
      <w:r>
        <w:rPr/>
        <w:t>Review</w:t>
      </w:r>
      <w:r>
        <w:rPr>
          <w:spacing w:val="-3"/>
        </w:rPr>
        <w:t> </w:t>
      </w:r>
      <w:r>
        <w:rPr/>
        <w:t>and</w:t>
      </w:r>
      <w:r>
        <w:rPr>
          <w:spacing w:val="-2"/>
        </w:rPr>
        <w:t> </w:t>
      </w:r>
      <w:r>
        <w:rPr/>
        <w:t>Theoretical</w:t>
      </w:r>
      <w:r>
        <w:rPr>
          <w:spacing w:val="-6"/>
        </w:rPr>
        <w:t> </w:t>
      </w:r>
      <w:r>
        <w:rPr>
          <w:spacing w:val="-2"/>
        </w:rPr>
        <w:t>Framework</w:t>
      </w:r>
    </w:p>
    <w:p>
      <w:pPr>
        <w:pStyle w:val="BodyText"/>
        <w:spacing w:before="91"/>
        <w:ind w:left="0"/>
        <w:rPr>
          <w:b/>
        </w:rPr>
      </w:pPr>
    </w:p>
    <w:p>
      <w:pPr>
        <w:pStyle w:val="Heading2"/>
        <w:numPr>
          <w:ilvl w:val="1"/>
          <w:numId w:val="1"/>
        </w:numPr>
        <w:tabs>
          <w:tab w:pos="743" w:val="left" w:leader="none"/>
        </w:tabs>
        <w:spacing w:line="240" w:lineRule="auto" w:before="1" w:after="0"/>
        <w:ind w:left="743" w:right="0" w:hanging="720"/>
        <w:jc w:val="left"/>
      </w:pPr>
      <w:bookmarkStart w:name="2.1 Historical Context: UK Energy Transi" w:id="3"/>
      <w:bookmarkEnd w:id="3"/>
      <w:r>
        <w:rPr>
          <w:b w:val="0"/>
          <w:i w:val="0"/>
        </w:rPr>
      </w:r>
      <w:r>
        <w:rPr/>
        <w:t>Historical</w:t>
      </w:r>
      <w:r>
        <w:rPr>
          <w:spacing w:val="-2"/>
        </w:rPr>
        <w:t> </w:t>
      </w:r>
      <w:r>
        <w:rPr/>
        <w:t>Context: UK</w:t>
      </w:r>
      <w:r>
        <w:rPr>
          <w:spacing w:val="-3"/>
        </w:rPr>
        <w:t> </w:t>
      </w:r>
      <w:r>
        <w:rPr/>
        <w:t>Energy</w:t>
      </w:r>
      <w:r>
        <w:rPr>
          <w:spacing w:val="-2"/>
        </w:rPr>
        <w:t> Transition</w:t>
      </w:r>
    </w:p>
    <w:p>
      <w:pPr>
        <w:pStyle w:val="BodyText"/>
        <w:spacing w:before="111"/>
        <w:ind w:left="0"/>
        <w:rPr>
          <w:b/>
          <w:i/>
          <w:sz w:val="20"/>
        </w:rPr>
      </w:pPr>
      <w:r>
        <w:rPr>
          <w:b/>
          <w:i/>
          <w:sz w:val="20"/>
        </w:rPr>
        <w:drawing>
          <wp:anchor distT="0" distB="0" distL="0" distR="0" allowOverlap="1" layoutInCell="1" locked="0" behindDoc="1" simplePos="0" relativeHeight="487587840">
            <wp:simplePos x="0" y="0"/>
            <wp:positionH relativeFrom="page">
              <wp:posOffset>914400</wp:posOffset>
            </wp:positionH>
            <wp:positionV relativeFrom="paragraph">
              <wp:posOffset>231946</wp:posOffset>
            </wp:positionV>
            <wp:extent cx="4230130" cy="4607623"/>
            <wp:effectExtent l="0" t="0" r="0" b="0"/>
            <wp:wrapTopAndBottom/>
            <wp:docPr id="2" name="Image 2" descr="Infographic showing the history of energy in the UK"/>
            <wp:cNvGraphicFramePr>
              <a:graphicFrameLocks/>
            </wp:cNvGraphicFramePr>
            <a:graphic>
              <a:graphicData uri="http://schemas.openxmlformats.org/drawingml/2006/picture">
                <pic:pic>
                  <pic:nvPicPr>
                    <pic:cNvPr id="2" name="Image 2" descr="Infographic showing the history of energy in the UK"/>
                    <pic:cNvPicPr/>
                  </pic:nvPicPr>
                  <pic:blipFill>
                    <a:blip r:embed="rId7" cstate="print"/>
                    <a:stretch>
                      <a:fillRect/>
                    </a:stretch>
                  </pic:blipFill>
                  <pic:spPr>
                    <a:xfrm>
                      <a:off x="0" y="0"/>
                      <a:ext cx="4230130" cy="4607623"/>
                    </a:xfrm>
                    <a:prstGeom prst="rect">
                      <a:avLst/>
                    </a:prstGeom>
                  </pic:spPr>
                </pic:pic>
              </a:graphicData>
            </a:graphic>
          </wp:anchor>
        </w:drawing>
      </w:r>
    </w:p>
    <w:p>
      <w:pPr>
        <w:pStyle w:val="BodyText"/>
        <w:spacing w:before="226"/>
        <w:jc w:val="both"/>
      </w:pPr>
      <w:r>
        <w:rPr/>
        <w:t>Fig</w:t>
      </w:r>
      <w:r>
        <w:rPr>
          <w:spacing w:val="-3"/>
        </w:rPr>
        <w:t> </w:t>
      </w:r>
      <w:r>
        <w:rPr/>
        <w:t>1:</w:t>
      </w:r>
      <w:r>
        <w:rPr>
          <w:spacing w:val="61"/>
        </w:rPr>
        <w:t> </w:t>
      </w:r>
      <w:r>
        <w:rPr/>
        <w:t>History</w:t>
      </w:r>
      <w:r>
        <w:rPr>
          <w:spacing w:val="-10"/>
        </w:rPr>
        <w:t> </w:t>
      </w:r>
      <w:r>
        <w:rPr/>
        <w:t>and</w:t>
      </w:r>
      <w:r>
        <w:rPr>
          <w:spacing w:val="-1"/>
        </w:rPr>
        <w:t> </w:t>
      </w:r>
      <w:r>
        <w:rPr/>
        <w:t>evolution</w:t>
      </w:r>
      <w:r>
        <w:rPr>
          <w:spacing w:val="-5"/>
        </w:rPr>
        <w:t> </w:t>
      </w:r>
      <w:r>
        <w:rPr/>
        <w:t>of</w:t>
      </w:r>
      <w:r>
        <w:rPr>
          <w:spacing w:val="-9"/>
        </w:rPr>
        <w:t> </w:t>
      </w:r>
      <w:r>
        <w:rPr/>
        <w:t>energy</w:t>
      </w:r>
      <w:r>
        <w:rPr>
          <w:spacing w:val="-5"/>
        </w:rPr>
        <w:t> </w:t>
      </w:r>
      <w:r>
        <w:rPr/>
        <w:t>in the</w:t>
      </w:r>
      <w:r>
        <w:rPr>
          <w:spacing w:val="-2"/>
        </w:rPr>
        <w:t> </w:t>
      </w:r>
      <w:r>
        <w:rPr/>
        <w:t>UK.</w:t>
      </w:r>
      <w:r>
        <w:rPr>
          <w:spacing w:val="7"/>
        </w:rPr>
        <w:t> </w:t>
      </w:r>
      <w:r>
        <w:rPr/>
        <w:t>Source: National</w:t>
      </w:r>
      <w:r>
        <w:rPr>
          <w:spacing w:val="-6"/>
        </w:rPr>
        <w:t> </w:t>
      </w:r>
      <w:r>
        <w:rPr/>
        <w:t>Grid,</w:t>
      </w:r>
      <w:r>
        <w:rPr>
          <w:spacing w:val="2"/>
        </w:rPr>
        <w:t> </w:t>
      </w:r>
      <w:r>
        <w:rPr>
          <w:spacing w:val="-2"/>
        </w:rPr>
        <w:t>(2024).</w:t>
      </w:r>
    </w:p>
    <w:p>
      <w:pPr>
        <w:pStyle w:val="BodyText"/>
        <w:ind w:left="0"/>
      </w:pPr>
    </w:p>
    <w:p>
      <w:pPr>
        <w:pStyle w:val="BodyText"/>
        <w:spacing w:before="3"/>
        <w:ind w:left="0"/>
      </w:pPr>
    </w:p>
    <w:p>
      <w:pPr>
        <w:pStyle w:val="BodyText"/>
        <w:spacing w:line="278" w:lineRule="auto"/>
        <w:ind w:right="1008"/>
        <w:jc w:val="both"/>
      </w:pPr>
      <w:r>
        <w:rPr/>
        <w:t>Coal</w:t>
      </w:r>
      <w:r>
        <w:rPr>
          <w:spacing w:val="-9"/>
        </w:rPr>
        <w:t> </w:t>
      </w:r>
      <w:r>
        <w:rPr/>
        <w:t>once</w:t>
      </w:r>
      <w:r>
        <w:rPr>
          <w:spacing w:val="-1"/>
        </w:rPr>
        <w:t> </w:t>
      </w:r>
      <w:r>
        <w:rPr/>
        <w:t>supplied over 90%</w:t>
      </w:r>
      <w:r>
        <w:rPr>
          <w:spacing w:val="-3"/>
        </w:rPr>
        <w:t> </w:t>
      </w:r>
      <w:r>
        <w:rPr/>
        <w:t>of</w:t>
      </w:r>
      <w:r>
        <w:rPr>
          <w:spacing w:val="-8"/>
        </w:rPr>
        <w:t> </w:t>
      </w:r>
      <w:r>
        <w:rPr/>
        <w:t>UK</w:t>
      </w:r>
      <w:r>
        <w:rPr>
          <w:spacing w:val="-6"/>
        </w:rPr>
        <w:t> </w:t>
      </w:r>
      <w:r>
        <w:rPr/>
        <w:t>electricity</w:t>
      </w:r>
      <w:r>
        <w:rPr>
          <w:spacing w:val="-5"/>
        </w:rPr>
        <w:t> </w:t>
      </w:r>
      <w:r>
        <w:rPr/>
        <w:t>(National</w:t>
      </w:r>
      <w:r>
        <w:rPr>
          <w:spacing w:val="-5"/>
        </w:rPr>
        <w:t> </w:t>
      </w:r>
      <w:r>
        <w:rPr/>
        <w:t>Grid ESO, 2023).</w:t>
      </w:r>
      <w:r>
        <w:rPr>
          <w:spacing w:val="-3"/>
        </w:rPr>
        <w:t> </w:t>
      </w:r>
      <w:r>
        <w:rPr/>
        <w:t>The</w:t>
      </w:r>
      <w:r>
        <w:rPr>
          <w:spacing w:val="-1"/>
        </w:rPr>
        <w:t> </w:t>
      </w:r>
      <w:r>
        <w:rPr/>
        <w:t>2008 Climate Change</w:t>
      </w:r>
      <w:r>
        <w:rPr>
          <w:spacing w:val="-9"/>
        </w:rPr>
        <w:t> </w:t>
      </w:r>
      <w:r>
        <w:rPr/>
        <w:t>Act</w:t>
      </w:r>
      <w:r>
        <w:rPr>
          <w:spacing w:val="-3"/>
        </w:rPr>
        <w:t> </w:t>
      </w:r>
      <w:r>
        <w:rPr/>
        <w:t>and</w:t>
      </w:r>
      <w:r>
        <w:rPr>
          <w:spacing w:val="-8"/>
        </w:rPr>
        <w:t> </w:t>
      </w:r>
      <w:r>
        <w:rPr/>
        <w:t>successive</w:t>
      </w:r>
      <w:r>
        <w:rPr>
          <w:spacing w:val="-8"/>
        </w:rPr>
        <w:t> </w:t>
      </w:r>
      <w:r>
        <w:rPr/>
        <w:t>carbon</w:t>
      </w:r>
      <w:r>
        <w:rPr>
          <w:spacing w:val="-12"/>
        </w:rPr>
        <w:t> </w:t>
      </w:r>
      <w:r>
        <w:rPr/>
        <w:t>budgets</w:t>
      </w:r>
      <w:r>
        <w:rPr>
          <w:spacing w:val="-9"/>
        </w:rPr>
        <w:t> </w:t>
      </w:r>
      <w:r>
        <w:rPr/>
        <w:t>initiated</w:t>
      </w:r>
      <w:r>
        <w:rPr>
          <w:spacing w:val="-8"/>
        </w:rPr>
        <w:t> </w:t>
      </w:r>
      <w:r>
        <w:rPr/>
        <w:t>a</w:t>
      </w:r>
      <w:r>
        <w:rPr>
          <w:spacing w:val="-13"/>
        </w:rPr>
        <w:t> </w:t>
      </w:r>
      <w:r>
        <w:rPr/>
        <w:t>rapid</w:t>
      </w:r>
      <w:r>
        <w:rPr>
          <w:spacing w:val="-8"/>
        </w:rPr>
        <w:t> </w:t>
      </w:r>
      <w:r>
        <w:rPr/>
        <w:t>shift:</w:t>
      </w:r>
      <w:r>
        <w:rPr>
          <w:spacing w:val="-7"/>
        </w:rPr>
        <w:t> </w:t>
      </w:r>
      <w:r>
        <w:rPr/>
        <w:t>coal</w:t>
      </w:r>
      <w:r>
        <w:rPr>
          <w:spacing w:val="-15"/>
        </w:rPr>
        <w:t> </w:t>
      </w:r>
      <w:r>
        <w:rPr/>
        <w:t>generation</w:t>
      </w:r>
      <w:r>
        <w:rPr>
          <w:spacing w:val="-12"/>
        </w:rPr>
        <w:t> </w:t>
      </w:r>
      <w:r>
        <w:rPr/>
        <w:t>fell</w:t>
      </w:r>
      <w:r>
        <w:rPr>
          <w:spacing w:val="-8"/>
        </w:rPr>
        <w:t> </w:t>
      </w:r>
      <w:r>
        <w:rPr/>
        <w:t>from</w:t>
      </w:r>
      <w:r>
        <w:rPr>
          <w:spacing w:val="-8"/>
        </w:rPr>
        <w:t> </w:t>
      </w:r>
      <w:r>
        <w:rPr/>
        <w:t>142 TWh</w:t>
      </w:r>
      <w:r>
        <w:rPr>
          <w:spacing w:val="-1"/>
        </w:rPr>
        <w:t> </w:t>
      </w:r>
      <w:r>
        <w:rPr/>
        <w:t>in</w:t>
      </w:r>
      <w:r>
        <w:rPr>
          <w:spacing w:val="-6"/>
        </w:rPr>
        <w:t> </w:t>
      </w:r>
      <w:r>
        <w:rPr/>
        <w:t>2012</w:t>
      </w:r>
      <w:r>
        <w:rPr>
          <w:spacing w:val="-1"/>
        </w:rPr>
        <w:t> </w:t>
      </w:r>
      <w:r>
        <w:rPr/>
        <w:t>to just 2</w:t>
      </w:r>
      <w:r>
        <w:rPr>
          <w:spacing w:val="-6"/>
        </w:rPr>
        <w:t> </w:t>
      </w:r>
      <w:r>
        <w:rPr/>
        <w:t>TWh</w:t>
      </w:r>
      <w:r>
        <w:rPr>
          <w:spacing w:val="-1"/>
        </w:rPr>
        <w:t> </w:t>
      </w:r>
      <w:r>
        <w:rPr/>
        <w:t>in</w:t>
      </w:r>
      <w:r>
        <w:rPr>
          <w:spacing w:val="-6"/>
        </w:rPr>
        <w:t> </w:t>
      </w:r>
      <w:r>
        <w:rPr/>
        <w:t>2023, culminating in</w:t>
      </w:r>
      <w:r>
        <w:rPr>
          <w:spacing w:val="-6"/>
        </w:rPr>
        <w:t> </w:t>
      </w:r>
      <w:r>
        <w:rPr/>
        <w:t>the</w:t>
      </w:r>
      <w:r>
        <w:rPr>
          <w:spacing w:val="-2"/>
        </w:rPr>
        <w:t> </w:t>
      </w:r>
      <w:r>
        <w:rPr/>
        <w:t>closure</w:t>
      </w:r>
      <w:r>
        <w:rPr>
          <w:spacing w:val="-2"/>
        </w:rPr>
        <w:t> </w:t>
      </w:r>
      <w:r>
        <w:rPr/>
        <w:t>of</w:t>
      </w:r>
      <w:r>
        <w:rPr>
          <w:spacing w:val="-9"/>
        </w:rPr>
        <w:t> </w:t>
      </w:r>
      <w:r>
        <w:rPr/>
        <w:t>Ratcliffe on</w:t>
      </w:r>
      <w:r>
        <w:rPr>
          <w:spacing w:val="-6"/>
        </w:rPr>
        <w:t> </w:t>
      </w:r>
      <w:r>
        <w:rPr/>
        <w:t>Soar,</w:t>
      </w:r>
      <w:r>
        <w:rPr>
          <w:spacing w:val="-4"/>
        </w:rPr>
        <w:t> </w:t>
      </w:r>
      <w:r>
        <w:rPr/>
        <w:t>the</w:t>
      </w:r>
      <w:r>
        <w:rPr>
          <w:spacing w:val="-2"/>
        </w:rPr>
        <w:t> </w:t>
      </w:r>
      <w:r>
        <w:rPr/>
        <w:t>UK’s last coal</w:t>
      </w:r>
      <w:r>
        <w:rPr>
          <w:spacing w:val="-2"/>
        </w:rPr>
        <w:t> </w:t>
      </w:r>
      <w:r>
        <w:rPr/>
        <w:t>plant, in September 2024 (BBC, 2024). Over the same period, renewables expanded from 7% of generation in 2010 to 51% in 2024 (RenewableUK, 2025). The </w:t>
      </w:r>
      <w:r>
        <w:rPr>
          <w:b/>
        </w:rPr>
        <w:t>Contracts for Difference (CfD) </w:t>
      </w:r>
      <w:r>
        <w:rPr/>
        <w:t>scheme, grid modernization programs, and the Clean Power 2030 plan underpin the UK’s ambition for a carbon free grid within the decade.</w:t>
      </w:r>
    </w:p>
    <w:p>
      <w:pPr>
        <w:pStyle w:val="BodyText"/>
        <w:spacing w:after="0" w:line="278" w:lineRule="auto"/>
        <w:jc w:val="both"/>
        <w:sectPr>
          <w:pgSz w:w="11910" w:h="16840"/>
          <w:pgMar w:header="0" w:footer="1064" w:top="1340" w:bottom="1260" w:left="1417" w:right="425"/>
        </w:sectPr>
      </w:pPr>
    </w:p>
    <w:p>
      <w:pPr>
        <w:pStyle w:val="Heading1"/>
        <w:numPr>
          <w:ilvl w:val="1"/>
          <w:numId w:val="1"/>
        </w:numPr>
        <w:tabs>
          <w:tab w:pos="743" w:val="left" w:leader="none"/>
        </w:tabs>
        <w:spacing w:line="240" w:lineRule="auto" w:before="63" w:after="0"/>
        <w:ind w:left="743" w:right="0" w:hanging="720"/>
        <w:jc w:val="left"/>
      </w:pPr>
      <w:bookmarkStart w:name="2.2 Energy Privatization and Private Sec" w:id="4"/>
      <w:bookmarkEnd w:id="4"/>
      <w:r>
        <w:rPr>
          <w:b w:val="0"/>
        </w:rPr>
      </w:r>
      <w:r>
        <w:rPr/>
        <w:t>Energy</w:t>
      </w:r>
      <w:r>
        <w:rPr>
          <w:spacing w:val="-2"/>
        </w:rPr>
        <w:t> </w:t>
      </w:r>
      <w:r>
        <w:rPr/>
        <w:t>Privatization</w:t>
      </w:r>
      <w:r>
        <w:rPr>
          <w:spacing w:val="-1"/>
        </w:rPr>
        <w:t> </w:t>
      </w:r>
      <w:r>
        <w:rPr/>
        <w:t>and</w:t>
      </w:r>
      <w:r>
        <w:rPr>
          <w:spacing w:val="-2"/>
        </w:rPr>
        <w:t> </w:t>
      </w:r>
      <w:r>
        <w:rPr/>
        <w:t>Private</w:t>
      </w:r>
      <w:r>
        <w:rPr>
          <w:spacing w:val="-2"/>
        </w:rPr>
        <w:t> </w:t>
      </w:r>
      <w:r>
        <w:rPr/>
        <w:t>Sector</w:t>
      </w:r>
      <w:r>
        <w:rPr>
          <w:spacing w:val="-8"/>
        </w:rPr>
        <w:t> </w:t>
      </w:r>
      <w:r>
        <w:rPr/>
        <w:t>Contributions</w:t>
      </w:r>
      <w:r>
        <w:rPr>
          <w:spacing w:val="-3"/>
        </w:rPr>
        <w:t> </w:t>
      </w:r>
      <w:r>
        <w:rPr/>
        <w:t>to</w:t>
      </w:r>
      <w:r>
        <w:rPr>
          <w:spacing w:val="-7"/>
        </w:rPr>
        <w:t> </w:t>
      </w:r>
      <w:r>
        <w:rPr/>
        <w:t>UK</w:t>
      </w:r>
      <w:r>
        <w:rPr>
          <w:spacing w:val="3"/>
        </w:rPr>
        <w:t> </w:t>
      </w:r>
      <w:r>
        <w:rPr/>
        <w:t>Net </w:t>
      </w:r>
      <w:r>
        <w:rPr>
          <w:spacing w:val="-4"/>
        </w:rPr>
        <w:t>Zero</w:t>
      </w:r>
    </w:p>
    <w:p>
      <w:pPr>
        <w:pStyle w:val="BodyText"/>
        <w:spacing w:before="70"/>
        <w:ind w:left="0"/>
        <w:rPr>
          <w:b/>
          <w:sz w:val="20"/>
        </w:rPr>
      </w:pPr>
      <w:r>
        <w:rPr>
          <w:b/>
          <w:sz w:val="20"/>
        </w:rPr>
        <w:drawing>
          <wp:anchor distT="0" distB="0" distL="0" distR="0" allowOverlap="1" layoutInCell="1" locked="0" behindDoc="1" simplePos="0" relativeHeight="487588352">
            <wp:simplePos x="0" y="0"/>
            <wp:positionH relativeFrom="page">
              <wp:posOffset>914400</wp:posOffset>
            </wp:positionH>
            <wp:positionV relativeFrom="paragraph">
              <wp:posOffset>206008</wp:posOffset>
            </wp:positionV>
            <wp:extent cx="5709609" cy="3471672"/>
            <wp:effectExtent l="0" t="0" r="0" b="0"/>
            <wp:wrapTopAndBottom/>
            <wp:docPr id="3" name="Image 3" descr="A diagram of a power plant"/>
            <wp:cNvGraphicFramePr>
              <a:graphicFrameLocks/>
            </wp:cNvGraphicFramePr>
            <a:graphic>
              <a:graphicData uri="http://schemas.openxmlformats.org/drawingml/2006/picture">
                <pic:pic>
                  <pic:nvPicPr>
                    <pic:cNvPr id="3" name="Image 3" descr="A diagram of a power plant"/>
                    <pic:cNvPicPr/>
                  </pic:nvPicPr>
                  <pic:blipFill>
                    <a:blip r:embed="rId8" cstate="print"/>
                    <a:stretch>
                      <a:fillRect/>
                    </a:stretch>
                  </pic:blipFill>
                  <pic:spPr>
                    <a:xfrm>
                      <a:off x="0" y="0"/>
                      <a:ext cx="5709609" cy="3471672"/>
                    </a:xfrm>
                    <a:prstGeom prst="rect">
                      <a:avLst/>
                    </a:prstGeom>
                  </pic:spPr>
                </pic:pic>
              </a:graphicData>
            </a:graphic>
          </wp:anchor>
        </w:drawing>
      </w:r>
    </w:p>
    <w:p>
      <w:pPr>
        <w:pStyle w:val="BodyText"/>
        <w:spacing w:line="480" w:lineRule="auto" w:before="251"/>
        <w:ind w:right="1023"/>
        <w:jc w:val="both"/>
      </w:pPr>
      <w:r>
        <w:rPr/>
        <w:t>Fig.</w:t>
      </w:r>
      <w:r>
        <w:rPr>
          <w:spacing w:val="-15"/>
        </w:rPr>
        <w:t> </w:t>
      </w:r>
      <w:r>
        <w:rPr/>
        <w:t>2.</w:t>
      </w:r>
      <w:r>
        <w:rPr>
          <w:spacing w:val="-1"/>
        </w:rPr>
        <w:t> </w:t>
      </w:r>
      <w:r>
        <w:rPr/>
        <w:t>Structure</w:t>
      </w:r>
      <w:r>
        <w:rPr>
          <w:spacing w:val="-15"/>
        </w:rPr>
        <w:t> </w:t>
      </w:r>
      <w:r>
        <w:rPr/>
        <w:t>of</w:t>
      </w:r>
      <w:r>
        <w:rPr>
          <w:spacing w:val="-15"/>
        </w:rPr>
        <w:t> </w:t>
      </w:r>
      <w:r>
        <w:rPr/>
        <w:t>the</w:t>
      </w:r>
      <w:r>
        <w:rPr>
          <w:spacing w:val="-15"/>
        </w:rPr>
        <w:t> </w:t>
      </w:r>
      <w:r>
        <w:rPr/>
        <w:t>UK</w:t>
      </w:r>
      <w:r>
        <w:rPr>
          <w:spacing w:val="-15"/>
        </w:rPr>
        <w:t> </w:t>
      </w:r>
      <w:r>
        <w:rPr/>
        <w:t>electricity</w:t>
      </w:r>
      <w:r>
        <w:rPr>
          <w:spacing w:val="-15"/>
        </w:rPr>
        <w:t> </w:t>
      </w:r>
      <w:r>
        <w:rPr/>
        <w:t>industry</w:t>
      </w:r>
      <w:r>
        <w:rPr>
          <w:spacing w:val="-15"/>
        </w:rPr>
        <w:t> </w:t>
      </w:r>
      <w:r>
        <w:rPr/>
        <w:t>and</w:t>
      </w:r>
      <w:r>
        <w:rPr>
          <w:spacing w:val="-14"/>
        </w:rPr>
        <w:t> </w:t>
      </w:r>
      <w:r>
        <w:rPr/>
        <w:t>electricity</w:t>
      </w:r>
      <w:r>
        <w:rPr>
          <w:spacing w:val="-15"/>
        </w:rPr>
        <w:t> </w:t>
      </w:r>
      <w:r>
        <w:rPr/>
        <w:t>trading.</w:t>
      </w:r>
      <w:r>
        <w:rPr>
          <w:spacing w:val="33"/>
        </w:rPr>
        <w:t> </w:t>
      </w:r>
      <w:r>
        <w:rPr/>
        <w:t>Adopted</w:t>
      </w:r>
      <w:r>
        <w:rPr>
          <w:spacing w:val="-15"/>
        </w:rPr>
        <w:t> </w:t>
      </w:r>
      <w:r>
        <w:rPr/>
        <w:t>from</w:t>
      </w:r>
      <w:r>
        <w:rPr>
          <w:spacing w:val="-15"/>
        </w:rPr>
        <w:t> </w:t>
      </w:r>
      <w:r>
        <w:rPr/>
        <w:t>Liu,</w:t>
      </w:r>
      <w:r>
        <w:rPr>
          <w:spacing w:val="-13"/>
        </w:rPr>
        <w:t> </w:t>
      </w:r>
      <w:r>
        <w:rPr/>
        <w:t>et.al., </w:t>
      </w:r>
      <w:r>
        <w:rPr>
          <w:spacing w:val="-2"/>
        </w:rPr>
        <w:t>(2022).</w:t>
      </w:r>
    </w:p>
    <w:p>
      <w:pPr>
        <w:pStyle w:val="BodyText"/>
        <w:spacing w:line="278" w:lineRule="auto" w:before="246"/>
        <w:ind w:right="1006"/>
        <w:jc w:val="both"/>
      </w:pPr>
      <w:r>
        <w:rPr/>
        <w:t>The privatization of the UK electricity sector fundamentally reshaped the energy landscape, creating the market architecture that now underpins the country’s decarbonisation efforts. Beginning in the 1980s with the sale of British Gas (1986) and the Central Electricity Generating Board (1990), reforms introduced competitive trading through the Pooling and Settlement Agreement (PSA), which</w:t>
      </w:r>
      <w:r>
        <w:rPr>
          <w:spacing w:val="-1"/>
        </w:rPr>
        <w:t> </w:t>
      </w:r>
      <w:r>
        <w:rPr/>
        <w:t>required most large generators</w:t>
      </w:r>
      <w:r>
        <w:rPr>
          <w:spacing w:val="-3"/>
        </w:rPr>
        <w:t> </w:t>
      </w:r>
      <w:r>
        <w:rPr/>
        <w:t>to sell</w:t>
      </w:r>
      <w:r>
        <w:rPr>
          <w:spacing w:val="-6"/>
        </w:rPr>
        <w:t> </w:t>
      </w:r>
      <w:r>
        <w:rPr/>
        <w:t>electricity</w:t>
      </w:r>
      <w:r>
        <w:rPr>
          <w:spacing w:val="-6"/>
        </w:rPr>
        <w:t> </w:t>
      </w:r>
      <w:r>
        <w:rPr/>
        <w:t>through a central</w:t>
      </w:r>
      <w:r>
        <w:rPr>
          <w:spacing w:val="-2"/>
        </w:rPr>
        <w:t> </w:t>
      </w:r>
      <w:r>
        <w:rPr/>
        <w:t>market (Grubb &amp;</w:t>
      </w:r>
      <w:r>
        <w:rPr>
          <w:spacing w:val="-2"/>
        </w:rPr>
        <w:t> </w:t>
      </w:r>
      <w:r>
        <w:rPr/>
        <w:t>Newbery, 2018;</w:t>
      </w:r>
      <w:r>
        <w:rPr>
          <w:spacing w:val="-2"/>
        </w:rPr>
        <w:t> </w:t>
      </w:r>
      <w:r>
        <w:rPr/>
        <w:t>Lin</w:t>
      </w:r>
      <w:r>
        <w:rPr>
          <w:spacing w:val="-2"/>
        </w:rPr>
        <w:t> </w:t>
      </w:r>
      <w:r>
        <w:rPr/>
        <w:t>et al., 2017).</w:t>
      </w:r>
      <w:r>
        <w:rPr>
          <w:spacing w:val="-5"/>
        </w:rPr>
        <w:t> </w:t>
      </w:r>
      <w:r>
        <w:rPr/>
        <w:t>This shift dismantled the former state monopoly, allowing private capital to enter both generation and distribution while the government retained oversight of the transmission network. Over time, privatization and market liberalisation encouraged private ownership of generation assets and created clear bidding</w:t>
      </w:r>
      <w:r>
        <w:rPr>
          <w:spacing w:val="-15"/>
        </w:rPr>
        <w:t> </w:t>
      </w:r>
      <w:r>
        <w:rPr/>
        <w:t>and</w:t>
      </w:r>
      <w:r>
        <w:rPr>
          <w:spacing w:val="-15"/>
        </w:rPr>
        <w:t> </w:t>
      </w:r>
      <w:r>
        <w:rPr/>
        <w:t>settlement</w:t>
      </w:r>
      <w:r>
        <w:rPr>
          <w:spacing w:val="-15"/>
        </w:rPr>
        <w:t> </w:t>
      </w:r>
      <w:r>
        <w:rPr/>
        <w:t>rules,</w:t>
      </w:r>
      <w:r>
        <w:rPr>
          <w:spacing w:val="-15"/>
        </w:rPr>
        <w:t> </w:t>
      </w:r>
      <w:r>
        <w:rPr/>
        <w:t>enabling</w:t>
      </w:r>
      <w:r>
        <w:rPr>
          <w:spacing w:val="-15"/>
        </w:rPr>
        <w:t> </w:t>
      </w:r>
      <w:r>
        <w:rPr/>
        <w:t>firms</w:t>
      </w:r>
      <w:r>
        <w:rPr>
          <w:spacing w:val="-15"/>
        </w:rPr>
        <w:t> </w:t>
      </w:r>
      <w:r>
        <w:rPr/>
        <w:t>to</w:t>
      </w:r>
      <w:r>
        <w:rPr>
          <w:spacing w:val="-15"/>
        </w:rPr>
        <w:t> </w:t>
      </w:r>
      <w:r>
        <w:rPr/>
        <w:t>respond</w:t>
      </w:r>
      <w:r>
        <w:rPr>
          <w:spacing w:val="-15"/>
        </w:rPr>
        <w:t> </w:t>
      </w:r>
      <w:r>
        <w:rPr/>
        <w:t>to</w:t>
      </w:r>
      <w:r>
        <w:rPr>
          <w:spacing w:val="-15"/>
        </w:rPr>
        <w:t> </w:t>
      </w:r>
      <w:r>
        <w:rPr/>
        <w:t>price</w:t>
      </w:r>
      <w:r>
        <w:rPr>
          <w:spacing w:val="-15"/>
        </w:rPr>
        <w:t> </w:t>
      </w:r>
      <w:r>
        <w:rPr/>
        <w:t>signals</w:t>
      </w:r>
      <w:r>
        <w:rPr>
          <w:spacing w:val="-15"/>
        </w:rPr>
        <w:t> </w:t>
      </w:r>
      <w:r>
        <w:rPr/>
        <w:t>and</w:t>
      </w:r>
      <w:r>
        <w:rPr>
          <w:spacing w:val="-15"/>
        </w:rPr>
        <w:t> </w:t>
      </w:r>
      <w:r>
        <w:rPr/>
        <w:t>invest</w:t>
      </w:r>
      <w:r>
        <w:rPr>
          <w:spacing w:val="-15"/>
        </w:rPr>
        <w:t> </w:t>
      </w:r>
      <w:r>
        <w:rPr/>
        <w:t>in</w:t>
      </w:r>
      <w:r>
        <w:rPr>
          <w:spacing w:val="-15"/>
        </w:rPr>
        <w:t> </w:t>
      </w:r>
      <w:r>
        <w:rPr/>
        <w:t>low</w:t>
      </w:r>
      <w:r>
        <w:rPr>
          <w:spacing w:val="-15"/>
        </w:rPr>
        <w:t> </w:t>
      </w:r>
      <w:r>
        <w:rPr/>
        <w:t>carbon technologies. Although scholars debate whether liberalisation alone guarantees sufficient investment some noting that cheap renewable generation can struggle to yield stable returns without policy support (Siccion, 2024) the policy framework, notably the Contracts for Difference (CfD) mechanism, has helped to stabilise revenues and attract large scale private investment in renewables (Bolton et al., 2016; Spring et al., 2024).</w:t>
      </w:r>
    </w:p>
    <w:p>
      <w:pPr>
        <w:pStyle w:val="BodyText"/>
        <w:spacing w:line="278" w:lineRule="auto" w:before="249"/>
        <w:ind w:right="1015"/>
        <w:jc w:val="both"/>
      </w:pPr>
      <w:r>
        <w:rPr/>
        <w:t>Today, private capital drives the majority of the UK’s low carbon expansion. Since 2010, nearly £200 billion in combined public private funding has flowed into clean energy, with private investors providing the lion’s share (Environmental Audit Committee, 2024). Major utilities</w:t>
      </w:r>
      <w:r>
        <w:rPr>
          <w:spacing w:val="-9"/>
        </w:rPr>
        <w:t> </w:t>
      </w:r>
      <w:r>
        <w:rPr/>
        <w:t>including</w:t>
      </w:r>
      <w:r>
        <w:rPr>
          <w:spacing w:val="-12"/>
        </w:rPr>
        <w:t> </w:t>
      </w:r>
      <w:r>
        <w:rPr/>
        <w:t>SSE</w:t>
      </w:r>
      <w:r>
        <w:rPr>
          <w:spacing w:val="-10"/>
        </w:rPr>
        <w:t> </w:t>
      </w:r>
      <w:r>
        <w:rPr/>
        <w:t>(£12.5</w:t>
      </w:r>
      <w:r>
        <w:rPr>
          <w:spacing w:val="-12"/>
        </w:rPr>
        <w:t> </w:t>
      </w:r>
      <w:r>
        <w:rPr/>
        <w:t>billion),</w:t>
      </w:r>
      <w:r>
        <w:rPr>
          <w:spacing w:val="-10"/>
        </w:rPr>
        <w:t> </w:t>
      </w:r>
      <w:r>
        <w:rPr/>
        <w:t>RWE</w:t>
      </w:r>
      <w:r>
        <w:rPr>
          <w:spacing w:val="-10"/>
        </w:rPr>
        <w:t> </w:t>
      </w:r>
      <w:r>
        <w:rPr/>
        <w:t>(£15</w:t>
      </w:r>
      <w:r>
        <w:rPr>
          <w:spacing w:val="-12"/>
        </w:rPr>
        <w:t> </w:t>
      </w:r>
      <w:r>
        <w:rPr/>
        <w:t>billion</w:t>
      </w:r>
      <w:r>
        <w:rPr>
          <w:spacing w:val="-15"/>
        </w:rPr>
        <w:t> </w:t>
      </w:r>
      <w:r>
        <w:rPr/>
        <w:t>by</w:t>
      </w:r>
      <w:r>
        <w:rPr>
          <w:spacing w:val="-15"/>
        </w:rPr>
        <w:t> </w:t>
      </w:r>
      <w:r>
        <w:rPr/>
        <w:t>2030),</w:t>
      </w:r>
      <w:r>
        <w:rPr>
          <w:spacing w:val="-10"/>
        </w:rPr>
        <w:t> </w:t>
      </w:r>
      <w:r>
        <w:rPr/>
        <w:t>Iberdrola</w:t>
      </w:r>
      <w:r>
        <w:rPr>
          <w:spacing w:val="-13"/>
        </w:rPr>
        <w:t> </w:t>
      </w:r>
      <w:r>
        <w:rPr/>
        <w:t>(£6</w:t>
      </w:r>
      <w:r>
        <w:rPr>
          <w:spacing w:val="-12"/>
        </w:rPr>
        <w:t> </w:t>
      </w:r>
      <w:r>
        <w:rPr/>
        <w:t>billion</w:t>
      </w:r>
      <w:r>
        <w:rPr>
          <w:spacing w:val="-12"/>
        </w:rPr>
        <w:t> </w:t>
      </w:r>
      <w:r>
        <w:rPr/>
        <w:t>in</w:t>
      </w:r>
      <w:r>
        <w:rPr>
          <w:spacing w:val="-15"/>
        </w:rPr>
        <w:t> </w:t>
      </w:r>
      <w:r>
        <w:rPr/>
        <w:t>East</w:t>
      </w:r>
    </w:p>
    <w:p>
      <w:pPr>
        <w:pStyle w:val="BodyText"/>
        <w:spacing w:after="0" w:line="278" w:lineRule="auto"/>
        <w:jc w:val="both"/>
        <w:sectPr>
          <w:pgSz w:w="11910" w:h="16840"/>
          <w:pgMar w:header="0" w:footer="1064" w:top="1360" w:bottom="1260" w:left="1417" w:right="425"/>
        </w:sectPr>
      </w:pPr>
    </w:p>
    <w:p>
      <w:pPr>
        <w:pStyle w:val="BodyText"/>
        <w:spacing w:line="278" w:lineRule="auto" w:before="78"/>
        <w:ind w:right="1006"/>
        <w:jc w:val="both"/>
      </w:pPr>
      <w:r>
        <w:rPr/>
        <w:t>Anglia plus £24 billion in new pledges), Ørsted</w:t>
      </w:r>
      <w:r>
        <w:rPr>
          <w:spacing w:val="-1"/>
        </w:rPr>
        <w:t> </w:t>
      </w:r>
      <w:r>
        <w:rPr/>
        <w:t>(£12 billion), and EDF</w:t>
      </w:r>
      <w:r>
        <w:rPr>
          <w:spacing w:val="-1"/>
        </w:rPr>
        <w:t> </w:t>
      </w:r>
      <w:r>
        <w:rPr/>
        <w:t>(£50 billion by</w:t>
      </w:r>
      <w:r>
        <w:rPr>
          <w:spacing w:val="-1"/>
        </w:rPr>
        <w:t> </w:t>
      </w:r>
      <w:r>
        <w:rPr/>
        <w:t>2035) have announced multibillion pound commitments to UK offshore wind, grid upgrades, and storage</w:t>
      </w:r>
      <w:r>
        <w:rPr>
          <w:spacing w:val="-3"/>
        </w:rPr>
        <w:t> </w:t>
      </w:r>
      <w:r>
        <w:rPr/>
        <w:t>infrastructure</w:t>
      </w:r>
      <w:r>
        <w:rPr>
          <w:spacing w:val="-8"/>
        </w:rPr>
        <w:t> </w:t>
      </w:r>
      <w:r>
        <w:rPr/>
        <w:t>(Fitch</w:t>
      </w:r>
      <w:r>
        <w:rPr>
          <w:spacing w:val="-7"/>
        </w:rPr>
        <w:t> </w:t>
      </w:r>
      <w:r>
        <w:rPr/>
        <w:t>Solutions, 2021;</w:t>
      </w:r>
      <w:r>
        <w:rPr>
          <w:spacing w:val="-7"/>
        </w:rPr>
        <w:t> </w:t>
      </w:r>
      <w:r>
        <w:rPr/>
        <w:t>The</w:t>
      </w:r>
      <w:r>
        <w:rPr>
          <w:spacing w:val="-3"/>
        </w:rPr>
        <w:t> </w:t>
      </w:r>
      <w:r>
        <w:rPr/>
        <w:t>Guardian, 2024).</w:t>
      </w:r>
      <w:r>
        <w:rPr>
          <w:spacing w:val="-5"/>
        </w:rPr>
        <w:t> </w:t>
      </w:r>
      <w:r>
        <w:rPr/>
        <w:t>Innovative</w:t>
      </w:r>
      <w:r>
        <w:rPr>
          <w:spacing w:val="-3"/>
        </w:rPr>
        <w:t> </w:t>
      </w:r>
      <w:r>
        <w:rPr/>
        <w:t>players</w:t>
      </w:r>
      <w:r>
        <w:rPr>
          <w:spacing w:val="-4"/>
        </w:rPr>
        <w:t> </w:t>
      </w:r>
      <w:r>
        <w:rPr/>
        <w:t>such</w:t>
      </w:r>
      <w:r>
        <w:rPr>
          <w:spacing w:val="-7"/>
        </w:rPr>
        <w:t> </w:t>
      </w:r>
      <w:r>
        <w:rPr/>
        <w:t>as Greencoat UK Wind, which now manages 49 wind farms with nearly 2 GW of capacity displacing 2.2 million tonnes of CO₂ annually, and Highview Power, which secured £300 million to build the UK’s first commercial scale liquid air storage plant, further illustrate the breadth of private sector engagement. Beyond carbon reduction, these investments deliver significant socio-economic benefits: between 2023 and 2024, the net zero economy grew by 10.1%, generating £83.1 billion in GVA, supporting 951,000 full time jobs, and creating a wider</w:t>
      </w:r>
      <w:r>
        <w:rPr>
          <w:spacing w:val="-13"/>
        </w:rPr>
        <w:t> </w:t>
      </w:r>
      <w:r>
        <w:rPr/>
        <w:t>economic</w:t>
      </w:r>
      <w:r>
        <w:rPr>
          <w:spacing w:val="-6"/>
        </w:rPr>
        <w:t> </w:t>
      </w:r>
      <w:r>
        <w:rPr/>
        <w:t>multiplier</w:t>
      </w:r>
      <w:r>
        <w:rPr>
          <w:spacing w:val="-8"/>
        </w:rPr>
        <w:t> </w:t>
      </w:r>
      <w:r>
        <w:rPr/>
        <w:t>of</w:t>
      </w:r>
      <w:r>
        <w:rPr>
          <w:spacing w:val="-15"/>
        </w:rPr>
        <w:t> </w:t>
      </w:r>
      <w:r>
        <w:rPr/>
        <w:t>£1.89</w:t>
      </w:r>
      <w:r>
        <w:rPr>
          <w:spacing w:val="-5"/>
        </w:rPr>
        <w:t> </w:t>
      </w:r>
      <w:r>
        <w:rPr/>
        <w:t>for</w:t>
      </w:r>
      <w:r>
        <w:rPr>
          <w:spacing w:val="-8"/>
        </w:rPr>
        <w:t> </w:t>
      </w:r>
      <w:r>
        <w:rPr/>
        <w:t>every</w:t>
      </w:r>
      <w:r>
        <w:rPr>
          <w:spacing w:val="-15"/>
        </w:rPr>
        <w:t> </w:t>
      </w:r>
      <w:r>
        <w:rPr/>
        <w:t>£1</w:t>
      </w:r>
      <w:r>
        <w:rPr>
          <w:spacing w:val="-10"/>
        </w:rPr>
        <w:t> </w:t>
      </w:r>
      <w:r>
        <w:rPr/>
        <w:t>of</w:t>
      </w:r>
      <w:r>
        <w:rPr>
          <w:spacing w:val="-13"/>
        </w:rPr>
        <w:t> </w:t>
      </w:r>
      <w:r>
        <w:rPr/>
        <w:t>net</w:t>
      </w:r>
      <w:r>
        <w:rPr>
          <w:spacing w:val="-4"/>
        </w:rPr>
        <w:t> </w:t>
      </w:r>
      <w:r>
        <w:rPr/>
        <w:t>zero</w:t>
      </w:r>
      <w:r>
        <w:rPr>
          <w:spacing w:val="-10"/>
        </w:rPr>
        <w:t> </w:t>
      </w:r>
      <w:r>
        <w:rPr/>
        <w:t>output</w:t>
      </w:r>
      <w:r>
        <w:rPr>
          <w:spacing w:val="-9"/>
        </w:rPr>
        <w:t> </w:t>
      </w:r>
      <w:r>
        <w:rPr/>
        <w:t>(BBC</w:t>
      </w:r>
      <w:r>
        <w:rPr>
          <w:spacing w:val="-11"/>
        </w:rPr>
        <w:t> </w:t>
      </w:r>
      <w:r>
        <w:rPr/>
        <w:t>News,</w:t>
      </w:r>
      <w:r>
        <w:rPr>
          <w:spacing w:val="-8"/>
        </w:rPr>
        <w:t> </w:t>
      </w:r>
      <w:r>
        <w:rPr/>
        <w:t>2024).</w:t>
      </w:r>
      <w:r>
        <w:rPr>
          <w:spacing w:val="-8"/>
        </w:rPr>
        <w:t> </w:t>
      </w:r>
      <w:r>
        <w:rPr/>
        <w:t>In</w:t>
      </w:r>
      <w:r>
        <w:rPr>
          <w:spacing w:val="-14"/>
        </w:rPr>
        <w:t> </w:t>
      </w:r>
      <w:r>
        <w:rPr/>
        <w:t>sum, privatization</w:t>
      </w:r>
      <w:r>
        <w:rPr>
          <w:spacing w:val="-15"/>
        </w:rPr>
        <w:t> </w:t>
      </w:r>
      <w:r>
        <w:rPr/>
        <w:t>provided</w:t>
      </w:r>
      <w:r>
        <w:rPr>
          <w:spacing w:val="-10"/>
        </w:rPr>
        <w:t> </w:t>
      </w:r>
      <w:r>
        <w:rPr/>
        <w:t>the</w:t>
      </w:r>
      <w:r>
        <w:rPr>
          <w:spacing w:val="-11"/>
        </w:rPr>
        <w:t> </w:t>
      </w:r>
      <w:r>
        <w:rPr/>
        <w:t>enabling</w:t>
      </w:r>
      <w:r>
        <w:rPr>
          <w:spacing w:val="-10"/>
        </w:rPr>
        <w:t> </w:t>
      </w:r>
      <w:r>
        <w:rPr/>
        <w:t>framework,</w:t>
      </w:r>
      <w:r>
        <w:rPr>
          <w:spacing w:val="-12"/>
        </w:rPr>
        <w:t> </w:t>
      </w:r>
      <w:r>
        <w:rPr/>
        <w:t>while</w:t>
      </w:r>
      <w:r>
        <w:rPr>
          <w:spacing w:val="-11"/>
        </w:rPr>
        <w:t> </w:t>
      </w:r>
      <w:r>
        <w:rPr/>
        <w:t>private</w:t>
      </w:r>
      <w:r>
        <w:rPr>
          <w:spacing w:val="-11"/>
        </w:rPr>
        <w:t> </w:t>
      </w:r>
      <w:r>
        <w:rPr/>
        <w:t>capital,</w:t>
      </w:r>
      <w:r>
        <w:rPr>
          <w:spacing w:val="-8"/>
        </w:rPr>
        <w:t> </w:t>
      </w:r>
      <w:r>
        <w:rPr/>
        <w:t>expertise,</w:t>
      </w:r>
      <w:r>
        <w:rPr>
          <w:spacing w:val="-8"/>
        </w:rPr>
        <w:t> </w:t>
      </w:r>
      <w:r>
        <w:rPr/>
        <w:t>and</w:t>
      </w:r>
      <w:r>
        <w:rPr>
          <w:spacing w:val="-6"/>
        </w:rPr>
        <w:t> </w:t>
      </w:r>
      <w:r>
        <w:rPr/>
        <w:t>innovation now supply the engine of the UK’s drive toward a fully decarbonised power system by 2030 and beyond.</w:t>
      </w:r>
    </w:p>
    <w:p>
      <w:pPr>
        <w:pStyle w:val="Heading1"/>
        <w:numPr>
          <w:ilvl w:val="1"/>
          <w:numId w:val="1"/>
        </w:numPr>
        <w:tabs>
          <w:tab w:pos="743" w:val="left" w:leader="none"/>
        </w:tabs>
        <w:spacing w:line="240" w:lineRule="auto" w:before="256" w:after="0"/>
        <w:ind w:left="743" w:right="0" w:hanging="720"/>
        <w:jc w:val="left"/>
      </w:pPr>
      <w:r>
        <w:rPr/>
        <w:t>Theoretical</w:t>
      </w:r>
      <w:r>
        <w:rPr>
          <w:spacing w:val="-8"/>
        </w:rPr>
        <w:t> </w:t>
      </w:r>
      <w:r>
        <w:rPr>
          <w:spacing w:val="-2"/>
        </w:rPr>
        <w:t>Underpinning</w:t>
      </w:r>
    </w:p>
    <w:p>
      <w:pPr>
        <w:pStyle w:val="BodyText"/>
        <w:spacing w:before="5"/>
        <w:ind w:left="0"/>
        <w:rPr>
          <w:b/>
        </w:rPr>
      </w:pPr>
    </w:p>
    <w:p>
      <w:pPr>
        <w:pStyle w:val="BodyText"/>
        <w:spacing w:line="278" w:lineRule="auto"/>
        <w:ind w:right="1005"/>
        <w:jc w:val="both"/>
      </w:pPr>
      <w:r>
        <w:rPr/>
        <w:t>The United Kingdom’s renewable energy transition has been driven by a unique combination of market liberalisation, ambitious climate policy, and the growing financial and technical capacity of private sector utilities. Understanding how firms such as </w:t>
      </w:r>
      <w:r>
        <w:rPr>
          <w:b/>
        </w:rPr>
        <w:t>SSE plc </w:t>
      </w:r>
      <w:r>
        <w:rPr/>
        <w:t>position themselves</w:t>
      </w:r>
      <w:r>
        <w:rPr>
          <w:spacing w:val="-13"/>
        </w:rPr>
        <w:t> </w:t>
      </w:r>
      <w:r>
        <w:rPr/>
        <w:t>within</w:t>
      </w:r>
      <w:r>
        <w:rPr>
          <w:spacing w:val="-15"/>
        </w:rPr>
        <w:t> </w:t>
      </w:r>
      <w:r>
        <w:rPr/>
        <w:t>this</w:t>
      </w:r>
      <w:r>
        <w:rPr>
          <w:spacing w:val="-8"/>
        </w:rPr>
        <w:t> </w:t>
      </w:r>
      <w:r>
        <w:rPr/>
        <w:t>landscape</w:t>
      </w:r>
      <w:r>
        <w:rPr>
          <w:spacing w:val="-12"/>
        </w:rPr>
        <w:t> </w:t>
      </w:r>
      <w:r>
        <w:rPr/>
        <w:t>requires</w:t>
      </w:r>
      <w:r>
        <w:rPr>
          <w:spacing w:val="-13"/>
        </w:rPr>
        <w:t> </w:t>
      </w:r>
      <w:r>
        <w:rPr/>
        <w:t>both</w:t>
      </w:r>
      <w:r>
        <w:rPr>
          <w:spacing w:val="-15"/>
        </w:rPr>
        <w:t> </w:t>
      </w:r>
      <w:r>
        <w:rPr/>
        <w:t>a</w:t>
      </w:r>
      <w:r>
        <w:rPr>
          <w:spacing w:val="-12"/>
        </w:rPr>
        <w:t> </w:t>
      </w:r>
      <w:r>
        <w:rPr/>
        <w:t>strategic</w:t>
      </w:r>
      <w:r>
        <w:rPr>
          <w:spacing w:val="-12"/>
        </w:rPr>
        <w:t> </w:t>
      </w:r>
      <w:r>
        <w:rPr/>
        <w:t>and</w:t>
      </w:r>
      <w:r>
        <w:rPr>
          <w:spacing w:val="-11"/>
        </w:rPr>
        <w:t> </w:t>
      </w:r>
      <w:r>
        <w:rPr/>
        <w:t>an</w:t>
      </w:r>
      <w:r>
        <w:rPr>
          <w:spacing w:val="-11"/>
        </w:rPr>
        <w:t> </w:t>
      </w:r>
      <w:r>
        <w:rPr/>
        <w:t>institutional</w:t>
      </w:r>
      <w:r>
        <w:rPr>
          <w:spacing w:val="-10"/>
        </w:rPr>
        <w:t> </w:t>
      </w:r>
      <w:r>
        <w:rPr/>
        <w:t>lens.</w:t>
      </w:r>
      <w:r>
        <w:rPr>
          <w:spacing w:val="-9"/>
        </w:rPr>
        <w:t> </w:t>
      </w:r>
      <w:r>
        <w:rPr/>
        <w:t>This</w:t>
      </w:r>
      <w:r>
        <w:rPr>
          <w:spacing w:val="-8"/>
        </w:rPr>
        <w:t> </w:t>
      </w:r>
      <w:r>
        <w:rPr/>
        <w:t>section reviews the key</w:t>
      </w:r>
      <w:r>
        <w:rPr>
          <w:spacing w:val="-4"/>
        </w:rPr>
        <w:t> </w:t>
      </w:r>
      <w:r>
        <w:rPr/>
        <w:t>theoretical</w:t>
      </w:r>
      <w:r>
        <w:rPr>
          <w:spacing w:val="-4"/>
        </w:rPr>
        <w:t> </w:t>
      </w:r>
      <w:r>
        <w:rPr/>
        <w:t>and empirical literature underpinning the analysis, drawing on the </w:t>
      </w:r>
      <w:r>
        <w:rPr>
          <w:b/>
        </w:rPr>
        <w:t>Resource Based View (RBV)</w:t>
      </w:r>
      <w:r>
        <w:rPr/>
        <w:t>, </w:t>
      </w:r>
      <w:r>
        <w:rPr>
          <w:b/>
        </w:rPr>
        <w:t>Public Choice Theory</w:t>
      </w:r>
      <w:r>
        <w:rPr/>
        <w:t>, and the historical evolution of UK energy policy. Together, these perspectives illuminate the interplay between firm level capabilities and the policy environment that shapes investment in low carbon infrastructure.</w:t>
      </w:r>
    </w:p>
    <w:p>
      <w:pPr>
        <w:pStyle w:val="BodyText"/>
        <w:spacing w:line="280" w:lineRule="auto" w:before="243"/>
        <w:ind w:right="1010"/>
        <w:jc w:val="both"/>
      </w:pPr>
      <w:r>
        <w:rPr/>
        <w:t>The </w:t>
      </w:r>
      <w:r>
        <w:rPr>
          <w:b/>
        </w:rPr>
        <w:t>Resource Based View</w:t>
      </w:r>
      <w:r>
        <w:rPr>
          <w:b/>
          <w:spacing w:val="-2"/>
        </w:rPr>
        <w:t> </w:t>
      </w:r>
      <w:r>
        <w:rPr/>
        <w:t>(RBV) argues</w:t>
      </w:r>
      <w:r>
        <w:rPr>
          <w:spacing w:val="-10"/>
        </w:rPr>
        <w:t> </w:t>
      </w:r>
      <w:r>
        <w:rPr/>
        <w:t>that firms</w:t>
      </w:r>
      <w:r>
        <w:rPr>
          <w:spacing w:val="-1"/>
        </w:rPr>
        <w:t> </w:t>
      </w:r>
      <w:r>
        <w:rPr/>
        <w:t>achieve sustained competitive advantage by developing resources that are </w:t>
      </w:r>
      <w:r>
        <w:rPr>
          <w:i/>
        </w:rPr>
        <w:t>Valuable, Rare, Inimitable, </w:t>
      </w:r>
      <w:r>
        <w:rPr/>
        <w:t>and </w:t>
      </w:r>
      <w:r>
        <w:rPr>
          <w:i/>
        </w:rPr>
        <w:t>Non substitutable </w:t>
      </w:r>
      <w:r>
        <w:rPr/>
        <w:t>(VRIN) (Barney, 1991). Applied to SSE, this framework highlights the company’s ability</w:t>
      </w:r>
      <w:r>
        <w:rPr>
          <w:spacing w:val="-2"/>
        </w:rPr>
        <w:t> </w:t>
      </w:r>
      <w:r>
        <w:rPr/>
        <w:t>to mobilise distinctive internal assets in pursuit of the UK’s net zero targets.</w:t>
      </w:r>
    </w:p>
    <w:p>
      <w:pPr>
        <w:pStyle w:val="ListParagraph"/>
        <w:numPr>
          <w:ilvl w:val="2"/>
          <w:numId w:val="1"/>
        </w:numPr>
        <w:tabs>
          <w:tab w:pos="744" w:val="left" w:leader="none"/>
        </w:tabs>
        <w:spacing w:line="278" w:lineRule="auto" w:before="233" w:after="0"/>
        <w:ind w:left="744" w:right="1010" w:hanging="361"/>
        <w:jc w:val="both"/>
        <w:rPr>
          <w:sz w:val="24"/>
        </w:rPr>
      </w:pPr>
      <w:r>
        <w:rPr>
          <w:b/>
          <w:sz w:val="24"/>
        </w:rPr>
        <w:t>Valuable: </w:t>
      </w:r>
      <w:r>
        <w:rPr>
          <w:sz w:val="24"/>
        </w:rPr>
        <w:t>SSE’s engineering expertise and financial scale enable the delivery of capital-intensive projects such as the Dogger Bank (3.6 GW) and Seagreen (1.1 GW) offshore wind farms.</w:t>
      </w:r>
    </w:p>
    <w:p>
      <w:pPr>
        <w:pStyle w:val="ListParagraph"/>
        <w:numPr>
          <w:ilvl w:val="2"/>
          <w:numId w:val="1"/>
        </w:numPr>
        <w:tabs>
          <w:tab w:pos="744" w:val="left" w:leader="none"/>
        </w:tabs>
        <w:spacing w:line="278" w:lineRule="auto" w:before="0" w:after="0"/>
        <w:ind w:left="744" w:right="1008" w:hanging="361"/>
        <w:jc w:val="both"/>
        <w:rPr>
          <w:sz w:val="24"/>
        </w:rPr>
      </w:pPr>
      <w:r>
        <w:rPr>
          <w:b/>
          <w:sz w:val="24"/>
        </w:rPr>
        <w:t>Rare:</w:t>
      </w:r>
      <w:r>
        <w:rPr>
          <w:b/>
          <w:spacing w:val="-6"/>
          <w:sz w:val="24"/>
        </w:rPr>
        <w:t> </w:t>
      </w:r>
      <w:r>
        <w:rPr>
          <w:sz w:val="24"/>
        </w:rPr>
        <w:t>Few</w:t>
      </w:r>
      <w:r>
        <w:rPr>
          <w:spacing w:val="-7"/>
          <w:sz w:val="24"/>
        </w:rPr>
        <w:t> </w:t>
      </w:r>
      <w:r>
        <w:rPr>
          <w:sz w:val="24"/>
        </w:rPr>
        <w:t>UK</w:t>
      </w:r>
      <w:r>
        <w:rPr>
          <w:spacing w:val="-7"/>
          <w:sz w:val="24"/>
        </w:rPr>
        <w:t> </w:t>
      </w:r>
      <w:r>
        <w:rPr>
          <w:sz w:val="24"/>
        </w:rPr>
        <w:t>based</w:t>
      </w:r>
      <w:r>
        <w:rPr>
          <w:spacing w:val="-7"/>
          <w:sz w:val="24"/>
        </w:rPr>
        <w:t> </w:t>
      </w:r>
      <w:r>
        <w:rPr>
          <w:sz w:val="24"/>
        </w:rPr>
        <w:t>competitors</w:t>
      </w:r>
      <w:r>
        <w:rPr>
          <w:spacing w:val="-14"/>
          <w:sz w:val="24"/>
        </w:rPr>
        <w:t> </w:t>
      </w:r>
      <w:r>
        <w:rPr>
          <w:sz w:val="24"/>
        </w:rPr>
        <w:t>combine</w:t>
      </w:r>
      <w:r>
        <w:rPr>
          <w:spacing w:val="-8"/>
          <w:sz w:val="24"/>
        </w:rPr>
        <w:t> </w:t>
      </w:r>
      <w:r>
        <w:rPr>
          <w:sz w:val="24"/>
        </w:rPr>
        <w:t>deep</w:t>
      </w:r>
      <w:r>
        <w:rPr>
          <w:spacing w:val="-7"/>
          <w:sz w:val="24"/>
        </w:rPr>
        <w:t> </w:t>
      </w:r>
      <w:r>
        <w:rPr>
          <w:sz w:val="24"/>
        </w:rPr>
        <w:t>offshore</w:t>
      </w:r>
      <w:r>
        <w:rPr>
          <w:spacing w:val="-8"/>
          <w:sz w:val="24"/>
        </w:rPr>
        <w:t> </w:t>
      </w:r>
      <w:r>
        <w:rPr>
          <w:sz w:val="24"/>
        </w:rPr>
        <w:t>construction</w:t>
      </w:r>
      <w:r>
        <w:rPr>
          <w:spacing w:val="-12"/>
          <w:sz w:val="24"/>
        </w:rPr>
        <w:t> </w:t>
      </w:r>
      <w:r>
        <w:rPr>
          <w:sz w:val="24"/>
        </w:rPr>
        <w:t>experience</w:t>
      </w:r>
      <w:r>
        <w:rPr>
          <w:spacing w:val="-8"/>
          <w:sz w:val="24"/>
        </w:rPr>
        <w:t> </w:t>
      </w:r>
      <w:r>
        <w:rPr>
          <w:sz w:val="24"/>
        </w:rPr>
        <w:t>with the balance sheet strength required to secure multi-billion pound Contracts for Difference (CfD).</w:t>
      </w:r>
    </w:p>
    <w:p>
      <w:pPr>
        <w:pStyle w:val="ListParagraph"/>
        <w:numPr>
          <w:ilvl w:val="2"/>
          <w:numId w:val="1"/>
        </w:numPr>
        <w:tabs>
          <w:tab w:pos="744" w:val="left" w:leader="none"/>
        </w:tabs>
        <w:spacing w:line="278" w:lineRule="auto" w:before="0" w:after="0"/>
        <w:ind w:left="744" w:right="1017" w:hanging="361"/>
        <w:jc w:val="both"/>
        <w:rPr>
          <w:sz w:val="24"/>
        </w:rPr>
      </w:pPr>
      <w:r>
        <w:rPr>
          <w:b/>
          <w:sz w:val="24"/>
        </w:rPr>
        <w:t>Inimitable: </w:t>
      </w:r>
      <w:r>
        <w:rPr>
          <w:sz w:val="24"/>
        </w:rPr>
        <w:t>Decades of grid integration know how, regulatory relationships, and project management capability create barriers that are difficult for new entrants to </w:t>
      </w:r>
      <w:r>
        <w:rPr>
          <w:spacing w:val="-2"/>
          <w:sz w:val="24"/>
        </w:rPr>
        <w:t>replicate.</w:t>
      </w:r>
    </w:p>
    <w:p>
      <w:pPr>
        <w:pStyle w:val="ListParagraph"/>
        <w:numPr>
          <w:ilvl w:val="2"/>
          <w:numId w:val="1"/>
        </w:numPr>
        <w:tabs>
          <w:tab w:pos="744" w:val="left" w:leader="none"/>
        </w:tabs>
        <w:spacing w:line="278" w:lineRule="auto" w:before="0" w:after="0"/>
        <w:ind w:left="744" w:right="1011" w:hanging="361"/>
        <w:jc w:val="both"/>
        <w:rPr>
          <w:sz w:val="24"/>
        </w:rPr>
      </w:pPr>
      <w:r>
        <w:rPr>
          <w:b/>
          <w:sz w:val="24"/>
        </w:rPr>
        <w:t>Non substitutable: </w:t>
      </w:r>
      <w:r>
        <w:rPr>
          <w:sz w:val="24"/>
        </w:rPr>
        <w:t>No alternative combination of resources can substitute for SSE’s blend of capital, credibility, and technical expertise in large scale offshore wind </w:t>
      </w:r>
      <w:r>
        <w:rPr>
          <w:spacing w:val="-2"/>
          <w:sz w:val="24"/>
        </w:rPr>
        <w:t>deployment.</w:t>
      </w:r>
    </w:p>
    <w:p>
      <w:pPr>
        <w:pStyle w:val="ListParagraph"/>
        <w:spacing w:after="0" w:line="278" w:lineRule="auto"/>
        <w:jc w:val="both"/>
        <w:rPr>
          <w:sz w:val="24"/>
        </w:rPr>
        <w:sectPr>
          <w:pgSz w:w="11910" w:h="16840"/>
          <w:pgMar w:header="0" w:footer="1064" w:top="1340" w:bottom="1260" w:left="1417" w:right="425"/>
        </w:sectPr>
      </w:pPr>
    </w:p>
    <w:p>
      <w:pPr>
        <w:pStyle w:val="BodyText"/>
        <w:spacing w:line="278" w:lineRule="auto" w:before="78"/>
        <w:ind w:right="1016"/>
        <w:jc w:val="both"/>
      </w:pPr>
      <w:r>
        <w:rPr/>
        <w:t>While</w:t>
      </w:r>
      <w:r>
        <w:rPr>
          <w:spacing w:val="-8"/>
        </w:rPr>
        <w:t> </w:t>
      </w:r>
      <w:r>
        <w:rPr/>
        <w:t>RBV</w:t>
      </w:r>
      <w:r>
        <w:rPr>
          <w:spacing w:val="-7"/>
        </w:rPr>
        <w:t> </w:t>
      </w:r>
      <w:r>
        <w:rPr/>
        <w:t>provides</w:t>
      </w:r>
      <w:r>
        <w:rPr>
          <w:spacing w:val="-9"/>
        </w:rPr>
        <w:t> </w:t>
      </w:r>
      <w:r>
        <w:rPr/>
        <w:t>a</w:t>
      </w:r>
      <w:r>
        <w:rPr>
          <w:spacing w:val="-8"/>
        </w:rPr>
        <w:t> </w:t>
      </w:r>
      <w:r>
        <w:rPr/>
        <w:t>compelling</w:t>
      </w:r>
      <w:r>
        <w:rPr>
          <w:spacing w:val="-7"/>
        </w:rPr>
        <w:t> </w:t>
      </w:r>
      <w:r>
        <w:rPr/>
        <w:t>explanation</w:t>
      </w:r>
      <w:r>
        <w:rPr>
          <w:spacing w:val="-7"/>
        </w:rPr>
        <w:t> </w:t>
      </w:r>
      <w:r>
        <w:rPr/>
        <w:t>for</w:t>
      </w:r>
      <w:r>
        <w:rPr>
          <w:spacing w:val="-5"/>
        </w:rPr>
        <w:t> </w:t>
      </w:r>
      <w:r>
        <w:rPr/>
        <w:t>SSE’s</w:t>
      </w:r>
      <w:r>
        <w:rPr>
          <w:spacing w:val="-9"/>
        </w:rPr>
        <w:t> </w:t>
      </w:r>
      <w:r>
        <w:rPr/>
        <w:t>ability</w:t>
      </w:r>
      <w:r>
        <w:rPr>
          <w:spacing w:val="-15"/>
        </w:rPr>
        <w:t> </w:t>
      </w:r>
      <w:r>
        <w:rPr/>
        <w:t>to</w:t>
      </w:r>
      <w:r>
        <w:rPr>
          <w:spacing w:val="-3"/>
        </w:rPr>
        <w:t> </w:t>
      </w:r>
      <w:r>
        <w:rPr/>
        <w:t>expand</w:t>
      </w:r>
      <w:r>
        <w:rPr>
          <w:spacing w:val="-7"/>
        </w:rPr>
        <w:t> </w:t>
      </w:r>
      <w:r>
        <w:rPr/>
        <w:t>renewable</w:t>
      </w:r>
      <w:r>
        <w:rPr>
          <w:spacing w:val="-8"/>
        </w:rPr>
        <w:t> </w:t>
      </w:r>
      <w:r>
        <w:rPr/>
        <w:t>capacity under uncertain market conditions, critics note that it tends to underplay the role of external policy</w:t>
      </w:r>
      <w:r>
        <w:rPr>
          <w:spacing w:val="-15"/>
        </w:rPr>
        <w:t> </w:t>
      </w:r>
      <w:r>
        <w:rPr/>
        <w:t>dependencies</w:t>
      </w:r>
      <w:r>
        <w:rPr>
          <w:spacing w:val="-15"/>
        </w:rPr>
        <w:t> </w:t>
      </w:r>
      <w:r>
        <w:rPr/>
        <w:t>(Priem</w:t>
      </w:r>
      <w:r>
        <w:rPr>
          <w:spacing w:val="-15"/>
        </w:rPr>
        <w:t> </w:t>
      </w:r>
      <w:r>
        <w:rPr/>
        <w:t>&amp;</w:t>
      </w:r>
      <w:r>
        <w:rPr>
          <w:spacing w:val="-15"/>
        </w:rPr>
        <w:t> </w:t>
      </w:r>
      <w:r>
        <w:rPr/>
        <w:t>Butler,</w:t>
      </w:r>
      <w:r>
        <w:rPr>
          <w:spacing w:val="-15"/>
        </w:rPr>
        <w:t> </w:t>
      </w:r>
      <w:r>
        <w:rPr/>
        <w:t>2001).</w:t>
      </w:r>
      <w:r>
        <w:rPr>
          <w:spacing w:val="-15"/>
        </w:rPr>
        <w:t> </w:t>
      </w:r>
      <w:r>
        <w:rPr/>
        <w:t>In</w:t>
      </w:r>
      <w:r>
        <w:rPr>
          <w:spacing w:val="-15"/>
        </w:rPr>
        <w:t> </w:t>
      </w:r>
      <w:r>
        <w:rPr/>
        <w:t>highly</w:t>
      </w:r>
      <w:r>
        <w:rPr>
          <w:spacing w:val="-15"/>
        </w:rPr>
        <w:t> </w:t>
      </w:r>
      <w:r>
        <w:rPr/>
        <w:t>regulated</w:t>
      </w:r>
      <w:r>
        <w:rPr>
          <w:spacing w:val="-15"/>
        </w:rPr>
        <w:t> </w:t>
      </w:r>
      <w:r>
        <w:rPr/>
        <w:t>sectors</w:t>
      </w:r>
      <w:r>
        <w:rPr>
          <w:spacing w:val="-15"/>
        </w:rPr>
        <w:t> </w:t>
      </w:r>
      <w:r>
        <w:rPr/>
        <w:t>like</w:t>
      </w:r>
      <w:r>
        <w:rPr>
          <w:spacing w:val="-15"/>
        </w:rPr>
        <w:t> </w:t>
      </w:r>
      <w:r>
        <w:rPr/>
        <w:t>energy,</w:t>
      </w:r>
      <w:r>
        <w:rPr>
          <w:spacing w:val="-15"/>
        </w:rPr>
        <w:t> </w:t>
      </w:r>
      <w:r>
        <w:rPr/>
        <w:t>even</w:t>
      </w:r>
      <w:r>
        <w:rPr>
          <w:spacing w:val="-15"/>
        </w:rPr>
        <w:t> </w:t>
      </w:r>
      <w:r>
        <w:rPr/>
        <w:t>firms with</w:t>
      </w:r>
      <w:r>
        <w:rPr>
          <w:spacing w:val="-8"/>
        </w:rPr>
        <w:t> </w:t>
      </w:r>
      <w:r>
        <w:rPr/>
        <w:t>VRIN</w:t>
      </w:r>
      <w:r>
        <w:rPr>
          <w:spacing w:val="-4"/>
        </w:rPr>
        <w:t> </w:t>
      </w:r>
      <w:r>
        <w:rPr/>
        <w:t>resources</w:t>
      </w:r>
      <w:r>
        <w:rPr>
          <w:spacing w:val="-5"/>
        </w:rPr>
        <w:t> </w:t>
      </w:r>
      <w:r>
        <w:rPr/>
        <w:t>depend</w:t>
      </w:r>
      <w:r>
        <w:rPr>
          <w:spacing w:val="-3"/>
        </w:rPr>
        <w:t> </w:t>
      </w:r>
      <w:r>
        <w:rPr/>
        <w:t>on</w:t>
      </w:r>
      <w:r>
        <w:rPr>
          <w:spacing w:val="-8"/>
        </w:rPr>
        <w:t> </w:t>
      </w:r>
      <w:r>
        <w:rPr/>
        <w:t>supportive</w:t>
      </w:r>
      <w:r>
        <w:rPr>
          <w:spacing w:val="-4"/>
        </w:rPr>
        <w:t> </w:t>
      </w:r>
      <w:r>
        <w:rPr/>
        <w:t>policies such</w:t>
      </w:r>
      <w:r>
        <w:rPr>
          <w:spacing w:val="-8"/>
        </w:rPr>
        <w:t> </w:t>
      </w:r>
      <w:r>
        <w:rPr/>
        <w:t>as</w:t>
      </w:r>
      <w:r>
        <w:rPr>
          <w:spacing w:val="-6"/>
        </w:rPr>
        <w:t> </w:t>
      </w:r>
      <w:r>
        <w:rPr/>
        <w:t>the</w:t>
      </w:r>
      <w:r>
        <w:rPr>
          <w:spacing w:val="-4"/>
        </w:rPr>
        <w:t> </w:t>
      </w:r>
      <w:r>
        <w:rPr/>
        <w:t>CfD mechanism</w:t>
      </w:r>
      <w:r>
        <w:rPr>
          <w:spacing w:val="-12"/>
        </w:rPr>
        <w:t> </w:t>
      </w:r>
      <w:r>
        <w:rPr/>
        <w:t>and</w:t>
      </w:r>
      <w:r>
        <w:rPr>
          <w:spacing w:val="-3"/>
        </w:rPr>
        <w:t> </w:t>
      </w:r>
      <w:r>
        <w:rPr/>
        <w:t>the</w:t>
      </w:r>
      <w:r>
        <w:rPr>
          <w:spacing w:val="-4"/>
        </w:rPr>
        <w:t> </w:t>
      </w:r>
      <w:r>
        <w:rPr/>
        <w:t>UK’s Net Zero Strategy to translate internal strengths into realised competitive advantage.</w:t>
      </w:r>
    </w:p>
    <w:p>
      <w:pPr>
        <w:pStyle w:val="BodyText"/>
        <w:spacing w:line="278" w:lineRule="auto" w:before="244"/>
        <w:ind w:right="1011"/>
        <w:jc w:val="both"/>
      </w:pPr>
      <w:r>
        <w:rPr/>
        <w:t>On the other hand, </w:t>
      </w:r>
      <w:r>
        <w:rPr>
          <w:b/>
        </w:rPr>
        <w:t>Public Choice Theory </w:t>
      </w:r>
      <w:r>
        <w:rPr/>
        <w:t>(Buchanan &amp; Tullock, 1962; Mueller, 2003) complements</w:t>
      </w:r>
      <w:r>
        <w:rPr>
          <w:spacing w:val="-15"/>
        </w:rPr>
        <w:t> </w:t>
      </w:r>
      <w:r>
        <w:rPr/>
        <w:t>RBV</w:t>
      </w:r>
      <w:r>
        <w:rPr>
          <w:spacing w:val="-6"/>
        </w:rPr>
        <w:t> </w:t>
      </w:r>
      <w:r>
        <w:rPr/>
        <w:t>by</w:t>
      </w:r>
      <w:r>
        <w:rPr>
          <w:spacing w:val="-13"/>
        </w:rPr>
        <w:t> </w:t>
      </w:r>
      <w:r>
        <w:rPr/>
        <w:t>shifting</w:t>
      </w:r>
      <w:r>
        <w:rPr>
          <w:spacing w:val="-10"/>
        </w:rPr>
        <w:t> </w:t>
      </w:r>
      <w:r>
        <w:rPr/>
        <w:t>attention</w:t>
      </w:r>
      <w:r>
        <w:rPr>
          <w:spacing w:val="-10"/>
        </w:rPr>
        <w:t> </w:t>
      </w:r>
      <w:r>
        <w:rPr/>
        <w:t>from</w:t>
      </w:r>
      <w:r>
        <w:rPr>
          <w:spacing w:val="-13"/>
        </w:rPr>
        <w:t> </w:t>
      </w:r>
      <w:r>
        <w:rPr/>
        <w:t>firm</w:t>
      </w:r>
      <w:r>
        <w:rPr>
          <w:spacing w:val="-15"/>
        </w:rPr>
        <w:t> </w:t>
      </w:r>
      <w:r>
        <w:rPr/>
        <w:t>resources</w:t>
      </w:r>
      <w:r>
        <w:rPr>
          <w:spacing w:val="-11"/>
        </w:rPr>
        <w:t> </w:t>
      </w:r>
      <w:r>
        <w:rPr/>
        <w:t>to</w:t>
      </w:r>
      <w:r>
        <w:rPr>
          <w:spacing w:val="-13"/>
        </w:rPr>
        <w:t> </w:t>
      </w:r>
      <w:r>
        <w:rPr/>
        <w:t>the</w:t>
      </w:r>
      <w:r>
        <w:rPr>
          <w:spacing w:val="-6"/>
        </w:rPr>
        <w:t> </w:t>
      </w:r>
      <w:r>
        <w:rPr/>
        <w:t>incentives</w:t>
      </w:r>
      <w:r>
        <w:rPr>
          <w:spacing w:val="-11"/>
        </w:rPr>
        <w:t> </w:t>
      </w:r>
      <w:r>
        <w:rPr/>
        <w:t>created</w:t>
      </w:r>
      <w:r>
        <w:rPr>
          <w:spacing w:val="-10"/>
        </w:rPr>
        <w:t> </w:t>
      </w:r>
      <w:r>
        <w:rPr/>
        <w:t>by</w:t>
      </w:r>
      <w:r>
        <w:rPr>
          <w:spacing w:val="-15"/>
        </w:rPr>
        <w:t> </w:t>
      </w:r>
      <w:r>
        <w:rPr/>
        <w:t>policy and regulation. The theory posits that self-interested actors, whether governments or firms, respond rationally to economic incentives, and that privatisation can improve efficiency and innovation when regulation provides clear investment signals. SSE’s strategic decision to divest its retail supply arm and concentrate on renewable generation illustrates this logic: the company</w:t>
      </w:r>
      <w:r>
        <w:rPr>
          <w:spacing w:val="-1"/>
        </w:rPr>
        <w:t> </w:t>
      </w:r>
      <w:r>
        <w:rPr/>
        <w:t>has</w:t>
      </w:r>
      <w:r>
        <w:rPr>
          <w:spacing w:val="-4"/>
        </w:rPr>
        <w:t> </w:t>
      </w:r>
      <w:r>
        <w:rPr/>
        <w:t>aligned its</w:t>
      </w:r>
      <w:r>
        <w:rPr>
          <w:spacing w:val="-4"/>
        </w:rPr>
        <w:t> </w:t>
      </w:r>
      <w:r>
        <w:rPr/>
        <w:t>capital</w:t>
      </w:r>
      <w:r>
        <w:rPr>
          <w:spacing w:val="-6"/>
        </w:rPr>
        <w:t> </w:t>
      </w:r>
      <w:r>
        <w:rPr/>
        <w:t>allocation</w:t>
      </w:r>
      <w:r>
        <w:rPr>
          <w:spacing w:val="-6"/>
        </w:rPr>
        <w:t> </w:t>
      </w:r>
      <w:r>
        <w:rPr/>
        <w:t>with</w:t>
      </w:r>
      <w:r>
        <w:rPr>
          <w:spacing w:val="-6"/>
        </w:rPr>
        <w:t> </w:t>
      </w:r>
      <w:r>
        <w:rPr/>
        <w:t>the UK’s liberalised</w:t>
      </w:r>
      <w:r>
        <w:rPr>
          <w:spacing w:val="-1"/>
        </w:rPr>
        <w:t> </w:t>
      </w:r>
      <w:r>
        <w:rPr/>
        <w:t>electricity</w:t>
      </w:r>
      <w:r>
        <w:rPr>
          <w:spacing w:val="-1"/>
        </w:rPr>
        <w:t> </w:t>
      </w:r>
      <w:r>
        <w:rPr/>
        <w:t>market and</w:t>
      </w:r>
      <w:r>
        <w:rPr>
          <w:spacing w:val="-1"/>
        </w:rPr>
        <w:t> </w:t>
      </w:r>
      <w:r>
        <w:rPr/>
        <w:t>the price stability offered by CfD contracts for low carbon output.</w:t>
      </w:r>
    </w:p>
    <w:p>
      <w:pPr>
        <w:pStyle w:val="BodyText"/>
        <w:spacing w:line="278" w:lineRule="auto" w:before="248"/>
        <w:ind w:right="1007"/>
        <w:jc w:val="both"/>
      </w:pPr>
      <w:r>
        <w:rPr/>
        <w:t>However, Public Choice Theory</w:t>
      </w:r>
      <w:r>
        <w:rPr>
          <w:spacing w:val="-1"/>
        </w:rPr>
        <w:t> </w:t>
      </w:r>
      <w:r>
        <w:rPr/>
        <w:t>also attracts criticism for overlooking broader public goods. Scholars such as Stiglitz (1989) caution that market led models may fail to address grid resilience, social equity, or the distributive impacts of large infrastructure projects. These concerns are pertinent to SSE’s current strategy, which prioritises large scale offshore wind over smaller community based renewable schemes. By integrating RBV’s focus on internal capabilities with Public Choice Theory’s emphasis on market incentives, this study captures both the firm level and systemic drivers of SSE’s role in the UK’s energy transition.</w:t>
      </w:r>
    </w:p>
    <w:p>
      <w:pPr>
        <w:pStyle w:val="BodyText"/>
        <w:spacing w:before="32"/>
        <w:ind w:left="0"/>
      </w:pPr>
    </w:p>
    <w:p>
      <w:pPr>
        <w:pStyle w:val="Heading1"/>
        <w:tabs>
          <w:tab w:pos="743" w:val="left" w:leader="none"/>
        </w:tabs>
      </w:pPr>
      <w:bookmarkStart w:name="3.1 Methodology" w:id="5"/>
      <w:bookmarkEnd w:id="5"/>
      <w:r>
        <w:rPr>
          <w:b w:val="0"/>
        </w:rPr>
      </w:r>
      <w:r>
        <w:rPr>
          <w:spacing w:val="-5"/>
        </w:rPr>
        <w:t>3.1</w:t>
      </w:r>
      <w:r>
        <w:rPr/>
        <w:tab/>
      </w:r>
      <w:r>
        <w:rPr>
          <w:spacing w:val="-2"/>
        </w:rPr>
        <w:t>Methodology</w:t>
      </w:r>
    </w:p>
    <w:p>
      <w:pPr>
        <w:pStyle w:val="BodyText"/>
        <w:spacing w:before="62"/>
        <w:ind w:left="0"/>
        <w:rPr>
          <w:b/>
        </w:rPr>
      </w:pPr>
    </w:p>
    <w:p>
      <w:pPr>
        <w:pStyle w:val="BodyText"/>
        <w:spacing w:line="278" w:lineRule="auto" w:before="1"/>
        <w:ind w:right="963"/>
        <w:jc w:val="both"/>
      </w:pPr>
      <w:r>
        <w:rPr/>
        <w:t>This study adopts a quantitative single case research design to examine SSE plc as a leading private</w:t>
      </w:r>
      <w:r>
        <w:rPr>
          <w:spacing w:val="-15"/>
        </w:rPr>
        <w:t> </w:t>
      </w:r>
      <w:r>
        <w:rPr/>
        <w:t>developer</w:t>
      </w:r>
      <w:r>
        <w:rPr>
          <w:spacing w:val="-15"/>
        </w:rPr>
        <w:t> </w:t>
      </w:r>
      <w:r>
        <w:rPr/>
        <w:t>of</w:t>
      </w:r>
      <w:r>
        <w:rPr>
          <w:spacing w:val="-15"/>
        </w:rPr>
        <w:t> </w:t>
      </w:r>
      <w:r>
        <w:rPr/>
        <w:t>renewable</w:t>
      </w:r>
      <w:r>
        <w:rPr>
          <w:spacing w:val="-15"/>
        </w:rPr>
        <w:t> </w:t>
      </w:r>
      <w:r>
        <w:rPr/>
        <w:t>energy</w:t>
      </w:r>
      <w:r>
        <w:rPr>
          <w:spacing w:val="-15"/>
        </w:rPr>
        <w:t> </w:t>
      </w:r>
      <w:r>
        <w:rPr/>
        <w:t>in</w:t>
      </w:r>
      <w:r>
        <w:rPr>
          <w:spacing w:val="-15"/>
        </w:rPr>
        <w:t> </w:t>
      </w:r>
      <w:r>
        <w:rPr/>
        <w:t>the</w:t>
      </w:r>
      <w:r>
        <w:rPr>
          <w:spacing w:val="-15"/>
        </w:rPr>
        <w:t> </w:t>
      </w:r>
      <w:r>
        <w:rPr/>
        <w:t>United</w:t>
      </w:r>
      <w:r>
        <w:rPr>
          <w:spacing w:val="-15"/>
        </w:rPr>
        <w:t> </w:t>
      </w:r>
      <w:r>
        <w:rPr/>
        <w:t>Kingdom.</w:t>
      </w:r>
      <w:r>
        <w:rPr>
          <w:spacing w:val="-15"/>
        </w:rPr>
        <w:t> </w:t>
      </w:r>
      <w:r>
        <w:rPr/>
        <w:t>Guided</w:t>
      </w:r>
      <w:r>
        <w:rPr>
          <w:spacing w:val="-15"/>
        </w:rPr>
        <w:t> </w:t>
      </w:r>
      <w:r>
        <w:rPr/>
        <w:t>by</w:t>
      </w:r>
      <w:r>
        <w:rPr>
          <w:spacing w:val="-15"/>
        </w:rPr>
        <w:t> </w:t>
      </w:r>
      <w:r>
        <w:rPr/>
        <w:t>a</w:t>
      </w:r>
      <w:r>
        <w:rPr>
          <w:spacing w:val="-15"/>
        </w:rPr>
        <w:t> </w:t>
      </w:r>
      <w:r>
        <w:rPr/>
        <w:t>positivist</w:t>
      </w:r>
      <w:r>
        <w:rPr>
          <w:spacing w:val="-9"/>
        </w:rPr>
        <w:t> </w:t>
      </w:r>
      <w:r>
        <w:rPr/>
        <w:t>paradigm, the approach emphasises objective, replicable measurement to evaluate the company’s contribution</w:t>
      </w:r>
      <w:r>
        <w:rPr>
          <w:spacing w:val="-15"/>
        </w:rPr>
        <w:t> </w:t>
      </w:r>
      <w:r>
        <w:rPr/>
        <w:t>to</w:t>
      </w:r>
      <w:r>
        <w:rPr>
          <w:spacing w:val="-9"/>
        </w:rPr>
        <w:t> </w:t>
      </w:r>
      <w:r>
        <w:rPr/>
        <w:t>national</w:t>
      </w:r>
      <w:r>
        <w:rPr>
          <w:spacing w:val="-15"/>
        </w:rPr>
        <w:t> </w:t>
      </w:r>
      <w:r>
        <w:rPr/>
        <w:t>decarbonisation</w:t>
      </w:r>
      <w:r>
        <w:rPr>
          <w:spacing w:val="-13"/>
        </w:rPr>
        <w:t> </w:t>
      </w:r>
      <w:r>
        <w:rPr/>
        <w:t>efforts.</w:t>
      </w:r>
      <w:r>
        <w:rPr>
          <w:spacing w:val="-11"/>
        </w:rPr>
        <w:t> </w:t>
      </w:r>
      <w:r>
        <w:rPr/>
        <w:t>Focusing</w:t>
      </w:r>
      <w:r>
        <w:rPr>
          <w:spacing w:val="-9"/>
        </w:rPr>
        <w:t> </w:t>
      </w:r>
      <w:r>
        <w:rPr/>
        <w:t>on</w:t>
      </w:r>
      <w:r>
        <w:rPr>
          <w:spacing w:val="-13"/>
        </w:rPr>
        <w:t> </w:t>
      </w:r>
      <w:r>
        <w:rPr/>
        <w:t>a</w:t>
      </w:r>
      <w:r>
        <w:rPr>
          <w:spacing w:val="-2"/>
        </w:rPr>
        <w:t> </w:t>
      </w:r>
      <w:r>
        <w:rPr/>
        <w:t>single</w:t>
      </w:r>
      <w:r>
        <w:rPr>
          <w:spacing w:val="-5"/>
        </w:rPr>
        <w:t> </w:t>
      </w:r>
      <w:r>
        <w:rPr/>
        <w:t>firm</w:t>
      </w:r>
      <w:r>
        <w:rPr>
          <w:spacing w:val="-13"/>
        </w:rPr>
        <w:t> </w:t>
      </w:r>
      <w:r>
        <w:rPr/>
        <w:t>allows</w:t>
      </w:r>
      <w:r>
        <w:rPr>
          <w:spacing w:val="-7"/>
        </w:rPr>
        <w:t> </w:t>
      </w:r>
      <w:r>
        <w:rPr/>
        <w:t>for</w:t>
      </w:r>
      <w:r>
        <w:rPr>
          <w:spacing w:val="-7"/>
        </w:rPr>
        <w:t> </w:t>
      </w:r>
      <w:r>
        <w:rPr/>
        <w:t>a</w:t>
      </w:r>
      <w:r>
        <w:rPr>
          <w:spacing w:val="-14"/>
        </w:rPr>
        <w:t> </w:t>
      </w:r>
      <w:r>
        <w:rPr/>
        <w:t>detailed, context rich analysis of its renewable output and associated avoided emissions while maintaining methodological rigour.</w:t>
      </w:r>
    </w:p>
    <w:p>
      <w:pPr>
        <w:pStyle w:val="BodyText"/>
        <w:spacing w:line="278" w:lineRule="auto" w:before="244"/>
        <w:ind w:right="1008"/>
        <w:jc w:val="both"/>
      </w:pPr>
      <w:r>
        <w:rPr/>
        <w:t>The analysis draws exclusively on secondary data sourced from publicly available and independently verifiable documents. Key datasets include SSE Annual Reports and Sustainability Statements (2020 2024), which provide annual generation figures and project level</w:t>
      </w:r>
      <w:r>
        <w:rPr>
          <w:spacing w:val="-9"/>
        </w:rPr>
        <w:t> </w:t>
      </w:r>
      <w:r>
        <w:rPr/>
        <w:t>details;</w:t>
      </w:r>
      <w:r>
        <w:rPr>
          <w:spacing w:val="-9"/>
        </w:rPr>
        <w:t> </w:t>
      </w:r>
      <w:r>
        <w:rPr/>
        <w:t>UK</w:t>
      </w:r>
      <w:r>
        <w:rPr>
          <w:spacing w:val="-10"/>
        </w:rPr>
        <w:t> </w:t>
      </w:r>
      <w:r>
        <w:rPr/>
        <w:t>government statistics from</w:t>
      </w:r>
      <w:r>
        <w:rPr>
          <w:spacing w:val="-14"/>
        </w:rPr>
        <w:t> </w:t>
      </w:r>
      <w:r>
        <w:rPr/>
        <w:t>the</w:t>
      </w:r>
      <w:r>
        <w:rPr>
          <w:spacing w:val="-6"/>
        </w:rPr>
        <w:t> </w:t>
      </w:r>
      <w:r>
        <w:rPr/>
        <w:t>Department for</w:t>
      </w:r>
      <w:r>
        <w:rPr>
          <w:spacing w:val="-3"/>
        </w:rPr>
        <w:t> </w:t>
      </w:r>
      <w:r>
        <w:rPr/>
        <w:t>Energy</w:t>
      </w:r>
      <w:r>
        <w:rPr>
          <w:spacing w:val="-14"/>
        </w:rPr>
        <w:t> </w:t>
      </w:r>
      <w:r>
        <w:rPr/>
        <w:t>Security</w:t>
      </w:r>
      <w:r>
        <w:rPr>
          <w:spacing w:val="-14"/>
        </w:rPr>
        <w:t> </w:t>
      </w:r>
      <w:r>
        <w:rPr/>
        <w:t>and</w:t>
      </w:r>
      <w:r>
        <w:rPr>
          <w:spacing w:val="-5"/>
        </w:rPr>
        <w:t> </w:t>
      </w:r>
      <w:r>
        <w:rPr/>
        <w:t>Net Zero (DESNZ) and its predecessor BEIS, covering national greenhouse gas emissions, renewable generation, and</w:t>
      </w:r>
      <w:r>
        <w:rPr>
          <w:spacing w:val="-2"/>
        </w:rPr>
        <w:t> </w:t>
      </w:r>
      <w:r>
        <w:rPr/>
        <w:t>official</w:t>
      </w:r>
      <w:r>
        <w:rPr>
          <w:spacing w:val="-11"/>
        </w:rPr>
        <w:t> </w:t>
      </w:r>
      <w:r>
        <w:rPr/>
        <w:t>GHG</w:t>
      </w:r>
      <w:r>
        <w:rPr>
          <w:spacing w:val="-3"/>
        </w:rPr>
        <w:t> </w:t>
      </w:r>
      <w:r>
        <w:rPr/>
        <w:t>conversion</w:t>
      </w:r>
      <w:r>
        <w:rPr>
          <w:spacing w:val="-7"/>
        </w:rPr>
        <w:t> </w:t>
      </w:r>
      <w:r>
        <w:rPr/>
        <w:t>factors;</w:t>
      </w:r>
      <w:r>
        <w:rPr>
          <w:spacing w:val="-7"/>
        </w:rPr>
        <w:t> </w:t>
      </w:r>
      <w:r>
        <w:rPr/>
        <w:t>and industry</w:t>
      </w:r>
      <w:r>
        <w:rPr>
          <w:spacing w:val="-12"/>
        </w:rPr>
        <w:t> </w:t>
      </w:r>
      <w:r>
        <w:rPr/>
        <w:t>reports</w:t>
      </w:r>
      <w:r>
        <w:rPr>
          <w:spacing w:val="-4"/>
        </w:rPr>
        <w:t> </w:t>
      </w:r>
      <w:r>
        <w:rPr/>
        <w:t>from</w:t>
      </w:r>
      <w:r>
        <w:rPr>
          <w:spacing w:val="-11"/>
        </w:rPr>
        <w:t> </w:t>
      </w:r>
      <w:r>
        <w:rPr/>
        <w:t>organisations</w:t>
      </w:r>
      <w:r>
        <w:rPr>
          <w:spacing w:val="-4"/>
        </w:rPr>
        <w:t> </w:t>
      </w:r>
      <w:r>
        <w:rPr/>
        <w:t>such as Ember, Carbon Brief, and PwC, which offer additional context on electricity sector trends and economic impacts. These sources</w:t>
      </w:r>
      <w:r>
        <w:rPr>
          <w:spacing w:val="-1"/>
        </w:rPr>
        <w:t> </w:t>
      </w:r>
      <w:r>
        <w:rPr/>
        <w:t>together ensure a comprehensive and reliable evidence </w:t>
      </w:r>
      <w:r>
        <w:rPr>
          <w:spacing w:val="-2"/>
        </w:rPr>
        <w:t>base.</w:t>
      </w:r>
    </w:p>
    <w:p>
      <w:pPr>
        <w:pStyle w:val="BodyText"/>
        <w:spacing w:line="280" w:lineRule="auto" w:before="250"/>
        <w:ind w:right="1014"/>
        <w:jc w:val="both"/>
      </w:pPr>
      <w:r>
        <w:rPr/>
        <w:t>Data analysis involved a two step process to quantify SSE’s avoided carbon emissions and market</w:t>
      </w:r>
      <w:r>
        <w:rPr>
          <w:spacing w:val="-4"/>
        </w:rPr>
        <w:t> </w:t>
      </w:r>
      <w:r>
        <w:rPr/>
        <w:t>contribution.</w:t>
      </w:r>
      <w:r>
        <w:rPr>
          <w:spacing w:val="-6"/>
        </w:rPr>
        <w:t> </w:t>
      </w:r>
      <w:r>
        <w:rPr/>
        <w:t>First,</w:t>
      </w:r>
      <w:r>
        <w:rPr>
          <w:spacing w:val="-6"/>
        </w:rPr>
        <w:t> </w:t>
      </w:r>
      <w:r>
        <w:rPr/>
        <w:t>annual</w:t>
      </w:r>
      <w:r>
        <w:rPr>
          <w:spacing w:val="-11"/>
        </w:rPr>
        <w:t> </w:t>
      </w:r>
      <w:r>
        <w:rPr/>
        <w:t>renewable</w:t>
      </w:r>
      <w:r>
        <w:rPr>
          <w:spacing w:val="-9"/>
        </w:rPr>
        <w:t> </w:t>
      </w:r>
      <w:r>
        <w:rPr/>
        <w:t>electricity</w:t>
      </w:r>
      <w:r>
        <w:rPr>
          <w:spacing w:val="-15"/>
        </w:rPr>
        <w:t> </w:t>
      </w:r>
      <w:r>
        <w:rPr/>
        <w:t>output</w:t>
      </w:r>
      <w:r>
        <w:rPr>
          <w:spacing w:val="-3"/>
        </w:rPr>
        <w:t> </w:t>
      </w:r>
      <w:r>
        <w:rPr/>
        <w:t>(in</w:t>
      </w:r>
      <w:r>
        <w:rPr>
          <w:spacing w:val="-12"/>
        </w:rPr>
        <w:t> </w:t>
      </w:r>
      <w:r>
        <w:rPr/>
        <w:t>GWh)</w:t>
      </w:r>
      <w:r>
        <w:rPr>
          <w:spacing w:val="-6"/>
        </w:rPr>
        <w:t> </w:t>
      </w:r>
      <w:r>
        <w:rPr/>
        <w:t>was</w:t>
      </w:r>
      <w:r>
        <w:rPr>
          <w:spacing w:val="-5"/>
        </w:rPr>
        <w:t> </w:t>
      </w:r>
      <w:r>
        <w:rPr/>
        <w:t>multiplied</w:t>
      </w:r>
      <w:r>
        <w:rPr>
          <w:spacing w:val="-3"/>
        </w:rPr>
        <w:t> </w:t>
      </w:r>
      <w:r>
        <w:rPr/>
        <w:t>by</w:t>
      </w:r>
      <w:r>
        <w:rPr>
          <w:spacing w:val="-12"/>
        </w:rPr>
        <w:t> </w:t>
      </w:r>
      <w:r>
        <w:rPr/>
        <w:t>the</w:t>
      </w:r>
    </w:p>
    <w:p>
      <w:pPr>
        <w:pStyle w:val="BodyText"/>
        <w:spacing w:after="0" w:line="280" w:lineRule="auto"/>
        <w:jc w:val="both"/>
        <w:sectPr>
          <w:pgSz w:w="11910" w:h="16840"/>
          <w:pgMar w:header="0" w:footer="1064" w:top="1340" w:bottom="1260" w:left="1417" w:right="425"/>
        </w:sectPr>
      </w:pPr>
    </w:p>
    <w:p>
      <w:pPr>
        <w:pStyle w:val="BodyText"/>
        <w:spacing w:line="280" w:lineRule="auto" w:before="78"/>
        <w:ind w:right="1022"/>
        <w:jc w:val="both"/>
      </w:pPr>
      <w:r>
        <w:rPr>
          <w:spacing w:val="-2"/>
        </w:rPr>
        <w:t>UK</w:t>
      </w:r>
      <w:r>
        <w:rPr>
          <w:spacing w:val="-8"/>
        </w:rPr>
        <w:t> </w:t>
      </w:r>
      <w:r>
        <w:rPr>
          <w:spacing w:val="-2"/>
        </w:rPr>
        <w:t>Government’s</w:t>
      </w:r>
      <w:r>
        <w:rPr>
          <w:spacing w:val="-4"/>
        </w:rPr>
        <w:t> </w:t>
      </w:r>
      <w:r>
        <w:rPr>
          <w:spacing w:val="-2"/>
        </w:rPr>
        <w:t>combined electricity</w:t>
      </w:r>
      <w:r>
        <w:rPr>
          <w:spacing w:val="-13"/>
        </w:rPr>
        <w:t> </w:t>
      </w:r>
      <w:r>
        <w:rPr>
          <w:spacing w:val="-2"/>
        </w:rPr>
        <w:t>emission factor</w:t>
      </w:r>
      <w:r>
        <w:rPr>
          <w:spacing w:val="-5"/>
        </w:rPr>
        <w:t> </w:t>
      </w:r>
      <w:r>
        <w:rPr>
          <w:spacing w:val="-2"/>
        </w:rPr>
        <w:t>(kg</w:t>
      </w:r>
      <w:r>
        <w:rPr>
          <w:spacing w:val="-6"/>
        </w:rPr>
        <w:t> </w:t>
      </w:r>
      <w:r>
        <w:rPr>
          <w:spacing w:val="-2"/>
        </w:rPr>
        <w:t>CO₂e/kWh) for each</w:t>
      </w:r>
      <w:r>
        <w:rPr>
          <w:spacing w:val="-6"/>
        </w:rPr>
        <w:t> </w:t>
      </w:r>
      <w:r>
        <w:rPr>
          <w:spacing w:val="-2"/>
        </w:rPr>
        <w:t>corresponding </w:t>
      </w:r>
      <w:r>
        <w:rPr/>
        <w:t>year, using the formula:</w:t>
      </w:r>
    </w:p>
    <w:p>
      <w:pPr>
        <w:pStyle w:val="BodyText"/>
        <w:spacing w:before="238"/>
        <w:jc w:val="both"/>
      </w:pPr>
      <w:r>
        <w:rPr/>
        <w:t>Avoided</w:t>
      </w:r>
      <w:r>
        <w:rPr>
          <w:spacing w:val="-4"/>
        </w:rPr>
        <w:t> </w:t>
      </w:r>
      <w:r>
        <w:rPr/>
        <w:t>Emissions</w:t>
      </w:r>
      <w:r>
        <w:rPr>
          <w:spacing w:val="-6"/>
        </w:rPr>
        <w:t> </w:t>
      </w:r>
      <w:r>
        <w:rPr/>
        <w:t>(tCO₂e)=Renewable</w:t>
      </w:r>
      <w:r>
        <w:rPr>
          <w:spacing w:val="-4"/>
        </w:rPr>
        <w:t> </w:t>
      </w:r>
      <w:r>
        <w:rPr/>
        <w:t>Output</w:t>
      </w:r>
      <w:r>
        <w:rPr>
          <w:spacing w:val="-4"/>
        </w:rPr>
        <w:t> </w:t>
      </w:r>
      <w:r>
        <w:rPr/>
        <w:t>(kWh)×Emission</w:t>
      </w:r>
      <w:r>
        <w:rPr>
          <w:spacing w:val="-7"/>
        </w:rPr>
        <w:t> </w:t>
      </w:r>
      <w:r>
        <w:rPr>
          <w:spacing w:val="-2"/>
        </w:rPr>
        <w:t>Factor</w:t>
      </w:r>
    </w:p>
    <w:p>
      <w:pPr>
        <w:pStyle w:val="BodyText"/>
        <w:spacing w:before="10"/>
        <w:ind w:left="0"/>
      </w:pPr>
    </w:p>
    <w:p>
      <w:pPr>
        <w:pStyle w:val="BodyText"/>
        <w:spacing w:line="278" w:lineRule="auto"/>
        <w:ind w:right="1008"/>
        <w:jc w:val="both"/>
      </w:pPr>
      <w:r>
        <w:rPr/>
        <w:t>Emission</w:t>
      </w:r>
      <w:r>
        <w:rPr>
          <w:spacing w:val="-15"/>
        </w:rPr>
        <w:t> </w:t>
      </w:r>
      <w:r>
        <w:rPr/>
        <w:t>factors</w:t>
      </w:r>
      <w:r>
        <w:rPr>
          <w:spacing w:val="-15"/>
        </w:rPr>
        <w:t> </w:t>
      </w:r>
      <w:r>
        <w:rPr/>
        <w:t>ranged</w:t>
      </w:r>
      <w:r>
        <w:rPr>
          <w:spacing w:val="-14"/>
        </w:rPr>
        <w:t> </w:t>
      </w:r>
      <w:r>
        <w:rPr/>
        <w:t>from</w:t>
      </w:r>
      <w:r>
        <w:rPr>
          <w:spacing w:val="-15"/>
        </w:rPr>
        <w:t> </w:t>
      </w:r>
      <w:r>
        <w:rPr>
          <w:b/>
        </w:rPr>
        <w:t>0.22499</w:t>
      </w:r>
      <w:r>
        <w:rPr>
          <w:b/>
          <w:spacing w:val="-11"/>
        </w:rPr>
        <w:t> </w:t>
      </w:r>
      <w:r>
        <w:rPr>
          <w:b/>
        </w:rPr>
        <w:t>kg</w:t>
      </w:r>
      <w:r>
        <w:rPr>
          <w:b/>
          <w:spacing w:val="-12"/>
        </w:rPr>
        <w:t> </w:t>
      </w:r>
      <w:r>
        <w:rPr>
          <w:b/>
        </w:rPr>
        <w:t>CO₂e/kWh</w:t>
      </w:r>
      <w:r>
        <w:rPr>
          <w:b/>
          <w:spacing w:val="-9"/>
        </w:rPr>
        <w:t> </w:t>
      </w:r>
      <w:r>
        <w:rPr/>
        <w:t>for</w:t>
      </w:r>
      <w:r>
        <w:rPr>
          <w:spacing w:val="-10"/>
        </w:rPr>
        <w:t> </w:t>
      </w:r>
      <w:r>
        <w:rPr/>
        <w:t>2020</w:t>
      </w:r>
      <w:r>
        <w:rPr>
          <w:spacing w:val="-15"/>
        </w:rPr>
        <w:t> </w:t>
      </w:r>
      <w:r>
        <w:rPr/>
        <w:t>2023</w:t>
      </w:r>
      <w:r>
        <w:rPr>
          <w:spacing w:val="-15"/>
        </w:rPr>
        <w:t> </w:t>
      </w:r>
      <w:r>
        <w:rPr/>
        <w:t>to</w:t>
      </w:r>
      <w:r>
        <w:rPr>
          <w:spacing w:val="-11"/>
        </w:rPr>
        <w:t> </w:t>
      </w:r>
      <w:r>
        <w:rPr>
          <w:b/>
        </w:rPr>
        <w:t>0.22535</w:t>
      </w:r>
      <w:r>
        <w:rPr>
          <w:b/>
          <w:spacing w:val="-15"/>
        </w:rPr>
        <w:t> </w:t>
      </w:r>
      <w:r>
        <w:rPr>
          <w:b/>
        </w:rPr>
        <w:t>kg</w:t>
      </w:r>
      <w:r>
        <w:rPr>
          <w:b/>
          <w:spacing w:val="-12"/>
        </w:rPr>
        <w:t> </w:t>
      </w:r>
      <w:r>
        <w:rPr>
          <w:b/>
        </w:rPr>
        <w:t>CO₂e/kWh </w:t>
      </w:r>
      <w:r>
        <w:rPr/>
        <w:t>in 2024, reflecting the declining carbon intensity of the UK grid. Second, SSE’s share of national renewable generation was calculated by dividing its annual output by total UK renewable generation. This allowed the company’s performance to be contextualised within the</w:t>
      </w:r>
      <w:r>
        <w:rPr>
          <w:spacing w:val="-8"/>
        </w:rPr>
        <w:t> </w:t>
      </w:r>
      <w:r>
        <w:rPr/>
        <w:t>broader</w:t>
      </w:r>
      <w:r>
        <w:rPr>
          <w:spacing w:val="-5"/>
        </w:rPr>
        <w:t> </w:t>
      </w:r>
      <w:r>
        <w:rPr/>
        <w:t>national</w:t>
      </w:r>
      <w:r>
        <w:rPr>
          <w:spacing w:val="-10"/>
        </w:rPr>
        <w:t> </w:t>
      </w:r>
      <w:r>
        <w:rPr/>
        <w:t>decarbonisation</w:t>
      </w:r>
      <w:r>
        <w:rPr>
          <w:spacing w:val="-11"/>
        </w:rPr>
        <w:t> </w:t>
      </w:r>
      <w:r>
        <w:rPr/>
        <w:t>trajectory, linking</w:t>
      </w:r>
      <w:r>
        <w:rPr>
          <w:spacing w:val="-2"/>
        </w:rPr>
        <w:t> </w:t>
      </w:r>
      <w:r>
        <w:rPr/>
        <w:t>firm</w:t>
      </w:r>
      <w:r>
        <w:rPr>
          <w:spacing w:val="-2"/>
        </w:rPr>
        <w:t> </w:t>
      </w:r>
      <w:r>
        <w:rPr/>
        <w:t>level</w:t>
      </w:r>
      <w:r>
        <w:rPr>
          <w:spacing w:val="-15"/>
        </w:rPr>
        <w:t> </w:t>
      </w:r>
      <w:r>
        <w:rPr/>
        <w:t>actions</w:t>
      </w:r>
      <w:r>
        <w:rPr>
          <w:spacing w:val="-8"/>
        </w:rPr>
        <w:t> </w:t>
      </w:r>
      <w:r>
        <w:rPr/>
        <w:t>to</w:t>
      </w:r>
      <w:r>
        <w:rPr>
          <w:spacing w:val="-2"/>
        </w:rPr>
        <w:t> </w:t>
      </w:r>
      <w:r>
        <w:rPr/>
        <w:t>UK</w:t>
      </w:r>
      <w:r>
        <w:rPr>
          <w:spacing w:val="-9"/>
        </w:rPr>
        <w:t> </w:t>
      </w:r>
      <w:r>
        <w:rPr/>
        <w:t>wide</w:t>
      </w:r>
      <w:r>
        <w:rPr>
          <w:spacing w:val="-8"/>
        </w:rPr>
        <w:t> </w:t>
      </w:r>
      <w:r>
        <w:rPr/>
        <w:t>progress toward net zero.</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90"/>
        <w:ind w:left="0"/>
      </w:pPr>
    </w:p>
    <w:p>
      <w:pPr>
        <w:pStyle w:val="Heading1"/>
        <w:numPr>
          <w:ilvl w:val="1"/>
          <w:numId w:val="2"/>
        </w:numPr>
        <w:tabs>
          <w:tab w:pos="743" w:val="left" w:leader="none"/>
        </w:tabs>
        <w:spacing w:line="240" w:lineRule="auto" w:before="0" w:after="0"/>
        <w:ind w:left="743" w:right="0" w:hanging="720"/>
        <w:jc w:val="left"/>
      </w:pPr>
      <w:bookmarkStart w:name="4.0 Results" w:id="6"/>
      <w:bookmarkEnd w:id="6"/>
      <w:r>
        <w:rPr>
          <w:b w:val="0"/>
        </w:rPr>
      </w:r>
      <w:r>
        <w:rPr>
          <w:spacing w:val="-2"/>
        </w:rPr>
        <w:t>Results</w:t>
      </w:r>
    </w:p>
    <w:p>
      <w:pPr>
        <w:pStyle w:val="BodyText"/>
        <w:spacing w:before="67"/>
        <w:ind w:left="0"/>
        <w:rPr>
          <w:b/>
        </w:rPr>
      </w:pPr>
    </w:p>
    <w:p>
      <w:pPr>
        <w:pStyle w:val="ListParagraph"/>
        <w:numPr>
          <w:ilvl w:val="1"/>
          <w:numId w:val="2"/>
        </w:numPr>
        <w:tabs>
          <w:tab w:pos="387" w:val="left" w:leader="none"/>
        </w:tabs>
        <w:spacing w:line="240" w:lineRule="auto" w:before="1" w:after="0"/>
        <w:ind w:left="387" w:right="0" w:hanging="364"/>
        <w:jc w:val="left"/>
        <w:rPr>
          <w:b/>
          <w:sz w:val="24"/>
        </w:rPr>
      </w:pPr>
      <w:bookmarkStart w:name="4.1 SSE Renewable Output and Capacity Gr" w:id="7"/>
      <w:bookmarkEnd w:id="7"/>
      <w:r>
        <w:rPr/>
      </w:r>
      <w:r>
        <w:rPr>
          <w:b/>
          <w:sz w:val="24"/>
        </w:rPr>
        <w:t>SSE</w:t>
      </w:r>
      <w:r>
        <w:rPr>
          <w:b/>
          <w:spacing w:val="-6"/>
          <w:sz w:val="24"/>
        </w:rPr>
        <w:t> </w:t>
      </w:r>
      <w:r>
        <w:rPr>
          <w:b/>
          <w:sz w:val="24"/>
        </w:rPr>
        <w:t>Renewable Output</w:t>
      </w:r>
      <w:r>
        <w:rPr>
          <w:b/>
          <w:spacing w:val="-2"/>
          <w:sz w:val="24"/>
        </w:rPr>
        <w:t> </w:t>
      </w:r>
      <w:r>
        <w:rPr>
          <w:b/>
          <w:sz w:val="24"/>
        </w:rPr>
        <w:t>and</w:t>
      </w:r>
      <w:r>
        <w:rPr>
          <w:b/>
          <w:spacing w:val="-3"/>
          <w:sz w:val="24"/>
        </w:rPr>
        <w:t> </w:t>
      </w:r>
      <w:r>
        <w:rPr>
          <w:b/>
          <w:sz w:val="24"/>
        </w:rPr>
        <w:t>Capacity</w:t>
      </w:r>
      <w:r>
        <w:rPr>
          <w:b/>
          <w:spacing w:val="-3"/>
          <w:sz w:val="24"/>
        </w:rPr>
        <w:t> </w:t>
      </w:r>
      <w:r>
        <w:rPr>
          <w:b/>
          <w:spacing w:val="-2"/>
          <w:sz w:val="24"/>
        </w:rPr>
        <w:t>Growth</w:t>
      </w:r>
    </w:p>
    <w:p>
      <w:pPr>
        <w:pStyle w:val="BodyText"/>
        <w:spacing w:before="51"/>
        <w:ind w:left="0"/>
        <w:rPr>
          <w:b/>
        </w:rPr>
      </w:pPr>
    </w:p>
    <w:p>
      <w:pPr>
        <w:pStyle w:val="BodyText"/>
        <w:jc w:val="both"/>
        <w:rPr>
          <w:rFonts w:ascii="Arial MT"/>
        </w:rPr>
      </w:pPr>
      <w:r>
        <w:rPr>
          <w:rFonts w:ascii="Arial MT"/>
        </w:rPr>
        <w:t>Table</w:t>
      </w:r>
      <w:r>
        <w:rPr>
          <w:rFonts w:ascii="Arial MT"/>
          <w:spacing w:val="-3"/>
        </w:rPr>
        <w:t> </w:t>
      </w:r>
      <w:r>
        <w:rPr>
          <w:rFonts w:ascii="Arial MT"/>
        </w:rPr>
        <w:t>1</w:t>
      </w:r>
      <w:r>
        <w:rPr>
          <w:rFonts w:ascii="Arial MT"/>
          <w:spacing w:val="-1"/>
        </w:rPr>
        <w:t> </w:t>
      </w:r>
      <w:r>
        <w:rPr>
          <w:rFonts w:ascii="Arial MT"/>
        </w:rPr>
        <w:t>shows</w:t>
      </w:r>
      <w:r>
        <w:rPr>
          <w:rFonts w:ascii="Arial MT"/>
          <w:spacing w:val="-2"/>
        </w:rPr>
        <w:t> </w:t>
      </w:r>
      <w:r>
        <w:rPr>
          <w:rFonts w:ascii="Arial MT"/>
        </w:rPr>
        <w:t>SSE</w:t>
      </w:r>
      <w:r>
        <w:rPr>
          <w:rFonts w:ascii="Arial MT"/>
          <w:spacing w:val="-5"/>
        </w:rPr>
        <w:t> </w:t>
      </w:r>
      <w:r>
        <w:rPr>
          <w:rFonts w:ascii="Arial MT"/>
        </w:rPr>
        <w:t>renewable</w:t>
      </w:r>
      <w:r>
        <w:rPr>
          <w:rFonts w:ascii="Arial MT"/>
          <w:spacing w:val="-2"/>
        </w:rPr>
        <w:t> </w:t>
      </w:r>
      <w:r>
        <w:rPr>
          <w:rFonts w:ascii="Arial MT"/>
        </w:rPr>
        <w:t>ouput</w:t>
      </w:r>
      <w:r>
        <w:rPr>
          <w:rFonts w:ascii="Arial MT"/>
          <w:spacing w:val="-2"/>
        </w:rPr>
        <w:t> </w:t>
      </w:r>
      <w:r>
        <w:rPr>
          <w:rFonts w:ascii="Arial MT"/>
        </w:rPr>
        <w:t>and</w:t>
      </w:r>
      <w:r>
        <w:rPr>
          <w:rFonts w:ascii="Arial MT"/>
          <w:spacing w:val="-7"/>
        </w:rPr>
        <w:t> </w:t>
      </w:r>
      <w:r>
        <w:rPr>
          <w:rFonts w:ascii="Arial MT"/>
        </w:rPr>
        <w:t>installed</w:t>
      </w:r>
      <w:r>
        <w:rPr>
          <w:rFonts w:ascii="Arial MT"/>
          <w:spacing w:val="-2"/>
        </w:rPr>
        <w:t> capacity</w:t>
      </w:r>
    </w:p>
    <w:p>
      <w:pPr>
        <w:pStyle w:val="BodyText"/>
        <w:spacing w:before="8"/>
        <w:ind w:left="0"/>
        <w:rPr>
          <w:rFonts w:ascii="Arial MT"/>
          <w:sz w:val="17"/>
        </w:rPr>
      </w:pPr>
    </w:p>
    <w:tbl>
      <w:tblPr>
        <w:tblW w:w="0" w:type="auto"/>
        <w:jc w:val="left"/>
        <w:tblInd w:w="33" w:type="dxa"/>
        <w:tblBorders>
          <w:top w:val="single" w:sz="4" w:space="0" w:color="45AFE0"/>
          <w:left w:val="single" w:sz="4" w:space="0" w:color="45AFE0"/>
          <w:bottom w:val="single" w:sz="4" w:space="0" w:color="45AFE0"/>
          <w:right w:val="single" w:sz="4" w:space="0" w:color="45AFE0"/>
          <w:insideH w:val="single" w:sz="4" w:space="0" w:color="45AFE0"/>
          <w:insideV w:val="single" w:sz="4" w:space="0" w:color="45AFE0"/>
        </w:tblBorders>
        <w:tblLayout w:type="fixed"/>
        <w:tblCellMar>
          <w:top w:w="0" w:type="dxa"/>
          <w:left w:w="0" w:type="dxa"/>
          <w:bottom w:w="0" w:type="dxa"/>
          <w:right w:w="0" w:type="dxa"/>
        </w:tblCellMar>
        <w:tblLook w:val="01E0"/>
      </w:tblPr>
      <w:tblGrid>
        <w:gridCol w:w="2684"/>
        <w:gridCol w:w="2449"/>
        <w:gridCol w:w="1652"/>
        <w:gridCol w:w="3198"/>
      </w:tblGrid>
      <w:tr>
        <w:trPr>
          <w:trHeight w:val="551" w:hRule="atLeast"/>
        </w:trPr>
        <w:tc>
          <w:tcPr>
            <w:tcW w:w="2684" w:type="dxa"/>
            <w:tcBorders>
              <w:bottom w:val="single" w:sz="12" w:space="0" w:color="45AFE0"/>
            </w:tcBorders>
          </w:tcPr>
          <w:p>
            <w:pPr>
              <w:pStyle w:val="TableParagraph"/>
              <w:ind w:left="110"/>
              <w:rPr>
                <w:b/>
                <w:sz w:val="24"/>
              </w:rPr>
            </w:pPr>
            <w:r>
              <w:rPr>
                <w:b/>
                <w:sz w:val="24"/>
              </w:rPr>
              <w:t>Fiscal</w:t>
            </w:r>
            <w:r>
              <w:rPr>
                <w:b/>
                <w:spacing w:val="-7"/>
                <w:sz w:val="24"/>
              </w:rPr>
              <w:t> </w:t>
            </w:r>
            <w:r>
              <w:rPr>
                <w:b/>
                <w:spacing w:val="-4"/>
                <w:sz w:val="24"/>
              </w:rPr>
              <w:t>Year</w:t>
            </w:r>
          </w:p>
        </w:tc>
        <w:tc>
          <w:tcPr>
            <w:tcW w:w="2449" w:type="dxa"/>
            <w:tcBorders>
              <w:bottom w:val="single" w:sz="12" w:space="0" w:color="45AFE0"/>
            </w:tcBorders>
          </w:tcPr>
          <w:p>
            <w:pPr>
              <w:pStyle w:val="TableParagraph"/>
              <w:tabs>
                <w:tab w:pos="1588" w:val="left" w:leader="none"/>
              </w:tabs>
              <w:ind w:left="110"/>
              <w:rPr>
                <w:b/>
                <w:sz w:val="24"/>
              </w:rPr>
            </w:pPr>
            <w:r>
              <w:rPr>
                <w:b/>
                <w:spacing w:val="-2"/>
                <w:sz w:val="24"/>
              </w:rPr>
              <w:t>Renewable</w:t>
            </w:r>
            <w:r>
              <w:rPr>
                <w:b/>
                <w:sz w:val="24"/>
              </w:rPr>
              <w:tab/>
            </w:r>
            <w:r>
              <w:rPr>
                <w:b/>
                <w:spacing w:val="-2"/>
                <w:sz w:val="24"/>
              </w:rPr>
              <w:t>Output</w:t>
            </w:r>
          </w:p>
          <w:p>
            <w:pPr>
              <w:pStyle w:val="TableParagraph"/>
              <w:spacing w:line="256" w:lineRule="exact" w:before="2"/>
              <w:ind w:left="110"/>
              <w:rPr>
                <w:b/>
                <w:sz w:val="24"/>
              </w:rPr>
            </w:pPr>
            <w:r>
              <w:rPr>
                <w:b/>
                <w:spacing w:val="-2"/>
                <w:sz w:val="24"/>
              </w:rPr>
              <w:t>(GWh)</w:t>
            </w:r>
          </w:p>
        </w:tc>
        <w:tc>
          <w:tcPr>
            <w:tcW w:w="1652" w:type="dxa"/>
            <w:tcBorders>
              <w:bottom w:val="single" w:sz="12" w:space="0" w:color="45AFE0"/>
            </w:tcBorders>
          </w:tcPr>
          <w:p>
            <w:pPr>
              <w:pStyle w:val="TableParagraph"/>
              <w:rPr>
                <w:b/>
                <w:sz w:val="24"/>
              </w:rPr>
            </w:pPr>
            <w:r>
              <w:rPr>
                <w:b/>
                <w:sz w:val="24"/>
              </w:rPr>
              <w:t>%</w:t>
            </w:r>
            <w:r>
              <w:rPr>
                <w:b/>
                <w:spacing w:val="-3"/>
                <w:sz w:val="24"/>
              </w:rPr>
              <w:t> </w:t>
            </w:r>
            <w:r>
              <w:rPr>
                <w:b/>
                <w:spacing w:val="-2"/>
                <w:sz w:val="24"/>
              </w:rPr>
              <w:t>Change</w:t>
            </w:r>
          </w:p>
        </w:tc>
        <w:tc>
          <w:tcPr>
            <w:tcW w:w="3198" w:type="dxa"/>
            <w:tcBorders>
              <w:bottom w:val="single" w:sz="12" w:space="0" w:color="45AFE0"/>
            </w:tcBorders>
          </w:tcPr>
          <w:p>
            <w:pPr>
              <w:pStyle w:val="TableParagraph"/>
              <w:rPr>
                <w:b/>
                <w:sz w:val="24"/>
              </w:rPr>
            </w:pPr>
            <w:r>
              <w:rPr>
                <w:b/>
                <w:sz w:val="24"/>
              </w:rPr>
              <w:t>Installed</w:t>
            </w:r>
            <w:r>
              <w:rPr>
                <w:b/>
                <w:spacing w:val="-3"/>
                <w:sz w:val="24"/>
              </w:rPr>
              <w:t> </w:t>
            </w:r>
            <w:r>
              <w:rPr>
                <w:b/>
                <w:sz w:val="24"/>
              </w:rPr>
              <w:t>Capacity</w:t>
            </w:r>
            <w:r>
              <w:rPr>
                <w:b/>
                <w:spacing w:val="-2"/>
                <w:sz w:val="24"/>
              </w:rPr>
              <w:t> (GW)*</w:t>
            </w:r>
          </w:p>
        </w:tc>
      </w:tr>
      <w:tr>
        <w:trPr>
          <w:trHeight w:val="301" w:hRule="atLeast"/>
        </w:trPr>
        <w:tc>
          <w:tcPr>
            <w:tcW w:w="2684" w:type="dxa"/>
            <w:tcBorders>
              <w:top w:val="single" w:sz="12" w:space="0" w:color="45AFE0"/>
            </w:tcBorders>
          </w:tcPr>
          <w:p>
            <w:pPr>
              <w:pStyle w:val="TableParagraph"/>
              <w:spacing w:line="240" w:lineRule="auto" w:before="1"/>
              <w:ind w:left="110"/>
              <w:rPr>
                <w:b/>
                <w:sz w:val="24"/>
              </w:rPr>
            </w:pPr>
            <w:r>
              <w:rPr>
                <w:b/>
                <w:spacing w:val="-4"/>
                <w:sz w:val="24"/>
              </w:rPr>
              <w:t>2020</w:t>
            </w:r>
          </w:p>
        </w:tc>
        <w:tc>
          <w:tcPr>
            <w:tcW w:w="2449" w:type="dxa"/>
            <w:tcBorders>
              <w:top w:val="single" w:sz="12" w:space="0" w:color="45AFE0"/>
            </w:tcBorders>
          </w:tcPr>
          <w:p>
            <w:pPr>
              <w:pStyle w:val="TableParagraph"/>
              <w:spacing w:line="272" w:lineRule="exact"/>
              <w:ind w:left="110"/>
              <w:rPr>
                <w:sz w:val="24"/>
              </w:rPr>
            </w:pPr>
            <w:r>
              <w:rPr>
                <w:spacing w:val="-2"/>
                <w:sz w:val="24"/>
              </w:rPr>
              <w:t>11,442</w:t>
            </w:r>
          </w:p>
        </w:tc>
        <w:tc>
          <w:tcPr>
            <w:tcW w:w="1652" w:type="dxa"/>
            <w:tcBorders>
              <w:top w:val="single" w:sz="12" w:space="0" w:color="45AFE0"/>
            </w:tcBorders>
          </w:tcPr>
          <w:p>
            <w:pPr>
              <w:pStyle w:val="TableParagraph"/>
              <w:spacing w:line="240" w:lineRule="auto"/>
              <w:ind w:left="0"/>
              <w:rPr>
                <w:sz w:val="22"/>
              </w:rPr>
            </w:pPr>
          </w:p>
        </w:tc>
        <w:tc>
          <w:tcPr>
            <w:tcW w:w="3198" w:type="dxa"/>
            <w:tcBorders>
              <w:top w:val="single" w:sz="12" w:space="0" w:color="45AFE0"/>
            </w:tcBorders>
          </w:tcPr>
          <w:p>
            <w:pPr>
              <w:pStyle w:val="TableParagraph"/>
              <w:spacing w:line="272" w:lineRule="exact"/>
              <w:rPr>
                <w:sz w:val="24"/>
              </w:rPr>
            </w:pPr>
            <w:r>
              <w:rPr>
                <w:spacing w:val="-5"/>
                <w:sz w:val="24"/>
              </w:rPr>
              <w:t>3.8</w:t>
            </w:r>
          </w:p>
        </w:tc>
      </w:tr>
      <w:tr>
        <w:trPr>
          <w:trHeight w:val="302" w:hRule="atLeast"/>
        </w:trPr>
        <w:tc>
          <w:tcPr>
            <w:tcW w:w="2684" w:type="dxa"/>
          </w:tcPr>
          <w:p>
            <w:pPr>
              <w:pStyle w:val="TableParagraph"/>
              <w:ind w:left="110"/>
              <w:rPr>
                <w:b/>
                <w:sz w:val="24"/>
              </w:rPr>
            </w:pPr>
            <w:r>
              <w:rPr>
                <w:b/>
                <w:spacing w:val="-4"/>
                <w:sz w:val="24"/>
              </w:rPr>
              <w:t>2021</w:t>
            </w:r>
          </w:p>
        </w:tc>
        <w:tc>
          <w:tcPr>
            <w:tcW w:w="2449" w:type="dxa"/>
          </w:tcPr>
          <w:p>
            <w:pPr>
              <w:pStyle w:val="TableParagraph"/>
              <w:spacing w:line="268" w:lineRule="exact"/>
              <w:ind w:left="110"/>
              <w:rPr>
                <w:sz w:val="24"/>
              </w:rPr>
            </w:pPr>
            <w:r>
              <w:rPr>
                <w:spacing w:val="-2"/>
                <w:sz w:val="24"/>
              </w:rPr>
              <w:t>10,242</w:t>
            </w:r>
          </w:p>
        </w:tc>
        <w:tc>
          <w:tcPr>
            <w:tcW w:w="1652" w:type="dxa"/>
          </w:tcPr>
          <w:p>
            <w:pPr>
              <w:pStyle w:val="TableParagraph"/>
              <w:spacing w:line="268" w:lineRule="exact"/>
              <w:rPr>
                <w:sz w:val="24"/>
              </w:rPr>
            </w:pPr>
            <w:r>
              <w:rPr>
                <w:sz w:val="24"/>
              </w:rPr>
              <w:t>↓</w:t>
            </w:r>
            <w:r>
              <w:rPr>
                <w:spacing w:val="-3"/>
                <w:sz w:val="24"/>
              </w:rPr>
              <w:t> </w:t>
            </w:r>
            <w:r>
              <w:rPr>
                <w:spacing w:val="-2"/>
                <w:sz w:val="24"/>
              </w:rPr>
              <w:t>10.5%</w:t>
            </w:r>
          </w:p>
        </w:tc>
        <w:tc>
          <w:tcPr>
            <w:tcW w:w="3198" w:type="dxa"/>
          </w:tcPr>
          <w:p>
            <w:pPr>
              <w:pStyle w:val="TableParagraph"/>
              <w:spacing w:line="268" w:lineRule="exact"/>
              <w:rPr>
                <w:sz w:val="24"/>
              </w:rPr>
            </w:pPr>
            <w:r>
              <w:rPr>
                <w:spacing w:val="-5"/>
                <w:sz w:val="24"/>
              </w:rPr>
              <w:t>4.1</w:t>
            </w:r>
          </w:p>
        </w:tc>
      </w:tr>
      <w:tr>
        <w:trPr>
          <w:trHeight w:val="297" w:hRule="atLeast"/>
        </w:trPr>
        <w:tc>
          <w:tcPr>
            <w:tcW w:w="2684" w:type="dxa"/>
          </w:tcPr>
          <w:p>
            <w:pPr>
              <w:pStyle w:val="TableParagraph"/>
              <w:ind w:left="110"/>
              <w:rPr>
                <w:b/>
                <w:sz w:val="24"/>
              </w:rPr>
            </w:pPr>
            <w:r>
              <w:rPr>
                <w:b/>
                <w:spacing w:val="-4"/>
                <w:sz w:val="24"/>
              </w:rPr>
              <w:t>2022</w:t>
            </w:r>
          </w:p>
        </w:tc>
        <w:tc>
          <w:tcPr>
            <w:tcW w:w="2449" w:type="dxa"/>
          </w:tcPr>
          <w:p>
            <w:pPr>
              <w:pStyle w:val="TableParagraph"/>
              <w:spacing w:line="268" w:lineRule="exact"/>
              <w:ind w:left="110"/>
              <w:rPr>
                <w:sz w:val="24"/>
              </w:rPr>
            </w:pPr>
            <w:r>
              <w:rPr>
                <w:spacing w:val="-4"/>
                <w:sz w:val="24"/>
              </w:rPr>
              <w:t>9,496</w:t>
            </w:r>
          </w:p>
        </w:tc>
        <w:tc>
          <w:tcPr>
            <w:tcW w:w="1652" w:type="dxa"/>
          </w:tcPr>
          <w:p>
            <w:pPr>
              <w:pStyle w:val="TableParagraph"/>
              <w:spacing w:line="268" w:lineRule="exact"/>
              <w:rPr>
                <w:sz w:val="24"/>
              </w:rPr>
            </w:pPr>
            <w:r>
              <w:rPr>
                <w:sz w:val="24"/>
              </w:rPr>
              <w:t>↓</w:t>
            </w:r>
            <w:r>
              <w:rPr>
                <w:spacing w:val="-3"/>
                <w:sz w:val="24"/>
              </w:rPr>
              <w:t> </w:t>
            </w:r>
            <w:r>
              <w:rPr>
                <w:spacing w:val="-4"/>
                <w:sz w:val="24"/>
              </w:rPr>
              <w:t>7.3%</w:t>
            </w:r>
          </w:p>
        </w:tc>
        <w:tc>
          <w:tcPr>
            <w:tcW w:w="3198" w:type="dxa"/>
          </w:tcPr>
          <w:p>
            <w:pPr>
              <w:pStyle w:val="TableParagraph"/>
              <w:spacing w:line="268" w:lineRule="exact"/>
              <w:rPr>
                <w:sz w:val="24"/>
              </w:rPr>
            </w:pPr>
            <w:r>
              <w:rPr>
                <w:spacing w:val="-5"/>
                <w:sz w:val="24"/>
              </w:rPr>
              <w:t>4.4</w:t>
            </w:r>
          </w:p>
        </w:tc>
      </w:tr>
      <w:tr>
        <w:trPr>
          <w:trHeight w:val="301" w:hRule="atLeast"/>
        </w:trPr>
        <w:tc>
          <w:tcPr>
            <w:tcW w:w="2684" w:type="dxa"/>
          </w:tcPr>
          <w:p>
            <w:pPr>
              <w:pStyle w:val="TableParagraph"/>
              <w:ind w:left="110"/>
              <w:rPr>
                <w:b/>
                <w:sz w:val="24"/>
              </w:rPr>
            </w:pPr>
            <w:r>
              <w:rPr>
                <w:b/>
                <w:spacing w:val="-4"/>
                <w:sz w:val="24"/>
              </w:rPr>
              <w:t>2023</w:t>
            </w:r>
          </w:p>
        </w:tc>
        <w:tc>
          <w:tcPr>
            <w:tcW w:w="2449" w:type="dxa"/>
          </w:tcPr>
          <w:p>
            <w:pPr>
              <w:pStyle w:val="TableParagraph"/>
              <w:spacing w:line="268" w:lineRule="exact"/>
              <w:ind w:left="110"/>
              <w:rPr>
                <w:sz w:val="24"/>
              </w:rPr>
            </w:pPr>
            <w:r>
              <w:rPr>
                <w:spacing w:val="-2"/>
                <w:sz w:val="24"/>
              </w:rPr>
              <w:t>10,227</w:t>
            </w:r>
          </w:p>
        </w:tc>
        <w:tc>
          <w:tcPr>
            <w:tcW w:w="1652" w:type="dxa"/>
          </w:tcPr>
          <w:p>
            <w:pPr>
              <w:pStyle w:val="TableParagraph"/>
              <w:spacing w:line="268" w:lineRule="exact"/>
              <w:rPr>
                <w:sz w:val="24"/>
              </w:rPr>
            </w:pPr>
            <w:r>
              <w:rPr>
                <w:sz w:val="24"/>
              </w:rPr>
              <w:t>↑</w:t>
            </w:r>
            <w:r>
              <w:rPr>
                <w:spacing w:val="-3"/>
                <w:sz w:val="24"/>
              </w:rPr>
              <w:t> </w:t>
            </w:r>
            <w:r>
              <w:rPr>
                <w:spacing w:val="-4"/>
                <w:sz w:val="24"/>
              </w:rPr>
              <w:t>7.7%</w:t>
            </w:r>
          </w:p>
        </w:tc>
        <w:tc>
          <w:tcPr>
            <w:tcW w:w="3198" w:type="dxa"/>
          </w:tcPr>
          <w:p>
            <w:pPr>
              <w:pStyle w:val="TableParagraph"/>
              <w:spacing w:line="268" w:lineRule="exact"/>
              <w:rPr>
                <w:sz w:val="24"/>
              </w:rPr>
            </w:pPr>
            <w:r>
              <w:rPr>
                <w:spacing w:val="-5"/>
                <w:sz w:val="24"/>
              </w:rPr>
              <w:t>4.8</w:t>
            </w:r>
          </w:p>
        </w:tc>
      </w:tr>
      <w:tr>
        <w:trPr>
          <w:trHeight w:val="302" w:hRule="atLeast"/>
        </w:trPr>
        <w:tc>
          <w:tcPr>
            <w:tcW w:w="2684" w:type="dxa"/>
          </w:tcPr>
          <w:p>
            <w:pPr>
              <w:pStyle w:val="TableParagraph"/>
              <w:ind w:left="110"/>
              <w:rPr>
                <w:b/>
                <w:sz w:val="24"/>
              </w:rPr>
            </w:pPr>
            <w:r>
              <w:rPr>
                <w:b/>
                <w:spacing w:val="-4"/>
                <w:sz w:val="24"/>
              </w:rPr>
              <w:t>2024</w:t>
            </w:r>
          </w:p>
        </w:tc>
        <w:tc>
          <w:tcPr>
            <w:tcW w:w="2449" w:type="dxa"/>
          </w:tcPr>
          <w:p>
            <w:pPr>
              <w:pStyle w:val="TableParagraph"/>
              <w:spacing w:line="268" w:lineRule="exact"/>
              <w:ind w:left="110"/>
              <w:rPr>
                <w:sz w:val="24"/>
              </w:rPr>
            </w:pPr>
            <w:r>
              <w:rPr>
                <w:spacing w:val="-2"/>
                <w:sz w:val="24"/>
              </w:rPr>
              <w:t>11,158</w:t>
            </w:r>
          </w:p>
        </w:tc>
        <w:tc>
          <w:tcPr>
            <w:tcW w:w="1652" w:type="dxa"/>
          </w:tcPr>
          <w:p>
            <w:pPr>
              <w:pStyle w:val="TableParagraph"/>
              <w:spacing w:line="268" w:lineRule="exact"/>
              <w:rPr>
                <w:sz w:val="24"/>
              </w:rPr>
            </w:pPr>
            <w:r>
              <w:rPr>
                <w:sz w:val="24"/>
              </w:rPr>
              <w:t>↑</w:t>
            </w:r>
            <w:r>
              <w:rPr>
                <w:spacing w:val="-3"/>
                <w:sz w:val="24"/>
              </w:rPr>
              <w:t> </w:t>
            </w:r>
            <w:r>
              <w:rPr>
                <w:spacing w:val="-4"/>
                <w:sz w:val="24"/>
              </w:rPr>
              <w:t>9.1%</w:t>
            </w:r>
          </w:p>
        </w:tc>
        <w:tc>
          <w:tcPr>
            <w:tcW w:w="3198" w:type="dxa"/>
          </w:tcPr>
          <w:p>
            <w:pPr>
              <w:pStyle w:val="TableParagraph"/>
              <w:spacing w:line="268" w:lineRule="exact"/>
              <w:rPr>
                <w:sz w:val="24"/>
              </w:rPr>
            </w:pPr>
            <w:r>
              <w:rPr>
                <w:spacing w:val="-5"/>
                <w:sz w:val="24"/>
              </w:rPr>
              <w:t>5.2</w:t>
            </w:r>
          </w:p>
        </w:tc>
      </w:tr>
      <w:tr>
        <w:trPr>
          <w:trHeight w:val="551" w:hRule="atLeast"/>
        </w:trPr>
        <w:tc>
          <w:tcPr>
            <w:tcW w:w="2684" w:type="dxa"/>
          </w:tcPr>
          <w:p>
            <w:pPr>
              <w:pStyle w:val="TableParagraph"/>
              <w:spacing w:line="274" w:lineRule="exact"/>
              <w:ind w:left="110"/>
              <w:rPr>
                <w:b/>
                <w:sz w:val="24"/>
              </w:rPr>
            </w:pPr>
            <w:r>
              <w:rPr>
                <w:b/>
                <w:sz w:val="24"/>
              </w:rPr>
              <w:t>*approximate,</w:t>
            </w:r>
            <w:r>
              <w:rPr>
                <w:b/>
                <w:spacing w:val="-10"/>
                <w:sz w:val="24"/>
              </w:rPr>
              <w:t> </w:t>
            </w:r>
            <w:r>
              <w:rPr>
                <w:b/>
                <w:sz w:val="24"/>
              </w:rPr>
              <w:t>based</w:t>
            </w:r>
            <w:r>
              <w:rPr>
                <w:b/>
                <w:spacing w:val="-11"/>
                <w:sz w:val="24"/>
              </w:rPr>
              <w:t> </w:t>
            </w:r>
            <w:r>
              <w:rPr>
                <w:b/>
                <w:sz w:val="24"/>
              </w:rPr>
              <w:t>on SSE reports.</w:t>
            </w:r>
          </w:p>
        </w:tc>
        <w:tc>
          <w:tcPr>
            <w:tcW w:w="2449" w:type="dxa"/>
          </w:tcPr>
          <w:p>
            <w:pPr>
              <w:pStyle w:val="TableParagraph"/>
              <w:spacing w:line="240" w:lineRule="auto"/>
              <w:ind w:left="0"/>
              <w:rPr>
                <w:sz w:val="24"/>
              </w:rPr>
            </w:pPr>
          </w:p>
        </w:tc>
        <w:tc>
          <w:tcPr>
            <w:tcW w:w="1652" w:type="dxa"/>
          </w:tcPr>
          <w:p>
            <w:pPr>
              <w:pStyle w:val="TableParagraph"/>
              <w:spacing w:line="240" w:lineRule="auto"/>
              <w:ind w:left="0"/>
              <w:rPr>
                <w:sz w:val="24"/>
              </w:rPr>
            </w:pPr>
          </w:p>
        </w:tc>
        <w:tc>
          <w:tcPr>
            <w:tcW w:w="3198" w:type="dxa"/>
          </w:tcPr>
          <w:p>
            <w:pPr>
              <w:pStyle w:val="TableParagraph"/>
              <w:spacing w:line="240" w:lineRule="auto"/>
              <w:ind w:left="0"/>
              <w:rPr>
                <w:sz w:val="24"/>
              </w:rPr>
            </w:pPr>
          </w:p>
        </w:tc>
      </w:tr>
    </w:tbl>
    <w:p>
      <w:pPr>
        <w:pStyle w:val="BodyText"/>
        <w:spacing w:line="280" w:lineRule="auto" w:before="240"/>
        <w:ind w:right="1014"/>
        <w:jc w:val="both"/>
      </w:pPr>
      <w:r>
        <w:rPr/>
        <w:t>Output dipped in</w:t>
      </w:r>
      <w:r>
        <w:rPr>
          <w:spacing w:val="-3"/>
        </w:rPr>
        <w:t> </w:t>
      </w:r>
      <w:r>
        <w:rPr/>
        <w:t>2021 2022 due to weak wind conditions but recovered in</w:t>
      </w:r>
      <w:r>
        <w:rPr>
          <w:spacing w:val="-3"/>
        </w:rPr>
        <w:t> </w:t>
      </w:r>
      <w:r>
        <w:rPr/>
        <w:t>2023 2024 as</w:t>
      </w:r>
      <w:r>
        <w:rPr>
          <w:spacing w:val="-1"/>
        </w:rPr>
        <w:t> </w:t>
      </w:r>
      <w:r>
        <w:rPr/>
        <w:t>new offshore wind projects, including the </w:t>
      </w:r>
      <w:r>
        <w:rPr>
          <w:b/>
        </w:rPr>
        <w:t>1.1 GW Seagreen </w:t>
      </w:r>
      <w:r>
        <w:rPr/>
        <w:t>farm, entered operation.</w:t>
      </w:r>
    </w:p>
    <w:p>
      <w:pPr>
        <w:pStyle w:val="BodyText"/>
        <w:spacing w:after="0" w:line="280" w:lineRule="auto"/>
        <w:jc w:val="both"/>
        <w:sectPr>
          <w:pgSz w:w="11910" w:h="16840"/>
          <w:pgMar w:header="0" w:footer="1064" w:top="1340" w:bottom="1260" w:left="1417" w:right="425"/>
        </w:sectPr>
      </w:pPr>
    </w:p>
    <w:p>
      <w:pPr>
        <w:spacing w:line="240" w:lineRule="auto"/>
        <w:ind w:left="23" w:right="0" w:firstLine="0"/>
        <w:rPr>
          <w:sz w:val="20"/>
        </w:rPr>
      </w:pPr>
      <w:r>
        <w:rPr>
          <w:sz w:val="20"/>
        </w:rPr>
        <w:drawing>
          <wp:inline distT="0" distB="0" distL="0" distR="0">
            <wp:extent cx="5663209" cy="2977991"/>
            <wp:effectExtent l="0" t="0" r="0" b="0"/>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5663209" cy="2977991"/>
                    </a:xfrm>
                    <a:prstGeom prst="rect">
                      <a:avLst/>
                    </a:prstGeom>
                  </pic:spPr>
                </pic:pic>
              </a:graphicData>
            </a:graphic>
          </wp:inline>
        </w:drawing>
      </w:r>
      <w:r>
        <w:rPr>
          <w:sz w:val="20"/>
        </w:rPr>
      </w:r>
    </w:p>
    <w:p>
      <w:pPr>
        <w:pStyle w:val="BodyText"/>
        <w:spacing w:before="34"/>
        <w:ind w:left="0"/>
      </w:pPr>
    </w:p>
    <w:p>
      <w:pPr>
        <w:pStyle w:val="BodyText"/>
      </w:pPr>
      <w:r>
        <w:rPr/>
        <w:t>figure</w:t>
      </w:r>
      <w:r>
        <w:rPr>
          <w:spacing w:val="-3"/>
        </w:rPr>
        <w:t> </w:t>
      </w:r>
      <w:r>
        <w:rPr/>
        <w:t>3:</w:t>
      </w:r>
      <w:r>
        <w:rPr>
          <w:spacing w:val="-1"/>
        </w:rPr>
        <w:t> </w:t>
      </w:r>
      <w:r>
        <w:rPr/>
        <w:t>SSE renewable</w:t>
      </w:r>
      <w:r>
        <w:rPr>
          <w:spacing w:val="-2"/>
        </w:rPr>
        <w:t> </w:t>
      </w:r>
      <w:r>
        <w:rPr/>
        <w:t>output</w:t>
      </w:r>
      <w:r>
        <w:rPr>
          <w:spacing w:val="-1"/>
        </w:rPr>
        <w:t> </w:t>
      </w:r>
      <w:r>
        <w:rPr/>
        <w:t>vs installed</w:t>
      </w:r>
      <w:r>
        <w:rPr>
          <w:spacing w:val="-1"/>
        </w:rPr>
        <w:t> </w:t>
      </w:r>
      <w:r>
        <w:rPr/>
        <w:t>capacity</w:t>
      </w:r>
      <w:r>
        <w:rPr>
          <w:spacing w:val="-11"/>
        </w:rPr>
        <w:t> </w:t>
      </w:r>
      <w:r>
        <w:rPr/>
        <w:t>(2020</w:t>
      </w:r>
      <w:r>
        <w:rPr>
          <w:spacing w:val="6"/>
        </w:rPr>
        <w:t> </w:t>
      </w:r>
      <w:r>
        <w:rPr/>
        <w:t>2024).</w:t>
      </w:r>
      <w:r>
        <w:rPr>
          <w:spacing w:val="1"/>
        </w:rPr>
        <w:t> </w:t>
      </w:r>
      <w:r>
        <w:rPr/>
        <w:t>Source:</w:t>
      </w:r>
      <w:r>
        <w:rPr>
          <w:spacing w:val="-6"/>
        </w:rPr>
        <w:t> </w:t>
      </w:r>
      <w:r>
        <w:rPr/>
        <w:t>SSE,</w:t>
      </w:r>
      <w:r>
        <w:rPr>
          <w:spacing w:val="-4"/>
        </w:rPr>
        <w:t> </w:t>
      </w:r>
      <w:r>
        <w:rPr>
          <w:spacing w:val="-2"/>
        </w:rPr>
        <w:t>(2024)</w:t>
      </w:r>
    </w:p>
    <w:p>
      <w:pPr>
        <w:pStyle w:val="BodyText"/>
        <w:ind w:left="0"/>
      </w:pPr>
    </w:p>
    <w:p>
      <w:pPr>
        <w:pStyle w:val="BodyText"/>
        <w:ind w:left="0"/>
      </w:pPr>
    </w:p>
    <w:p>
      <w:pPr>
        <w:pStyle w:val="BodyText"/>
        <w:ind w:left="0"/>
      </w:pPr>
    </w:p>
    <w:p>
      <w:pPr>
        <w:pStyle w:val="BodyText"/>
        <w:spacing w:before="248"/>
        <w:ind w:left="0"/>
      </w:pPr>
    </w:p>
    <w:p>
      <w:pPr>
        <w:pStyle w:val="Heading1"/>
        <w:numPr>
          <w:ilvl w:val="1"/>
          <w:numId w:val="2"/>
        </w:numPr>
        <w:tabs>
          <w:tab w:pos="387" w:val="left" w:leader="none"/>
        </w:tabs>
        <w:spacing w:line="240" w:lineRule="auto" w:before="0" w:after="0"/>
        <w:ind w:left="387" w:right="0" w:hanging="364"/>
        <w:jc w:val="left"/>
      </w:pPr>
      <w:bookmarkStart w:name="4.2 Avoided Carbon Emissions" w:id="8"/>
      <w:bookmarkEnd w:id="8"/>
      <w:r>
        <w:rPr>
          <w:b w:val="0"/>
        </w:rPr>
      </w:r>
      <w:r>
        <w:rPr/>
        <w:t>Avoided</w:t>
      </w:r>
      <w:r>
        <w:rPr>
          <w:spacing w:val="-6"/>
        </w:rPr>
        <w:t> </w:t>
      </w:r>
      <w:r>
        <w:rPr/>
        <w:t>Carbon</w:t>
      </w:r>
      <w:r>
        <w:rPr>
          <w:spacing w:val="-2"/>
        </w:rPr>
        <w:t> Emissions</w:t>
      </w:r>
    </w:p>
    <w:p>
      <w:pPr>
        <w:pStyle w:val="BodyText"/>
        <w:spacing w:before="51"/>
        <w:ind w:left="0"/>
        <w:rPr>
          <w:b/>
        </w:rPr>
      </w:pPr>
    </w:p>
    <w:p>
      <w:pPr>
        <w:pStyle w:val="BodyText"/>
        <w:spacing w:before="1"/>
        <w:rPr>
          <w:rFonts w:ascii="Arial MT"/>
        </w:rPr>
      </w:pPr>
      <w:r>
        <w:rPr>
          <w:rFonts w:ascii="Arial MT"/>
        </w:rPr>
        <w:t>Table</w:t>
      </w:r>
      <w:r>
        <w:rPr>
          <w:rFonts w:ascii="Arial MT"/>
          <w:spacing w:val="-3"/>
        </w:rPr>
        <w:t> </w:t>
      </w:r>
      <w:r>
        <w:rPr>
          <w:rFonts w:ascii="Arial MT"/>
        </w:rPr>
        <w:t>2 shows</w:t>
      </w:r>
      <w:r>
        <w:rPr>
          <w:rFonts w:ascii="Arial MT"/>
          <w:spacing w:val="-2"/>
        </w:rPr>
        <w:t> </w:t>
      </w:r>
      <w:r>
        <w:rPr>
          <w:rFonts w:ascii="Arial MT"/>
        </w:rPr>
        <w:t>SSE</w:t>
      </w:r>
      <w:r>
        <w:rPr>
          <w:rFonts w:ascii="Arial MT"/>
          <w:spacing w:val="-5"/>
        </w:rPr>
        <w:t> </w:t>
      </w:r>
      <w:r>
        <w:rPr>
          <w:rFonts w:ascii="Arial MT"/>
        </w:rPr>
        <w:t>avoided</w:t>
      </w:r>
      <w:r>
        <w:rPr>
          <w:rFonts w:ascii="Arial MT"/>
          <w:spacing w:val="-2"/>
        </w:rPr>
        <w:t> </w:t>
      </w:r>
      <w:r>
        <w:rPr>
          <w:rFonts w:ascii="Arial MT"/>
        </w:rPr>
        <w:t>carbon</w:t>
      </w:r>
      <w:r>
        <w:rPr>
          <w:rFonts w:ascii="Arial MT"/>
          <w:spacing w:val="-3"/>
        </w:rPr>
        <w:t> </w:t>
      </w:r>
      <w:r>
        <w:rPr>
          <w:rFonts w:ascii="Arial MT"/>
          <w:spacing w:val="-2"/>
        </w:rPr>
        <w:t>emissions</w:t>
      </w:r>
    </w:p>
    <w:p>
      <w:pPr>
        <w:pStyle w:val="BodyText"/>
        <w:spacing w:before="7" w:after="1"/>
        <w:ind w:left="0"/>
        <w:rPr>
          <w:rFonts w:ascii="Arial MT"/>
          <w:sz w:val="17"/>
        </w:rPr>
      </w:pPr>
    </w:p>
    <w:tbl>
      <w:tblPr>
        <w:tblW w:w="0" w:type="auto"/>
        <w:jc w:val="left"/>
        <w:tblInd w:w="33" w:type="dxa"/>
        <w:tblBorders>
          <w:top w:val="single" w:sz="4" w:space="0" w:color="45AFE0"/>
          <w:left w:val="single" w:sz="4" w:space="0" w:color="45AFE0"/>
          <w:bottom w:val="single" w:sz="4" w:space="0" w:color="45AFE0"/>
          <w:right w:val="single" w:sz="4" w:space="0" w:color="45AFE0"/>
          <w:insideH w:val="single" w:sz="4" w:space="0" w:color="45AFE0"/>
          <w:insideV w:val="single" w:sz="4" w:space="0" w:color="45AFE0"/>
        </w:tblBorders>
        <w:tblLayout w:type="fixed"/>
        <w:tblCellMar>
          <w:top w:w="0" w:type="dxa"/>
          <w:left w:w="0" w:type="dxa"/>
          <w:bottom w:w="0" w:type="dxa"/>
          <w:right w:w="0" w:type="dxa"/>
        </w:tblCellMar>
        <w:tblLook w:val="01E0"/>
      </w:tblPr>
      <w:tblGrid>
        <w:gridCol w:w="946"/>
        <w:gridCol w:w="1551"/>
        <w:gridCol w:w="3314"/>
        <w:gridCol w:w="2992"/>
      </w:tblGrid>
      <w:tr>
        <w:trPr>
          <w:trHeight w:val="551" w:hRule="atLeast"/>
        </w:trPr>
        <w:tc>
          <w:tcPr>
            <w:tcW w:w="946" w:type="dxa"/>
            <w:tcBorders>
              <w:bottom w:val="single" w:sz="12" w:space="0" w:color="45AFE0"/>
            </w:tcBorders>
          </w:tcPr>
          <w:p>
            <w:pPr>
              <w:pStyle w:val="TableParagraph"/>
              <w:ind w:left="110"/>
              <w:rPr>
                <w:b/>
                <w:sz w:val="24"/>
              </w:rPr>
            </w:pPr>
            <w:r>
              <w:rPr>
                <w:b/>
                <w:spacing w:val="-4"/>
                <w:sz w:val="24"/>
              </w:rPr>
              <w:t>Year</w:t>
            </w:r>
          </w:p>
        </w:tc>
        <w:tc>
          <w:tcPr>
            <w:tcW w:w="1551" w:type="dxa"/>
            <w:tcBorders>
              <w:bottom w:val="single" w:sz="12" w:space="0" w:color="45AFE0"/>
            </w:tcBorders>
          </w:tcPr>
          <w:p>
            <w:pPr>
              <w:pStyle w:val="TableParagraph"/>
              <w:rPr>
                <w:b/>
                <w:sz w:val="24"/>
              </w:rPr>
            </w:pPr>
            <w:r>
              <w:rPr>
                <w:b/>
                <w:sz w:val="24"/>
              </w:rPr>
              <w:t>SSE</w:t>
            </w:r>
            <w:r>
              <w:rPr>
                <w:b/>
                <w:spacing w:val="69"/>
                <w:w w:val="150"/>
                <w:sz w:val="24"/>
              </w:rPr>
              <w:t> </w:t>
            </w:r>
            <w:r>
              <w:rPr>
                <w:b/>
                <w:spacing w:val="-2"/>
                <w:sz w:val="24"/>
              </w:rPr>
              <w:t>Output</w:t>
            </w:r>
          </w:p>
          <w:p>
            <w:pPr>
              <w:pStyle w:val="TableParagraph"/>
              <w:spacing w:line="256" w:lineRule="exact" w:before="2"/>
              <w:rPr>
                <w:b/>
                <w:sz w:val="24"/>
              </w:rPr>
            </w:pPr>
            <w:r>
              <w:rPr>
                <w:b/>
                <w:spacing w:val="-2"/>
                <w:sz w:val="24"/>
              </w:rPr>
              <w:t>(GWh)</w:t>
            </w:r>
          </w:p>
        </w:tc>
        <w:tc>
          <w:tcPr>
            <w:tcW w:w="3314" w:type="dxa"/>
            <w:tcBorders>
              <w:bottom w:val="single" w:sz="12" w:space="0" w:color="45AFE0"/>
            </w:tcBorders>
          </w:tcPr>
          <w:p>
            <w:pPr>
              <w:pStyle w:val="TableParagraph"/>
              <w:tabs>
                <w:tab w:pos="1611" w:val="left" w:leader="none"/>
                <w:tab w:pos="2863" w:val="left" w:leader="none"/>
              </w:tabs>
              <w:rPr>
                <w:b/>
                <w:sz w:val="24"/>
              </w:rPr>
            </w:pPr>
            <w:r>
              <w:rPr>
                <w:b/>
                <w:spacing w:val="-2"/>
                <w:sz w:val="24"/>
              </w:rPr>
              <w:t>Emission</w:t>
            </w:r>
            <w:r>
              <w:rPr>
                <w:b/>
                <w:sz w:val="24"/>
              </w:rPr>
              <w:tab/>
            </w:r>
            <w:r>
              <w:rPr>
                <w:b/>
                <w:spacing w:val="-2"/>
                <w:sz w:val="24"/>
              </w:rPr>
              <w:t>Factor</w:t>
            </w:r>
            <w:r>
              <w:rPr>
                <w:b/>
                <w:sz w:val="24"/>
              </w:rPr>
              <w:tab/>
            </w:r>
            <w:r>
              <w:rPr>
                <w:b/>
                <w:spacing w:val="-5"/>
                <w:sz w:val="24"/>
              </w:rPr>
              <w:t>(kg</w:t>
            </w:r>
          </w:p>
          <w:p>
            <w:pPr>
              <w:pStyle w:val="TableParagraph"/>
              <w:spacing w:line="256" w:lineRule="exact" w:before="2"/>
              <w:rPr>
                <w:b/>
                <w:sz w:val="24"/>
              </w:rPr>
            </w:pPr>
            <w:r>
              <w:rPr>
                <w:b/>
                <w:spacing w:val="-2"/>
                <w:sz w:val="24"/>
              </w:rPr>
              <w:t>CO₂e/kWh)</w:t>
            </w:r>
          </w:p>
        </w:tc>
        <w:tc>
          <w:tcPr>
            <w:tcW w:w="2992" w:type="dxa"/>
            <w:tcBorders>
              <w:bottom w:val="single" w:sz="12" w:space="0" w:color="45AFE0"/>
            </w:tcBorders>
          </w:tcPr>
          <w:p>
            <w:pPr>
              <w:pStyle w:val="TableParagraph"/>
              <w:tabs>
                <w:tab w:pos="1856" w:val="left" w:leader="none"/>
              </w:tabs>
              <w:ind w:left="109"/>
              <w:rPr>
                <w:b/>
                <w:sz w:val="24"/>
              </w:rPr>
            </w:pPr>
            <w:r>
              <w:rPr>
                <w:b/>
                <w:spacing w:val="-2"/>
                <w:sz w:val="24"/>
              </w:rPr>
              <w:t>Avoided</w:t>
            </w:r>
            <w:r>
              <w:rPr>
                <w:b/>
                <w:sz w:val="24"/>
              </w:rPr>
              <w:tab/>
            </w:r>
            <w:r>
              <w:rPr>
                <w:b/>
                <w:spacing w:val="-2"/>
                <w:sz w:val="24"/>
              </w:rPr>
              <w:t>Emissions</w:t>
            </w:r>
          </w:p>
          <w:p>
            <w:pPr>
              <w:pStyle w:val="TableParagraph"/>
              <w:spacing w:line="256" w:lineRule="exact" w:before="2"/>
              <w:ind w:left="109"/>
              <w:rPr>
                <w:b/>
                <w:sz w:val="24"/>
              </w:rPr>
            </w:pPr>
            <w:r>
              <w:rPr>
                <w:b/>
                <w:spacing w:val="-2"/>
                <w:sz w:val="24"/>
              </w:rPr>
              <w:t>(MtCO₂e)</w:t>
            </w:r>
          </w:p>
        </w:tc>
      </w:tr>
      <w:tr>
        <w:trPr>
          <w:trHeight w:val="301" w:hRule="atLeast"/>
        </w:trPr>
        <w:tc>
          <w:tcPr>
            <w:tcW w:w="946" w:type="dxa"/>
            <w:tcBorders>
              <w:top w:val="single" w:sz="12" w:space="0" w:color="45AFE0"/>
            </w:tcBorders>
          </w:tcPr>
          <w:p>
            <w:pPr>
              <w:pStyle w:val="TableParagraph"/>
              <w:spacing w:line="272" w:lineRule="exact"/>
              <w:ind w:left="110"/>
              <w:rPr>
                <w:b/>
                <w:sz w:val="24"/>
              </w:rPr>
            </w:pPr>
            <w:r>
              <w:rPr>
                <w:b/>
                <w:spacing w:val="-4"/>
                <w:sz w:val="24"/>
              </w:rPr>
              <w:t>2020</w:t>
            </w:r>
          </w:p>
        </w:tc>
        <w:tc>
          <w:tcPr>
            <w:tcW w:w="1551" w:type="dxa"/>
            <w:tcBorders>
              <w:top w:val="single" w:sz="12" w:space="0" w:color="45AFE0"/>
            </w:tcBorders>
          </w:tcPr>
          <w:p>
            <w:pPr>
              <w:pStyle w:val="TableParagraph"/>
              <w:spacing w:line="267" w:lineRule="exact"/>
              <w:rPr>
                <w:sz w:val="24"/>
              </w:rPr>
            </w:pPr>
            <w:r>
              <w:rPr>
                <w:spacing w:val="-2"/>
                <w:sz w:val="24"/>
              </w:rPr>
              <w:t>11,442</w:t>
            </w:r>
          </w:p>
        </w:tc>
        <w:tc>
          <w:tcPr>
            <w:tcW w:w="3314" w:type="dxa"/>
            <w:tcBorders>
              <w:top w:val="single" w:sz="12" w:space="0" w:color="45AFE0"/>
            </w:tcBorders>
          </w:tcPr>
          <w:p>
            <w:pPr>
              <w:pStyle w:val="TableParagraph"/>
              <w:spacing w:line="267" w:lineRule="exact"/>
              <w:rPr>
                <w:sz w:val="24"/>
              </w:rPr>
            </w:pPr>
            <w:r>
              <w:rPr>
                <w:spacing w:val="-2"/>
                <w:sz w:val="24"/>
              </w:rPr>
              <w:t>0.22499</w:t>
            </w:r>
          </w:p>
        </w:tc>
        <w:tc>
          <w:tcPr>
            <w:tcW w:w="2992" w:type="dxa"/>
            <w:tcBorders>
              <w:top w:val="single" w:sz="12" w:space="0" w:color="45AFE0"/>
            </w:tcBorders>
          </w:tcPr>
          <w:p>
            <w:pPr>
              <w:pStyle w:val="TableParagraph"/>
              <w:spacing w:line="272" w:lineRule="exact"/>
              <w:ind w:left="109"/>
              <w:rPr>
                <w:b/>
                <w:sz w:val="24"/>
              </w:rPr>
            </w:pPr>
            <w:r>
              <w:rPr>
                <w:b/>
                <w:spacing w:val="-4"/>
                <w:sz w:val="24"/>
              </w:rPr>
              <w:t>2.57</w:t>
            </w:r>
          </w:p>
        </w:tc>
      </w:tr>
      <w:tr>
        <w:trPr>
          <w:trHeight w:val="297" w:hRule="atLeast"/>
        </w:trPr>
        <w:tc>
          <w:tcPr>
            <w:tcW w:w="946" w:type="dxa"/>
          </w:tcPr>
          <w:p>
            <w:pPr>
              <w:pStyle w:val="TableParagraph"/>
              <w:ind w:left="110"/>
              <w:rPr>
                <w:b/>
                <w:sz w:val="24"/>
              </w:rPr>
            </w:pPr>
            <w:r>
              <w:rPr>
                <w:b/>
                <w:spacing w:val="-4"/>
                <w:sz w:val="24"/>
              </w:rPr>
              <w:t>2021</w:t>
            </w:r>
          </w:p>
        </w:tc>
        <w:tc>
          <w:tcPr>
            <w:tcW w:w="1551" w:type="dxa"/>
          </w:tcPr>
          <w:p>
            <w:pPr>
              <w:pStyle w:val="TableParagraph"/>
              <w:spacing w:line="268" w:lineRule="exact"/>
              <w:rPr>
                <w:sz w:val="24"/>
              </w:rPr>
            </w:pPr>
            <w:r>
              <w:rPr>
                <w:spacing w:val="-2"/>
                <w:sz w:val="24"/>
              </w:rPr>
              <w:t>10,242</w:t>
            </w:r>
          </w:p>
        </w:tc>
        <w:tc>
          <w:tcPr>
            <w:tcW w:w="3314" w:type="dxa"/>
          </w:tcPr>
          <w:p>
            <w:pPr>
              <w:pStyle w:val="TableParagraph"/>
              <w:spacing w:line="268" w:lineRule="exact"/>
              <w:rPr>
                <w:sz w:val="24"/>
              </w:rPr>
            </w:pPr>
            <w:r>
              <w:rPr>
                <w:spacing w:val="-2"/>
                <w:sz w:val="24"/>
              </w:rPr>
              <w:t>0.22499</w:t>
            </w:r>
          </w:p>
        </w:tc>
        <w:tc>
          <w:tcPr>
            <w:tcW w:w="2992" w:type="dxa"/>
          </w:tcPr>
          <w:p>
            <w:pPr>
              <w:pStyle w:val="TableParagraph"/>
              <w:ind w:left="109"/>
              <w:rPr>
                <w:b/>
                <w:sz w:val="24"/>
              </w:rPr>
            </w:pPr>
            <w:r>
              <w:rPr>
                <w:b/>
                <w:spacing w:val="-4"/>
                <w:sz w:val="24"/>
              </w:rPr>
              <w:t>2.30</w:t>
            </w:r>
          </w:p>
        </w:tc>
      </w:tr>
      <w:tr>
        <w:trPr>
          <w:trHeight w:val="302" w:hRule="atLeast"/>
        </w:trPr>
        <w:tc>
          <w:tcPr>
            <w:tcW w:w="946" w:type="dxa"/>
          </w:tcPr>
          <w:p>
            <w:pPr>
              <w:pStyle w:val="TableParagraph"/>
              <w:ind w:left="110"/>
              <w:rPr>
                <w:b/>
                <w:sz w:val="24"/>
              </w:rPr>
            </w:pPr>
            <w:r>
              <w:rPr>
                <w:b/>
                <w:spacing w:val="-4"/>
                <w:sz w:val="24"/>
              </w:rPr>
              <w:t>2022</w:t>
            </w:r>
          </w:p>
        </w:tc>
        <w:tc>
          <w:tcPr>
            <w:tcW w:w="1551" w:type="dxa"/>
          </w:tcPr>
          <w:p>
            <w:pPr>
              <w:pStyle w:val="TableParagraph"/>
              <w:spacing w:line="268" w:lineRule="exact"/>
              <w:rPr>
                <w:sz w:val="24"/>
              </w:rPr>
            </w:pPr>
            <w:r>
              <w:rPr>
                <w:spacing w:val="-4"/>
                <w:sz w:val="24"/>
              </w:rPr>
              <w:t>9,496</w:t>
            </w:r>
          </w:p>
        </w:tc>
        <w:tc>
          <w:tcPr>
            <w:tcW w:w="3314" w:type="dxa"/>
          </w:tcPr>
          <w:p>
            <w:pPr>
              <w:pStyle w:val="TableParagraph"/>
              <w:spacing w:line="268" w:lineRule="exact"/>
              <w:rPr>
                <w:sz w:val="24"/>
              </w:rPr>
            </w:pPr>
            <w:r>
              <w:rPr>
                <w:spacing w:val="-2"/>
                <w:sz w:val="24"/>
              </w:rPr>
              <w:t>0.22499</w:t>
            </w:r>
          </w:p>
        </w:tc>
        <w:tc>
          <w:tcPr>
            <w:tcW w:w="2992" w:type="dxa"/>
          </w:tcPr>
          <w:p>
            <w:pPr>
              <w:pStyle w:val="TableParagraph"/>
              <w:ind w:left="109"/>
              <w:rPr>
                <w:b/>
                <w:sz w:val="24"/>
              </w:rPr>
            </w:pPr>
            <w:r>
              <w:rPr>
                <w:b/>
                <w:spacing w:val="-4"/>
                <w:sz w:val="24"/>
              </w:rPr>
              <w:t>2.14</w:t>
            </w:r>
          </w:p>
        </w:tc>
      </w:tr>
      <w:tr>
        <w:trPr>
          <w:trHeight w:val="302" w:hRule="atLeast"/>
        </w:trPr>
        <w:tc>
          <w:tcPr>
            <w:tcW w:w="946" w:type="dxa"/>
          </w:tcPr>
          <w:p>
            <w:pPr>
              <w:pStyle w:val="TableParagraph"/>
              <w:ind w:left="110"/>
              <w:rPr>
                <w:b/>
                <w:sz w:val="24"/>
              </w:rPr>
            </w:pPr>
            <w:r>
              <w:rPr>
                <w:b/>
                <w:spacing w:val="-4"/>
                <w:sz w:val="24"/>
              </w:rPr>
              <w:t>2023</w:t>
            </w:r>
          </w:p>
        </w:tc>
        <w:tc>
          <w:tcPr>
            <w:tcW w:w="1551" w:type="dxa"/>
          </w:tcPr>
          <w:p>
            <w:pPr>
              <w:pStyle w:val="TableParagraph"/>
              <w:spacing w:line="268" w:lineRule="exact"/>
              <w:rPr>
                <w:sz w:val="24"/>
              </w:rPr>
            </w:pPr>
            <w:r>
              <w:rPr>
                <w:spacing w:val="-2"/>
                <w:sz w:val="24"/>
              </w:rPr>
              <w:t>10,227</w:t>
            </w:r>
          </w:p>
        </w:tc>
        <w:tc>
          <w:tcPr>
            <w:tcW w:w="3314" w:type="dxa"/>
          </w:tcPr>
          <w:p>
            <w:pPr>
              <w:pStyle w:val="TableParagraph"/>
              <w:spacing w:line="268" w:lineRule="exact"/>
              <w:rPr>
                <w:sz w:val="24"/>
              </w:rPr>
            </w:pPr>
            <w:r>
              <w:rPr>
                <w:spacing w:val="-2"/>
                <w:sz w:val="24"/>
              </w:rPr>
              <w:t>0.22499</w:t>
            </w:r>
          </w:p>
        </w:tc>
        <w:tc>
          <w:tcPr>
            <w:tcW w:w="2992" w:type="dxa"/>
          </w:tcPr>
          <w:p>
            <w:pPr>
              <w:pStyle w:val="TableParagraph"/>
              <w:ind w:left="109"/>
              <w:rPr>
                <w:b/>
                <w:sz w:val="24"/>
              </w:rPr>
            </w:pPr>
            <w:r>
              <w:rPr>
                <w:b/>
                <w:spacing w:val="-4"/>
                <w:sz w:val="24"/>
              </w:rPr>
              <w:t>2.30</w:t>
            </w:r>
          </w:p>
        </w:tc>
      </w:tr>
      <w:tr>
        <w:trPr>
          <w:trHeight w:val="297" w:hRule="atLeast"/>
        </w:trPr>
        <w:tc>
          <w:tcPr>
            <w:tcW w:w="946" w:type="dxa"/>
          </w:tcPr>
          <w:p>
            <w:pPr>
              <w:pStyle w:val="TableParagraph"/>
              <w:ind w:left="110"/>
              <w:rPr>
                <w:b/>
                <w:sz w:val="24"/>
              </w:rPr>
            </w:pPr>
            <w:r>
              <w:rPr>
                <w:b/>
                <w:spacing w:val="-4"/>
                <w:sz w:val="24"/>
              </w:rPr>
              <w:t>2024</w:t>
            </w:r>
          </w:p>
        </w:tc>
        <w:tc>
          <w:tcPr>
            <w:tcW w:w="1551" w:type="dxa"/>
          </w:tcPr>
          <w:p>
            <w:pPr>
              <w:pStyle w:val="TableParagraph"/>
              <w:spacing w:line="268" w:lineRule="exact"/>
              <w:rPr>
                <w:sz w:val="24"/>
              </w:rPr>
            </w:pPr>
            <w:r>
              <w:rPr>
                <w:spacing w:val="-2"/>
                <w:sz w:val="24"/>
              </w:rPr>
              <w:t>11,158</w:t>
            </w:r>
          </w:p>
        </w:tc>
        <w:tc>
          <w:tcPr>
            <w:tcW w:w="3314" w:type="dxa"/>
          </w:tcPr>
          <w:p>
            <w:pPr>
              <w:pStyle w:val="TableParagraph"/>
              <w:spacing w:line="268" w:lineRule="exact"/>
              <w:rPr>
                <w:sz w:val="24"/>
              </w:rPr>
            </w:pPr>
            <w:r>
              <w:rPr>
                <w:spacing w:val="-2"/>
                <w:sz w:val="24"/>
              </w:rPr>
              <w:t>0.22535</w:t>
            </w:r>
          </w:p>
        </w:tc>
        <w:tc>
          <w:tcPr>
            <w:tcW w:w="2992" w:type="dxa"/>
          </w:tcPr>
          <w:p>
            <w:pPr>
              <w:pStyle w:val="TableParagraph"/>
              <w:ind w:left="109"/>
              <w:rPr>
                <w:b/>
                <w:sz w:val="24"/>
              </w:rPr>
            </w:pPr>
            <w:r>
              <w:rPr>
                <w:b/>
                <w:spacing w:val="-4"/>
                <w:sz w:val="24"/>
              </w:rPr>
              <w:t>2.51</w:t>
            </w:r>
          </w:p>
        </w:tc>
      </w:tr>
    </w:tbl>
    <w:p>
      <w:pPr>
        <w:pStyle w:val="BodyText"/>
        <w:spacing w:line="280" w:lineRule="auto" w:before="238"/>
        <w:ind w:right="902"/>
      </w:pPr>
      <w:r>
        <w:rPr/>
        <w:t>Cumulatively,</w:t>
      </w:r>
      <w:r>
        <w:rPr>
          <w:spacing w:val="-5"/>
        </w:rPr>
        <w:t> </w:t>
      </w:r>
      <w:r>
        <w:rPr/>
        <w:t>SSE</w:t>
      </w:r>
      <w:r>
        <w:rPr>
          <w:spacing w:val="-10"/>
        </w:rPr>
        <w:t> </w:t>
      </w:r>
      <w:r>
        <w:rPr/>
        <w:t>avoided</w:t>
      </w:r>
      <w:r>
        <w:rPr>
          <w:spacing w:val="-4"/>
        </w:rPr>
        <w:t> </w:t>
      </w:r>
      <w:r>
        <w:rPr>
          <w:b/>
        </w:rPr>
        <w:t>≈11.8</w:t>
      </w:r>
      <w:r>
        <w:rPr>
          <w:b/>
          <w:spacing w:val="-12"/>
        </w:rPr>
        <w:t> </w:t>
      </w:r>
      <w:r>
        <w:rPr>
          <w:b/>
        </w:rPr>
        <w:t>MtCO₂e</w:t>
      </w:r>
      <w:r>
        <w:rPr>
          <w:b/>
          <w:spacing w:val="-11"/>
        </w:rPr>
        <w:t> </w:t>
      </w:r>
      <w:r>
        <w:rPr/>
        <w:t>from</w:t>
      </w:r>
      <w:r>
        <w:rPr>
          <w:spacing w:val="-15"/>
        </w:rPr>
        <w:t> </w:t>
      </w:r>
      <w:r>
        <w:rPr/>
        <w:t>2020</w:t>
      </w:r>
      <w:r>
        <w:rPr>
          <w:spacing w:val="-6"/>
        </w:rPr>
        <w:t> </w:t>
      </w:r>
      <w:r>
        <w:rPr/>
        <w:t>2024</w:t>
      </w:r>
      <w:r>
        <w:rPr>
          <w:spacing w:val="-11"/>
        </w:rPr>
        <w:t> </w:t>
      </w:r>
      <w:r>
        <w:rPr/>
        <w:t>equivalent</w:t>
      </w:r>
      <w:r>
        <w:rPr>
          <w:spacing w:val="-7"/>
        </w:rPr>
        <w:t> </w:t>
      </w:r>
      <w:r>
        <w:rPr/>
        <w:t>to</w:t>
      </w:r>
      <w:r>
        <w:rPr>
          <w:spacing w:val="-6"/>
        </w:rPr>
        <w:t> </w:t>
      </w:r>
      <w:r>
        <w:rPr/>
        <w:t>roughly</w:t>
      </w:r>
      <w:r>
        <w:rPr>
          <w:spacing w:val="-15"/>
        </w:rPr>
        <w:t> </w:t>
      </w:r>
      <w:r>
        <w:rPr>
          <w:b/>
        </w:rPr>
        <w:t>0.5</w:t>
      </w:r>
      <w:r>
        <w:rPr>
          <w:b/>
          <w:spacing w:val="-6"/>
        </w:rPr>
        <w:t> </w:t>
      </w:r>
      <w:r>
        <w:rPr>
          <w:b/>
        </w:rPr>
        <w:t>0.6%</w:t>
      </w:r>
      <w:r>
        <w:rPr>
          <w:b/>
          <w:spacing w:val="-15"/>
        </w:rPr>
        <w:t> </w:t>
      </w:r>
      <w:r>
        <w:rPr/>
        <w:t>of the UK’s annual territorial emissions (~405 MtCO₂e in 2022).</w:t>
      </w:r>
    </w:p>
    <w:p>
      <w:pPr>
        <w:pStyle w:val="BodyText"/>
        <w:spacing w:before="5"/>
        <w:ind w:left="0"/>
      </w:pPr>
    </w:p>
    <w:p>
      <w:pPr>
        <w:pStyle w:val="Heading1"/>
        <w:numPr>
          <w:ilvl w:val="1"/>
          <w:numId w:val="2"/>
        </w:numPr>
        <w:tabs>
          <w:tab w:pos="387" w:val="left" w:leader="none"/>
        </w:tabs>
        <w:spacing w:line="240" w:lineRule="auto" w:before="0" w:after="0"/>
        <w:ind w:left="387" w:right="0" w:hanging="364"/>
        <w:jc w:val="left"/>
      </w:pPr>
      <w:bookmarkStart w:name="4.3 Contribution to National Renewable G" w:id="9"/>
      <w:bookmarkEnd w:id="9"/>
      <w:r>
        <w:rPr>
          <w:b w:val="0"/>
        </w:rPr>
      </w:r>
      <w:r>
        <w:rPr/>
        <w:t>Contribution</w:t>
      </w:r>
      <w:r>
        <w:rPr>
          <w:spacing w:val="-4"/>
        </w:rPr>
        <w:t> </w:t>
      </w:r>
      <w:r>
        <w:rPr/>
        <w:t>to</w:t>
      </w:r>
      <w:r>
        <w:rPr>
          <w:spacing w:val="-5"/>
        </w:rPr>
        <w:t> </w:t>
      </w:r>
      <w:r>
        <w:rPr/>
        <w:t>National</w:t>
      </w:r>
      <w:r>
        <w:rPr>
          <w:spacing w:val="-5"/>
        </w:rPr>
        <w:t> </w:t>
      </w:r>
      <w:r>
        <w:rPr/>
        <w:t>Renewable</w:t>
      </w:r>
      <w:r>
        <w:rPr>
          <w:spacing w:val="-1"/>
        </w:rPr>
        <w:t> </w:t>
      </w:r>
      <w:r>
        <w:rPr>
          <w:spacing w:val="-2"/>
        </w:rPr>
        <w:t>Generation</w:t>
      </w:r>
    </w:p>
    <w:p>
      <w:pPr>
        <w:pStyle w:val="BodyText"/>
        <w:spacing w:before="52"/>
        <w:ind w:left="0"/>
        <w:rPr>
          <w:b/>
        </w:rPr>
      </w:pPr>
    </w:p>
    <w:p>
      <w:pPr>
        <w:pStyle w:val="BodyText"/>
        <w:rPr>
          <w:rFonts w:ascii="Arial MT" w:hAnsi="Arial MT"/>
        </w:rPr>
      </w:pPr>
      <w:r>
        <w:rPr>
          <w:rFonts w:ascii="Arial MT" w:hAnsi="Arial MT"/>
        </w:rPr>
        <w:t>Table</w:t>
      </w:r>
      <w:r>
        <w:rPr>
          <w:rFonts w:ascii="Arial MT" w:hAnsi="Arial MT"/>
          <w:spacing w:val="-5"/>
        </w:rPr>
        <w:t> </w:t>
      </w:r>
      <w:r>
        <w:rPr>
          <w:rFonts w:ascii="Arial MT" w:hAnsi="Arial MT"/>
        </w:rPr>
        <w:t>3</w:t>
      </w:r>
      <w:r>
        <w:rPr>
          <w:rFonts w:ascii="Arial MT" w:hAnsi="Arial MT"/>
          <w:spacing w:val="-1"/>
        </w:rPr>
        <w:t> </w:t>
      </w:r>
      <w:r>
        <w:rPr>
          <w:rFonts w:ascii="Arial MT" w:hAnsi="Arial MT"/>
        </w:rPr>
        <w:t>shows</w:t>
      </w:r>
      <w:r>
        <w:rPr>
          <w:rFonts w:ascii="Arial MT" w:hAnsi="Arial MT"/>
          <w:spacing w:val="-2"/>
        </w:rPr>
        <w:t> </w:t>
      </w:r>
      <w:r>
        <w:rPr>
          <w:rFonts w:ascii="Arial MT" w:hAnsi="Arial MT"/>
        </w:rPr>
        <w:t>SSE</w:t>
      </w:r>
      <w:r>
        <w:rPr>
          <w:rFonts w:ascii="Arial MT" w:hAnsi="Arial MT"/>
          <w:spacing w:val="1"/>
        </w:rPr>
        <w:t> </w:t>
      </w:r>
      <w:r>
        <w:rPr>
          <w:rFonts w:ascii="Arial MT" w:hAnsi="Arial MT"/>
        </w:rPr>
        <w:t>%</w:t>
      </w:r>
      <w:r>
        <w:rPr>
          <w:rFonts w:ascii="Arial MT" w:hAnsi="Arial MT"/>
          <w:spacing w:val="-5"/>
        </w:rPr>
        <w:t> </w:t>
      </w:r>
      <w:r>
        <w:rPr>
          <w:rFonts w:ascii="Arial MT" w:hAnsi="Arial MT"/>
        </w:rPr>
        <w:t>share</w:t>
      </w:r>
      <w:r>
        <w:rPr>
          <w:rFonts w:ascii="Arial MT" w:hAnsi="Arial MT"/>
          <w:spacing w:val="-2"/>
        </w:rPr>
        <w:t> </w:t>
      </w:r>
      <w:r>
        <w:rPr>
          <w:rFonts w:ascii="Arial MT" w:hAnsi="Arial MT"/>
        </w:rPr>
        <w:t>of</w:t>
      </w:r>
      <w:r>
        <w:rPr>
          <w:rFonts w:ascii="Arial MT" w:hAnsi="Arial MT"/>
          <w:spacing w:val="-2"/>
        </w:rPr>
        <w:t> </w:t>
      </w:r>
      <w:r>
        <w:rPr>
          <w:rFonts w:ascii="Arial MT" w:hAnsi="Arial MT"/>
        </w:rPr>
        <w:t>UK’s</w:t>
      </w:r>
      <w:r>
        <w:rPr>
          <w:rFonts w:ascii="Arial MT" w:hAnsi="Arial MT"/>
          <w:spacing w:val="-2"/>
        </w:rPr>
        <w:t> </w:t>
      </w:r>
      <w:r>
        <w:rPr>
          <w:rFonts w:ascii="Arial MT" w:hAnsi="Arial MT"/>
        </w:rPr>
        <w:t>national</w:t>
      </w:r>
      <w:r>
        <w:rPr>
          <w:rFonts w:ascii="Arial MT" w:hAnsi="Arial MT"/>
          <w:spacing w:val="-7"/>
        </w:rPr>
        <w:t> </w:t>
      </w:r>
      <w:r>
        <w:rPr>
          <w:rFonts w:ascii="Arial MT" w:hAnsi="Arial MT"/>
        </w:rPr>
        <w:t>renewable</w:t>
      </w:r>
      <w:r>
        <w:rPr>
          <w:rFonts w:ascii="Arial MT" w:hAnsi="Arial MT"/>
          <w:spacing w:val="3"/>
        </w:rPr>
        <w:t> </w:t>
      </w:r>
      <w:r>
        <w:rPr>
          <w:rFonts w:ascii="Arial MT" w:hAnsi="Arial MT"/>
          <w:spacing w:val="-2"/>
        </w:rPr>
        <w:t>generation</w:t>
      </w:r>
    </w:p>
    <w:p>
      <w:pPr>
        <w:pStyle w:val="BodyText"/>
        <w:spacing w:before="8"/>
        <w:ind w:left="0"/>
        <w:rPr>
          <w:rFonts w:ascii="Arial MT"/>
          <w:sz w:val="17"/>
        </w:rPr>
      </w:pPr>
    </w:p>
    <w:tbl>
      <w:tblPr>
        <w:tblW w:w="0" w:type="auto"/>
        <w:jc w:val="left"/>
        <w:tblInd w:w="33" w:type="dxa"/>
        <w:tblBorders>
          <w:top w:val="single" w:sz="4" w:space="0" w:color="45AFE0"/>
          <w:left w:val="single" w:sz="4" w:space="0" w:color="45AFE0"/>
          <w:bottom w:val="single" w:sz="4" w:space="0" w:color="45AFE0"/>
          <w:right w:val="single" w:sz="4" w:space="0" w:color="45AFE0"/>
          <w:insideH w:val="single" w:sz="4" w:space="0" w:color="45AFE0"/>
          <w:insideV w:val="single" w:sz="4" w:space="0" w:color="45AFE0"/>
        </w:tblBorders>
        <w:tblLayout w:type="fixed"/>
        <w:tblCellMar>
          <w:top w:w="0" w:type="dxa"/>
          <w:left w:w="0" w:type="dxa"/>
          <w:bottom w:w="0" w:type="dxa"/>
          <w:right w:w="0" w:type="dxa"/>
        </w:tblCellMar>
        <w:tblLook w:val="01E0"/>
      </w:tblPr>
      <w:tblGrid>
        <w:gridCol w:w="783"/>
        <w:gridCol w:w="2819"/>
        <w:gridCol w:w="2521"/>
        <w:gridCol w:w="2190"/>
      </w:tblGrid>
      <w:tr>
        <w:trPr>
          <w:trHeight w:val="551" w:hRule="atLeast"/>
        </w:trPr>
        <w:tc>
          <w:tcPr>
            <w:tcW w:w="783" w:type="dxa"/>
            <w:tcBorders>
              <w:bottom w:val="single" w:sz="12" w:space="0" w:color="45AFE0"/>
            </w:tcBorders>
          </w:tcPr>
          <w:p>
            <w:pPr>
              <w:pStyle w:val="TableParagraph"/>
              <w:ind w:left="110"/>
              <w:rPr>
                <w:b/>
                <w:sz w:val="24"/>
              </w:rPr>
            </w:pPr>
            <w:r>
              <w:rPr>
                <w:b/>
                <w:spacing w:val="-4"/>
                <w:sz w:val="24"/>
              </w:rPr>
              <w:t>Year</w:t>
            </w:r>
          </w:p>
        </w:tc>
        <w:tc>
          <w:tcPr>
            <w:tcW w:w="2819" w:type="dxa"/>
            <w:tcBorders>
              <w:bottom w:val="single" w:sz="12" w:space="0" w:color="45AFE0"/>
            </w:tcBorders>
          </w:tcPr>
          <w:p>
            <w:pPr>
              <w:pStyle w:val="TableParagraph"/>
              <w:rPr>
                <w:b/>
                <w:sz w:val="24"/>
              </w:rPr>
            </w:pPr>
            <w:r>
              <w:rPr>
                <w:b/>
                <w:sz w:val="24"/>
              </w:rPr>
              <w:t>UK</w:t>
            </w:r>
            <w:r>
              <w:rPr>
                <w:b/>
                <w:spacing w:val="33"/>
                <w:sz w:val="24"/>
              </w:rPr>
              <w:t>  </w:t>
            </w:r>
            <w:r>
              <w:rPr>
                <w:b/>
                <w:sz w:val="24"/>
              </w:rPr>
              <w:t>Renewable</w:t>
            </w:r>
            <w:r>
              <w:rPr>
                <w:b/>
                <w:spacing w:val="34"/>
                <w:sz w:val="24"/>
              </w:rPr>
              <w:t>  </w:t>
            </w:r>
            <w:r>
              <w:rPr>
                <w:b/>
                <w:spacing w:val="-2"/>
                <w:sz w:val="24"/>
              </w:rPr>
              <w:t>Output</w:t>
            </w:r>
          </w:p>
          <w:p>
            <w:pPr>
              <w:pStyle w:val="TableParagraph"/>
              <w:spacing w:line="256" w:lineRule="exact" w:before="2"/>
              <w:rPr>
                <w:b/>
                <w:sz w:val="24"/>
              </w:rPr>
            </w:pPr>
            <w:r>
              <w:rPr>
                <w:b/>
                <w:spacing w:val="-2"/>
                <w:sz w:val="24"/>
              </w:rPr>
              <w:t>(TWh)</w:t>
            </w:r>
          </w:p>
        </w:tc>
        <w:tc>
          <w:tcPr>
            <w:tcW w:w="2521" w:type="dxa"/>
            <w:tcBorders>
              <w:bottom w:val="single" w:sz="12" w:space="0" w:color="45AFE0"/>
            </w:tcBorders>
          </w:tcPr>
          <w:p>
            <w:pPr>
              <w:pStyle w:val="TableParagraph"/>
              <w:ind w:left="109"/>
              <w:rPr>
                <w:b/>
                <w:sz w:val="24"/>
              </w:rPr>
            </w:pPr>
            <w:r>
              <w:rPr>
                <w:b/>
                <w:sz w:val="24"/>
              </w:rPr>
              <w:t>SSE</w:t>
            </w:r>
            <w:r>
              <w:rPr>
                <w:b/>
                <w:spacing w:val="-3"/>
                <w:sz w:val="24"/>
              </w:rPr>
              <w:t> </w:t>
            </w:r>
            <w:r>
              <w:rPr>
                <w:b/>
                <w:sz w:val="24"/>
              </w:rPr>
              <w:t>Output</w:t>
            </w:r>
            <w:r>
              <w:rPr>
                <w:b/>
                <w:spacing w:val="-2"/>
                <w:sz w:val="24"/>
              </w:rPr>
              <w:t> </w:t>
            </w:r>
            <w:r>
              <w:rPr>
                <w:b/>
                <w:spacing w:val="-4"/>
                <w:sz w:val="24"/>
              </w:rPr>
              <w:t>(TWh)</w:t>
            </w:r>
          </w:p>
        </w:tc>
        <w:tc>
          <w:tcPr>
            <w:tcW w:w="2190" w:type="dxa"/>
            <w:tcBorders>
              <w:bottom w:val="single" w:sz="12" w:space="0" w:color="45AFE0"/>
            </w:tcBorders>
          </w:tcPr>
          <w:p>
            <w:pPr>
              <w:pStyle w:val="TableParagraph"/>
              <w:ind w:left="109"/>
              <w:rPr>
                <w:b/>
                <w:sz w:val="24"/>
              </w:rPr>
            </w:pPr>
            <w:r>
              <w:rPr>
                <w:b/>
                <w:sz w:val="24"/>
              </w:rPr>
              <w:t>SSE</w:t>
            </w:r>
            <w:r>
              <w:rPr>
                <w:b/>
                <w:spacing w:val="-3"/>
                <w:sz w:val="24"/>
              </w:rPr>
              <w:t> </w:t>
            </w:r>
            <w:r>
              <w:rPr>
                <w:b/>
                <w:sz w:val="24"/>
              </w:rPr>
              <w:t>Share</w:t>
            </w:r>
            <w:r>
              <w:rPr>
                <w:b/>
                <w:spacing w:val="-2"/>
                <w:sz w:val="24"/>
              </w:rPr>
              <w:t> </w:t>
            </w:r>
            <w:r>
              <w:rPr>
                <w:b/>
                <w:spacing w:val="-5"/>
                <w:sz w:val="24"/>
              </w:rPr>
              <w:t>(%)</w:t>
            </w:r>
          </w:p>
        </w:tc>
      </w:tr>
      <w:tr>
        <w:trPr>
          <w:trHeight w:val="302" w:hRule="atLeast"/>
        </w:trPr>
        <w:tc>
          <w:tcPr>
            <w:tcW w:w="783" w:type="dxa"/>
            <w:tcBorders>
              <w:top w:val="single" w:sz="12" w:space="0" w:color="45AFE0"/>
            </w:tcBorders>
          </w:tcPr>
          <w:p>
            <w:pPr>
              <w:pStyle w:val="TableParagraph"/>
              <w:ind w:left="110"/>
              <w:rPr>
                <w:b/>
                <w:sz w:val="24"/>
              </w:rPr>
            </w:pPr>
            <w:r>
              <w:rPr>
                <w:b/>
                <w:spacing w:val="-4"/>
                <w:sz w:val="24"/>
              </w:rPr>
              <w:t>2020</w:t>
            </w:r>
          </w:p>
        </w:tc>
        <w:tc>
          <w:tcPr>
            <w:tcW w:w="2819" w:type="dxa"/>
            <w:tcBorders>
              <w:top w:val="single" w:sz="12" w:space="0" w:color="45AFE0"/>
            </w:tcBorders>
          </w:tcPr>
          <w:p>
            <w:pPr>
              <w:pStyle w:val="TableParagraph"/>
              <w:spacing w:line="268" w:lineRule="exact"/>
              <w:rPr>
                <w:sz w:val="24"/>
              </w:rPr>
            </w:pPr>
            <w:r>
              <w:rPr>
                <w:spacing w:val="-2"/>
                <w:sz w:val="24"/>
              </w:rPr>
              <w:t>135.0</w:t>
            </w:r>
          </w:p>
        </w:tc>
        <w:tc>
          <w:tcPr>
            <w:tcW w:w="2521" w:type="dxa"/>
            <w:tcBorders>
              <w:top w:val="single" w:sz="12" w:space="0" w:color="45AFE0"/>
            </w:tcBorders>
          </w:tcPr>
          <w:p>
            <w:pPr>
              <w:pStyle w:val="TableParagraph"/>
              <w:spacing w:line="268" w:lineRule="exact"/>
              <w:ind w:left="109"/>
              <w:rPr>
                <w:sz w:val="24"/>
              </w:rPr>
            </w:pPr>
            <w:r>
              <w:rPr>
                <w:spacing w:val="-2"/>
                <w:sz w:val="24"/>
              </w:rPr>
              <w:t>11.44</w:t>
            </w:r>
          </w:p>
        </w:tc>
        <w:tc>
          <w:tcPr>
            <w:tcW w:w="2190" w:type="dxa"/>
            <w:tcBorders>
              <w:top w:val="single" w:sz="12" w:space="0" w:color="45AFE0"/>
            </w:tcBorders>
          </w:tcPr>
          <w:p>
            <w:pPr>
              <w:pStyle w:val="TableParagraph"/>
              <w:ind w:left="109"/>
              <w:rPr>
                <w:b/>
                <w:sz w:val="24"/>
              </w:rPr>
            </w:pPr>
            <w:r>
              <w:rPr>
                <w:b/>
                <w:spacing w:val="-4"/>
                <w:sz w:val="24"/>
              </w:rPr>
              <w:t>8.44</w:t>
            </w:r>
          </w:p>
        </w:tc>
      </w:tr>
      <w:tr>
        <w:trPr>
          <w:trHeight w:val="297" w:hRule="atLeast"/>
        </w:trPr>
        <w:tc>
          <w:tcPr>
            <w:tcW w:w="783" w:type="dxa"/>
          </w:tcPr>
          <w:p>
            <w:pPr>
              <w:pStyle w:val="TableParagraph"/>
              <w:ind w:left="110"/>
              <w:rPr>
                <w:b/>
                <w:sz w:val="24"/>
              </w:rPr>
            </w:pPr>
            <w:r>
              <w:rPr>
                <w:b/>
                <w:spacing w:val="-4"/>
                <w:sz w:val="24"/>
              </w:rPr>
              <w:t>2021</w:t>
            </w:r>
          </w:p>
        </w:tc>
        <w:tc>
          <w:tcPr>
            <w:tcW w:w="2819" w:type="dxa"/>
          </w:tcPr>
          <w:p>
            <w:pPr>
              <w:pStyle w:val="TableParagraph"/>
              <w:spacing w:line="268" w:lineRule="exact"/>
              <w:rPr>
                <w:sz w:val="24"/>
              </w:rPr>
            </w:pPr>
            <w:r>
              <w:rPr>
                <w:spacing w:val="-2"/>
                <w:sz w:val="24"/>
              </w:rPr>
              <w:t>137.5</w:t>
            </w:r>
          </w:p>
        </w:tc>
        <w:tc>
          <w:tcPr>
            <w:tcW w:w="2521" w:type="dxa"/>
          </w:tcPr>
          <w:p>
            <w:pPr>
              <w:pStyle w:val="TableParagraph"/>
              <w:spacing w:line="268" w:lineRule="exact"/>
              <w:ind w:left="109"/>
              <w:rPr>
                <w:sz w:val="24"/>
              </w:rPr>
            </w:pPr>
            <w:r>
              <w:rPr>
                <w:spacing w:val="-2"/>
                <w:sz w:val="24"/>
              </w:rPr>
              <w:t>10.24</w:t>
            </w:r>
          </w:p>
        </w:tc>
        <w:tc>
          <w:tcPr>
            <w:tcW w:w="2190" w:type="dxa"/>
          </w:tcPr>
          <w:p>
            <w:pPr>
              <w:pStyle w:val="TableParagraph"/>
              <w:ind w:left="109"/>
              <w:rPr>
                <w:b/>
                <w:sz w:val="24"/>
              </w:rPr>
            </w:pPr>
            <w:r>
              <w:rPr>
                <w:b/>
                <w:spacing w:val="-4"/>
                <w:sz w:val="24"/>
              </w:rPr>
              <w:t>7.42</w:t>
            </w:r>
          </w:p>
        </w:tc>
      </w:tr>
      <w:tr>
        <w:trPr>
          <w:trHeight w:val="301" w:hRule="atLeast"/>
        </w:trPr>
        <w:tc>
          <w:tcPr>
            <w:tcW w:w="783" w:type="dxa"/>
          </w:tcPr>
          <w:p>
            <w:pPr>
              <w:pStyle w:val="TableParagraph"/>
              <w:spacing w:line="272" w:lineRule="exact"/>
              <w:ind w:left="110"/>
              <w:rPr>
                <w:b/>
                <w:sz w:val="24"/>
              </w:rPr>
            </w:pPr>
            <w:r>
              <w:rPr>
                <w:b/>
                <w:spacing w:val="-4"/>
                <w:sz w:val="24"/>
              </w:rPr>
              <w:t>2022</w:t>
            </w:r>
          </w:p>
        </w:tc>
        <w:tc>
          <w:tcPr>
            <w:tcW w:w="2819" w:type="dxa"/>
          </w:tcPr>
          <w:p>
            <w:pPr>
              <w:pStyle w:val="TableParagraph"/>
              <w:spacing w:line="268" w:lineRule="exact"/>
              <w:rPr>
                <w:sz w:val="24"/>
              </w:rPr>
            </w:pPr>
            <w:r>
              <w:rPr>
                <w:spacing w:val="-2"/>
                <w:sz w:val="24"/>
              </w:rPr>
              <w:t>139.8</w:t>
            </w:r>
          </w:p>
        </w:tc>
        <w:tc>
          <w:tcPr>
            <w:tcW w:w="2521" w:type="dxa"/>
          </w:tcPr>
          <w:p>
            <w:pPr>
              <w:pStyle w:val="TableParagraph"/>
              <w:spacing w:line="268" w:lineRule="exact"/>
              <w:ind w:left="109"/>
              <w:rPr>
                <w:sz w:val="24"/>
              </w:rPr>
            </w:pPr>
            <w:r>
              <w:rPr>
                <w:spacing w:val="-4"/>
                <w:sz w:val="24"/>
              </w:rPr>
              <w:t>9.50</w:t>
            </w:r>
          </w:p>
        </w:tc>
        <w:tc>
          <w:tcPr>
            <w:tcW w:w="2190" w:type="dxa"/>
          </w:tcPr>
          <w:p>
            <w:pPr>
              <w:pStyle w:val="TableParagraph"/>
              <w:spacing w:line="272" w:lineRule="exact"/>
              <w:ind w:left="109"/>
              <w:rPr>
                <w:b/>
                <w:sz w:val="24"/>
              </w:rPr>
            </w:pPr>
            <w:r>
              <w:rPr>
                <w:b/>
                <w:spacing w:val="-4"/>
                <w:sz w:val="24"/>
              </w:rPr>
              <w:t>6.72</w:t>
            </w:r>
          </w:p>
        </w:tc>
      </w:tr>
      <w:tr>
        <w:trPr>
          <w:trHeight w:val="301" w:hRule="atLeast"/>
        </w:trPr>
        <w:tc>
          <w:tcPr>
            <w:tcW w:w="783" w:type="dxa"/>
          </w:tcPr>
          <w:p>
            <w:pPr>
              <w:pStyle w:val="TableParagraph"/>
              <w:ind w:left="110"/>
              <w:rPr>
                <w:b/>
                <w:sz w:val="24"/>
              </w:rPr>
            </w:pPr>
            <w:r>
              <w:rPr>
                <w:b/>
                <w:spacing w:val="-4"/>
                <w:sz w:val="24"/>
              </w:rPr>
              <w:t>2023</w:t>
            </w:r>
          </w:p>
        </w:tc>
        <w:tc>
          <w:tcPr>
            <w:tcW w:w="2819" w:type="dxa"/>
          </w:tcPr>
          <w:p>
            <w:pPr>
              <w:pStyle w:val="TableParagraph"/>
              <w:spacing w:line="268" w:lineRule="exact"/>
              <w:rPr>
                <w:sz w:val="24"/>
              </w:rPr>
            </w:pPr>
            <w:r>
              <w:rPr>
                <w:spacing w:val="-2"/>
                <w:sz w:val="24"/>
              </w:rPr>
              <w:t>144.0</w:t>
            </w:r>
          </w:p>
        </w:tc>
        <w:tc>
          <w:tcPr>
            <w:tcW w:w="2521" w:type="dxa"/>
          </w:tcPr>
          <w:p>
            <w:pPr>
              <w:pStyle w:val="TableParagraph"/>
              <w:spacing w:line="268" w:lineRule="exact"/>
              <w:ind w:left="109"/>
              <w:rPr>
                <w:sz w:val="24"/>
              </w:rPr>
            </w:pPr>
            <w:r>
              <w:rPr>
                <w:spacing w:val="-2"/>
                <w:sz w:val="24"/>
              </w:rPr>
              <w:t>10.23</w:t>
            </w:r>
          </w:p>
        </w:tc>
        <w:tc>
          <w:tcPr>
            <w:tcW w:w="2190" w:type="dxa"/>
          </w:tcPr>
          <w:p>
            <w:pPr>
              <w:pStyle w:val="TableParagraph"/>
              <w:ind w:left="109"/>
              <w:rPr>
                <w:b/>
                <w:sz w:val="24"/>
              </w:rPr>
            </w:pPr>
            <w:r>
              <w:rPr>
                <w:b/>
                <w:spacing w:val="-4"/>
                <w:sz w:val="24"/>
              </w:rPr>
              <w:t>6.67</w:t>
            </w:r>
          </w:p>
        </w:tc>
      </w:tr>
    </w:tbl>
    <w:p>
      <w:pPr>
        <w:pStyle w:val="TableParagraph"/>
        <w:spacing w:after="0"/>
        <w:rPr>
          <w:b/>
          <w:sz w:val="24"/>
        </w:rPr>
        <w:sectPr>
          <w:pgSz w:w="11910" w:h="16840"/>
          <w:pgMar w:header="0" w:footer="1064" w:top="1420" w:bottom="1260" w:left="1417" w:right="425"/>
        </w:sectPr>
      </w:pPr>
    </w:p>
    <w:tbl>
      <w:tblPr>
        <w:tblW w:w="0" w:type="auto"/>
        <w:jc w:val="left"/>
        <w:tblInd w:w="33" w:type="dxa"/>
        <w:tblBorders>
          <w:top w:val="single" w:sz="4" w:space="0" w:color="45AFE0"/>
          <w:left w:val="single" w:sz="4" w:space="0" w:color="45AFE0"/>
          <w:bottom w:val="single" w:sz="4" w:space="0" w:color="45AFE0"/>
          <w:right w:val="single" w:sz="4" w:space="0" w:color="45AFE0"/>
          <w:insideH w:val="single" w:sz="4" w:space="0" w:color="45AFE0"/>
          <w:insideV w:val="single" w:sz="4" w:space="0" w:color="45AFE0"/>
        </w:tblBorders>
        <w:tblLayout w:type="fixed"/>
        <w:tblCellMar>
          <w:top w:w="0" w:type="dxa"/>
          <w:left w:w="0" w:type="dxa"/>
          <w:bottom w:w="0" w:type="dxa"/>
          <w:right w:w="0" w:type="dxa"/>
        </w:tblCellMar>
        <w:tblLook w:val="01E0"/>
      </w:tblPr>
      <w:tblGrid>
        <w:gridCol w:w="783"/>
        <w:gridCol w:w="2819"/>
        <w:gridCol w:w="2521"/>
        <w:gridCol w:w="2190"/>
      </w:tblGrid>
      <w:tr>
        <w:trPr>
          <w:trHeight w:val="301" w:hRule="atLeast"/>
        </w:trPr>
        <w:tc>
          <w:tcPr>
            <w:tcW w:w="783" w:type="dxa"/>
          </w:tcPr>
          <w:p>
            <w:pPr>
              <w:pStyle w:val="TableParagraph"/>
              <w:ind w:left="110"/>
              <w:rPr>
                <w:b/>
                <w:sz w:val="24"/>
              </w:rPr>
            </w:pPr>
            <w:r>
              <w:rPr>
                <w:b/>
                <w:spacing w:val="-4"/>
                <w:sz w:val="24"/>
              </w:rPr>
              <w:t>2024</w:t>
            </w:r>
          </w:p>
        </w:tc>
        <w:tc>
          <w:tcPr>
            <w:tcW w:w="2819" w:type="dxa"/>
          </w:tcPr>
          <w:p>
            <w:pPr>
              <w:pStyle w:val="TableParagraph"/>
              <w:spacing w:line="268" w:lineRule="exact"/>
              <w:rPr>
                <w:sz w:val="24"/>
              </w:rPr>
            </w:pPr>
            <w:r>
              <w:rPr>
                <w:spacing w:val="-2"/>
                <w:sz w:val="24"/>
              </w:rPr>
              <w:t>150.8</w:t>
            </w:r>
          </w:p>
        </w:tc>
        <w:tc>
          <w:tcPr>
            <w:tcW w:w="2521" w:type="dxa"/>
          </w:tcPr>
          <w:p>
            <w:pPr>
              <w:pStyle w:val="TableParagraph"/>
              <w:spacing w:line="268" w:lineRule="exact"/>
              <w:ind w:left="109"/>
              <w:rPr>
                <w:sz w:val="24"/>
              </w:rPr>
            </w:pPr>
            <w:r>
              <w:rPr>
                <w:spacing w:val="-2"/>
                <w:sz w:val="24"/>
              </w:rPr>
              <w:t>11.16</w:t>
            </w:r>
          </w:p>
        </w:tc>
        <w:tc>
          <w:tcPr>
            <w:tcW w:w="2190" w:type="dxa"/>
          </w:tcPr>
          <w:p>
            <w:pPr>
              <w:pStyle w:val="TableParagraph"/>
              <w:ind w:left="109"/>
              <w:rPr>
                <w:b/>
                <w:sz w:val="24"/>
              </w:rPr>
            </w:pPr>
            <w:r>
              <w:rPr>
                <w:b/>
                <w:spacing w:val="-4"/>
                <w:sz w:val="24"/>
              </w:rPr>
              <w:t>7.43</w:t>
            </w:r>
          </w:p>
        </w:tc>
      </w:tr>
    </w:tbl>
    <w:p>
      <w:pPr>
        <w:pStyle w:val="BodyText"/>
        <w:spacing w:line="280" w:lineRule="auto" w:before="259"/>
        <w:ind w:right="1020"/>
        <w:jc w:val="both"/>
      </w:pPr>
      <w:r>
        <w:rPr/>
        <w:t>SSE consistently</w:t>
      </w:r>
      <w:r>
        <w:rPr>
          <w:spacing w:val="-11"/>
        </w:rPr>
        <w:t> </w:t>
      </w:r>
      <w:r>
        <w:rPr/>
        <w:t>contributed </w:t>
      </w:r>
      <w:r>
        <w:rPr>
          <w:b/>
        </w:rPr>
        <w:t>6.7</w:t>
      </w:r>
      <w:r>
        <w:rPr>
          <w:b/>
          <w:spacing w:val="-5"/>
        </w:rPr>
        <w:t> </w:t>
      </w:r>
      <w:r>
        <w:rPr>
          <w:b/>
        </w:rPr>
        <w:t>8.4%</w:t>
      </w:r>
      <w:r>
        <w:rPr>
          <w:b/>
          <w:spacing w:val="-10"/>
        </w:rPr>
        <w:t> </w:t>
      </w:r>
      <w:r>
        <w:rPr/>
        <w:t>of</w:t>
      </w:r>
      <w:r>
        <w:rPr>
          <w:spacing w:val="-9"/>
        </w:rPr>
        <w:t> </w:t>
      </w:r>
      <w:r>
        <w:rPr/>
        <w:t>UK</w:t>
      </w:r>
      <w:r>
        <w:rPr>
          <w:spacing w:val="-7"/>
        </w:rPr>
        <w:t> </w:t>
      </w:r>
      <w:r>
        <w:rPr/>
        <w:t>renewable</w:t>
      </w:r>
      <w:r>
        <w:rPr>
          <w:spacing w:val="-2"/>
        </w:rPr>
        <w:t> </w:t>
      </w:r>
      <w:r>
        <w:rPr/>
        <w:t>electricity, effectively</w:t>
      </w:r>
      <w:r>
        <w:rPr>
          <w:spacing w:val="-6"/>
        </w:rPr>
        <w:t> </w:t>
      </w:r>
      <w:r>
        <w:rPr/>
        <w:t>supplying</w:t>
      </w:r>
      <w:r>
        <w:rPr>
          <w:spacing w:val="-1"/>
        </w:rPr>
        <w:t> </w:t>
      </w:r>
      <w:r>
        <w:rPr/>
        <w:t>one in every thirteen units of clean power.</w:t>
      </w:r>
    </w:p>
    <w:p>
      <w:pPr>
        <w:pStyle w:val="BodyText"/>
        <w:spacing w:before="6"/>
        <w:ind w:left="0"/>
        <w:rPr>
          <w:sz w:val="18"/>
        </w:rPr>
      </w:pPr>
      <w:r>
        <w:rPr>
          <w:sz w:val="18"/>
        </w:rPr>
        <w:drawing>
          <wp:anchor distT="0" distB="0" distL="0" distR="0" allowOverlap="1" layoutInCell="1" locked="0" behindDoc="1" simplePos="0" relativeHeight="487588864">
            <wp:simplePos x="0" y="0"/>
            <wp:positionH relativeFrom="page">
              <wp:posOffset>914400</wp:posOffset>
            </wp:positionH>
            <wp:positionV relativeFrom="paragraph">
              <wp:posOffset>150758</wp:posOffset>
            </wp:positionV>
            <wp:extent cx="5649434" cy="375885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5649434" cy="3758850"/>
                    </a:xfrm>
                    <a:prstGeom prst="rect">
                      <a:avLst/>
                    </a:prstGeom>
                  </pic:spPr>
                </pic:pic>
              </a:graphicData>
            </a:graphic>
          </wp:anchor>
        </w:drawing>
      </w:r>
    </w:p>
    <w:p>
      <w:pPr>
        <w:pStyle w:val="BodyText"/>
        <w:spacing w:before="251"/>
        <w:jc w:val="both"/>
      </w:pPr>
      <w:r>
        <w:rPr/>
        <w:t>Figure</w:t>
      </w:r>
      <w:r>
        <w:rPr>
          <w:spacing w:val="-1"/>
        </w:rPr>
        <w:t> </w:t>
      </w:r>
      <w:r>
        <w:rPr/>
        <w:t>4:</w:t>
      </w:r>
      <w:r>
        <w:rPr>
          <w:spacing w:val="1"/>
        </w:rPr>
        <w:t> </w:t>
      </w:r>
      <w:r>
        <w:rPr/>
        <w:t>Bar</w:t>
      </w:r>
      <w:r>
        <w:rPr>
          <w:spacing w:val="3"/>
        </w:rPr>
        <w:t> </w:t>
      </w:r>
      <w:r>
        <w:rPr/>
        <w:t>line graph</w:t>
      </w:r>
      <w:r>
        <w:rPr>
          <w:spacing w:val="-4"/>
        </w:rPr>
        <w:t> </w:t>
      </w:r>
      <w:r>
        <w:rPr/>
        <w:t>of</w:t>
      </w:r>
      <w:r>
        <w:rPr>
          <w:spacing w:val="-7"/>
        </w:rPr>
        <w:t> </w:t>
      </w:r>
      <w:r>
        <w:rPr/>
        <w:t>SSE</w:t>
      </w:r>
      <w:r>
        <w:rPr>
          <w:spacing w:val="4"/>
        </w:rPr>
        <w:t> </w:t>
      </w:r>
      <w:r>
        <w:rPr/>
        <w:t>vs</w:t>
      </w:r>
      <w:r>
        <w:rPr>
          <w:spacing w:val="-1"/>
        </w:rPr>
        <w:t> </w:t>
      </w:r>
      <w:r>
        <w:rPr/>
        <w:t>UK</w:t>
      </w:r>
      <w:r>
        <w:rPr>
          <w:spacing w:val="-5"/>
        </w:rPr>
        <w:t> </w:t>
      </w:r>
      <w:r>
        <w:rPr/>
        <w:t>Renewable</w:t>
      </w:r>
      <w:r>
        <w:rPr>
          <w:spacing w:val="5"/>
        </w:rPr>
        <w:t> </w:t>
      </w:r>
      <w:r>
        <w:rPr/>
        <w:t>Energy</w:t>
      </w:r>
      <w:r>
        <w:rPr>
          <w:spacing w:val="-9"/>
        </w:rPr>
        <w:t> </w:t>
      </w:r>
      <w:r>
        <w:rPr/>
        <w:t>Generation</w:t>
      </w:r>
      <w:r>
        <w:rPr>
          <w:spacing w:val="-3"/>
        </w:rPr>
        <w:t> </w:t>
      </w:r>
      <w:r>
        <w:rPr/>
        <w:t>(2020-</w:t>
      </w:r>
      <w:r>
        <w:rPr>
          <w:spacing w:val="-2"/>
        </w:rPr>
        <w:t>2025)</w:t>
      </w:r>
    </w:p>
    <w:p>
      <w:pPr>
        <w:pStyle w:val="BodyText"/>
        <w:spacing w:before="19"/>
        <w:ind w:left="0"/>
      </w:pPr>
    </w:p>
    <w:p>
      <w:pPr>
        <w:spacing w:before="0"/>
        <w:ind w:left="23" w:right="0" w:firstLine="0"/>
        <w:jc w:val="both"/>
        <w:rPr>
          <w:i/>
          <w:sz w:val="24"/>
        </w:rPr>
      </w:pPr>
      <w:r>
        <w:rPr>
          <w:i/>
          <w:sz w:val="24"/>
        </w:rPr>
        <w:t>Source:</w:t>
      </w:r>
      <w:r>
        <w:rPr>
          <w:i/>
          <w:spacing w:val="-2"/>
          <w:sz w:val="24"/>
        </w:rPr>
        <w:t> Researcher</w:t>
      </w:r>
    </w:p>
    <w:p>
      <w:pPr>
        <w:pStyle w:val="BodyText"/>
        <w:spacing w:before="235"/>
        <w:ind w:left="0"/>
        <w:rPr>
          <w:i/>
        </w:rPr>
      </w:pPr>
    </w:p>
    <w:p>
      <w:pPr>
        <w:pStyle w:val="BodyText"/>
        <w:spacing w:line="276" w:lineRule="auto"/>
        <w:ind w:right="1012"/>
        <w:jc w:val="both"/>
      </w:pPr>
      <w:r>
        <w:rPr/>
        <w:t>Between 2020 and 2024, SSE's renewable electricity generation remained steady while the UK's</w:t>
      </w:r>
      <w:r>
        <w:rPr>
          <w:spacing w:val="-6"/>
        </w:rPr>
        <w:t> </w:t>
      </w:r>
      <w:r>
        <w:rPr/>
        <w:t>total</w:t>
      </w:r>
      <w:r>
        <w:rPr>
          <w:spacing w:val="-11"/>
        </w:rPr>
        <w:t> </w:t>
      </w:r>
      <w:r>
        <w:rPr/>
        <w:t>renewables</w:t>
      </w:r>
      <w:r>
        <w:rPr>
          <w:spacing w:val="-6"/>
        </w:rPr>
        <w:t> </w:t>
      </w:r>
      <w:r>
        <w:rPr/>
        <w:t>output</w:t>
      </w:r>
      <w:r>
        <w:rPr>
          <w:spacing w:val="-3"/>
        </w:rPr>
        <w:t> </w:t>
      </w:r>
      <w:r>
        <w:rPr/>
        <w:t>gradually</w:t>
      </w:r>
      <w:r>
        <w:rPr>
          <w:spacing w:val="-7"/>
        </w:rPr>
        <w:t> </w:t>
      </w:r>
      <w:r>
        <w:rPr/>
        <w:t>increased,</w:t>
      </w:r>
      <w:r>
        <w:rPr>
          <w:spacing w:val="-1"/>
        </w:rPr>
        <w:t> </w:t>
      </w:r>
      <w:r>
        <w:rPr/>
        <w:t>with</w:t>
      </w:r>
      <w:r>
        <w:rPr>
          <w:spacing w:val="-7"/>
        </w:rPr>
        <w:t> </w:t>
      </w:r>
      <w:r>
        <w:rPr/>
        <w:t>a</w:t>
      </w:r>
      <w:r>
        <w:rPr>
          <w:spacing w:val="-4"/>
        </w:rPr>
        <w:t> </w:t>
      </w:r>
      <w:r>
        <w:rPr/>
        <w:t>sharp</w:t>
      </w:r>
      <w:r>
        <w:rPr>
          <w:spacing w:val="-3"/>
        </w:rPr>
        <w:t> </w:t>
      </w:r>
      <w:r>
        <w:rPr/>
        <w:t>rise in</w:t>
      </w:r>
      <w:r>
        <w:rPr>
          <w:spacing w:val="-7"/>
        </w:rPr>
        <w:t> </w:t>
      </w:r>
      <w:r>
        <w:rPr/>
        <w:t>2024.</w:t>
      </w:r>
      <w:r>
        <w:rPr>
          <w:spacing w:val="-1"/>
        </w:rPr>
        <w:t> </w:t>
      </w:r>
      <w:r>
        <w:rPr/>
        <w:t>SSE’s</w:t>
      </w:r>
      <w:r>
        <w:rPr>
          <w:spacing w:val="-6"/>
        </w:rPr>
        <w:t> </w:t>
      </w:r>
      <w:r>
        <w:rPr/>
        <w:t>renewables helped avoid 2.1 to 2.5</w:t>
      </w:r>
      <w:r>
        <w:rPr>
          <w:spacing w:val="-2"/>
        </w:rPr>
        <w:t> </w:t>
      </w:r>
      <w:r>
        <w:rPr/>
        <w:t>MtCO₂e annually, about 0.6% of</w:t>
      </w:r>
      <w:r>
        <w:rPr>
          <w:spacing w:val="-1"/>
        </w:rPr>
        <w:t> </w:t>
      </w:r>
      <w:r>
        <w:rPr/>
        <w:t>UK emissions, underscoring its role in national</w:t>
      </w:r>
      <w:r>
        <w:rPr>
          <w:spacing w:val="-1"/>
        </w:rPr>
        <w:t> </w:t>
      </w:r>
      <w:r>
        <w:rPr/>
        <w:t>decarbonisation. The company’s projects align with UK policies like the CfD and Capacity</w:t>
      </w:r>
      <w:r>
        <w:rPr>
          <w:spacing w:val="80"/>
          <w:w w:val="150"/>
        </w:rPr>
        <w:t>   </w:t>
      </w:r>
      <w:r>
        <w:rPr/>
        <w:t>Market,</w:t>
      </w:r>
      <w:r>
        <w:rPr>
          <w:spacing w:val="80"/>
          <w:w w:val="150"/>
        </w:rPr>
        <w:t>   </w:t>
      </w:r>
      <w:r>
        <w:rPr/>
        <w:t>supporting</w:t>
      </w:r>
      <w:r>
        <w:rPr>
          <w:spacing w:val="80"/>
          <w:w w:val="150"/>
        </w:rPr>
        <w:t>   </w:t>
      </w:r>
      <w:r>
        <w:rPr/>
        <w:t>clean</w:t>
      </w:r>
      <w:r>
        <w:rPr>
          <w:spacing w:val="80"/>
          <w:w w:val="150"/>
        </w:rPr>
        <w:t>   </w:t>
      </w:r>
      <w:r>
        <w:rPr/>
        <w:t>energy</w:t>
      </w:r>
      <w:r>
        <w:rPr>
          <w:spacing w:val="80"/>
          <w:w w:val="150"/>
        </w:rPr>
        <w:t>   </w:t>
      </w:r>
      <w:r>
        <w:rPr/>
        <w:t>and</w:t>
      </w:r>
      <w:r>
        <w:rPr>
          <w:spacing w:val="80"/>
          <w:w w:val="150"/>
        </w:rPr>
        <w:t>   </w:t>
      </w:r>
      <w:r>
        <w:rPr/>
        <w:t>grid</w:t>
      </w:r>
      <w:r>
        <w:rPr>
          <w:spacing w:val="80"/>
          <w:w w:val="150"/>
        </w:rPr>
        <w:t>   </w:t>
      </w:r>
      <w:r>
        <w:rPr/>
        <w:t>stability. In 2024, SSE generated 11.2 TWh around 1 in every 13 units of UK renewable electricity highlighting its significant sectoral impact.</w:t>
      </w:r>
    </w:p>
    <w:p>
      <w:pPr>
        <w:pStyle w:val="BodyText"/>
        <w:spacing w:before="33"/>
        <w:ind w:left="0"/>
      </w:pPr>
    </w:p>
    <w:p>
      <w:pPr>
        <w:pStyle w:val="Heading1"/>
        <w:numPr>
          <w:ilvl w:val="0"/>
          <w:numId w:val="3"/>
        </w:numPr>
        <w:tabs>
          <w:tab w:pos="267" w:val="left" w:leader="none"/>
        </w:tabs>
        <w:spacing w:line="240" w:lineRule="auto" w:before="0" w:after="0"/>
        <w:ind w:left="267" w:right="0" w:hanging="244"/>
        <w:jc w:val="left"/>
      </w:pPr>
      <w:bookmarkStart w:name="5. Discussion" w:id="10"/>
      <w:bookmarkEnd w:id="10"/>
      <w:r>
        <w:rPr>
          <w:b w:val="0"/>
        </w:rPr>
      </w:r>
      <w:r>
        <w:rPr>
          <w:spacing w:val="-2"/>
        </w:rPr>
        <w:t>Discussion</w:t>
      </w:r>
    </w:p>
    <w:p>
      <w:pPr>
        <w:pStyle w:val="BodyText"/>
        <w:spacing w:before="58"/>
        <w:ind w:left="0"/>
        <w:rPr>
          <w:b/>
        </w:rPr>
      </w:pPr>
    </w:p>
    <w:p>
      <w:pPr>
        <w:pStyle w:val="BodyText"/>
        <w:spacing w:line="276" w:lineRule="auto"/>
        <w:ind w:right="1011"/>
        <w:jc w:val="both"/>
      </w:pPr>
      <w:r>
        <w:rPr/>
        <w:t>SSE’s renewable electricity output and capacity expanded steadily between 2020 and 2024, supported by</w:t>
      </w:r>
      <w:r>
        <w:rPr>
          <w:spacing w:val="-3"/>
        </w:rPr>
        <w:t> </w:t>
      </w:r>
      <w:r>
        <w:rPr/>
        <w:t>both favourable policy frameworks and significant private investment. Installed capacity</w:t>
      </w:r>
      <w:r>
        <w:rPr>
          <w:spacing w:val="-5"/>
        </w:rPr>
        <w:t> </w:t>
      </w:r>
      <w:r>
        <w:rPr/>
        <w:t>rose from</w:t>
      </w:r>
      <w:r>
        <w:rPr>
          <w:spacing w:val="-5"/>
        </w:rPr>
        <w:t> </w:t>
      </w:r>
      <w:r>
        <w:rPr/>
        <w:t>approximately</w:t>
      </w:r>
      <w:r>
        <w:rPr>
          <w:spacing w:val="-5"/>
        </w:rPr>
        <w:t> </w:t>
      </w:r>
      <w:r>
        <w:rPr/>
        <w:t>3.8 GW in 2020 to 5.2 GW</w:t>
      </w:r>
      <w:r>
        <w:rPr>
          <w:spacing w:val="-2"/>
        </w:rPr>
        <w:t> </w:t>
      </w:r>
      <w:r>
        <w:rPr/>
        <w:t>by</w:t>
      </w:r>
      <w:r>
        <w:rPr>
          <w:spacing w:val="-5"/>
        </w:rPr>
        <w:t> </w:t>
      </w:r>
      <w:r>
        <w:rPr/>
        <w:t>2024, a 37% increase in just four years, consistent with SSE’s reported £12.5 billion low carbon investment programme (SSE</w:t>
      </w:r>
      <w:r>
        <w:rPr>
          <w:spacing w:val="40"/>
        </w:rPr>
        <w:t> </w:t>
      </w:r>
      <w:r>
        <w:rPr/>
        <w:t>Annual</w:t>
      </w:r>
      <w:r>
        <w:rPr>
          <w:spacing w:val="40"/>
        </w:rPr>
        <w:t> </w:t>
      </w:r>
      <w:r>
        <w:rPr/>
        <w:t>Report,</w:t>
      </w:r>
      <w:r>
        <w:rPr>
          <w:spacing w:val="40"/>
        </w:rPr>
        <w:t> </w:t>
      </w:r>
      <w:r>
        <w:rPr/>
        <w:t>2024).</w:t>
      </w:r>
      <w:r>
        <w:rPr>
          <w:spacing w:val="40"/>
        </w:rPr>
        <w:t> </w:t>
      </w:r>
      <w:r>
        <w:rPr/>
        <w:t>Generation</w:t>
      </w:r>
      <w:r>
        <w:rPr>
          <w:spacing w:val="40"/>
        </w:rPr>
        <w:t> </w:t>
      </w:r>
      <w:r>
        <w:rPr/>
        <w:t>volumes</w:t>
      </w:r>
      <w:r>
        <w:rPr>
          <w:spacing w:val="40"/>
        </w:rPr>
        <w:t> </w:t>
      </w:r>
      <w:r>
        <w:rPr/>
        <w:t>fluctuated</w:t>
      </w:r>
      <w:r>
        <w:rPr>
          <w:spacing w:val="40"/>
        </w:rPr>
        <w:t> </w:t>
      </w:r>
      <w:r>
        <w:rPr/>
        <w:t>more</w:t>
      </w:r>
      <w:r>
        <w:rPr>
          <w:spacing w:val="40"/>
        </w:rPr>
        <w:t> </w:t>
      </w:r>
      <w:r>
        <w:rPr/>
        <w:t>modestly,</w:t>
      </w:r>
      <w:r>
        <w:rPr>
          <w:spacing w:val="40"/>
        </w:rPr>
        <w:t> </w:t>
      </w:r>
      <w:r>
        <w:rPr/>
        <w:t>falling</w:t>
      </w:r>
      <w:r>
        <w:rPr>
          <w:spacing w:val="40"/>
        </w:rPr>
        <w:t> </w:t>
      </w:r>
      <w:r>
        <w:rPr/>
        <w:t>from</w:t>
      </w:r>
    </w:p>
    <w:p>
      <w:pPr>
        <w:pStyle w:val="BodyText"/>
        <w:spacing w:after="0" w:line="276" w:lineRule="auto"/>
        <w:jc w:val="both"/>
        <w:sectPr>
          <w:type w:val="continuous"/>
          <w:pgSz w:w="11910" w:h="16840"/>
          <w:pgMar w:header="0" w:footer="1064" w:top="1400" w:bottom="1260" w:left="1417" w:right="425"/>
        </w:sectPr>
      </w:pPr>
    </w:p>
    <w:p>
      <w:pPr>
        <w:pStyle w:val="BodyText"/>
        <w:spacing w:line="276" w:lineRule="auto" w:before="74"/>
        <w:ind w:right="1009"/>
        <w:jc w:val="both"/>
      </w:pPr>
      <w:r>
        <w:rPr/>
        <w:t>11,442 GWh in 2020 to 9,496 GWh in 2022 before recovering to 11,158 GWh in 2024. The temporary decline in 2021 2022 was driven largely by unusually weak wind conditions, mirroring national trends: UK onshore and offshore wind generation fell by 15% in 2021 despite capacity growth, due to the lowest average wind speeds in a decade (Carbon Brief, 2022;</w:t>
      </w:r>
      <w:r>
        <w:rPr>
          <w:spacing w:val="-11"/>
        </w:rPr>
        <w:t> </w:t>
      </w:r>
      <w:r>
        <w:rPr/>
        <w:t>National</w:t>
      </w:r>
      <w:r>
        <w:rPr>
          <w:spacing w:val="-15"/>
        </w:rPr>
        <w:t> </w:t>
      </w:r>
      <w:r>
        <w:rPr/>
        <w:t>Grid</w:t>
      </w:r>
      <w:r>
        <w:rPr>
          <w:spacing w:val="-7"/>
        </w:rPr>
        <w:t> </w:t>
      </w:r>
      <w:r>
        <w:rPr/>
        <w:t>ESO,</w:t>
      </w:r>
      <w:r>
        <w:rPr>
          <w:spacing w:val="-10"/>
        </w:rPr>
        <w:t> </w:t>
      </w:r>
      <w:r>
        <w:rPr/>
        <w:t>2023).</w:t>
      </w:r>
      <w:r>
        <w:rPr>
          <w:spacing w:val="-9"/>
        </w:rPr>
        <w:t> </w:t>
      </w:r>
      <w:r>
        <w:rPr/>
        <w:t>Recovery</w:t>
      </w:r>
      <w:r>
        <w:rPr>
          <w:spacing w:val="-12"/>
        </w:rPr>
        <w:t> </w:t>
      </w:r>
      <w:r>
        <w:rPr/>
        <w:t>in</w:t>
      </w:r>
      <w:r>
        <w:rPr>
          <w:spacing w:val="-12"/>
        </w:rPr>
        <w:t> </w:t>
      </w:r>
      <w:r>
        <w:rPr/>
        <w:t>2023</w:t>
      </w:r>
      <w:r>
        <w:rPr>
          <w:spacing w:val="-3"/>
        </w:rPr>
        <w:t> </w:t>
      </w:r>
      <w:r>
        <w:rPr/>
        <w:t>2024</w:t>
      </w:r>
      <w:r>
        <w:rPr>
          <w:spacing w:val="-12"/>
        </w:rPr>
        <w:t> </w:t>
      </w:r>
      <w:r>
        <w:rPr/>
        <w:t>coincided</w:t>
      </w:r>
      <w:r>
        <w:rPr>
          <w:spacing w:val="-7"/>
        </w:rPr>
        <w:t> </w:t>
      </w:r>
      <w:r>
        <w:rPr/>
        <w:t>with</w:t>
      </w:r>
      <w:r>
        <w:rPr>
          <w:spacing w:val="-12"/>
        </w:rPr>
        <w:t> </w:t>
      </w:r>
      <w:r>
        <w:rPr/>
        <w:t>the</w:t>
      </w:r>
      <w:r>
        <w:rPr>
          <w:spacing w:val="-8"/>
        </w:rPr>
        <w:t> </w:t>
      </w:r>
      <w:r>
        <w:rPr/>
        <w:t>commissioning</w:t>
      </w:r>
      <w:r>
        <w:rPr>
          <w:spacing w:val="-7"/>
        </w:rPr>
        <w:t> </w:t>
      </w:r>
      <w:r>
        <w:rPr/>
        <w:t>of the 1.1 GW Seagreen offshore wind farm and upgrades at sites such as Beatrice and Viking, which helped offset weather related variability</w:t>
      </w:r>
      <w:r>
        <w:rPr>
          <w:spacing w:val="-3"/>
        </w:rPr>
        <w:t> </w:t>
      </w:r>
      <w:r>
        <w:rPr/>
        <w:t>and set the stage for sustained output growth.</w:t>
      </w:r>
    </w:p>
    <w:p>
      <w:pPr>
        <w:pStyle w:val="BodyText"/>
        <w:spacing w:line="278" w:lineRule="auto" w:before="246"/>
        <w:ind w:right="902"/>
      </w:pPr>
      <w:r>
        <w:rPr/>
        <w:t>The carbon implications of</w:t>
      </w:r>
      <w:r>
        <w:rPr>
          <w:spacing w:val="-5"/>
        </w:rPr>
        <w:t> </w:t>
      </w:r>
      <w:r>
        <w:rPr/>
        <w:t>this generation</w:t>
      </w:r>
      <w:r>
        <w:rPr>
          <w:spacing w:val="-2"/>
        </w:rPr>
        <w:t> </w:t>
      </w:r>
      <w:r>
        <w:rPr/>
        <w:t>are substantial. Using UK</w:t>
      </w:r>
      <w:r>
        <w:rPr>
          <w:spacing w:val="-3"/>
        </w:rPr>
        <w:t> </w:t>
      </w:r>
      <w:r>
        <w:rPr/>
        <w:t>Government greenhouse gas conversion factors for</w:t>
      </w:r>
      <w:r>
        <w:rPr>
          <w:spacing w:val="33"/>
        </w:rPr>
        <w:t> </w:t>
      </w:r>
      <w:r>
        <w:rPr/>
        <w:t>electricity,</w:t>
      </w:r>
      <w:r>
        <w:rPr>
          <w:spacing w:val="34"/>
        </w:rPr>
        <w:t> </w:t>
      </w:r>
      <w:r>
        <w:rPr/>
        <w:t>SSE’s operations are estimated to</w:t>
      </w:r>
      <w:r>
        <w:rPr>
          <w:spacing w:val="38"/>
        </w:rPr>
        <w:t> </w:t>
      </w:r>
      <w:r>
        <w:rPr/>
        <w:t>have avoided 11.8 million</w:t>
      </w:r>
      <w:r>
        <w:rPr>
          <w:spacing w:val="40"/>
        </w:rPr>
        <w:t> </w:t>
      </w:r>
      <w:r>
        <w:rPr/>
        <w:t>tonnes</w:t>
      </w:r>
      <w:r>
        <w:rPr>
          <w:spacing w:val="40"/>
        </w:rPr>
        <w:t> </w:t>
      </w:r>
      <w:r>
        <w:rPr/>
        <w:t>of</w:t>
      </w:r>
      <w:r>
        <w:rPr>
          <w:spacing w:val="40"/>
        </w:rPr>
        <w:t> </w:t>
      </w:r>
      <w:r>
        <w:rPr/>
        <w:t>CO₂</w:t>
      </w:r>
      <w:r>
        <w:rPr>
          <w:spacing w:val="40"/>
        </w:rPr>
        <w:t> </w:t>
      </w:r>
      <w:r>
        <w:rPr/>
        <w:t>equivalent</w:t>
      </w:r>
      <w:r>
        <w:rPr>
          <w:spacing w:val="40"/>
        </w:rPr>
        <w:t> </w:t>
      </w:r>
      <w:r>
        <w:rPr/>
        <w:t>(MtCO₂e)</w:t>
      </w:r>
      <w:r>
        <w:rPr>
          <w:spacing w:val="40"/>
        </w:rPr>
        <w:t> </w:t>
      </w:r>
      <w:r>
        <w:rPr/>
        <w:t>over</w:t>
      </w:r>
      <w:r>
        <w:rPr>
          <w:spacing w:val="40"/>
        </w:rPr>
        <w:t> </w:t>
      </w:r>
      <w:r>
        <w:rPr/>
        <w:t>the</w:t>
      </w:r>
      <w:r>
        <w:rPr>
          <w:spacing w:val="40"/>
        </w:rPr>
        <w:t> </w:t>
      </w:r>
      <w:r>
        <w:rPr/>
        <w:t>five</w:t>
      </w:r>
      <w:r>
        <w:rPr>
          <w:spacing w:val="77"/>
        </w:rPr>
        <w:t> </w:t>
      </w:r>
      <w:r>
        <w:rPr/>
        <w:t>year</w:t>
      </w:r>
      <w:r>
        <w:rPr>
          <w:spacing w:val="40"/>
        </w:rPr>
        <w:t> </w:t>
      </w:r>
      <w:r>
        <w:rPr/>
        <w:t>period.</w:t>
      </w:r>
      <w:r>
        <w:rPr>
          <w:spacing w:val="40"/>
        </w:rPr>
        <w:t> </w:t>
      </w:r>
      <w:r>
        <w:rPr/>
        <w:t>Annual</w:t>
      </w:r>
      <w:r>
        <w:rPr>
          <w:spacing w:val="40"/>
        </w:rPr>
        <w:t> </w:t>
      </w:r>
      <w:r>
        <w:rPr/>
        <w:t>avoided</w:t>
      </w:r>
      <w:r>
        <w:rPr>
          <w:spacing w:val="40"/>
        </w:rPr>
        <w:t> </w:t>
      </w:r>
      <w:r>
        <w:rPr/>
        <w:t>emissions</w:t>
      </w:r>
      <w:r>
        <w:rPr>
          <w:spacing w:val="34"/>
        </w:rPr>
        <w:t> </w:t>
      </w:r>
      <w:r>
        <w:rPr/>
        <w:t>ranged</w:t>
      </w:r>
      <w:r>
        <w:rPr>
          <w:spacing w:val="40"/>
        </w:rPr>
        <w:t> </w:t>
      </w:r>
      <w:r>
        <w:rPr/>
        <w:t>from</w:t>
      </w:r>
      <w:r>
        <w:rPr>
          <w:spacing w:val="27"/>
        </w:rPr>
        <w:t> </w:t>
      </w:r>
      <w:r>
        <w:rPr/>
        <w:t>a</w:t>
      </w:r>
      <w:r>
        <w:rPr>
          <w:spacing w:val="35"/>
        </w:rPr>
        <w:t> </w:t>
      </w:r>
      <w:r>
        <w:rPr/>
        <w:t>low</w:t>
      </w:r>
      <w:r>
        <w:rPr>
          <w:spacing w:val="31"/>
        </w:rPr>
        <w:t> </w:t>
      </w:r>
      <w:r>
        <w:rPr/>
        <w:t>of</w:t>
      </w:r>
      <w:r>
        <w:rPr>
          <w:spacing w:val="28"/>
        </w:rPr>
        <w:t> </w:t>
      </w:r>
      <w:r>
        <w:rPr/>
        <w:t>2.14</w:t>
      </w:r>
      <w:r>
        <w:rPr>
          <w:spacing w:val="31"/>
        </w:rPr>
        <w:t> </w:t>
      </w:r>
      <w:r>
        <w:rPr/>
        <w:t>MtCO₂e</w:t>
      </w:r>
      <w:r>
        <w:rPr>
          <w:spacing w:val="30"/>
        </w:rPr>
        <w:t> </w:t>
      </w:r>
      <w:r>
        <w:rPr/>
        <w:t>in</w:t>
      </w:r>
      <w:r>
        <w:rPr>
          <w:spacing w:val="36"/>
        </w:rPr>
        <w:t> </w:t>
      </w:r>
      <w:r>
        <w:rPr/>
        <w:t>2022</w:t>
      </w:r>
      <w:r>
        <w:rPr>
          <w:spacing w:val="27"/>
        </w:rPr>
        <w:t> </w:t>
      </w:r>
      <w:r>
        <w:rPr/>
        <w:t>to</w:t>
      </w:r>
      <w:r>
        <w:rPr>
          <w:spacing w:val="37"/>
        </w:rPr>
        <w:t> </w:t>
      </w:r>
      <w:r>
        <w:rPr/>
        <w:t>a</w:t>
      </w:r>
      <w:r>
        <w:rPr>
          <w:spacing w:val="31"/>
        </w:rPr>
        <w:t> </w:t>
      </w:r>
      <w:r>
        <w:rPr/>
        <w:t>high</w:t>
      </w:r>
      <w:r>
        <w:rPr>
          <w:spacing w:val="31"/>
        </w:rPr>
        <w:t> </w:t>
      </w:r>
      <w:r>
        <w:rPr/>
        <w:t>of</w:t>
      </w:r>
      <w:r>
        <w:rPr>
          <w:spacing w:val="28"/>
        </w:rPr>
        <w:t> </w:t>
      </w:r>
      <w:r>
        <w:rPr/>
        <w:t>2.57</w:t>
      </w:r>
      <w:r>
        <w:rPr>
          <w:spacing w:val="36"/>
        </w:rPr>
        <w:t> </w:t>
      </w:r>
      <w:r>
        <w:rPr/>
        <w:t>MtCO₂e</w:t>
      </w:r>
      <w:r>
        <w:rPr>
          <w:spacing w:val="35"/>
        </w:rPr>
        <w:t> </w:t>
      </w:r>
      <w:r>
        <w:rPr/>
        <w:t>in</w:t>
      </w:r>
      <w:r>
        <w:rPr>
          <w:spacing w:val="31"/>
        </w:rPr>
        <w:t> </w:t>
      </w:r>
      <w:r>
        <w:rPr/>
        <w:t>2020, reflecting</w:t>
      </w:r>
      <w:r>
        <w:rPr>
          <w:spacing w:val="-15"/>
        </w:rPr>
        <w:t> </w:t>
      </w:r>
      <w:r>
        <w:rPr/>
        <w:t>the</w:t>
      </w:r>
      <w:r>
        <w:rPr>
          <w:spacing w:val="-15"/>
        </w:rPr>
        <w:t> </w:t>
      </w:r>
      <w:r>
        <w:rPr/>
        <w:t>relationship</w:t>
      </w:r>
      <w:r>
        <w:rPr>
          <w:spacing w:val="-15"/>
        </w:rPr>
        <w:t> </w:t>
      </w:r>
      <w:r>
        <w:rPr/>
        <w:t>between</w:t>
      </w:r>
      <w:r>
        <w:rPr>
          <w:spacing w:val="-15"/>
        </w:rPr>
        <w:t> </w:t>
      </w:r>
      <w:r>
        <w:rPr/>
        <w:t>generation</w:t>
      </w:r>
      <w:r>
        <w:rPr>
          <w:spacing w:val="-15"/>
        </w:rPr>
        <w:t> </w:t>
      </w:r>
      <w:r>
        <w:rPr/>
        <w:t>volume</w:t>
      </w:r>
      <w:r>
        <w:rPr>
          <w:spacing w:val="-15"/>
        </w:rPr>
        <w:t> </w:t>
      </w:r>
      <w:r>
        <w:rPr/>
        <w:t>and</w:t>
      </w:r>
      <w:r>
        <w:rPr>
          <w:spacing w:val="-13"/>
        </w:rPr>
        <w:t> </w:t>
      </w:r>
      <w:r>
        <w:rPr/>
        <w:t>emissions</w:t>
      </w:r>
      <w:r>
        <w:rPr>
          <w:spacing w:val="-15"/>
        </w:rPr>
        <w:t> </w:t>
      </w:r>
      <w:r>
        <w:rPr/>
        <w:t>displacement.</w:t>
      </w:r>
      <w:r>
        <w:rPr>
          <w:spacing w:val="-15"/>
        </w:rPr>
        <w:t> </w:t>
      </w:r>
      <w:r>
        <w:rPr/>
        <w:t>For</w:t>
      </w:r>
      <w:r>
        <w:rPr>
          <w:spacing w:val="-15"/>
        </w:rPr>
        <w:t> </w:t>
      </w:r>
      <w:r>
        <w:rPr/>
        <w:t>context, the UK’s territorial greenhouse gas emissions stood at 405 MtCO₂e in 2022 (DESNZ, 2023), meaning</w:t>
      </w:r>
      <w:r>
        <w:rPr>
          <w:spacing w:val="-3"/>
        </w:rPr>
        <w:t> </w:t>
      </w:r>
      <w:r>
        <w:rPr/>
        <w:t>SSE’s</w:t>
      </w:r>
      <w:r>
        <w:rPr>
          <w:spacing w:val="-5"/>
        </w:rPr>
        <w:t> </w:t>
      </w:r>
      <w:r>
        <w:rPr/>
        <w:t>output</w:t>
      </w:r>
      <w:r>
        <w:rPr>
          <w:spacing w:val="-2"/>
        </w:rPr>
        <w:t> </w:t>
      </w:r>
      <w:r>
        <w:rPr/>
        <w:t>alone</w:t>
      </w:r>
      <w:r>
        <w:rPr>
          <w:spacing w:val="-4"/>
        </w:rPr>
        <w:t> </w:t>
      </w:r>
      <w:r>
        <w:rPr/>
        <w:t>accounted</w:t>
      </w:r>
      <w:r>
        <w:rPr>
          <w:spacing w:val="-3"/>
        </w:rPr>
        <w:t> </w:t>
      </w:r>
      <w:r>
        <w:rPr/>
        <w:t>for</w:t>
      </w:r>
      <w:r>
        <w:rPr>
          <w:spacing w:val="-6"/>
        </w:rPr>
        <w:t> </w:t>
      </w:r>
      <w:r>
        <w:rPr/>
        <w:t>roughly</w:t>
      </w:r>
      <w:r>
        <w:rPr>
          <w:spacing w:val="-3"/>
        </w:rPr>
        <w:t> </w:t>
      </w:r>
      <w:r>
        <w:rPr/>
        <w:t>0.5</w:t>
      </w:r>
      <w:r>
        <w:rPr>
          <w:spacing w:val="-3"/>
        </w:rPr>
        <w:t> </w:t>
      </w:r>
      <w:r>
        <w:rPr/>
        <w:t>0.6%</w:t>
      </w:r>
      <w:r>
        <w:rPr>
          <w:spacing w:val="-11"/>
        </w:rPr>
        <w:t> </w:t>
      </w:r>
      <w:r>
        <w:rPr/>
        <w:t>of</w:t>
      </w:r>
      <w:r>
        <w:rPr>
          <w:spacing w:val="-11"/>
        </w:rPr>
        <w:t> </w:t>
      </w:r>
      <w:r>
        <w:rPr/>
        <w:t>the</w:t>
      </w:r>
      <w:r>
        <w:rPr>
          <w:spacing w:val="-4"/>
        </w:rPr>
        <w:t> </w:t>
      </w:r>
      <w:r>
        <w:rPr/>
        <w:t>country’s</w:t>
      </w:r>
      <w:r>
        <w:rPr>
          <w:spacing w:val="-5"/>
        </w:rPr>
        <w:t> </w:t>
      </w:r>
      <w:r>
        <w:rPr/>
        <w:t>annual</w:t>
      </w:r>
      <w:r>
        <w:rPr>
          <w:spacing w:val="-12"/>
        </w:rPr>
        <w:t> </w:t>
      </w:r>
      <w:r>
        <w:rPr/>
        <w:t>emissions reductions.</w:t>
      </w:r>
      <w:r>
        <w:rPr>
          <w:spacing w:val="40"/>
        </w:rPr>
        <w:t> </w:t>
      </w:r>
      <w:r>
        <w:rPr/>
        <w:t>These</w:t>
      </w:r>
      <w:r>
        <w:rPr>
          <w:spacing w:val="40"/>
        </w:rPr>
        <w:t> </w:t>
      </w:r>
      <w:r>
        <w:rPr/>
        <w:t>findings</w:t>
      </w:r>
      <w:r>
        <w:rPr>
          <w:spacing w:val="40"/>
        </w:rPr>
        <w:t> </w:t>
      </w:r>
      <w:r>
        <w:rPr/>
        <w:t>align</w:t>
      </w:r>
      <w:r>
        <w:rPr>
          <w:spacing w:val="38"/>
        </w:rPr>
        <w:t> </w:t>
      </w:r>
      <w:r>
        <w:rPr/>
        <w:t>with</w:t>
      </w:r>
      <w:r>
        <w:rPr>
          <w:spacing w:val="40"/>
        </w:rPr>
        <w:t> </w:t>
      </w:r>
      <w:r>
        <w:rPr/>
        <w:t>national</w:t>
      </w:r>
      <w:r>
        <w:rPr>
          <w:spacing w:val="39"/>
        </w:rPr>
        <w:t> </w:t>
      </w:r>
      <w:r>
        <w:rPr/>
        <w:t>decarbonisation</w:t>
      </w:r>
      <w:r>
        <w:rPr>
          <w:spacing w:val="38"/>
        </w:rPr>
        <w:t> </w:t>
      </w:r>
      <w:r>
        <w:rPr/>
        <w:t>data</w:t>
      </w:r>
      <w:r>
        <w:rPr>
          <w:spacing w:val="40"/>
        </w:rPr>
        <w:t> </w:t>
      </w:r>
      <w:r>
        <w:rPr/>
        <w:t>showing</w:t>
      </w:r>
      <w:r>
        <w:rPr>
          <w:spacing w:val="40"/>
        </w:rPr>
        <w:t> </w:t>
      </w:r>
      <w:r>
        <w:rPr/>
        <w:t>that</w:t>
      </w:r>
      <w:r>
        <w:rPr>
          <w:spacing w:val="40"/>
        </w:rPr>
        <w:t> </w:t>
      </w:r>
      <w:r>
        <w:rPr/>
        <w:t>UK</w:t>
      </w:r>
      <w:r>
        <w:rPr>
          <w:spacing w:val="37"/>
        </w:rPr>
        <w:t> </w:t>
      </w:r>
      <w:r>
        <w:rPr/>
        <w:t>grid carbon intensity fell to 124 gCO₂/kWh in 2024, down 70% from 2014 levels (Carbon Brief, </w:t>
      </w:r>
      <w:r>
        <w:rPr>
          <w:spacing w:val="-2"/>
        </w:rPr>
        <w:t>2025).</w:t>
      </w:r>
    </w:p>
    <w:p>
      <w:pPr>
        <w:pStyle w:val="BodyText"/>
        <w:spacing w:line="278" w:lineRule="auto" w:before="246"/>
        <w:ind w:right="1007"/>
        <w:jc w:val="both"/>
      </w:pPr>
      <w:r>
        <w:rPr/>
        <w:t>SSE also maintained a significant share of the national renewable electricity mix, supplying between 6.7% and 8.4% of UK renewable output during the study period. In 2024, SSE contributed 11.16 TWh of</w:t>
      </w:r>
      <w:r>
        <w:rPr>
          <w:spacing w:val="-2"/>
        </w:rPr>
        <w:t> </w:t>
      </w:r>
      <w:r>
        <w:rPr/>
        <w:t>renewable generation against a UK total</w:t>
      </w:r>
      <w:r>
        <w:rPr>
          <w:spacing w:val="-4"/>
        </w:rPr>
        <w:t> </w:t>
      </w:r>
      <w:r>
        <w:rPr/>
        <w:t>of</w:t>
      </w:r>
      <w:r>
        <w:rPr>
          <w:spacing w:val="-2"/>
        </w:rPr>
        <w:t> </w:t>
      </w:r>
      <w:r>
        <w:rPr/>
        <w:t>150.8 TWh, equivalent to powering roughly three million homes (DESNZ, 2024). Although SSE’s market share dipped slightly in 2022 as overall UK</w:t>
      </w:r>
      <w:r>
        <w:rPr>
          <w:spacing w:val="-1"/>
        </w:rPr>
        <w:t> </w:t>
      </w:r>
      <w:r>
        <w:rPr/>
        <w:t>renewable generation expanded to a record 139.8 TWh (Ember, 2023), it rebounded to 7.43% in 2024, reflecting successful project delivery and capacity expansion.</w:t>
      </w:r>
    </w:p>
    <w:p>
      <w:pPr>
        <w:pStyle w:val="BodyText"/>
        <w:spacing w:line="278" w:lineRule="auto" w:before="246"/>
        <w:ind w:right="902"/>
      </w:pPr>
      <w:r>
        <w:rPr/>
        <w:t>These</w:t>
      </w:r>
      <w:r>
        <w:rPr>
          <w:spacing w:val="40"/>
        </w:rPr>
        <w:t> </w:t>
      </w:r>
      <w:r>
        <w:rPr/>
        <w:t>results</w:t>
      </w:r>
      <w:r>
        <w:rPr>
          <w:spacing w:val="39"/>
        </w:rPr>
        <w:t> </w:t>
      </w:r>
      <w:r>
        <w:rPr/>
        <w:t>underscore</w:t>
      </w:r>
      <w:r>
        <w:rPr>
          <w:spacing w:val="35"/>
        </w:rPr>
        <w:t> </w:t>
      </w:r>
      <w:r>
        <w:rPr/>
        <w:t>the</w:t>
      </w:r>
      <w:r>
        <w:rPr>
          <w:spacing w:val="40"/>
        </w:rPr>
        <w:t> </w:t>
      </w:r>
      <w:r>
        <w:rPr/>
        <w:t>pivotal</w:t>
      </w:r>
      <w:r>
        <w:rPr>
          <w:spacing w:val="32"/>
        </w:rPr>
        <w:t> </w:t>
      </w:r>
      <w:r>
        <w:rPr/>
        <w:t>role</w:t>
      </w:r>
      <w:r>
        <w:rPr>
          <w:spacing w:val="40"/>
        </w:rPr>
        <w:t> </w:t>
      </w:r>
      <w:r>
        <w:rPr/>
        <w:t>of</w:t>
      </w:r>
      <w:r>
        <w:rPr>
          <w:spacing w:val="33"/>
        </w:rPr>
        <w:t> </w:t>
      </w:r>
      <w:r>
        <w:rPr/>
        <w:t>private</w:t>
      </w:r>
      <w:r>
        <w:rPr>
          <w:spacing w:val="40"/>
        </w:rPr>
        <w:t> </w:t>
      </w:r>
      <w:r>
        <w:rPr/>
        <w:t>utilities</w:t>
      </w:r>
      <w:r>
        <w:rPr>
          <w:spacing w:val="40"/>
        </w:rPr>
        <w:t> </w:t>
      </w:r>
      <w:r>
        <w:rPr/>
        <w:t>in</w:t>
      </w:r>
      <w:r>
        <w:rPr>
          <w:spacing w:val="36"/>
        </w:rPr>
        <w:t> </w:t>
      </w:r>
      <w:r>
        <w:rPr/>
        <w:t>achieving</w:t>
      </w:r>
      <w:r>
        <w:rPr>
          <w:spacing w:val="40"/>
        </w:rPr>
        <w:t> </w:t>
      </w:r>
      <w:r>
        <w:rPr/>
        <w:t>the</w:t>
      </w:r>
      <w:r>
        <w:rPr>
          <w:spacing w:val="40"/>
        </w:rPr>
        <w:t> </w:t>
      </w:r>
      <w:r>
        <w:rPr/>
        <w:t>UK’s</w:t>
      </w:r>
      <w:r>
        <w:rPr>
          <w:spacing w:val="40"/>
        </w:rPr>
        <w:t> </w:t>
      </w:r>
      <w:r>
        <w:rPr/>
        <w:t>legally binding</w:t>
      </w:r>
      <w:r>
        <w:rPr>
          <w:spacing w:val="-2"/>
        </w:rPr>
        <w:t> </w:t>
      </w:r>
      <w:r>
        <w:rPr/>
        <w:t>climate</w:t>
      </w:r>
      <w:r>
        <w:rPr>
          <w:spacing w:val="-8"/>
        </w:rPr>
        <w:t> </w:t>
      </w:r>
      <w:r>
        <w:rPr/>
        <w:t>targets.</w:t>
      </w:r>
      <w:r>
        <w:rPr>
          <w:spacing w:val="-4"/>
        </w:rPr>
        <w:t> </w:t>
      </w:r>
      <w:r>
        <w:rPr/>
        <w:t>SSE’s</w:t>
      </w:r>
      <w:r>
        <w:rPr>
          <w:spacing w:val="-4"/>
        </w:rPr>
        <w:t> </w:t>
      </w:r>
      <w:r>
        <w:rPr/>
        <w:t>£24</w:t>
      </w:r>
      <w:r>
        <w:rPr>
          <w:spacing w:val="-2"/>
        </w:rPr>
        <w:t> </w:t>
      </w:r>
      <w:r>
        <w:rPr/>
        <w:t>billion</w:t>
      </w:r>
      <w:r>
        <w:rPr>
          <w:spacing w:val="-7"/>
        </w:rPr>
        <w:t> </w:t>
      </w:r>
      <w:r>
        <w:rPr/>
        <w:t>clean</w:t>
      </w:r>
      <w:r>
        <w:rPr>
          <w:spacing w:val="-5"/>
        </w:rPr>
        <w:t> </w:t>
      </w:r>
      <w:r>
        <w:rPr/>
        <w:t>energy</w:t>
      </w:r>
      <w:r>
        <w:rPr>
          <w:spacing w:val="-7"/>
        </w:rPr>
        <w:t> </w:t>
      </w:r>
      <w:r>
        <w:rPr/>
        <w:t>investment plan</w:t>
      </w:r>
      <w:r>
        <w:rPr>
          <w:spacing w:val="-7"/>
        </w:rPr>
        <w:t> </w:t>
      </w:r>
      <w:r>
        <w:rPr/>
        <w:t>through</w:t>
      </w:r>
      <w:r>
        <w:rPr>
          <w:spacing w:val="-7"/>
        </w:rPr>
        <w:t> </w:t>
      </w:r>
      <w:r>
        <w:rPr/>
        <w:t>2030</w:t>
      </w:r>
      <w:r>
        <w:rPr>
          <w:spacing w:val="-7"/>
        </w:rPr>
        <w:t> </w:t>
      </w:r>
      <w:r>
        <w:rPr/>
        <w:t>supports the</w:t>
      </w:r>
      <w:r>
        <w:rPr>
          <w:spacing w:val="-15"/>
        </w:rPr>
        <w:t> </w:t>
      </w:r>
      <w:r>
        <w:rPr/>
        <w:t>government’s</w:t>
      </w:r>
      <w:r>
        <w:rPr>
          <w:spacing w:val="-15"/>
        </w:rPr>
        <w:t> </w:t>
      </w:r>
      <w:r>
        <w:rPr/>
        <w:t>ambitions</w:t>
      </w:r>
      <w:r>
        <w:rPr>
          <w:spacing w:val="-15"/>
        </w:rPr>
        <w:t> </w:t>
      </w:r>
      <w:r>
        <w:rPr/>
        <w:t>of</w:t>
      </w:r>
      <w:r>
        <w:rPr>
          <w:spacing w:val="-20"/>
        </w:rPr>
        <w:t> </w:t>
      </w:r>
      <w:r>
        <w:rPr/>
        <w:t>50</w:t>
      </w:r>
      <w:r>
        <w:rPr>
          <w:spacing w:val="-15"/>
        </w:rPr>
        <w:t> </w:t>
      </w:r>
      <w:r>
        <w:rPr/>
        <w:t>GW</w:t>
      </w:r>
      <w:r>
        <w:rPr>
          <w:spacing w:val="-18"/>
        </w:rPr>
        <w:t> </w:t>
      </w:r>
      <w:r>
        <w:rPr/>
        <w:t>offshore</w:t>
      </w:r>
      <w:r>
        <w:rPr>
          <w:spacing w:val="-15"/>
        </w:rPr>
        <w:t> </w:t>
      </w:r>
      <w:r>
        <w:rPr/>
        <w:t>wind</w:t>
      </w:r>
      <w:r>
        <w:rPr>
          <w:spacing w:val="-15"/>
        </w:rPr>
        <w:t> </w:t>
      </w:r>
      <w:r>
        <w:rPr/>
        <w:t>and</w:t>
      </w:r>
      <w:r>
        <w:rPr>
          <w:spacing w:val="-15"/>
        </w:rPr>
        <w:t> </w:t>
      </w:r>
      <w:r>
        <w:rPr/>
        <w:t>70</w:t>
      </w:r>
      <w:r>
        <w:rPr>
          <w:spacing w:val="-15"/>
        </w:rPr>
        <w:t> </w:t>
      </w:r>
      <w:r>
        <w:rPr/>
        <w:t>GW</w:t>
      </w:r>
      <w:r>
        <w:rPr>
          <w:spacing w:val="-18"/>
        </w:rPr>
        <w:t> </w:t>
      </w:r>
      <w:r>
        <w:rPr/>
        <w:t>solar</w:t>
      </w:r>
      <w:r>
        <w:rPr>
          <w:spacing w:val="-15"/>
        </w:rPr>
        <w:t> </w:t>
      </w:r>
      <w:r>
        <w:rPr/>
        <w:t>by</w:t>
      </w:r>
      <w:r>
        <w:rPr>
          <w:spacing w:val="-17"/>
        </w:rPr>
        <w:t> </w:t>
      </w:r>
      <w:r>
        <w:rPr/>
        <w:t>2035</w:t>
      </w:r>
      <w:r>
        <w:rPr>
          <w:spacing w:val="-14"/>
        </w:rPr>
        <w:t> </w:t>
      </w:r>
      <w:r>
        <w:rPr/>
        <w:t>(DESNZ,</w:t>
      </w:r>
      <w:r>
        <w:rPr>
          <w:spacing w:val="-12"/>
        </w:rPr>
        <w:t> </w:t>
      </w:r>
      <w:r>
        <w:rPr/>
        <w:t>2024). Empirical</w:t>
      </w:r>
      <w:r>
        <w:rPr>
          <w:spacing w:val="40"/>
        </w:rPr>
        <w:t> </w:t>
      </w:r>
      <w:r>
        <w:rPr/>
        <w:t>evidence</w:t>
      </w:r>
      <w:r>
        <w:rPr>
          <w:spacing w:val="40"/>
        </w:rPr>
        <w:t> </w:t>
      </w:r>
      <w:r>
        <w:rPr/>
        <w:t>from</w:t>
      </w:r>
      <w:r>
        <w:rPr>
          <w:spacing w:val="40"/>
        </w:rPr>
        <w:t> </w:t>
      </w:r>
      <w:r>
        <w:rPr/>
        <w:t>the</w:t>
      </w:r>
      <w:r>
        <w:rPr>
          <w:spacing w:val="40"/>
        </w:rPr>
        <w:t> </w:t>
      </w:r>
      <w:r>
        <w:rPr/>
        <w:t>UK’s</w:t>
      </w:r>
      <w:r>
        <w:rPr>
          <w:spacing w:val="40"/>
        </w:rPr>
        <w:t> </w:t>
      </w:r>
      <w:r>
        <w:rPr/>
        <w:t>Contracts</w:t>
      </w:r>
      <w:r>
        <w:rPr>
          <w:spacing w:val="40"/>
        </w:rPr>
        <w:t> </w:t>
      </w:r>
      <w:r>
        <w:rPr/>
        <w:t>for</w:t>
      </w:r>
      <w:r>
        <w:rPr>
          <w:spacing w:val="40"/>
        </w:rPr>
        <w:t> </w:t>
      </w:r>
      <w:r>
        <w:rPr/>
        <w:t>Difference</w:t>
      </w:r>
      <w:r>
        <w:rPr>
          <w:spacing w:val="40"/>
        </w:rPr>
        <w:t> </w:t>
      </w:r>
      <w:r>
        <w:rPr/>
        <w:t>(CfD)</w:t>
      </w:r>
      <w:r>
        <w:rPr>
          <w:spacing w:val="40"/>
        </w:rPr>
        <w:t> </w:t>
      </w:r>
      <w:r>
        <w:rPr/>
        <w:t>Allocation</w:t>
      </w:r>
      <w:r>
        <w:rPr>
          <w:spacing w:val="40"/>
        </w:rPr>
        <w:t> </w:t>
      </w:r>
      <w:r>
        <w:rPr/>
        <w:t>Round</w:t>
      </w:r>
      <w:r>
        <w:rPr>
          <w:spacing w:val="40"/>
        </w:rPr>
        <w:t> </w:t>
      </w:r>
      <w:r>
        <w:rPr/>
        <w:t>6</w:t>
      </w:r>
      <w:r>
        <w:rPr>
          <w:spacing w:val="40"/>
        </w:rPr>
        <w:t> </w:t>
      </w:r>
      <w:r>
        <w:rPr/>
        <w:t>awarding</w:t>
      </w:r>
      <w:r>
        <w:rPr>
          <w:spacing w:val="-9"/>
        </w:rPr>
        <w:t> </w:t>
      </w:r>
      <w:r>
        <w:rPr/>
        <w:t>4.5</w:t>
      </w:r>
      <w:r>
        <w:rPr>
          <w:spacing w:val="-9"/>
        </w:rPr>
        <w:t> </w:t>
      </w:r>
      <w:r>
        <w:rPr/>
        <w:t>GW</w:t>
      </w:r>
      <w:r>
        <w:rPr>
          <w:spacing w:val="-16"/>
        </w:rPr>
        <w:t> </w:t>
      </w:r>
      <w:r>
        <w:rPr/>
        <w:t>of</w:t>
      </w:r>
      <w:r>
        <w:rPr>
          <w:spacing w:val="-14"/>
        </w:rPr>
        <w:t> </w:t>
      </w:r>
      <w:r>
        <w:rPr/>
        <w:t>low</w:t>
      </w:r>
      <w:r>
        <w:rPr>
          <w:spacing w:val="-8"/>
        </w:rPr>
        <w:t> </w:t>
      </w:r>
      <w:r>
        <w:rPr/>
        <w:t>carbon</w:t>
      </w:r>
      <w:r>
        <w:rPr>
          <w:spacing w:val="-15"/>
        </w:rPr>
        <w:t> </w:t>
      </w:r>
      <w:r>
        <w:rPr/>
        <w:t>capacity</w:t>
      </w:r>
      <w:r>
        <w:rPr>
          <w:spacing w:val="-15"/>
        </w:rPr>
        <w:t> </w:t>
      </w:r>
      <w:r>
        <w:rPr/>
        <w:t>in</w:t>
      </w:r>
      <w:r>
        <w:rPr>
          <w:spacing w:val="-9"/>
        </w:rPr>
        <w:t> </w:t>
      </w:r>
      <w:r>
        <w:rPr/>
        <w:t>2024</w:t>
      </w:r>
      <w:r>
        <w:rPr>
          <w:spacing w:val="-9"/>
        </w:rPr>
        <w:t> </w:t>
      </w:r>
      <w:r>
        <w:rPr/>
        <w:t>with</w:t>
      </w:r>
      <w:r>
        <w:rPr>
          <w:spacing w:val="-15"/>
        </w:rPr>
        <w:t> </w:t>
      </w:r>
      <w:r>
        <w:rPr/>
        <w:t>a</w:t>
      </w:r>
      <w:r>
        <w:rPr>
          <w:spacing w:val="-10"/>
        </w:rPr>
        <w:t> </w:t>
      </w:r>
      <w:r>
        <w:rPr/>
        <w:t>£1.55</w:t>
      </w:r>
      <w:r>
        <w:rPr>
          <w:spacing w:val="-9"/>
        </w:rPr>
        <w:t> </w:t>
      </w:r>
      <w:r>
        <w:rPr/>
        <w:t>billion</w:t>
      </w:r>
      <w:r>
        <w:rPr>
          <w:spacing w:val="-9"/>
        </w:rPr>
        <w:t> </w:t>
      </w:r>
      <w:r>
        <w:rPr/>
        <w:t>budget</w:t>
      </w:r>
      <w:r>
        <w:rPr>
          <w:spacing w:val="-4"/>
        </w:rPr>
        <w:t> </w:t>
      </w:r>
      <w:r>
        <w:rPr/>
        <w:t>(UK</w:t>
      </w:r>
      <w:r>
        <w:rPr>
          <w:spacing w:val="-16"/>
        </w:rPr>
        <w:t> </w:t>
      </w:r>
      <w:r>
        <w:rPr/>
        <w:t>Government, 2024)</w:t>
      </w:r>
      <w:r>
        <w:rPr>
          <w:spacing w:val="80"/>
        </w:rPr>
        <w:t> </w:t>
      </w:r>
      <w:r>
        <w:rPr/>
        <w:t>confirms</w:t>
      </w:r>
      <w:r>
        <w:rPr>
          <w:spacing w:val="80"/>
        </w:rPr>
        <w:t> </w:t>
      </w:r>
      <w:r>
        <w:rPr/>
        <w:t>that</w:t>
      </w:r>
      <w:r>
        <w:rPr>
          <w:spacing w:val="80"/>
        </w:rPr>
        <w:t> </w:t>
      </w:r>
      <w:r>
        <w:rPr/>
        <w:t>supportive</w:t>
      </w:r>
      <w:r>
        <w:rPr>
          <w:spacing w:val="80"/>
        </w:rPr>
        <w:t> </w:t>
      </w:r>
      <w:r>
        <w:rPr/>
        <w:t>market</w:t>
      </w:r>
      <w:r>
        <w:rPr>
          <w:spacing w:val="80"/>
        </w:rPr>
        <w:t> </w:t>
      </w:r>
      <w:r>
        <w:rPr/>
        <w:t>mechanisms</w:t>
      </w:r>
      <w:r>
        <w:rPr>
          <w:spacing w:val="80"/>
        </w:rPr>
        <w:t> </w:t>
      </w:r>
      <w:r>
        <w:rPr/>
        <w:t>are</w:t>
      </w:r>
      <w:r>
        <w:rPr>
          <w:spacing w:val="80"/>
        </w:rPr>
        <w:t> </w:t>
      </w:r>
      <w:r>
        <w:rPr/>
        <w:t>sustaining</w:t>
      </w:r>
      <w:r>
        <w:rPr>
          <w:spacing w:val="80"/>
        </w:rPr>
        <w:t> </w:t>
      </w:r>
      <w:r>
        <w:rPr/>
        <w:t>large</w:t>
      </w:r>
      <w:r>
        <w:rPr>
          <w:spacing w:val="80"/>
        </w:rPr>
        <w:t> </w:t>
      </w:r>
      <w:r>
        <w:rPr/>
        <w:t>scale</w:t>
      </w:r>
      <w:r>
        <w:rPr>
          <w:spacing w:val="80"/>
        </w:rPr>
        <w:t> </w:t>
      </w:r>
      <w:r>
        <w:rPr/>
        <w:t>private investment.</w:t>
      </w:r>
      <w:r>
        <w:rPr>
          <w:spacing w:val="36"/>
        </w:rPr>
        <w:t> </w:t>
      </w:r>
      <w:r>
        <w:rPr/>
        <w:t>SSE’s</w:t>
      </w:r>
      <w:r>
        <w:rPr>
          <w:spacing w:val="32"/>
        </w:rPr>
        <w:t> </w:t>
      </w:r>
      <w:r>
        <w:rPr/>
        <w:t>performance,</w:t>
      </w:r>
      <w:r>
        <w:rPr>
          <w:spacing w:val="36"/>
        </w:rPr>
        <w:t> </w:t>
      </w:r>
      <w:r>
        <w:rPr/>
        <w:t>therefore,</w:t>
      </w:r>
      <w:r>
        <w:rPr>
          <w:spacing w:val="32"/>
        </w:rPr>
        <w:t> </w:t>
      </w:r>
      <w:r>
        <w:rPr/>
        <w:t>reflects</w:t>
      </w:r>
      <w:r>
        <w:rPr>
          <w:spacing w:val="32"/>
        </w:rPr>
        <w:t> </w:t>
      </w:r>
      <w:r>
        <w:rPr/>
        <w:t>the</w:t>
      </w:r>
      <w:r>
        <w:rPr>
          <w:spacing w:val="33"/>
        </w:rPr>
        <w:t> </w:t>
      </w:r>
      <w:r>
        <w:rPr/>
        <w:t>combined</w:t>
      </w:r>
      <w:r>
        <w:rPr>
          <w:spacing w:val="39"/>
        </w:rPr>
        <w:t> </w:t>
      </w:r>
      <w:r>
        <w:rPr/>
        <w:t>influence</w:t>
      </w:r>
      <w:r>
        <w:rPr>
          <w:spacing w:val="33"/>
        </w:rPr>
        <w:t> </w:t>
      </w:r>
      <w:r>
        <w:rPr/>
        <w:t>of firm</w:t>
      </w:r>
      <w:r>
        <w:rPr>
          <w:spacing w:val="40"/>
        </w:rPr>
        <w:t> </w:t>
      </w:r>
      <w:r>
        <w:rPr/>
        <w:t>specific capabilities and robust policy incentives, demonstrating how private capital</w:t>
      </w:r>
      <w:r>
        <w:rPr>
          <w:spacing w:val="-5"/>
        </w:rPr>
        <w:t> </w:t>
      </w:r>
      <w:r>
        <w:rPr/>
        <w:t>and technological expertise</w:t>
      </w:r>
      <w:r>
        <w:rPr>
          <w:spacing w:val="80"/>
        </w:rPr>
        <w:t> </w:t>
      </w:r>
      <w:r>
        <w:rPr/>
        <w:t>can</w:t>
      </w:r>
      <w:r>
        <w:rPr>
          <w:spacing w:val="80"/>
        </w:rPr>
        <w:t> </w:t>
      </w:r>
      <w:r>
        <w:rPr/>
        <w:t>materially</w:t>
      </w:r>
      <w:r>
        <w:rPr>
          <w:spacing w:val="40"/>
        </w:rPr>
        <w:t> </w:t>
      </w:r>
      <w:r>
        <w:rPr/>
        <w:t>advance</w:t>
      </w:r>
      <w:r>
        <w:rPr>
          <w:spacing w:val="80"/>
        </w:rPr>
        <w:t> </w:t>
      </w:r>
      <w:r>
        <w:rPr/>
        <w:t>national</w:t>
      </w:r>
      <w:r>
        <w:rPr>
          <w:spacing w:val="40"/>
        </w:rPr>
        <w:t> </w:t>
      </w:r>
      <w:r>
        <w:rPr/>
        <w:t>decarbonisation</w:t>
      </w:r>
      <w:r>
        <w:rPr>
          <w:spacing w:val="40"/>
        </w:rPr>
        <w:t> </w:t>
      </w:r>
      <w:r>
        <w:rPr/>
        <w:t>while</w:t>
      </w:r>
      <w:r>
        <w:rPr>
          <w:spacing w:val="80"/>
        </w:rPr>
        <w:t> </w:t>
      </w:r>
      <w:r>
        <w:rPr/>
        <w:t>delivering</w:t>
      </w:r>
      <w:r>
        <w:rPr>
          <w:spacing w:val="80"/>
        </w:rPr>
        <w:t> </w:t>
      </w:r>
      <w:r>
        <w:rPr/>
        <w:t>measurable reductions in greenhouse gas emissions.</w:t>
      </w:r>
    </w:p>
    <w:p>
      <w:pPr>
        <w:pStyle w:val="BodyText"/>
        <w:spacing w:after="0" w:line="278" w:lineRule="auto"/>
        <w:sectPr>
          <w:pgSz w:w="11910" w:h="16840"/>
          <w:pgMar w:header="0" w:footer="1064" w:top="1340" w:bottom="1260" w:left="1417" w:right="425"/>
        </w:sectPr>
      </w:pPr>
    </w:p>
    <w:p>
      <w:pPr>
        <w:pStyle w:val="Heading1"/>
        <w:numPr>
          <w:ilvl w:val="0"/>
          <w:numId w:val="3"/>
        </w:numPr>
        <w:tabs>
          <w:tab w:pos="267" w:val="left" w:leader="none"/>
        </w:tabs>
        <w:spacing w:line="240" w:lineRule="auto" w:before="63" w:after="0"/>
        <w:ind w:left="267" w:right="0" w:hanging="244"/>
        <w:jc w:val="left"/>
      </w:pPr>
      <w:bookmarkStart w:name="6. Conclusion" w:id="11"/>
      <w:bookmarkEnd w:id="11"/>
      <w:r>
        <w:rPr>
          <w:b w:val="0"/>
        </w:rPr>
      </w:r>
      <w:r>
        <w:rPr>
          <w:spacing w:val="-2"/>
        </w:rPr>
        <w:t>Conclusion</w:t>
      </w:r>
    </w:p>
    <w:p>
      <w:pPr>
        <w:pStyle w:val="BodyText"/>
        <w:spacing w:before="62"/>
        <w:ind w:left="0"/>
        <w:rPr>
          <w:b/>
        </w:rPr>
      </w:pPr>
    </w:p>
    <w:p>
      <w:pPr>
        <w:pStyle w:val="BodyText"/>
        <w:tabs>
          <w:tab w:pos="1871" w:val="left" w:leader="none"/>
          <w:tab w:pos="3810" w:val="left" w:leader="none"/>
          <w:tab w:pos="5713" w:val="left" w:leader="none"/>
          <w:tab w:pos="7988" w:val="left" w:leader="none"/>
        </w:tabs>
        <w:spacing w:line="278" w:lineRule="auto" w:before="1"/>
        <w:ind w:right="1012"/>
        <w:jc w:val="both"/>
      </w:pPr>
      <w:r>
        <w:rPr/>
        <w:t>This study provides one of the first quantitative assessments of a single UK utility’s contribution</w:t>
      </w:r>
      <w:r>
        <w:rPr>
          <w:spacing w:val="-15"/>
        </w:rPr>
        <w:t> </w:t>
      </w:r>
      <w:r>
        <w:rPr/>
        <w:t>to</w:t>
      </w:r>
      <w:r>
        <w:rPr>
          <w:spacing w:val="-15"/>
        </w:rPr>
        <w:t> </w:t>
      </w:r>
      <w:r>
        <w:rPr/>
        <w:t>national</w:t>
      </w:r>
      <w:r>
        <w:rPr>
          <w:spacing w:val="-15"/>
        </w:rPr>
        <w:t> </w:t>
      </w:r>
      <w:r>
        <w:rPr/>
        <w:t>decarbonisation</w:t>
      </w:r>
      <w:r>
        <w:rPr>
          <w:spacing w:val="-15"/>
        </w:rPr>
        <w:t> </w:t>
      </w:r>
      <w:r>
        <w:rPr/>
        <w:t>targets.</w:t>
      </w:r>
      <w:r>
        <w:rPr>
          <w:spacing w:val="-15"/>
        </w:rPr>
        <w:t> </w:t>
      </w:r>
      <w:r>
        <w:rPr/>
        <w:t>SSE’s</w:t>
      </w:r>
      <w:r>
        <w:rPr>
          <w:spacing w:val="-15"/>
        </w:rPr>
        <w:t> </w:t>
      </w:r>
      <w:r>
        <w:rPr/>
        <w:t>renewable</w:t>
      </w:r>
      <w:r>
        <w:rPr>
          <w:spacing w:val="-15"/>
        </w:rPr>
        <w:t> </w:t>
      </w:r>
      <w:r>
        <w:rPr/>
        <w:t>generation</w:t>
      </w:r>
      <w:r>
        <w:rPr>
          <w:spacing w:val="-15"/>
        </w:rPr>
        <w:t> </w:t>
      </w:r>
      <w:r>
        <w:rPr/>
        <w:t>between</w:t>
      </w:r>
      <w:r>
        <w:rPr>
          <w:spacing w:val="-15"/>
        </w:rPr>
        <w:t> </w:t>
      </w:r>
      <w:r>
        <w:rPr/>
        <w:t>2020</w:t>
      </w:r>
      <w:r>
        <w:rPr>
          <w:spacing w:val="-15"/>
        </w:rPr>
        <w:t> </w:t>
      </w:r>
      <w:r>
        <w:rPr/>
        <w:t>and 2024</w:t>
      </w:r>
      <w:r>
        <w:rPr>
          <w:spacing w:val="-2"/>
        </w:rPr>
        <w:t> </w:t>
      </w:r>
      <w:r>
        <w:rPr/>
        <w:t>displaced</w:t>
      </w:r>
      <w:r>
        <w:rPr>
          <w:spacing w:val="-2"/>
        </w:rPr>
        <w:t> </w:t>
      </w:r>
      <w:r>
        <w:rPr/>
        <w:t>an</w:t>
      </w:r>
      <w:r>
        <w:rPr>
          <w:spacing w:val="-7"/>
        </w:rPr>
        <w:t> </w:t>
      </w:r>
      <w:r>
        <w:rPr/>
        <w:t>estimated </w:t>
      </w:r>
      <w:r>
        <w:rPr>
          <w:b/>
        </w:rPr>
        <w:t>11.8</w:t>
      </w:r>
      <w:r>
        <w:rPr>
          <w:b/>
          <w:spacing w:val="-7"/>
        </w:rPr>
        <w:t> </w:t>
      </w:r>
      <w:r>
        <w:rPr>
          <w:b/>
        </w:rPr>
        <w:t>MtCO₂e</w:t>
      </w:r>
      <w:r>
        <w:rPr/>
        <w:t>,</w:t>
      </w:r>
      <w:r>
        <w:rPr>
          <w:spacing w:val="-5"/>
        </w:rPr>
        <w:t> </w:t>
      </w:r>
      <w:r>
        <w:rPr/>
        <w:t>representing a</w:t>
      </w:r>
      <w:r>
        <w:rPr>
          <w:spacing w:val="-3"/>
        </w:rPr>
        <w:t> </w:t>
      </w:r>
      <w:r>
        <w:rPr/>
        <w:t>significant,</w:t>
      </w:r>
      <w:r>
        <w:rPr>
          <w:spacing w:val="-5"/>
        </w:rPr>
        <w:t> </w:t>
      </w:r>
      <w:r>
        <w:rPr/>
        <w:t>measurable</w:t>
      </w:r>
      <w:r>
        <w:rPr>
          <w:spacing w:val="-3"/>
        </w:rPr>
        <w:t> </w:t>
      </w:r>
      <w:r>
        <w:rPr/>
        <w:t>share</w:t>
      </w:r>
      <w:r>
        <w:rPr>
          <w:spacing w:val="-3"/>
        </w:rPr>
        <w:t> </w:t>
      </w:r>
      <w:r>
        <w:rPr/>
        <w:t>of</w:t>
      </w:r>
      <w:r>
        <w:rPr>
          <w:spacing w:val="-10"/>
        </w:rPr>
        <w:t> </w:t>
      </w:r>
      <w:r>
        <w:rPr/>
        <w:t>the </w:t>
      </w:r>
      <w:r>
        <w:rPr>
          <w:spacing w:val="-4"/>
        </w:rPr>
        <w:t>UK’s</w:t>
      </w:r>
      <w:r>
        <w:rPr/>
        <w:tab/>
      </w:r>
      <w:r>
        <w:rPr>
          <w:spacing w:val="-4"/>
        </w:rPr>
        <w:t>power</w:t>
      </w:r>
      <w:r>
        <w:rPr/>
        <w:tab/>
      </w:r>
      <w:r>
        <w:rPr>
          <w:spacing w:val="-2"/>
        </w:rPr>
        <w:t>sector</w:t>
      </w:r>
      <w:r>
        <w:rPr/>
        <w:tab/>
      </w:r>
      <w:r>
        <w:rPr>
          <w:spacing w:val="-2"/>
        </w:rPr>
        <w:t>emissions</w:t>
      </w:r>
      <w:r>
        <w:rPr/>
        <w:tab/>
      </w:r>
      <w:r>
        <w:rPr>
          <w:spacing w:val="-2"/>
        </w:rPr>
        <w:t>reductions. </w:t>
      </w:r>
      <w:r>
        <w:rPr/>
        <w:t>While methodological limitations prevent perfect attribution, the findings demonstrate that private utilities are indispensable actors in achieving the UK’s legally binding net zero goal. Future</w:t>
      </w:r>
      <w:r>
        <w:rPr>
          <w:spacing w:val="-15"/>
        </w:rPr>
        <w:t> </w:t>
      </w:r>
      <w:r>
        <w:rPr/>
        <w:t>research</w:t>
      </w:r>
      <w:r>
        <w:rPr>
          <w:spacing w:val="-15"/>
        </w:rPr>
        <w:t> </w:t>
      </w:r>
      <w:r>
        <w:rPr/>
        <w:t>should</w:t>
      </w:r>
      <w:r>
        <w:rPr>
          <w:spacing w:val="-15"/>
        </w:rPr>
        <w:t> </w:t>
      </w:r>
      <w:r>
        <w:rPr/>
        <w:t>develop</w:t>
      </w:r>
      <w:r>
        <w:rPr>
          <w:spacing w:val="-13"/>
        </w:rPr>
        <w:t> </w:t>
      </w:r>
      <w:r>
        <w:rPr/>
        <w:t>marginal</w:t>
      </w:r>
      <w:r>
        <w:rPr>
          <w:spacing w:val="-15"/>
        </w:rPr>
        <w:t> </w:t>
      </w:r>
      <w:r>
        <w:rPr/>
        <w:t>emission</w:t>
      </w:r>
      <w:r>
        <w:rPr>
          <w:spacing w:val="-15"/>
        </w:rPr>
        <w:t> </w:t>
      </w:r>
      <w:r>
        <w:rPr/>
        <w:t>models</w:t>
      </w:r>
      <w:r>
        <w:rPr>
          <w:spacing w:val="-14"/>
        </w:rPr>
        <w:t> </w:t>
      </w:r>
      <w:r>
        <w:rPr/>
        <w:t>and</w:t>
      </w:r>
      <w:r>
        <w:rPr>
          <w:spacing w:val="-12"/>
        </w:rPr>
        <w:t> </w:t>
      </w:r>
      <w:r>
        <w:rPr/>
        <w:t>cross</w:t>
      </w:r>
      <w:r>
        <w:rPr>
          <w:spacing w:val="-12"/>
        </w:rPr>
        <w:t> </w:t>
      </w:r>
      <w:r>
        <w:rPr/>
        <w:t>firm</w:t>
      </w:r>
      <w:r>
        <w:rPr>
          <w:spacing w:val="-15"/>
        </w:rPr>
        <w:t> </w:t>
      </w:r>
      <w:r>
        <w:rPr/>
        <w:t>comparisons</w:t>
      </w:r>
      <w:r>
        <w:rPr>
          <w:spacing w:val="-14"/>
        </w:rPr>
        <w:t> </w:t>
      </w:r>
      <w:r>
        <w:rPr/>
        <w:t>to</w:t>
      </w:r>
      <w:r>
        <w:rPr>
          <w:spacing w:val="-11"/>
        </w:rPr>
        <w:t> </w:t>
      </w:r>
      <w:r>
        <w:rPr/>
        <w:t>refine corporate carbon avoidance accounting.</w:t>
      </w:r>
    </w:p>
    <w:p>
      <w:pPr>
        <w:pStyle w:val="BodyText"/>
        <w:ind w:left="0"/>
      </w:pPr>
    </w:p>
    <w:p>
      <w:pPr>
        <w:pStyle w:val="BodyText"/>
        <w:spacing w:before="180"/>
        <w:ind w:left="0"/>
      </w:pPr>
    </w:p>
    <w:p>
      <w:pPr>
        <w:pStyle w:val="Heading1"/>
      </w:pPr>
      <w:r>
        <w:rPr>
          <w:spacing w:val="-2"/>
        </w:rPr>
        <w:t>References</w:t>
      </w:r>
    </w:p>
    <w:p>
      <w:pPr>
        <w:pStyle w:val="BodyText"/>
        <w:spacing w:line="280" w:lineRule="auto" w:before="200"/>
      </w:pPr>
      <w:r>
        <w:rPr/>
        <w:t>Barney,</w:t>
      </w:r>
      <w:r>
        <w:rPr>
          <w:spacing w:val="75"/>
        </w:rPr>
        <w:t> </w:t>
      </w:r>
      <w:r>
        <w:rPr/>
        <w:t>J.</w:t>
      </w:r>
      <w:r>
        <w:rPr>
          <w:spacing w:val="75"/>
        </w:rPr>
        <w:t> </w:t>
      </w:r>
      <w:r>
        <w:rPr/>
        <w:t>B.</w:t>
      </w:r>
      <w:r>
        <w:rPr>
          <w:spacing w:val="70"/>
        </w:rPr>
        <w:t> </w:t>
      </w:r>
      <w:r>
        <w:rPr/>
        <w:t>(1991).</w:t>
      </w:r>
      <w:r>
        <w:rPr>
          <w:spacing w:val="70"/>
        </w:rPr>
        <w:t> </w:t>
      </w:r>
      <w:r>
        <w:rPr/>
        <w:t>Firm</w:t>
      </w:r>
      <w:r>
        <w:rPr>
          <w:spacing w:val="40"/>
        </w:rPr>
        <w:t> </w:t>
      </w:r>
      <w:r>
        <w:rPr/>
        <w:t>resources</w:t>
      </w:r>
      <w:r>
        <w:rPr>
          <w:spacing w:val="70"/>
        </w:rPr>
        <w:t> </w:t>
      </w:r>
      <w:r>
        <w:rPr/>
        <w:t>and</w:t>
      </w:r>
      <w:r>
        <w:rPr>
          <w:spacing w:val="72"/>
        </w:rPr>
        <w:t> </w:t>
      </w:r>
      <w:r>
        <w:rPr/>
        <w:t>sustained</w:t>
      </w:r>
      <w:r>
        <w:rPr>
          <w:spacing w:val="72"/>
        </w:rPr>
        <w:t> </w:t>
      </w:r>
      <w:r>
        <w:rPr/>
        <w:t>competitive</w:t>
      </w:r>
      <w:r>
        <w:rPr>
          <w:spacing w:val="72"/>
        </w:rPr>
        <w:t> </w:t>
      </w:r>
      <w:r>
        <w:rPr/>
        <w:t>advantage.</w:t>
      </w:r>
      <w:r>
        <w:rPr>
          <w:spacing w:val="80"/>
        </w:rPr>
        <w:t> </w:t>
      </w:r>
      <w:r>
        <w:rPr>
          <w:i/>
        </w:rPr>
        <w:t>Journal</w:t>
      </w:r>
      <w:r>
        <w:rPr>
          <w:i/>
          <w:spacing w:val="73"/>
        </w:rPr>
        <w:t> </w:t>
      </w:r>
      <w:r>
        <w:rPr>
          <w:i/>
        </w:rPr>
        <w:t>of Management, 17</w:t>
      </w:r>
      <w:r>
        <w:rPr/>
        <w:t>(1), 99 120. </w:t>
      </w:r>
      <w:hyperlink r:id="rId11">
        <w:r>
          <w:rPr/>
          <w:t>https://doi.org/10.1177/014920639101700108</w:t>
        </w:r>
      </w:hyperlink>
    </w:p>
    <w:p>
      <w:pPr>
        <w:pStyle w:val="BodyText"/>
        <w:spacing w:line="280" w:lineRule="auto" w:before="156"/>
        <w:ind w:right="794"/>
      </w:pPr>
      <w:r>
        <w:rPr/>
        <w:t>BBC News. (2024). UK’s first commercial liquid air storage plant backed by infrastructure</w:t>
      </w:r>
      <w:r>
        <w:rPr>
          <w:spacing w:val="40"/>
        </w:rPr>
        <w:t> </w:t>
      </w:r>
      <w:r>
        <w:rPr/>
        <w:t>bank. Retrieved August 2, 2025, from </w:t>
      </w:r>
      <w:hyperlink r:id="rId12">
        <w:r>
          <w:rPr/>
          <w:t>https://www.bbc.co.uk/news</w:t>
        </w:r>
      </w:hyperlink>
    </w:p>
    <w:p>
      <w:pPr>
        <w:pStyle w:val="BodyText"/>
        <w:spacing w:line="280" w:lineRule="auto" w:before="156"/>
        <w:ind w:right="902"/>
      </w:pPr>
      <w:r>
        <w:rPr/>
        <w:t>BBC</w:t>
      </w:r>
      <w:r>
        <w:rPr>
          <w:spacing w:val="-5"/>
        </w:rPr>
        <w:t> </w:t>
      </w:r>
      <w:r>
        <w:rPr/>
        <w:t>News.</w:t>
      </w:r>
      <w:r>
        <w:rPr>
          <w:spacing w:val="-1"/>
        </w:rPr>
        <w:t> </w:t>
      </w:r>
      <w:r>
        <w:rPr/>
        <w:t>(2024).</w:t>
      </w:r>
      <w:r>
        <w:rPr>
          <w:spacing w:val="-1"/>
        </w:rPr>
        <w:t> </w:t>
      </w:r>
      <w:r>
        <w:rPr/>
        <w:t>UK</w:t>
      </w:r>
      <w:r>
        <w:rPr>
          <w:spacing w:val="-8"/>
        </w:rPr>
        <w:t> </w:t>
      </w:r>
      <w:r>
        <w:rPr/>
        <w:t>to</w:t>
      </w:r>
      <w:r>
        <w:rPr>
          <w:spacing w:val="-3"/>
        </w:rPr>
        <w:t> </w:t>
      </w:r>
      <w:r>
        <w:rPr/>
        <w:t>close last coal</w:t>
      </w:r>
      <w:r>
        <w:rPr>
          <w:spacing w:val="-11"/>
        </w:rPr>
        <w:t> </w:t>
      </w:r>
      <w:r>
        <w:rPr/>
        <w:t>power</w:t>
      </w:r>
      <w:r>
        <w:rPr>
          <w:spacing w:val="-2"/>
        </w:rPr>
        <w:t> </w:t>
      </w:r>
      <w:r>
        <w:rPr/>
        <w:t>station</w:t>
      </w:r>
      <w:r>
        <w:rPr>
          <w:spacing w:val="-7"/>
        </w:rPr>
        <w:t> </w:t>
      </w:r>
      <w:r>
        <w:rPr/>
        <w:t>after</w:t>
      </w:r>
      <w:r>
        <w:rPr>
          <w:spacing w:val="-2"/>
        </w:rPr>
        <w:t> </w:t>
      </w:r>
      <w:r>
        <w:rPr/>
        <w:t>142</w:t>
      </w:r>
      <w:r>
        <w:rPr>
          <w:spacing w:val="-3"/>
        </w:rPr>
        <w:t> </w:t>
      </w:r>
      <w:r>
        <w:rPr/>
        <w:t>years. </w:t>
      </w:r>
      <w:r>
        <w:rPr>
          <w:i/>
        </w:rPr>
        <w:t>BBC</w:t>
      </w:r>
      <w:r>
        <w:rPr>
          <w:i/>
          <w:spacing w:val="-5"/>
        </w:rPr>
        <w:t> </w:t>
      </w:r>
      <w:r>
        <w:rPr>
          <w:i/>
        </w:rPr>
        <w:t>News</w:t>
      </w:r>
      <w:r>
        <w:rPr/>
        <w:t>.</w:t>
      </w:r>
      <w:r>
        <w:rPr>
          <w:spacing w:val="-1"/>
        </w:rPr>
        <w:t> </w:t>
      </w:r>
      <w:r>
        <w:rPr/>
        <w:t>Retrieved August 14, 2025, from </w:t>
      </w:r>
      <w:hyperlink r:id="rId13">
        <w:r>
          <w:rPr/>
          <w:t>https://www.bbc.co.uk/news/articles/c5y35qz73n8o</w:t>
        </w:r>
      </w:hyperlink>
    </w:p>
    <w:p>
      <w:pPr>
        <w:spacing w:line="280" w:lineRule="auto" w:before="156"/>
        <w:ind w:left="23" w:right="794" w:firstLine="0"/>
        <w:jc w:val="left"/>
        <w:rPr>
          <w:sz w:val="24"/>
        </w:rPr>
      </w:pPr>
      <w:r>
        <w:rPr>
          <w:sz w:val="24"/>
        </w:rPr>
        <w:t>Bolton, P., Froggatt, A., &amp; Wilsdon, J. (2016).</w:t>
      </w:r>
      <w:r>
        <w:rPr>
          <w:spacing w:val="26"/>
          <w:sz w:val="24"/>
        </w:rPr>
        <w:t> </w:t>
      </w:r>
      <w:r>
        <w:rPr>
          <w:i/>
          <w:sz w:val="24"/>
        </w:rPr>
        <w:t>The UK’s Contracts for Difference scheme:</w:t>
      </w:r>
      <w:r>
        <w:rPr>
          <w:i/>
          <w:spacing w:val="40"/>
          <w:sz w:val="24"/>
        </w:rPr>
        <w:t> </w:t>
      </w:r>
      <w:r>
        <w:rPr>
          <w:i/>
          <w:sz w:val="24"/>
        </w:rPr>
        <w:t>Policy overview and assessment</w:t>
      </w:r>
      <w:r>
        <w:rPr>
          <w:sz w:val="24"/>
        </w:rPr>
        <w:t>. Chatham House.</w:t>
      </w:r>
    </w:p>
    <w:p>
      <w:pPr>
        <w:pStyle w:val="BodyText"/>
        <w:tabs>
          <w:tab w:pos="992" w:val="left" w:leader="none"/>
          <w:tab w:pos="1811" w:val="left" w:leader="none"/>
          <w:tab w:pos="2780" w:val="left" w:leader="none"/>
          <w:tab w:pos="3390" w:val="left" w:leader="none"/>
          <w:tab w:pos="4612" w:val="left" w:leader="none"/>
          <w:tab w:pos="5820" w:val="left" w:leader="none"/>
          <w:tab w:pos="6535" w:val="left" w:leader="none"/>
          <w:tab w:pos="7034" w:val="left" w:leader="none"/>
          <w:tab w:pos="7744" w:val="left" w:leader="none"/>
          <w:tab w:pos="8497" w:val="left" w:leader="none"/>
        </w:tabs>
        <w:spacing w:line="280" w:lineRule="auto" w:before="156"/>
        <w:ind w:right="1022"/>
      </w:pPr>
      <w:r>
        <w:rPr>
          <w:spacing w:val="-2"/>
        </w:rPr>
        <w:t>Carbon</w:t>
      </w:r>
      <w:r>
        <w:rPr/>
        <w:tab/>
      </w:r>
      <w:r>
        <w:rPr>
          <w:spacing w:val="-2"/>
        </w:rPr>
        <w:t>Brief.</w:t>
      </w:r>
      <w:r>
        <w:rPr/>
        <w:tab/>
      </w:r>
      <w:r>
        <w:rPr>
          <w:spacing w:val="-2"/>
        </w:rPr>
        <w:t>(2024).</w:t>
      </w:r>
      <w:r>
        <w:rPr/>
        <w:tab/>
      </w:r>
      <w:r>
        <w:rPr>
          <w:spacing w:val="-6"/>
        </w:rPr>
        <w:t>UK</w:t>
      </w:r>
      <w:r>
        <w:rPr/>
        <w:tab/>
      </w:r>
      <w:r>
        <w:rPr>
          <w:spacing w:val="-2"/>
        </w:rPr>
        <w:t>electricity</w:t>
      </w:r>
      <w:r>
        <w:rPr/>
        <w:tab/>
      </w:r>
      <w:r>
        <w:rPr>
          <w:spacing w:val="-2"/>
        </w:rPr>
        <w:t>emissions</w:t>
      </w:r>
      <w:r>
        <w:rPr/>
        <w:tab/>
      </w:r>
      <w:r>
        <w:rPr>
          <w:spacing w:val="-4"/>
        </w:rPr>
        <w:t>drop</w:t>
      </w:r>
      <w:r>
        <w:rPr/>
        <w:tab/>
      </w:r>
      <w:r>
        <w:rPr>
          <w:spacing w:val="-6"/>
        </w:rPr>
        <w:t>by</w:t>
      </w:r>
      <w:r>
        <w:rPr/>
        <w:tab/>
      </w:r>
      <w:r>
        <w:rPr>
          <w:spacing w:val="-4"/>
        </w:rPr>
        <w:t>70%</w:t>
      </w:r>
      <w:r>
        <w:rPr/>
        <w:tab/>
      </w:r>
      <w:r>
        <w:rPr>
          <w:spacing w:val="-2"/>
        </w:rPr>
        <w:t>since</w:t>
      </w:r>
      <w:r>
        <w:rPr/>
        <w:tab/>
      </w:r>
      <w:r>
        <w:rPr>
          <w:spacing w:val="-2"/>
        </w:rPr>
        <w:t>2014. </w:t>
      </w:r>
      <w:hyperlink r:id="rId14">
        <w:r>
          <w:rPr>
            <w:spacing w:val="-2"/>
          </w:rPr>
          <w:t>https://www.carbonbrief.org</w:t>
        </w:r>
      </w:hyperlink>
    </w:p>
    <w:p>
      <w:pPr>
        <w:pStyle w:val="BodyText"/>
        <w:spacing w:line="280" w:lineRule="auto" w:before="156"/>
        <w:ind w:right="794"/>
      </w:pPr>
      <w:r>
        <w:rPr/>
        <w:t>Carbon</w:t>
      </w:r>
      <w:r>
        <w:rPr>
          <w:spacing w:val="80"/>
        </w:rPr>
        <w:t> </w:t>
      </w:r>
      <w:r>
        <w:rPr/>
        <w:t>Brief.</w:t>
      </w:r>
      <w:r>
        <w:rPr>
          <w:spacing w:val="80"/>
        </w:rPr>
        <w:t> </w:t>
      </w:r>
      <w:r>
        <w:rPr/>
        <w:t>(2025).</w:t>
      </w:r>
      <w:r>
        <w:rPr>
          <w:spacing w:val="80"/>
        </w:rPr>
        <w:t> </w:t>
      </w:r>
      <w:r>
        <w:rPr/>
        <w:t>UK</w:t>
      </w:r>
      <w:r>
        <w:rPr>
          <w:spacing w:val="80"/>
        </w:rPr>
        <w:t> </w:t>
      </w:r>
      <w:r>
        <w:rPr/>
        <w:t>electricity</w:t>
      </w:r>
      <w:r>
        <w:rPr>
          <w:spacing w:val="80"/>
        </w:rPr>
        <w:t> </w:t>
      </w:r>
      <w:r>
        <w:rPr/>
        <w:t>carbon</w:t>
      </w:r>
      <w:r>
        <w:rPr>
          <w:spacing w:val="80"/>
        </w:rPr>
        <w:t> </w:t>
      </w:r>
      <w:r>
        <w:rPr/>
        <w:t>intensity</w:t>
      </w:r>
      <w:r>
        <w:rPr>
          <w:spacing w:val="80"/>
        </w:rPr>
        <w:t> </w:t>
      </w:r>
      <w:r>
        <w:rPr/>
        <w:t>falls</w:t>
      </w:r>
      <w:r>
        <w:rPr>
          <w:spacing w:val="80"/>
        </w:rPr>
        <w:t> </w:t>
      </w:r>
      <w:r>
        <w:rPr/>
        <w:t>to</w:t>
      </w:r>
      <w:r>
        <w:rPr>
          <w:spacing w:val="80"/>
        </w:rPr>
        <w:t> </w:t>
      </w:r>
      <w:r>
        <w:rPr/>
        <w:t>historic</w:t>
      </w:r>
      <w:r>
        <w:rPr>
          <w:spacing w:val="80"/>
        </w:rPr>
        <w:t> </w:t>
      </w:r>
      <w:r>
        <w:rPr/>
        <w:t>low</w:t>
      </w:r>
      <w:r>
        <w:rPr>
          <w:spacing w:val="80"/>
        </w:rPr>
        <w:t> </w:t>
      </w:r>
      <w:r>
        <w:rPr/>
        <w:t>in</w:t>
      </w:r>
      <w:r>
        <w:rPr>
          <w:spacing w:val="80"/>
        </w:rPr>
        <w:t> </w:t>
      </w:r>
      <w:r>
        <w:rPr/>
        <w:t>2024. </w:t>
      </w:r>
      <w:hyperlink r:id="rId14">
        <w:r>
          <w:rPr>
            <w:spacing w:val="-2"/>
          </w:rPr>
          <w:t>https://www.carbonbrief.org</w:t>
        </w:r>
      </w:hyperlink>
    </w:p>
    <w:p>
      <w:pPr>
        <w:pStyle w:val="BodyText"/>
        <w:spacing w:before="156"/>
      </w:pPr>
      <w:r>
        <w:rPr/>
        <w:t>Department</w:t>
      </w:r>
      <w:r>
        <w:rPr>
          <w:spacing w:val="6"/>
        </w:rPr>
        <w:t> </w:t>
      </w:r>
      <w:r>
        <w:rPr/>
        <w:t>for</w:t>
      </w:r>
      <w:r>
        <w:rPr>
          <w:spacing w:val="-1"/>
        </w:rPr>
        <w:t> </w:t>
      </w:r>
      <w:r>
        <w:rPr/>
        <w:t>Energy</w:t>
      </w:r>
      <w:r>
        <w:rPr>
          <w:spacing w:val="-5"/>
        </w:rPr>
        <w:t> </w:t>
      </w:r>
      <w:r>
        <w:rPr/>
        <w:t>Security</w:t>
      </w:r>
      <w:r>
        <w:rPr>
          <w:spacing w:val="-6"/>
        </w:rPr>
        <w:t> </w:t>
      </w:r>
      <w:r>
        <w:rPr/>
        <w:t>and</w:t>
      </w:r>
      <w:r>
        <w:rPr>
          <w:spacing w:val="2"/>
        </w:rPr>
        <w:t> </w:t>
      </w:r>
      <w:r>
        <w:rPr/>
        <w:t>Net</w:t>
      </w:r>
      <w:r>
        <w:rPr>
          <w:spacing w:val="8"/>
        </w:rPr>
        <w:t> </w:t>
      </w:r>
      <w:r>
        <w:rPr/>
        <w:t>Zero.</w:t>
      </w:r>
      <w:r>
        <w:rPr>
          <w:spacing w:val="1"/>
        </w:rPr>
        <w:t> </w:t>
      </w:r>
      <w:r>
        <w:rPr/>
        <w:t>(2024).</w:t>
      </w:r>
      <w:r>
        <w:rPr>
          <w:spacing w:val="1"/>
        </w:rPr>
        <w:t> </w:t>
      </w:r>
      <w:r>
        <w:rPr/>
        <w:t>Clean</w:t>
      </w:r>
      <w:r>
        <w:rPr>
          <w:spacing w:val="-2"/>
        </w:rPr>
        <w:t> </w:t>
      </w:r>
      <w:r>
        <w:rPr/>
        <w:t>Power 2030</w:t>
      </w:r>
      <w:r>
        <w:rPr>
          <w:spacing w:val="-1"/>
        </w:rPr>
        <w:t> </w:t>
      </w:r>
      <w:r>
        <w:rPr/>
        <w:t>Action</w:t>
      </w:r>
      <w:r>
        <w:rPr>
          <w:spacing w:val="-1"/>
        </w:rPr>
        <w:t> </w:t>
      </w:r>
      <w:r>
        <w:rPr/>
        <w:t>Plan</w:t>
      </w:r>
      <w:r>
        <w:rPr>
          <w:spacing w:val="-1"/>
        </w:rPr>
        <w:t> </w:t>
      </w:r>
      <w:r>
        <w:rPr>
          <w:spacing w:val="-2"/>
        </w:rPr>
        <w:t>[PDF].</w:t>
      </w:r>
    </w:p>
    <w:p>
      <w:pPr>
        <w:pStyle w:val="BodyText"/>
        <w:spacing w:before="46"/>
      </w:pPr>
      <w:r>
        <w:rPr>
          <w:i/>
        </w:rPr>
        <w:t>GOV.UK</w:t>
      </w:r>
      <w:r>
        <w:rPr/>
        <w:t>.</w:t>
      </w:r>
      <w:r>
        <w:rPr>
          <w:spacing w:val="-2"/>
        </w:rPr>
        <w:t> </w:t>
      </w:r>
      <w:hyperlink r:id="rId15">
        <w:r>
          <w:rPr/>
          <w:t>https://www.gov.uk/government/publications/clean</w:t>
        </w:r>
        <w:r>
          <w:rPr>
            <w:spacing w:val="-2"/>
          </w:rPr>
          <w:t> </w:t>
        </w:r>
        <w:r>
          <w:rPr/>
          <w:t>power</w:t>
        </w:r>
        <w:r>
          <w:rPr>
            <w:spacing w:val="-6"/>
          </w:rPr>
          <w:t> </w:t>
        </w:r>
        <w:r>
          <w:rPr/>
          <w:t>2030</w:t>
        </w:r>
        <w:r>
          <w:rPr>
            <w:spacing w:val="-2"/>
          </w:rPr>
          <w:t> </w:t>
        </w:r>
        <w:r>
          <w:rPr/>
          <w:t>action</w:t>
        </w:r>
        <w:r>
          <w:rPr>
            <w:spacing w:val="-6"/>
          </w:rPr>
          <w:t> </w:t>
        </w:r>
        <w:r>
          <w:rPr>
            <w:spacing w:val="-4"/>
          </w:rPr>
          <w:t>plan</w:t>
        </w:r>
      </w:hyperlink>
    </w:p>
    <w:p>
      <w:pPr>
        <w:pStyle w:val="BodyText"/>
        <w:spacing w:line="280" w:lineRule="auto" w:before="204"/>
        <w:ind w:right="1003"/>
        <w:jc w:val="both"/>
      </w:pPr>
      <w:r>
        <w:rPr/>
        <w:t>Department for Energy Security and Net Zero. (2024). UK Government GHG conversion factors for company reporting: Methodology paper for emission factors</w:t>
      </w:r>
      <w:r>
        <w:rPr>
          <w:spacing w:val="80"/>
        </w:rPr>
        <w:t> </w:t>
      </w:r>
      <w:r>
        <w:rPr/>
        <w:t>2024. </w:t>
      </w:r>
      <w:r>
        <w:rPr>
          <w:i/>
        </w:rPr>
        <w:t>GOV.UK</w:t>
      </w:r>
      <w:r>
        <w:rPr/>
        <w:t>. </w:t>
      </w:r>
      <w:hyperlink r:id="rId16">
        <w:r>
          <w:rPr/>
          <w:t>https://www.gov.uk/government/publications/greenhouse gas reporting conversion factors</w:t>
        </w:r>
      </w:hyperlink>
      <w:r>
        <w:rPr/>
        <w:t> </w:t>
      </w:r>
      <w:hyperlink r:id="rId16">
        <w:r>
          <w:rPr>
            <w:spacing w:val="-4"/>
          </w:rPr>
          <w:t>2024</w:t>
        </w:r>
      </w:hyperlink>
    </w:p>
    <w:p>
      <w:pPr>
        <w:pStyle w:val="BodyText"/>
        <w:spacing w:before="154"/>
        <w:jc w:val="both"/>
      </w:pPr>
      <w:r>
        <w:rPr/>
        <w:t>DESNZ.</w:t>
      </w:r>
      <w:r>
        <w:rPr>
          <w:spacing w:val="-2"/>
        </w:rPr>
        <w:t> </w:t>
      </w:r>
      <w:r>
        <w:rPr/>
        <w:t>(2024).</w:t>
      </w:r>
      <w:r>
        <w:rPr>
          <w:spacing w:val="-5"/>
        </w:rPr>
        <w:t> </w:t>
      </w:r>
      <w:r>
        <w:rPr/>
        <w:t>Emissions</w:t>
      </w:r>
      <w:r>
        <w:rPr>
          <w:spacing w:val="-4"/>
        </w:rPr>
        <w:t> </w:t>
      </w:r>
      <w:r>
        <w:rPr/>
        <w:t>data</w:t>
      </w:r>
      <w:r>
        <w:rPr>
          <w:spacing w:val="-7"/>
        </w:rPr>
        <w:t> </w:t>
      </w:r>
      <w:r>
        <w:rPr/>
        <w:t>to</w:t>
      </w:r>
      <w:r>
        <w:rPr>
          <w:spacing w:val="3"/>
        </w:rPr>
        <w:t> </w:t>
      </w:r>
      <w:r>
        <w:rPr/>
        <w:t>2023.</w:t>
      </w:r>
      <w:r>
        <w:rPr>
          <w:spacing w:val="5"/>
        </w:rPr>
        <w:t> </w:t>
      </w:r>
      <w:r>
        <w:rPr>
          <w:i/>
        </w:rPr>
        <w:t>GOV.UK</w:t>
      </w:r>
      <w:r>
        <w:rPr/>
        <w:t>.</w:t>
      </w:r>
      <w:r>
        <w:rPr>
          <w:spacing w:val="1"/>
        </w:rPr>
        <w:t> </w:t>
      </w:r>
      <w:hyperlink r:id="rId17">
        <w:r>
          <w:rPr>
            <w:spacing w:val="-2"/>
          </w:rPr>
          <w:t>https://www.gov.uk</w:t>
        </w:r>
      </w:hyperlink>
    </w:p>
    <w:p>
      <w:pPr>
        <w:tabs>
          <w:tab w:pos="1255" w:val="left" w:leader="none"/>
          <w:tab w:pos="2486" w:val="left" w:leader="none"/>
          <w:tab w:pos="3964" w:val="left" w:leader="none"/>
          <w:tab w:pos="5491" w:val="left" w:leader="none"/>
          <w:tab w:pos="6710" w:val="left" w:leader="none"/>
          <w:tab w:pos="7787" w:val="left" w:leader="none"/>
        </w:tabs>
        <w:spacing w:line="280" w:lineRule="auto" w:before="204"/>
        <w:ind w:left="23" w:right="1016" w:firstLine="0"/>
        <w:jc w:val="left"/>
        <w:rPr>
          <w:sz w:val="24"/>
        </w:rPr>
      </w:pPr>
      <w:r>
        <w:rPr>
          <w:spacing w:val="-2"/>
          <w:sz w:val="24"/>
        </w:rPr>
        <w:t>Ember.</w:t>
      </w:r>
      <w:r>
        <w:rPr>
          <w:sz w:val="24"/>
        </w:rPr>
        <w:tab/>
      </w:r>
      <w:r>
        <w:rPr>
          <w:spacing w:val="-2"/>
          <w:sz w:val="24"/>
        </w:rPr>
        <w:t>(2023).</w:t>
      </w:r>
      <w:r>
        <w:rPr>
          <w:sz w:val="24"/>
        </w:rPr>
        <w:tab/>
      </w:r>
      <w:r>
        <w:rPr>
          <w:i/>
          <w:spacing w:val="-2"/>
          <w:sz w:val="24"/>
        </w:rPr>
        <w:t>European</w:t>
      </w:r>
      <w:r>
        <w:rPr>
          <w:i/>
          <w:sz w:val="24"/>
        </w:rPr>
        <w:tab/>
      </w:r>
      <w:r>
        <w:rPr>
          <w:i/>
          <w:spacing w:val="-2"/>
          <w:sz w:val="24"/>
        </w:rPr>
        <w:t>Electricity</w:t>
      </w:r>
      <w:r>
        <w:rPr>
          <w:i/>
          <w:sz w:val="24"/>
        </w:rPr>
        <w:tab/>
      </w:r>
      <w:r>
        <w:rPr>
          <w:i/>
          <w:spacing w:val="-2"/>
          <w:sz w:val="24"/>
        </w:rPr>
        <w:t>Review</w:t>
      </w:r>
      <w:r>
        <w:rPr>
          <w:i/>
          <w:sz w:val="24"/>
        </w:rPr>
        <w:tab/>
      </w:r>
      <w:r>
        <w:rPr>
          <w:i/>
          <w:spacing w:val="-2"/>
          <w:sz w:val="24"/>
        </w:rPr>
        <w:t>2023</w:t>
      </w:r>
      <w:r>
        <w:rPr>
          <w:spacing w:val="-2"/>
          <w:sz w:val="24"/>
        </w:rPr>
        <w:t>.</w:t>
      </w:r>
      <w:r>
        <w:rPr>
          <w:sz w:val="24"/>
        </w:rPr>
        <w:tab/>
      </w:r>
      <w:hyperlink r:id="rId18">
        <w:r>
          <w:rPr>
            <w:spacing w:val="-2"/>
            <w:sz w:val="24"/>
          </w:rPr>
          <w:t>https://ember</w:t>
        </w:r>
      </w:hyperlink>
      <w:r>
        <w:rPr>
          <w:spacing w:val="-2"/>
          <w:sz w:val="24"/>
        </w:rPr>
        <w:t> </w:t>
      </w:r>
      <w:hyperlink r:id="rId18">
        <w:r>
          <w:rPr>
            <w:sz w:val="24"/>
          </w:rPr>
          <w:t>climate.org/insights/research/european electricity review 2023</w:t>
        </w:r>
      </w:hyperlink>
    </w:p>
    <w:p>
      <w:pPr>
        <w:pStyle w:val="BodyText"/>
        <w:spacing w:line="280" w:lineRule="auto" w:before="156"/>
        <w:ind w:right="902"/>
      </w:pPr>
      <w:r>
        <w:rPr/>
        <w:t>Environmental Audit Committee. (2024). Review of low carbon investment in the UK.</w:t>
      </w:r>
      <w:r>
        <w:rPr>
          <w:spacing w:val="35"/>
        </w:rPr>
        <w:t> </w:t>
      </w:r>
      <w:r>
        <w:rPr>
          <w:i/>
        </w:rPr>
        <w:t>UK</w:t>
      </w:r>
      <w:r>
        <w:rPr>
          <w:i/>
          <w:spacing w:val="40"/>
        </w:rPr>
        <w:t> </w:t>
      </w:r>
      <w:r>
        <w:rPr>
          <w:i/>
        </w:rPr>
        <w:t>Parliament</w:t>
      </w:r>
      <w:r>
        <w:rPr/>
        <w:t>. </w:t>
      </w:r>
      <w:hyperlink r:id="rId19">
        <w:r>
          <w:rPr/>
          <w:t>https://www.parliament.uk</w:t>
        </w:r>
      </w:hyperlink>
    </w:p>
    <w:p>
      <w:pPr>
        <w:spacing w:before="156"/>
        <w:ind w:left="23" w:right="0" w:firstLine="0"/>
        <w:jc w:val="left"/>
        <w:rPr>
          <w:sz w:val="24"/>
        </w:rPr>
      </w:pPr>
      <w:r>
        <w:rPr>
          <w:sz w:val="24"/>
        </w:rPr>
        <w:t>Fitch</w:t>
      </w:r>
      <w:r>
        <w:rPr>
          <w:spacing w:val="-7"/>
          <w:sz w:val="24"/>
        </w:rPr>
        <w:t> </w:t>
      </w:r>
      <w:r>
        <w:rPr>
          <w:sz w:val="24"/>
        </w:rPr>
        <w:t>Solutions.</w:t>
      </w:r>
      <w:r>
        <w:rPr>
          <w:spacing w:val="1"/>
          <w:sz w:val="24"/>
        </w:rPr>
        <w:t> </w:t>
      </w:r>
      <w:r>
        <w:rPr>
          <w:sz w:val="24"/>
        </w:rPr>
        <w:t>(2021).</w:t>
      </w:r>
      <w:r>
        <w:rPr>
          <w:spacing w:val="-1"/>
          <w:sz w:val="24"/>
        </w:rPr>
        <w:t> </w:t>
      </w:r>
      <w:r>
        <w:rPr>
          <w:i/>
          <w:sz w:val="24"/>
        </w:rPr>
        <w:t>United</w:t>
      </w:r>
      <w:r>
        <w:rPr>
          <w:i/>
          <w:spacing w:val="-2"/>
          <w:sz w:val="24"/>
        </w:rPr>
        <w:t> </w:t>
      </w:r>
      <w:r>
        <w:rPr>
          <w:i/>
          <w:sz w:val="24"/>
        </w:rPr>
        <w:t>Kingdom</w:t>
      </w:r>
      <w:r>
        <w:rPr>
          <w:i/>
          <w:spacing w:val="-1"/>
          <w:sz w:val="24"/>
        </w:rPr>
        <w:t> </w:t>
      </w:r>
      <w:r>
        <w:rPr>
          <w:i/>
          <w:sz w:val="24"/>
        </w:rPr>
        <w:t>Power</w:t>
      </w:r>
      <w:r>
        <w:rPr>
          <w:i/>
          <w:spacing w:val="-4"/>
          <w:sz w:val="24"/>
        </w:rPr>
        <w:t> </w:t>
      </w:r>
      <w:r>
        <w:rPr>
          <w:i/>
          <w:sz w:val="24"/>
        </w:rPr>
        <w:t>Report</w:t>
      </w:r>
      <w:r>
        <w:rPr>
          <w:i/>
          <w:spacing w:val="-1"/>
          <w:sz w:val="24"/>
        </w:rPr>
        <w:t> </w:t>
      </w:r>
      <w:r>
        <w:rPr>
          <w:i/>
          <w:sz w:val="24"/>
        </w:rPr>
        <w:t>Q3</w:t>
      </w:r>
      <w:r>
        <w:rPr>
          <w:i/>
          <w:spacing w:val="-3"/>
          <w:sz w:val="24"/>
        </w:rPr>
        <w:t> </w:t>
      </w:r>
      <w:r>
        <w:rPr>
          <w:i/>
          <w:sz w:val="24"/>
        </w:rPr>
        <w:t>2021</w:t>
      </w:r>
      <w:r>
        <w:rPr>
          <w:sz w:val="24"/>
        </w:rPr>
        <w:t>.</w:t>
      </w:r>
      <w:r>
        <w:rPr>
          <w:spacing w:val="1"/>
          <w:sz w:val="24"/>
        </w:rPr>
        <w:t> </w:t>
      </w:r>
      <w:r>
        <w:rPr>
          <w:sz w:val="24"/>
        </w:rPr>
        <w:t>Fitch</w:t>
      </w:r>
      <w:r>
        <w:rPr>
          <w:spacing w:val="-6"/>
          <w:sz w:val="24"/>
        </w:rPr>
        <w:t> </w:t>
      </w:r>
      <w:r>
        <w:rPr>
          <w:sz w:val="24"/>
        </w:rPr>
        <w:t>Solutions</w:t>
      </w:r>
      <w:r>
        <w:rPr>
          <w:spacing w:val="-3"/>
          <w:sz w:val="24"/>
        </w:rPr>
        <w:t> </w:t>
      </w:r>
      <w:r>
        <w:rPr>
          <w:spacing w:val="-2"/>
          <w:sz w:val="24"/>
        </w:rPr>
        <w:t>Group.</w:t>
      </w:r>
    </w:p>
    <w:p>
      <w:pPr>
        <w:spacing w:after="0"/>
        <w:jc w:val="left"/>
        <w:rPr>
          <w:sz w:val="24"/>
        </w:rPr>
        <w:sectPr>
          <w:pgSz w:w="11910" w:h="16840"/>
          <w:pgMar w:header="0" w:footer="1064" w:top="1360" w:bottom="1260" w:left="1417" w:right="425"/>
        </w:sectPr>
      </w:pPr>
    </w:p>
    <w:p>
      <w:pPr>
        <w:pStyle w:val="BodyText"/>
        <w:spacing w:line="280" w:lineRule="auto" w:before="78"/>
        <w:ind w:right="902"/>
      </w:pPr>
      <w:r>
        <w:rPr/>
        <w:t>Greenhouse</w:t>
      </w:r>
      <w:r>
        <w:rPr>
          <w:spacing w:val="40"/>
        </w:rPr>
        <w:t> </w:t>
      </w:r>
      <w:r>
        <w:rPr/>
        <w:t>Gas</w:t>
      </w:r>
      <w:r>
        <w:rPr>
          <w:spacing w:val="39"/>
        </w:rPr>
        <w:t> </w:t>
      </w:r>
      <w:r>
        <w:rPr/>
        <w:t>Management</w:t>
      </w:r>
      <w:r>
        <w:rPr>
          <w:spacing w:val="40"/>
        </w:rPr>
        <w:t> </w:t>
      </w:r>
      <w:r>
        <w:rPr/>
        <w:t>Institute.</w:t>
      </w:r>
      <w:r>
        <w:rPr>
          <w:spacing w:val="40"/>
        </w:rPr>
        <w:t> </w:t>
      </w:r>
      <w:r>
        <w:rPr/>
        <w:t>(2022).</w:t>
      </w:r>
      <w:r>
        <w:rPr>
          <w:spacing w:val="35"/>
        </w:rPr>
        <w:t> </w:t>
      </w:r>
      <w:r>
        <w:rPr/>
        <w:t>You</w:t>
      </w:r>
      <w:r>
        <w:rPr>
          <w:spacing w:val="40"/>
        </w:rPr>
        <w:t> </w:t>
      </w:r>
      <w:r>
        <w:rPr/>
        <w:t>are</w:t>
      </w:r>
      <w:r>
        <w:rPr>
          <w:spacing w:val="40"/>
        </w:rPr>
        <w:t> </w:t>
      </w:r>
      <w:r>
        <w:rPr/>
        <w:t>not</w:t>
      </w:r>
      <w:r>
        <w:rPr>
          <w:spacing w:val="40"/>
        </w:rPr>
        <w:t> </w:t>
      </w:r>
      <w:r>
        <w:rPr/>
        <w:t>buying</w:t>
      </w:r>
      <w:r>
        <w:rPr>
          <w:spacing w:val="40"/>
        </w:rPr>
        <w:t> </w:t>
      </w:r>
      <w:r>
        <w:rPr/>
        <w:t>green</w:t>
      </w:r>
      <w:r>
        <w:rPr>
          <w:spacing w:val="36"/>
        </w:rPr>
        <w:t> </w:t>
      </w:r>
      <w:r>
        <w:rPr/>
        <w:t>(or</w:t>
      </w:r>
      <w:r>
        <w:rPr>
          <w:spacing w:val="38"/>
        </w:rPr>
        <w:t> </w:t>
      </w:r>
      <w:r>
        <w:rPr/>
        <w:t>really</w:t>
      </w:r>
      <w:r>
        <w:rPr>
          <w:spacing w:val="37"/>
        </w:rPr>
        <w:t> </w:t>
      </w:r>
      <w:r>
        <w:rPr/>
        <w:t>any) electrons.</w:t>
      </w:r>
      <w:r>
        <w:rPr>
          <w:spacing w:val="-6"/>
        </w:rPr>
        <w:t> </w:t>
      </w:r>
      <w:hyperlink r:id="rId20">
        <w:r>
          <w:rPr/>
          <w:t>https://ghginstitute.org/2022/07/07/you</w:t>
        </w:r>
        <w:r>
          <w:rPr>
            <w:spacing w:val="-2"/>
          </w:rPr>
          <w:t> </w:t>
        </w:r>
        <w:r>
          <w:rPr/>
          <w:t>are</w:t>
        </w:r>
        <w:r>
          <w:rPr>
            <w:spacing w:val="-8"/>
          </w:rPr>
          <w:t> </w:t>
        </w:r>
        <w:r>
          <w:rPr/>
          <w:t>not</w:t>
        </w:r>
        <w:r>
          <w:rPr>
            <w:spacing w:val="-2"/>
          </w:rPr>
          <w:t> </w:t>
        </w:r>
        <w:r>
          <w:rPr/>
          <w:t>buying</w:t>
        </w:r>
        <w:r>
          <w:rPr>
            <w:spacing w:val="-7"/>
          </w:rPr>
          <w:t> </w:t>
        </w:r>
        <w:r>
          <w:rPr/>
          <w:t>green</w:t>
        </w:r>
        <w:r>
          <w:rPr>
            <w:spacing w:val="-11"/>
          </w:rPr>
          <w:t> </w:t>
        </w:r>
        <w:r>
          <w:rPr/>
          <w:t>or</w:t>
        </w:r>
        <w:r>
          <w:rPr>
            <w:spacing w:val="-5"/>
          </w:rPr>
          <w:t> </w:t>
        </w:r>
        <w:r>
          <w:rPr/>
          <w:t>really</w:t>
        </w:r>
        <w:r>
          <w:rPr>
            <w:spacing w:val="-11"/>
          </w:rPr>
          <w:t> </w:t>
        </w:r>
        <w:r>
          <w:rPr/>
          <w:t>any</w:t>
        </w:r>
        <w:r>
          <w:rPr>
            <w:spacing w:val="-10"/>
          </w:rPr>
          <w:t> </w:t>
        </w:r>
        <w:r>
          <w:rPr>
            <w:spacing w:val="-2"/>
          </w:rPr>
          <w:t>electrons/</w:t>
        </w:r>
      </w:hyperlink>
    </w:p>
    <w:p>
      <w:pPr>
        <w:pStyle w:val="BodyText"/>
        <w:tabs>
          <w:tab w:pos="1592" w:val="left" w:leader="none"/>
          <w:tab w:pos="3058" w:val="left" w:leader="none"/>
          <w:tab w:pos="4047" w:val="left" w:leader="none"/>
          <w:tab w:pos="5367" w:val="left" w:leader="none"/>
          <w:tab w:pos="6802" w:val="left" w:leader="none"/>
          <w:tab w:pos="8008" w:val="left" w:leader="none"/>
          <w:tab w:pos="8757" w:val="left" w:leader="none"/>
        </w:tabs>
        <w:spacing w:line="280" w:lineRule="auto" w:before="156"/>
        <w:ind w:right="1006"/>
      </w:pPr>
      <w:r>
        <w:rPr/>
        <w:t>Grubb, M., &amp;</w:t>
      </w:r>
      <w:r>
        <w:rPr>
          <w:spacing w:val="-5"/>
        </w:rPr>
        <w:t> </w:t>
      </w:r>
      <w:r>
        <w:rPr/>
        <w:t>Newbery, D. (2018). UK</w:t>
      </w:r>
      <w:r>
        <w:rPr>
          <w:spacing w:val="-6"/>
        </w:rPr>
        <w:t> </w:t>
      </w:r>
      <w:r>
        <w:rPr/>
        <w:t>Electricity Market Reform</w:t>
      </w:r>
      <w:r>
        <w:rPr>
          <w:spacing w:val="-9"/>
        </w:rPr>
        <w:t> </w:t>
      </w:r>
      <w:r>
        <w:rPr/>
        <w:t>and the</w:t>
      </w:r>
      <w:r>
        <w:rPr>
          <w:spacing w:val="-1"/>
        </w:rPr>
        <w:t> </w:t>
      </w:r>
      <w:r>
        <w:rPr/>
        <w:t>Energy</w:t>
      </w:r>
      <w:r>
        <w:rPr>
          <w:spacing w:val="-5"/>
        </w:rPr>
        <w:t> </w:t>
      </w:r>
      <w:r>
        <w:rPr/>
        <w:t>Transition: </w:t>
      </w:r>
      <w:r>
        <w:rPr>
          <w:spacing w:val="-2"/>
        </w:rPr>
        <w:t>Emerging</w:t>
      </w:r>
      <w:r>
        <w:rPr/>
        <w:tab/>
      </w:r>
      <w:r>
        <w:rPr>
          <w:spacing w:val="-2"/>
        </w:rPr>
        <w:t>Lessons.</w:t>
      </w:r>
      <w:r>
        <w:rPr/>
        <w:tab/>
      </w:r>
      <w:r>
        <w:rPr>
          <w:i/>
          <w:spacing w:val="-5"/>
        </w:rPr>
        <w:t>The</w:t>
      </w:r>
      <w:r>
        <w:rPr>
          <w:i/>
        </w:rPr>
        <w:tab/>
      </w:r>
      <w:r>
        <w:rPr>
          <w:i/>
          <w:spacing w:val="-2"/>
        </w:rPr>
        <w:t>Energy</w:t>
      </w:r>
      <w:r>
        <w:rPr>
          <w:i/>
        </w:rPr>
        <w:tab/>
      </w:r>
      <w:r>
        <w:rPr>
          <w:i/>
          <w:spacing w:val="-2"/>
        </w:rPr>
        <w:t>Journal,</w:t>
      </w:r>
      <w:r>
        <w:rPr>
          <w:i/>
        </w:rPr>
        <w:tab/>
      </w:r>
      <w:r>
        <w:rPr>
          <w:i/>
          <w:spacing w:val="-2"/>
        </w:rPr>
        <w:t>39</w:t>
      </w:r>
      <w:r>
        <w:rPr>
          <w:spacing w:val="-2"/>
        </w:rPr>
        <w:t>(6),</w:t>
      </w:r>
      <w:r>
        <w:rPr/>
        <w:tab/>
      </w:r>
      <w:r>
        <w:rPr>
          <w:spacing w:val="-10"/>
        </w:rPr>
        <w:t>1</w:t>
      </w:r>
      <w:r>
        <w:rPr/>
        <w:tab/>
      </w:r>
      <w:r>
        <w:rPr>
          <w:spacing w:val="-5"/>
        </w:rPr>
        <w:t>26.</w:t>
      </w:r>
    </w:p>
    <w:p>
      <w:pPr>
        <w:pStyle w:val="BodyText"/>
        <w:spacing w:line="274" w:lineRule="exact"/>
      </w:pPr>
      <w:hyperlink r:id="rId21">
        <w:r>
          <w:rPr>
            <w:spacing w:val="-2"/>
          </w:rPr>
          <w:t>https://doi.org/10.5547/01956574.39.6.mgru</w:t>
        </w:r>
      </w:hyperlink>
    </w:p>
    <w:p>
      <w:pPr>
        <w:pStyle w:val="BodyText"/>
        <w:spacing w:line="280" w:lineRule="auto" w:before="204"/>
        <w:ind w:right="1011"/>
        <w:jc w:val="both"/>
      </w:pPr>
      <w:r>
        <w:rPr/>
        <w:t>Intergovernmental Panel on Climate Change (IPCC). (2022). Press release: Urgent global emissions reductions required to limit warming to 1.5 °C. </w:t>
      </w:r>
      <w:r>
        <w:rPr>
          <w:i/>
        </w:rPr>
        <w:t>IPCC</w:t>
      </w:r>
      <w:r>
        <w:rPr/>
        <w:t>. </w:t>
      </w:r>
      <w:hyperlink r:id="rId22">
        <w:r>
          <w:rPr>
            <w:spacing w:val="-2"/>
          </w:rPr>
          <w:t>https://www.ipcc.ch/report/ar6/wg3/</w:t>
        </w:r>
      </w:hyperlink>
    </w:p>
    <w:p>
      <w:pPr>
        <w:spacing w:before="155"/>
        <w:ind w:left="23" w:right="0" w:firstLine="0"/>
        <w:jc w:val="both"/>
        <w:rPr>
          <w:sz w:val="24"/>
        </w:rPr>
      </w:pPr>
      <w:r>
        <w:rPr>
          <w:sz w:val="24"/>
        </w:rPr>
        <w:t>International</w:t>
      </w:r>
      <w:r>
        <w:rPr>
          <w:spacing w:val="-10"/>
          <w:sz w:val="24"/>
        </w:rPr>
        <w:t> </w:t>
      </w:r>
      <w:r>
        <w:rPr>
          <w:sz w:val="24"/>
        </w:rPr>
        <w:t>Energy</w:t>
      </w:r>
      <w:r>
        <w:rPr>
          <w:spacing w:val="-5"/>
          <w:sz w:val="24"/>
        </w:rPr>
        <w:t> </w:t>
      </w:r>
      <w:r>
        <w:rPr>
          <w:sz w:val="24"/>
        </w:rPr>
        <w:t>Agency</w:t>
      </w:r>
      <w:r>
        <w:rPr>
          <w:spacing w:val="-5"/>
          <w:sz w:val="24"/>
        </w:rPr>
        <w:t> </w:t>
      </w:r>
      <w:r>
        <w:rPr>
          <w:sz w:val="24"/>
        </w:rPr>
        <w:t>(IEA).</w:t>
      </w:r>
      <w:r>
        <w:rPr>
          <w:spacing w:val="2"/>
          <w:sz w:val="24"/>
        </w:rPr>
        <w:t> </w:t>
      </w:r>
      <w:r>
        <w:rPr>
          <w:sz w:val="24"/>
        </w:rPr>
        <w:t>(2023).</w:t>
      </w:r>
      <w:r>
        <w:rPr>
          <w:spacing w:val="4"/>
          <w:sz w:val="24"/>
        </w:rPr>
        <w:t> </w:t>
      </w:r>
      <w:r>
        <w:rPr>
          <w:i/>
          <w:sz w:val="24"/>
        </w:rPr>
        <w:t>Electricity</w:t>
      </w:r>
      <w:r>
        <w:rPr>
          <w:i/>
          <w:spacing w:val="-1"/>
          <w:sz w:val="24"/>
        </w:rPr>
        <w:t> </w:t>
      </w:r>
      <w:r>
        <w:rPr>
          <w:i/>
          <w:sz w:val="24"/>
        </w:rPr>
        <w:t>market</w:t>
      </w:r>
      <w:r>
        <w:rPr>
          <w:i/>
          <w:spacing w:val="-1"/>
          <w:sz w:val="24"/>
        </w:rPr>
        <w:t> </w:t>
      </w:r>
      <w:r>
        <w:rPr>
          <w:i/>
          <w:sz w:val="24"/>
        </w:rPr>
        <w:t>report 2023</w:t>
      </w:r>
      <w:r>
        <w:rPr>
          <w:sz w:val="24"/>
        </w:rPr>
        <w:t>.</w:t>
      </w:r>
      <w:r>
        <w:rPr>
          <w:spacing w:val="2"/>
          <w:sz w:val="24"/>
        </w:rPr>
        <w:t> </w:t>
      </w:r>
      <w:r>
        <w:rPr>
          <w:spacing w:val="-4"/>
          <w:sz w:val="24"/>
        </w:rPr>
        <w:t>IEA.</w:t>
      </w:r>
    </w:p>
    <w:p>
      <w:pPr>
        <w:spacing w:line="280" w:lineRule="auto" w:before="204"/>
        <w:ind w:left="23" w:right="902" w:firstLine="0"/>
        <w:jc w:val="left"/>
        <w:rPr>
          <w:sz w:val="24"/>
        </w:rPr>
      </w:pPr>
      <w:r>
        <w:rPr>
          <w:sz w:val="24"/>
        </w:rPr>
        <w:t>Lin, J.,</w:t>
      </w:r>
      <w:r>
        <w:rPr>
          <w:spacing w:val="-1"/>
          <w:sz w:val="24"/>
        </w:rPr>
        <w:t> </w:t>
      </w:r>
      <w:r>
        <w:rPr>
          <w:sz w:val="24"/>
        </w:rPr>
        <w:t>&amp;</w:t>
      </w:r>
      <w:r>
        <w:rPr>
          <w:spacing w:val="-3"/>
          <w:sz w:val="24"/>
        </w:rPr>
        <w:t> </w:t>
      </w:r>
      <w:r>
        <w:rPr>
          <w:sz w:val="24"/>
        </w:rPr>
        <w:t>Magnago, F.</w:t>
      </w:r>
      <w:r>
        <w:rPr>
          <w:spacing w:val="-1"/>
          <w:sz w:val="24"/>
        </w:rPr>
        <w:t> </w:t>
      </w:r>
      <w:r>
        <w:rPr>
          <w:sz w:val="24"/>
        </w:rPr>
        <w:t>H.</w:t>
      </w:r>
      <w:r>
        <w:rPr>
          <w:spacing w:val="-6"/>
          <w:sz w:val="24"/>
        </w:rPr>
        <w:t> </w:t>
      </w:r>
      <w:r>
        <w:rPr>
          <w:sz w:val="24"/>
        </w:rPr>
        <w:t>(2017). </w:t>
      </w:r>
      <w:r>
        <w:rPr>
          <w:i/>
          <w:sz w:val="24"/>
        </w:rPr>
        <w:t>Electricity markets: Theories</w:t>
      </w:r>
      <w:r>
        <w:rPr>
          <w:i/>
          <w:spacing w:val="-1"/>
          <w:sz w:val="24"/>
        </w:rPr>
        <w:t> </w:t>
      </w:r>
      <w:r>
        <w:rPr>
          <w:i/>
          <w:sz w:val="24"/>
        </w:rPr>
        <w:t>and</w:t>
      </w:r>
      <w:r>
        <w:rPr>
          <w:i/>
          <w:spacing w:val="-3"/>
          <w:sz w:val="24"/>
        </w:rPr>
        <w:t> </w:t>
      </w:r>
      <w:r>
        <w:rPr>
          <w:i/>
          <w:sz w:val="24"/>
        </w:rPr>
        <w:t>applications</w:t>
      </w:r>
      <w:r>
        <w:rPr>
          <w:sz w:val="24"/>
        </w:rPr>
        <w:t>.</w:t>
      </w:r>
      <w:r>
        <w:rPr>
          <w:spacing w:val="-1"/>
          <w:sz w:val="24"/>
        </w:rPr>
        <w:t> </w:t>
      </w:r>
      <w:r>
        <w:rPr>
          <w:sz w:val="24"/>
        </w:rPr>
        <w:t>John Wiley &amp; Sons.</w:t>
      </w:r>
    </w:p>
    <w:p>
      <w:pPr>
        <w:pStyle w:val="BodyText"/>
        <w:spacing w:before="157"/>
      </w:pPr>
      <w:r>
        <w:rPr/>
        <w:t>Liu,</w:t>
      </w:r>
      <w:r>
        <w:rPr>
          <w:spacing w:val="43"/>
        </w:rPr>
        <w:t> </w:t>
      </w:r>
      <w:r>
        <w:rPr/>
        <w:t>J.,</w:t>
      </w:r>
      <w:r>
        <w:rPr>
          <w:spacing w:val="46"/>
        </w:rPr>
        <w:t> </w:t>
      </w:r>
      <w:r>
        <w:rPr/>
        <w:t>Wang,</w:t>
      </w:r>
      <w:r>
        <w:rPr>
          <w:spacing w:val="46"/>
        </w:rPr>
        <w:t> </w:t>
      </w:r>
      <w:r>
        <w:rPr/>
        <w:t>J.,</w:t>
      </w:r>
      <w:r>
        <w:rPr>
          <w:spacing w:val="46"/>
        </w:rPr>
        <w:t> </w:t>
      </w:r>
      <w:r>
        <w:rPr/>
        <w:t>&amp;</w:t>
      </w:r>
      <w:r>
        <w:rPr>
          <w:spacing w:val="39"/>
        </w:rPr>
        <w:t> </w:t>
      </w:r>
      <w:r>
        <w:rPr/>
        <w:t>Cardinal,</w:t>
      </w:r>
      <w:r>
        <w:rPr>
          <w:spacing w:val="51"/>
        </w:rPr>
        <w:t> </w:t>
      </w:r>
      <w:r>
        <w:rPr/>
        <w:t>J.</w:t>
      </w:r>
      <w:r>
        <w:rPr>
          <w:spacing w:val="46"/>
        </w:rPr>
        <w:t> </w:t>
      </w:r>
      <w:r>
        <w:rPr/>
        <w:t>(2022).</w:t>
      </w:r>
      <w:r>
        <w:rPr>
          <w:spacing w:val="41"/>
        </w:rPr>
        <w:t> </w:t>
      </w:r>
      <w:r>
        <w:rPr/>
        <w:t>Evolution</w:t>
      </w:r>
      <w:r>
        <w:rPr>
          <w:spacing w:val="38"/>
        </w:rPr>
        <w:t> </w:t>
      </w:r>
      <w:r>
        <w:rPr/>
        <w:t>and</w:t>
      </w:r>
      <w:r>
        <w:rPr>
          <w:spacing w:val="44"/>
        </w:rPr>
        <w:t> </w:t>
      </w:r>
      <w:r>
        <w:rPr/>
        <w:t>reform</w:t>
      </w:r>
      <w:r>
        <w:rPr>
          <w:spacing w:val="35"/>
        </w:rPr>
        <w:t> </w:t>
      </w:r>
      <w:r>
        <w:rPr/>
        <w:t>of</w:t>
      </w:r>
      <w:r>
        <w:rPr>
          <w:spacing w:val="36"/>
        </w:rPr>
        <w:t> </w:t>
      </w:r>
      <w:r>
        <w:rPr/>
        <w:t>UK</w:t>
      </w:r>
      <w:r>
        <w:rPr>
          <w:spacing w:val="39"/>
        </w:rPr>
        <w:t> </w:t>
      </w:r>
      <w:r>
        <w:rPr/>
        <w:t>electricity</w:t>
      </w:r>
      <w:r>
        <w:rPr>
          <w:spacing w:val="44"/>
        </w:rPr>
        <w:t> </w:t>
      </w:r>
      <w:r>
        <w:rPr>
          <w:spacing w:val="-2"/>
        </w:rPr>
        <w:t>market.</w:t>
      </w:r>
    </w:p>
    <w:p>
      <w:pPr>
        <w:tabs>
          <w:tab w:pos="1698" w:val="left" w:leader="none"/>
          <w:tab w:pos="2687" w:val="left" w:leader="none"/>
          <w:tab w:pos="4434" w:val="left" w:leader="none"/>
          <w:tab w:pos="5754" w:val="left" w:leader="none"/>
          <w:tab w:pos="7222" w:val="left" w:leader="none"/>
          <w:tab w:pos="8277" w:val="left" w:leader="none"/>
        </w:tabs>
        <w:spacing w:line="280" w:lineRule="auto" w:before="45"/>
        <w:ind w:left="23" w:right="1007" w:firstLine="0"/>
        <w:jc w:val="left"/>
        <w:rPr>
          <w:sz w:val="24"/>
        </w:rPr>
      </w:pPr>
      <w:r>
        <w:rPr>
          <w:i/>
          <w:spacing w:val="-2"/>
          <w:sz w:val="24"/>
        </w:rPr>
        <w:t>Renewable</w:t>
      </w:r>
      <w:r>
        <w:rPr>
          <w:i/>
          <w:sz w:val="24"/>
        </w:rPr>
        <w:tab/>
      </w:r>
      <w:r>
        <w:rPr>
          <w:i/>
          <w:spacing w:val="-4"/>
          <w:sz w:val="24"/>
        </w:rPr>
        <w:t>and</w:t>
      </w:r>
      <w:r>
        <w:rPr>
          <w:i/>
          <w:sz w:val="24"/>
        </w:rPr>
        <w:tab/>
      </w:r>
      <w:r>
        <w:rPr>
          <w:i/>
          <w:spacing w:val="-2"/>
          <w:sz w:val="24"/>
        </w:rPr>
        <w:t>Sustainable</w:t>
      </w:r>
      <w:r>
        <w:rPr>
          <w:i/>
          <w:sz w:val="24"/>
        </w:rPr>
        <w:tab/>
      </w:r>
      <w:r>
        <w:rPr>
          <w:i/>
          <w:spacing w:val="-2"/>
          <w:sz w:val="24"/>
        </w:rPr>
        <w:t>Energy</w:t>
      </w:r>
      <w:r>
        <w:rPr>
          <w:i/>
          <w:sz w:val="24"/>
        </w:rPr>
        <w:tab/>
      </w:r>
      <w:r>
        <w:rPr>
          <w:i/>
          <w:spacing w:val="-2"/>
          <w:sz w:val="24"/>
        </w:rPr>
        <w:t>Reviews,</w:t>
      </w:r>
      <w:r>
        <w:rPr>
          <w:i/>
          <w:sz w:val="24"/>
        </w:rPr>
        <w:tab/>
      </w:r>
      <w:r>
        <w:rPr>
          <w:i/>
          <w:spacing w:val="-4"/>
          <w:sz w:val="24"/>
        </w:rPr>
        <w:t>161</w:t>
      </w:r>
      <w:r>
        <w:rPr>
          <w:spacing w:val="-4"/>
          <w:sz w:val="24"/>
        </w:rPr>
        <w:t>,</w:t>
      </w:r>
      <w:r>
        <w:rPr>
          <w:sz w:val="24"/>
        </w:rPr>
        <w:tab/>
      </w:r>
      <w:r>
        <w:rPr>
          <w:spacing w:val="-2"/>
          <w:sz w:val="24"/>
        </w:rPr>
        <w:t>112317. </w:t>
      </w:r>
      <w:hyperlink r:id="rId23">
        <w:r>
          <w:rPr>
            <w:spacing w:val="-2"/>
            <w:sz w:val="24"/>
          </w:rPr>
          <w:t>https://doi.org/10.1016/j.rser.2022.112317</w:t>
        </w:r>
      </w:hyperlink>
    </w:p>
    <w:p>
      <w:pPr>
        <w:spacing w:before="156"/>
        <w:ind w:left="23" w:right="0" w:firstLine="0"/>
        <w:jc w:val="left"/>
        <w:rPr>
          <w:sz w:val="24"/>
        </w:rPr>
      </w:pPr>
      <w:r>
        <w:rPr>
          <w:sz w:val="24"/>
        </w:rPr>
        <w:t>Mueller,</w:t>
      </w:r>
      <w:r>
        <w:rPr>
          <w:spacing w:val="1"/>
          <w:sz w:val="24"/>
        </w:rPr>
        <w:t> </w:t>
      </w:r>
      <w:r>
        <w:rPr>
          <w:sz w:val="24"/>
        </w:rPr>
        <w:t>D. C.</w:t>
      </w:r>
      <w:r>
        <w:rPr>
          <w:spacing w:val="-4"/>
          <w:sz w:val="24"/>
        </w:rPr>
        <w:t> </w:t>
      </w:r>
      <w:r>
        <w:rPr>
          <w:sz w:val="24"/>
        </w:rPr>
        <w:t>(2003).</w:t>
      </w:r>
      <w:r>
        <w:rPr>
          <w:spacing w:val="4"/>
          <w:sz w:val="24"/>
        </w:rPr>
        <w:t> </w:t>
      </w:r>
      <w:r>
        <w:rPr>
          <w:i/>
          <w:sz w:val="24"/>
        </w:rPr>
        <w:t>Public</w:t>
      </w:r>
      <w:r>
        <w:rPr>
          <w:i/>
          <w:spacing w:val="-2"/>
          <w:sz w:val="24"/>
        </w:rPr>
        <w:t> </w:t>
      </w:r>
      <w:r>
        <w:rPr>
          <w:i/>
          <w:sz w:val="24"/>
        </w:rPr>
        <w:t>choice</w:t>
      </w:r>
      <w:r>
        <w:rPr>
          <w:i/>
          <w:spacing w:val="-2"/>
          <w:sz w:val="24"/>
        </w:rPr>
        <w:t> </w:t>
      </w:r>
      <w:r>
        <w:rPr>
          <w:i/>
          <w:sz w:val="24"/>
        </w:rPr>
        <w:t>III</w:t>
      </w:r>
      <w:r>
        <w:rPr>
          <w:i/>
          <w:spacing w:val="-2"/>
          <w:sz w:val="24"/>
        </w:rPr>
        <w:t> </w:t>
      </w:r>
      <w:r>
        <w:rPr>
          <w:sz w:val="24"/>
        </w:rPr>
        <w:t>(3rd</w:t>
      </w:r>
      <w:r>
        <w:rPr>
          <w:spacing w:val="-6"/>
          <w:sz w:val="24"/>
        </w:rPr>
        <w:t> </w:t>
      </w:r>
      <w:r>
        <w:rPr>
          <w:sz w:val="24"/>
        </w:rPr>
        <w:t>ed.).</w:t>
      </w:r>
      <w:r>
        <w:rPr>
          <w:spacing w:val="-7"/>
          <w:sz w:val="24"/>
        </w:rPr>
        <w:t> </w:t>
      </w:r>
      <w:r>
        <w:rPr>
          <w:sz w:val="24"/>
        </w:rPr>
        <w:t>Cambridge</w:t>
      </w:r>
      <w:r>
        <w:rPr>
          <w:spacing w:val="-2"/>
          <w:sz w:val="24"/>
        </w:rPr>
        <w:t> </w:t>
      </w:r>
      <w:r>
        <w:rPr>
          <w:sz w:val="24"/>
        </w:rPr>
        <w:t>University</w:t>
      </w:r>
      <w:r>
        <w:rPr>
          <w:spacing w:val="-10"/>
          <w:sz w:val="24"/>
        </w:rPr>
        <w:t> </w:t>
      </w:r>
      <w:r>
        <w:rPr>
          <w:spacing w:val="-2"/>
          <w:sz w:val="24"/>
        </w:rPr>
        <w:t>Press.</w:t>
      </w:r>
    </w:p>
    <w:p>
      <w:pPr>
        <w:pStyle w:val="BodyText"/>
        <w:tabs>
          <w:tab w:pos="1107" w:val="left" w:leader="none"/>
          <w:tab w:pos="1869" w:val="left" w:leader="none"/>
          <w:tab w:pos="2828" w:val="left" w:leader="none"/>
          <w:tab w:pos="3461" w:val="left" w:leader="none"/>
          <w:tab w:pos="4387" w:val="left" w:leader="none"/>
          <w:tab w:pos="4847" w:val="left" w:leader="none"/>
          <w:tab w:pos="5758" w:val="left" w:leader="none"/>
          <w:tab w:pos="6200" w:val="left" w:leader="none"/>
          <w:tab w:pos="6761" w:val="left" w:leader="none"/>
          <w:tab w:pos="7437" w:val="left" w:leader="none"/>
          <w:tab w:pos="8540" w:val="left" w:leader="none"/>
        </w:tabs>
        <w:spacing w:line="280" w:lineRule="auto" w:before="204"/>
        <w:ind w:right="1006"/>
      </w:pPr>
      <w:r>
        <w:rPr>
          <w:spacing w:val="-2"/>
        </w:rPr>
        <w:t>National</w:t>
      </w:r>
      <w:r>
        <w:rPr/>
        <w:tab/>
      </w:r>
      <w:r>
        <w:rPr>
          <w:spacing w:val="-2"/>
        </w:rPr>
        <w:t>Grid.</w:t>
      </w:r>
      <w:r>
        <w:rPr/>
        <w:tab/>
      </w:r>
      <w:r>
        <w:rPr>
          <w:spacing w:val="-2"/>
        </w:rPr>
        <w:t>(2024).</w:t>
      </w:r>
      <w:r>
        <w:rPr/>
        <w:tab/>
      </w:r>
      <w:r>
        <w:rPr>
          <w:spacing w:val="-4"/>
        </w:rPr>
        <w:t>The</w:t>
      </w:r>
      <w:r>
        <w:rPr/>
        <w:tab/>
      </w:r>
      <w:r>
        <w:rPr>
          <w:spacing w:val="-2"/>
        </w:rPr>
        <w:t>history</w:t>
      </w:r>
      <w:r>
        <w:rPr/>
        <w:tab/>
      </w:r>
      <w:r>
        <w:rPr>
          <w:spacing w:val="-6"/>
        </w:rPr>
        <w:t>of</w:t>
      </w:r>
      <w:r>
        <w:rPr/>
        <w:tab/>
      </w:r>
      <w:r>
        <w:rPr>
          <w:spacing w:val="-2"/>
        </w:rPr>
        <w:t>energy</w:t>
      </w:r>
      <w:r>
        <w:rPr/>
        <w:tab/>
      </w:r>
      <w:r>
        <w:rPr>
          <w:spacing w:val="-6"/>
        </w:rPr>
        <w:t>in</w:t>
      </w:r>
      <w:r>
        <w:rPr/>
        <w:tab/>
      </w:r>
      <w:r>
        <w:rPr>
          <w:spacing w:val="-4"/>
        </w:rPr>
        <w:t>the</w:t>
      </w:r>
      <w:r>
        <w:rPr/>
        <w:tab/>
      </w:r>
      <w:r>
        <w:rPr>
          <w:spacing w:val="-4"/>
        </w:rPr>
        <w:t>UK.</w:t>
      </w:r>
      <w:r>
        <w:rPr/>
        <w:tab/>
      </w:r>
      <w:r>
        <w:rPr>
          <w:i/>
          <w:spacing w:val="-2"/>
        </w:rPr>
        <w:t>National</w:t>
      </w:r>
      <w:r>
        <w:rPr>
          <w:i/>
        </w:rPr>
        <w:tab/>
      </w:r>
      <w:r>
        <w:rPr>
          <w:i/>
          <w:spacing w:val="-2"/>
        </w:rPr>
        <w:t>Grid</w:t>
      </w:r>
      <w:r>
        <w:rPr>
          <w:spacing w:val="-2"/>
        </w:rPr>
        <w:t>. </w:t>
      </w:r>
      <w:hyperlink r:id="rId24">
        <w:r>
          <w:rPr/>
          <w:t>https://www.nationalgrid.com/stories/energy explained/history of energy UK</w:t>
        </w:r>
      </w:hyperlink>
    </w:p>
    <w:p>
      <w:pPr>
        <w:spacing w:line="280" w:lineRule="auto" w:before="156"/>
        <w:ind w:left="23" w:right="902" w:firstLine="0"/>
        <w:jc w:val="left"/>
        <w:rPr>
          <w:sz w:val="24"/>
        </w:rPr>
      </w:pPr>
      <w:r>
        <w:rPr>
          <w:sz w:val="24"/>
        </w:rPr>
        <w:t>Niță,</w:t>
      </w:r>
      <w:r>
        <w:rPr>
          <w:spacing w:val="-7"/>
          <w:sz w:val="24"/>
        </w:rPr>
        <w:t> </w:t>
      </w:r>
      <w:r>
        <w:rPr>
          <w:sz w:val="24"/>
        </w:rPr>
        <w:t>A.,</w:t>
      </w:r>
      <w:r>
        <w:rPr>
          <w:spacing w:val="-11"/>
          <w:sz w:val="24"/>
        </w:rPr>
        <w:t> </w:t>
      </w:r>
      <w:r>
        <w:rPr>
          <w:sz w:val="24"/>
        </w:rPr>
        <w:t>Muntean,</w:t>
      </w:r>
      <w:r>
        <w:rPr>
          <w:spacing w:val="-11"/>
          <w:sz w:val="24"/>
        </w:rPr>
        <w:t> </w:t>
      </w:r>
      <w:r>
        <w:rPr>
          <w:sz w:val="24"/>
        </w:rPr>
        <w:t>M.,</w:t>
      </w:r>
      <w:r>
        <w:rPr>
          <w:spacing w:val="-11"/>
          <w:sz w:val="24"/>
        </w:rPr>
        <w:t> </w:t>
      </w:r>
      <w:r>
        <w:rPr>
          <w:sz w:val="24"/>
        </w:rPr>
        <w:t>&amp;</w:t>
      </w:r>
      <w:r>
        <w:rPr>
          <w:spacing w:val="-12"/>
          <w:sz w:val="24"/>
        </w:rPr>
        <w:t> </w:t>
      </w:r>
      <w:r>
        <w:rPr>
          <w:sz w:val="24"/>
        </w:rPr>
        <w:t>Aardenne,</w:t>
      </w:r>
      <w:r>
        <w:rPr>
          <w:spacing w:val="-11"/>
          <w:sz w:val="24"/>
        </w:rPr>
        <w:t> </w:t>
      </w:r>
      <w:r>
        <w:rPr>
          <w:sz w:val="24"/>
        </w:rPr>
        <w:t>J.</w:t>
      </w:r>
      <w:r>
        <w:rPr>
          <w:spacing w:val="-11"/>
          <w:sz w:val="24"/>
        </w:rPr>
        <w:t> </w:t>
      </w:r>
      <w:r>
        <w:rPr>
          <w:sz w:val="24"/>
        </w:rPr>
        <w:t>(2025).</w:t>
      </w:r>
      <w:r>
        <w:rPr>
          <w:spacing w:val="-10"/>
          <w:sz w:val="24"/>
        </w:rPr>
        <w:t> </w:t>
      </w:r>
      <w:r>
        <w:rPr>
          <w:i/>
          <w:sz w:val="24"/>
        </w:rPr>
        <w:t>EDGAR</w:t>
      </w:r>
      <w:r>
        <w:rPr>
          <w:i/>
          <w:spacing w:val="-11"/>
          <w:sz w:val="24"/>
        </w:rPr>
        <w:t> </w:t>
      </w:r>
      <w:r>
        <w:rPr>
          <w:i/>
          <w:sz w:val="24"/>
        </w:rPr>
        <w:t>v7.0:</w:t>
      </w:r>
      <w:r>
        <w:rPr>
          <w:i/>
          <w:spacing w:val="-11"/>
          <w:sz w:val="24"/>
        </w:rPr>
        <w:t> </w:t>
      </w:r>
      <w:r>
        <w:rPr>
          <w:i/>
          <w:sz w:val="24"/>
        </w:rPr>
        <w:t>Fossil</w:t>
      </w:r>
      <w:r>
        <w:rPr>
          <w:i/>
          <w:spacing w:val="-12"/>
          <w:sz w:val="24"/>
        </w:rPr>
        <w:t> </w:t>
      </w:r>
      <w:r>
        <w:rPr>
          <w:i/>
          <w:sz w:val="24"/>
        </w:rPr>
        <w:t>CO₂</w:t>
      </w:r>
      <w:r>
        <w:rPr>
          <w:i/>
          <w:spacing w:val="-13"/>
          <w:sz w:val="24"/>
        </w:rPr>
        <w:t> </w:t>
      </w:r>
      <w:r>
        <w:rPr>
          <w:i/>
          <w:sz w:val="24"/>
        </w:rPr>
        <w:t>emissions</w:t>
      </w:r>
      <w:r>
        <w:rPr>
          <w:i/>
          <w:spacing w:val="-14"/>
          <w:sz w:val="24"/>
        </w:rPr>
        <w:t> </w:t>
      </w:r>
      <w:r>
        <w:rPr>
          <w:i/>
          <w:sz w:val="24"/>
        </w:rPr>
        <w:t>of</w:t>
      </w:r>
      <w:r>
        <w:rPr>
          <w:i/>
          <w:spacing w:val="-9"/>
          <w:sz w:val="24"/>
        </w:rPr>
        <w:t> </w:t>
      </w:r>
      <w:r>
        <w:rPr>
          <w:i/>
          <w:sz w:val="24"/>
        </w:rPr>
        <w:t>all</w:t>
      </w:r>
      <w:r>
        <w:rPr>
          <w:i/>
          <w:spacing w:val="-8"/>
          <w:sz w:val="24"/>
        </w:rPr>
        <w:t> </w:t>
      </w:r>
      <w:r>
        <w:rPr>
          <w:i/>
          <w:sz w:val="24"/>
        </w:rPr>
        <w:t>world countries, 2024 report</w:t>
      </w:r>
      <w:r>
        <w:rPr>
          <w:sz w:val="24"/>
        </w:rPr>
        <w:t>. European Commission, Joint Research Centre.</w:t>
      </w:r>
    </w:p>
    <w:p>
      <w:pPr>
        <w:pStyle w:val="BodyText"/>
        <w:tabs>
          <w:tab w:pos="1044" w:val="left" w:leader="none"/>
          <w:tab w:pos="2482" w:val="left" w:leader="none"/>
          <w:tab w:pos="3596" w:val="left" w:leader="none"/>
          <w:tab w:pos="4685" w:val="left" w:leader="none"/>
          <w:tab w:pos="5083" w:val="left" w:leader="none"/>
          <w:tab w:pos="6546" w:val="left" w:leader="none"/>
          <w:tab w:pos="7505" w:val="left" w:leader="none"/>
          <w:tab w:pos="8305" w:val="left" w:leader="none"/>
          <w:tab w:pos="8753" w:val="left" w:leader="none"/>
        </w:tabs>
        <w:spacing w:line="280" w:lineRule="auto" w:before="156"/>
        <w:ind w:right="1006"/>
      </w:pPr>
      <w:r>
        <w:rPr/>
        <w:t>Priem,</w:t>
      </w:r>
      <w:r>
        <w:rPr>
          <w:spacing w:val="29"/>
        </w:rPr>
        <w:t> </w:t>
      </w:r>
      <w:r>
        <w:rPr/>
        <w:t>R.</w:t>
      </w:r>
      <w:r>
        <w:rPr>
          <w:spacing w:val="29"/>
        </w:rPr>
        <w:t> </w:t>
      </w:r>
      <w:r>
        <w:rPr/>
        <w:t>L.,</w:t>
      </w:r>
      <w:r>
        <w:rPr>
          <w:spacing w:val="29"/>
        </w:rPr>
        <w:t> </w:t>
      </w:r>
      <w:r>
        <w:rPr/>
        <w:t>&amp;</w:t>
      </w:r>
      <w:r>
        <w:rPr>
          <w:spacing w:val="22"/>
        </w:rPr>
        <w:t> </w:t>
      </w:r>
      <w:r>
        <w:rPr/>
        <w:t>Butler,</w:t>
      </w:r>
      <w:r>
        <w:rPr>
          <w:spacing w:val="29"/>
        </w:rPr>
        <w:t> </w:t>
      </w:r>
      <w:r>
        <w:rPr/>
        <w:t>J.</w:t>
      </w:r>
      <w:r>
        <w:rPr>
          <w:spacing w:val="29"/>
        </w:rPr>
        <w:t> </w:t>
      </w:r>
      <w:r>
        <w:rPr/>
        <w:t>E.</w:t>
      </w:r>
      <w:r>
        <w:rPr>
          <w:spacing w:val="24"/>
        </w:rPr>
        <w:t> </w:t>
      </w:r>
      <w:r>
        <w:rPr/>
        <w:t>(2001).</w:t>
      </w:r>
      <w:r>
        <w:rPr>
          <w:spacing w:val="24"/>
        </w:rPr>
        <w:t> </w:t>
      </w:r>
      <w:r>
        <w:rPr/>
        <w:t>Is</w:t>
      </w:r>
      <w:r>
        <w:rPr>
          <w:spacing w:val="20"/>
        </w:rPr>
        <w:t> </w:t>
      </w:r>
      <w:r>
        <w:rPr/>
        <w:t>the</w:t>
      </w:r>
      <w:r>
        <w:rPr>
          <w:spacing w:val="26"/>
        </w:rPr>
        <w:t> </w:t>
      </w:r>
      <w:r>
        <w:rPr/>
        <w:t>resource</w:t>
      </w:r>
      <w:r>
        <w:rPr>
          <w:spacing w:val="35"/>
        </w:rPr>
        <w:t> </w:t>
      </w:r>
      <w:r>
        <w:rPr/>
        <w:t>based</w:t>
      </w:r>
      <w:r>
        <w:rPr>
          <w:spacing w:val="31"/>
        </w:rPr>
        <w:t> </w:t>
      </w:r>
      <w:r>
        <w:rPr/>
        <w:t>“view”</w:t>
      </w:r>
      <w:r>
        <w:rPr>
          <w:spacing w:val="26"/>
        </w:rPr>
        <w:t> </w:t>
      </w:r>
      <w:r>
        <w:rPr/>
        <w:t>a</w:t>
      </w:r>
      <w:r>
        <w:rPr>
          <w:spacing w:val="26"/>
        </w:rPr>
        <w:t> </w:t>
      </w:r>
      <w:r>
        <w:rPr/>
        <w:t>useful</w:t>
      </w:r>
      <w:r>
        <w:rPr>
          <w:spacing w:val="22"/>
        </w:rPr>
        <w:t> </w:t>
      </w:r>
      <w:r>
        <w:rPr/>
        <w:t>perspective</w:t>
      </w:r>
      <w:r>
        <w:rPr>
          <w:spacing w:val="30"/>
        </w:rPr>
        <w:t> </w:t>
      </w:r>
      <w:r>
        <w:rPr/>
        <w:t>for </w:t>
      </w:r>
      <w:r>
        <w:rPr>
          <w:spacing w:val="-2"/>
        </w:rPr>
        <w:t>strategic</w:t>
      </w:r>
      <w:r>
        <w:rPr/>
        <w:tab/>
      </w:r>
      <w:r>
        <w:rPr>
          <w:spacing w:val="-2"/>
        </w:rPr>
        <w:t>management</w:t>
      </w:r>
      <w:r>
        <w:rPr/>
        <w:tab/>
      </w:r>
      <w:r>
        <w:rPr>
          <w:spacing w:val="-2"/>
        </w:rPr>
        <w:t>research?</w:t>
      </w:r>
      <w:r>
        <w:rPr/>
        <w:tab/>
      </w:r>
      <w:r>
        <w:rPr>
          <w:i/>
          <w:spacing w:val="-2"/>
        </w:rPr>
        <w:t>Academy</w:t>
      </w:r>
      <w:r>
        <w:rPr>
          <w:i/>
        </w:rPr>
        <w:tab/>
      </w:r>
      <w:r>
        <w:rPr>
          <w:i/>
          <w:spacing w:val="-5"/>
        </w:rPr>
        <w:t>of</w:t>
      </w:r>
      <w:r>
        <w:rPr>
          <w:i/>
        </w:rPr>
        <w:tab/>
      </w:r>
      <w:r>
        <w:rPr>
          <w:i/>
          <w:spacing w:val="-2"/>
        </w:rPr>
        <w:t>Management</w:t>
      </w:r>
      <w:r>
        <w:rPr>
          <w:i/>
        </w:rPr>
        <w:tab/>
      </w:r>
      <w:r>
        <w:rPr>
          <w:i/>
          <w:spacing w:val="-2"/>
        </w:rPr>
        <w:t>Review,</w:t>
      </w:r>
      <w:r>
        <w:rPr>
          <w:i/>
        </w:rPr>
        <w:tab/>
      </w:r>
      <w:r>
        <w:rPr>
          <w:i/>
          <w:spacing w:val="-2"/>
        </w:rPr>
        <w:t>26</w:t>
      </w:r>
      <w:r>
        <w:rPr>
          <w:spacing w:val="-2"/>
        </w:rPr>
        <w:t>(1),</w:t>
      </w:r>
      <w:r>
        <w:rPr/>
        <w:tab/>
      </w:r>
      <w:r>
        <w:rPr>
          <w:spacing w:val="-5"/>
        </w:rPr>
        <w:t>22</w:t>
      </w:r>
      <w:r>
        <w:rPr/>
        <w:tab/>
      </w:r>
      <w:r>
        <w:rPr>
          <w:spacing w:val="-5"/>
        </w:rPr>
        <w:t>40.</w:t>
      </w:r>
    </w:p>
    <w:p>
      <w:pPr>
        <w:pStyle w:val="BodyText"/>
        <w:spacing w:line="274" w:lineRule="exact"/>
      </w:pPr>
      <w:hyperlink r:id="rId25">
        <w:r>
          <w:rPr>
            <w:spacing w:val="-2"/>
          </w:rPr>
          <w:t>https://doi.org/10.5465/amr.2001.4011928</w:t>
        </w:r>
      </w:hyperlink>
    </w:p>
    <w:p>
      <w:pPr>
        <w:pStyle w:val="BodyText"/>
        <w:tabs>
          <w:tab w:pos="1822" w:val="left" w:leader="none"/>
          <w:tab w:pos="2853" w:val="left" w:leader="none"/>
          <w:tab w:pos="3525" w:val="left" w:leader="none"/>
          <w:tab w:pos="4652" w:val="left" w:leader="none"/>
          <w:tab w:pos="5453" w:val="left" w:leader="none"/>
          <w:tab w:pos="6575" w:val="left" w:leader="none"/>
          <w:tab w:pos="7251" w:val="left" w:leader="none"/>
          <w:tab w:pos="8158" w:val="left" w:leader="none"/>
        </w:tabs>
        <w:spacing w:line="280" w:lineRule="auto" w:before="204"/>
        <w:ind w:right="1026"/>
      </w:pPr>
      <w:r>
        <w:rPr>
          <w:spacing w:val="-2"/>
        </w:rPr>
        <w:t>RenewableUK.</w:t>
      </w:r>
      <w:r>
        <w:rPr/>
        <w:tab/>
      </w:r>
      <w:r>
        <w:rPr>
          <w:spacing w:val="-2"/>
        </w:rPr>
        <w:t>(2025).</w:t>
      </w:r>
      <w:r>
        <w:rPr/>
        <w:tab/>
      </w:r>
      <w:r>
        <w:rPr>
          <w:spacing w:val="-6"/>
        </w:rPr>
        <w:t>UK</w:t>
      </w:r>
      <w:r>
        <w:rPr/>
        <w:tab/>
      </w:r>
      <w:r>
        <w:rPr>
          <w:spacing w:val="-2"/>
        </w:rPr>
        <w:t>offshore</w:t>
      </w:r>
      <w:r>
        <w:rPr/>
        <w:tab/>
      </w:r>
      <w:r>
        <w:rPr>
          <w:spacing w:val="-4"/>
        </w:rPr>
        <w:t>wind</w:t>
      </w:r>
      <w:r>
        <w:rPr/>
        <w:tab/>
      </w:r>
      <w:r>
        <w:rPr>
          <w:spacing w:val="-2"/>
        </w:rPr>
        <w:t>capacity</w:t>
      </w:r>
      <w:r>
        <w:rPr/>
        <w:tab/>
      </w:r>
      <w:r>
        <w:rPr>
          <w:spacing w:val="-4"/>
        </w:rPr>
        <w:t>and</w:t>
      </w:r>
      <w:r>
        <w:rPr/>
        <w:tab/>
      </w:r>
      <w:r>
        <w:rPr>
          <w:spacing w:val="-2"/>
        </w:rPr>
        <w:t>sector</w:t>
      </w:r>
      <w:r>
        <w:rPr/>
        <w:tab/>
      </w:r>
      <w:r>
        <w:rPr>
          <w:spacing w:val="-2"/>
        </w:rPr>
        <w:t>statistics. </w:t>
      </w:r>
      <w:hyperlink r:id="rId26">
        <w:r>
          <w:rPr>
            <w:spacing w:val="-2"/>
          </w:rPr>
          <w:t>https://www.renewableuk.com</w:t>
        </w:r>
      </w:hyperlink>
    </w:p>
    <w:p>
      <w:pPr>
        <w:spacing w:line="280" w:lineRule="auto" w:before="157"/>
        <w:ind w:left="23" w:right="902" w:firstLine="0"/>
        <w:jc w:val="left"/>
        <w:rPr>
          <w:sz w:val="24"/>
        </w:rPr>
      </w:pPr>
      <w:r>
        <w:rPr>
          <w:sz w:val="24"/>
        </w:rPr>
        <w:t>Siccion, T.,</w:t>
      </w:r>
      <w:r>
        <w:rPr>
          <w:spacing w:val="-1"/>
          <w:sz w:val="24"/>
        </w:rPr>
        <w:t> </w:t>
      </w:r>
      <w:r>
        <w:rPr>
          <w:sz w:val="24"/>
        </w:rPr>
        <w:t>&amp;</w:t>
      </w:r>
      <w:r>
        <w:rPr>
          <w:spacing w:val="-3"/>
          <w:sz w:val="24"/>
        </w:rPr>
        <w:t> </w:t>
      </w:r>
      <w:r>
        <w:rPr>
          <w:sz w:val="24"/>
        </w:rPr>
        <w:t>Gupta,</w:t>
      </w:r>
      <w:r>
        <w:rPr>
          <w:spacing w:val="-1"/>
          <w:sz w:val="24"/>
        </w:rPr>
        <w:t> </w:t>
      </w:r>
      <w:r>
        <w:rPr>
          <w:sz w:val="24"/>
        </w:rPr>
        <w:t>S.</w:t>
      </w:r>
      <w:r>
        <w:rPr>
          <w:spacing w:val="-1"/>
          <w:sz w:val="24"/>
        </w:rPr>
        <w:t> </w:t>
      </w:r>
      <w:r>
        <w:rPr>
          <w:sz w:val="24"/>
        </w:rPr>
        <w:t>(2024).</w:t>
      </w:r>
      <w:r>
        <w:rPr>
          <w:spacing w:val="-1"/>
          <w:sz w:val="24"/>
        </w:rPr>
        <w:t> </w:t>
      </w:r>
      <w:r>
        <w:rPr>
          <w:sz w:val="24"/>
        </w:rPr>
        <w:t>Private equity</w:t>
      </w:r>
      <w:r>
        <w:rPr>
          <w:spacing w:val="-3"/>
          <w:sz w:val="24"/>
        </w:rPr>
        <w:t> </w:t>
      </w:r>
      <w:r>
        <w:rPr>
          <w:sz w:val="24"/>
        </w:rPr>
        <w:t>flows</w:t>
      </w:r>
      <w:r>
        <w:rPr>
          <w:spacing w:val="-1"/>
          <w:sz w:val="24"/>
        </w:rPr>
        <w:t> </w:t>
      </w:r>
      <w:r>
        <w:rPr>
          <w:sz w:val="24"/>
        </w:rPr>
        <w:t>to UK</w:t>
      </w:r>
      <w:r>
        <w:rPr>
          <w:spacing w:val="-4"/>
          <w:sz w:val="24"/>
        </w:rPr>
        <w:t> </w:t>
      </w:r>
      <w:r>
        <w:rPr>
          <w:sz w:val="24"/>
        </w:rPr>
        <w:t>renewables</w:t>
      </w:r>
      <w:r>
        <w:rPr>
          <w:spacing w:val="-1"/>
          <w:sz w:val="24"/>
        </w:rPr>
        <w:t> </w:t>
      </w:r>
      <w:r>
        <w:rPr>
          <w:sz w:val="24"/>
        </w:rPr>
        <w:t>surpass investment in US. </w:t>
      </w:r>
      <w:r>
        <w:rPr>
          <w:i/>
          <w:sz w:val="24"/>
        </w:rPr>
        <w:t>S&amp;P Global Market Intelligence Report</w:t>
      </w:r>
      <w:r>
        <w:rPr>
          <w:sz w:val="24"/>
        </w:rPr>
        <w:t>.</w:t>
      </w:r>
    </w:p>
    <w:p>
      <w:pPr>
        <w:pStyle w:val="BodyText"/>
        <w:spacing w:line="280" w:lineRule="auto" w:before="155"/>
        <w:ind w:right="902"/>
      </w:pPr>
      <w:r>
        <w:rPr/>
        <w:t>Spring, M., Preston, J.,</w:t>
      </w:r>
      <w:r>
        <w:rPr>
          <w:spacing w:val="-1"/>
        </w:rPr>
        <w:t> </w:t>
      </w:r>
      <w:r>
        <w:rPr/>
        <w:t>&amp;</w:t>
      </w:r>
      <w:r>
        <w:rPr>
          <w:spacing w:val="-3"/>
        </w:rPr>
        <w:t> </w:t>
      </w:r>
      <w:r>
        <w:rPr/>
        <w:t>Buckingham, W. (2024). Assessing the CfD model: A</w:t>
      </w:r>
      <w:r>
        <w:rPr>
          <w:spacing w:val="-4"/>
        </w:rPr>
        <w:t> </w:t>
      </w:r>
      <w:r>
        <w:rPr/>
        <w:t>comparative study of renewable auction schemes. </w:t>
      </w:r>
      <w:r>
        <w:rPr>
          <w:i/>
        </w:rPr>
        <w:t>Journal of Energy Policy Studies</w:t>
      </w:r>
      <w:r>
        <w:rPr/>
        <w:t>, 12(2), 135 152.</w:t>
      </w:r>
    </w:p>
    <w:p>
      <w:pPr>
        <w:spacing w:line="280" w:lineRule="auto" w:before="157"/>
        <w:ind w:left="23" w:right="902" w:firstLine="0"/>
        <w:jc w:val="left"/>
        <w:rPr>
          <w:sz w:val="24"/>
        </w:rPr>
      </w:pPr>
      <w:r>
        <w:rPr>
          <w:sz w:val="24"/>
        </w:rPr>
        <w:t>SSE plc. (2024). </w:t>
      </w:r>
      <w:r>
        <w:rPr>
          <w:i/>
          <w:sz w:val="24"/>
        </w:rPr>
        <w:t>Sustainability report 2024:</w:t>
      </w:r>
      <w:r>
        <w:rPr>
          <w:i/>
          <w:spacing w:val="-2"/>
          <w:sz w:val="24"/>
        </w:rPr>
        <w:t> </w:t>
      </w:r>
      <w:r>
        <w:rPr>
          <w:i/>
          <w:sz w:val="24"/>
        </w:rPr>
        <w:t>Renewable capacity and economic impacts</w:t>
      </w:r>
      <w:r>
        <w:rPr>
          <w:sz w:val="24"/>
        </w:rPr>
        <w:t>. SSE </w:t>
      </w:r>
      <w:r>
        <w:rPr>
          <w:spacing w:val="-4"/>
          <w:sz w:val="24"/>
        </w:rPr>
        <w:t>plc.</w:t>
      </w:r>
    </w:p>
    <w:p>
      <w:pPr>
        <w:spacing w:line="280" w:lineRule="auto" w:before="155"/>
        <w:ind w:left="23" w:right="794" w:firstLine="0"/>
        <w:jc w:val="left"/>
        <w:rPr>
          <w:sz w:val="24"/>
        </w:rPr>
      </w:pPr>
      <w:r>
        <w:rPr>
          <w:sz w:val="24"/>
        </w:rPr>
        <w:t>UK</w:t>
      </w:r>
      <w:r>
        <w:rPr>
          <w:spacing w:val="-18"/>
          <w:sz w:val="24"/>
        </w:rPr>
        <w:t> </w:t>
      </w:r>
      <w:r>
        <w:rPr>
          <w:sz w:val="24"/>
        </w:rPr>
        <w:t>Government.</w:t>
      </w:r>
      <w:r>
        <w:rPr>
          <w:spacing w:val="-15"/>
          <w:sz w:val="24"/>
        </w:rPr>
        <w:t> </w:t>
      </w:r>
      <w:r>
        <w:rPr>
          <w:sz w:val="24"/>
        </w:rPr>
        <w:t>(2024).</w:t>
      </w:r>
      <w:r>
        <w:rPr>
          <w:spacing w:val="-15"/>
          <w:sz w:val="24"/>
        </w:rPr>
        <w:t> </w:t>
      </w:r>
      <w:r>
        <w:rPr>
          <w:i/>
          <w:sz w:val="24"/>
        </w:rPr>
        <w:t>Contracts</w:t>
      </w:r>
      <w:r>
        <w:rPr>
          <w:i/>
          <w:spacing w:val="-15"/>
          <w:sz w:val="24"/>
        </w:rPr>
        <w:t> </w:t>
      </w:r>
      <w:r>
        <w:rPr>
          <w:i/>
          <w:sz w:val="24"/>
        </w:rPr>
        <w:t>for</w:t>
      </w:r>
      <w:r>
        <w:rPr>
          <w:i/>
          <w:spacing w:val="-15"/>
          <w:sz w:val="24"/>
        </w:rPr>
        <w:t> </w:t>
      </w:r>
      <w:r>
        <w:rPr>
          <w:i/>
          <w:sz w:val="24"/>
        </w:rPr>
        <w:t>Difference</w:t>
      </w:r>
      <w:r>
        <w:rPr>
          <w:i/>
          <w:spacing w:val="-15"/>
          <w:sz w:val="24"/>
        </w:rPr>
        <w:t> </w:t>
      </w:r>
      <w:r>
        <w:rPr>
          <w:i/>
          <w:sz w:val="24"/>
        </w:rPr>
        <w:t>Allocation</w:t>
      </w:r>
      <w:r>
        <w:rPr>
          <w:i/>
          <w:spacing w:val="-17"/>
          <w:sz w:val="24"/>
        </w:rPr>
        <w:t> </w:t>
      </w:r>
      <w:r>
        <w:rPr>
          <w:i/>
          <w:sz w:val="24"/>
        </w:rPr>
        <w:t>Round</w:t>
      </w:r>
      <w:r>
        <w:rPr>
          <w:i/>
          <w:spacing w:val="-15"/>
          <w:sz w:val="24"/>
        </w:rPr>
        <w:t> </w:t>
      </w:r>
      <w:r>
        <w:rPr>
          <w:i/>
          <w:sz w:val="24"/>
        </w:rPr>
        <w:t>6:</w:t>
      </w:r>
      <w:r>
        <w:rPr>
          <w:i/>
          <w:spacing w:val="-16"/>
          <w:sz w:val="24"/>
        </w:rPr>
        <w:t> </w:t>
      </w:r>
      <w:r>
        <w:rPr>
          <w:i/>
          <w:sz w:val="24"/>
        </w:rPr>
        <w:t>Final</w:t>
      </w:r>
      <w:r>
        <w:rPr>
          <w:i/>
          <w:spacing w:val="-15"/>
          <w:sz w:val="24"/>
        </w:rPr>
        <w:t> </w:t>
      </w:r>
      <w:r>
        <w:rPr>
          <w:i/>
          <w:sz w:val="24"/>
        </w:rPr>
        <w:t>results</w:t>
      </w:r>
      <w:r>
        <w:rPr>
          <w:sz w:val="24"/>
        </w:rPr>
        <w:t>.</w:t>
      </w:r>
      <w:r>
        <w:rPr>
          <w:spacing w:val="-15"/>
          <w:sz w:val="24"/>
        </w:rPr>
        <w:t> </w:t>
      </w:r>
      <w:r>
        <w:rPr>
          <w:sz w:val="24"/>
        </w:rPr>
        <w:t>GOV.UK. </w:t>
      </w:r>
      <w:hyperlink r:id="rId17">
        <w:r>
          <w:rPr>
            <w:spacing w:val="-2"/>
            <w:sz w:val="24"/>
          </w:rPr>
          <w:t>https://www.gov.uk</w:t>
        </w:r>
      </w:hyperlink>
    </w:p>
    <w:sectPr>
      <w:pgSz w:w="11910" w:h="16840"/>
      <w:pgMar w:header="0" w:footer="1064" w:top="1340" w:bottom="1260" w:left="1417"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339008">
              <wp:simplePos x="0" y="0"/>
              <wp:positionH relativeFrom="page">
                <wp:posOffset>6463665</wp:posOffset>
              </wp:positionH>
              <wp:positionV relativeFrom="page">
                <wp:posOffset>9876951</wp:posOffset>
              </wp:positionV>
              <wp:extent cx="234315" cy="1962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4315" cy="196215"/>
                      </a:xfrm>
                      <a:prstGeom prst="rect">
                        <a:avLst/>
                      </a:prstGeom>
                    </wps:spPr>
                    <wps:txbx>
                      <w:txbxContent>
                        <w:p>
                          <w:pPr>
                            <w:pStyle w:val="BodyText"/>
                            <w:spacing w:before="12"/>
                            <w:ind w:left="20"/>
                            <w:rPr>
                              <w:rFonts w:ascii="Arial MT"/>
                            </w:rPr>
                          </w:pPr>
                          <w:r>
                            <w:rPr>
                              <w:rFonts w:ascii="Arial MT"/>
                              <w:spacing w:val="-5"/>
                            </w:rPr>
                            <w:fldChar w:fldCharType="begin"/>
                          </w:r>
                          <w:r>
                            <w:rPr>
                              <w:rFonts w:ascii="Arial MT"/>
                              <w:spacing w:val="-5"/>
                            </w:rPr>
                            <w:instrText>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8.950012pt;margin-top:777.712708pt;width:18.45pt;height:15.45pt;mso-position-horizontal-relative:page;mso-position-vertical-relative:page;z-index:-15977472" type="#_x0000_t202" id="docshape1" filled="false" stroked="false">
              <v:textbox inset="0,0,0,0">
                <w:txbxContent>
                  <w:p>
                    <w:pPr>
                      <w:pStyle w:val="BodyText"/>
                      <w:spacing w:before="12"/>
                      <w:ind w:left="20"/>
                      <w:rPr>
                        <w:rFonts w:ascii="Arial MT"/>
                      </w:rPr>
                    </w:pPr>
                    <w:r>
                      <w:rPr>
                        <w:rFonts w:ascii="Arial MT"/>
                        <w:spacing w:val="-5"/>
                      </w:rPr>
                      <w:fldChar w:fldCharType="begin"/>
                    </w:r>
                    <w:r>
                      <w:rPr>
                        <w:rFonts w:ascii="Arial MT"/>
                        <w:spacing w:val="-5"/>
                      </w:rPr>
                      <w:instrText> PAGE </w:instrText>
                    </w:r>
                    <w:r>
                      <w:rPr>
                        <w:rFonts w:ascii="Arial MT"/>
                        <w:spacing w:val="-5"/>
                      </w:rPr>
                      <w:fldChar w:fldCharType="separate"/>
                    </w:r>
                    <w:r>
                      <w:rPr>
                        <w:rFonts w:ascii="Arial MT"/>
                        <w:spacing w:val="-5"/>
                      </w:rPr>
                      <w:t>10</w:t>
                    </w:r>
                    <w:r>
                      <w:rPr>
                        <w:rFonts w:ascii="Arial MT"/>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5"/>
      <w:numFmt w:val="decimal"/>
      <w:lvlText w:val="%1."/>
      <w:lvlJc w:val="left"/>
      <w:pPr>
        <w:ind w:left="267" w:hanging="245"/>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240" w:hanging="245"/>
      </w:pPr>
      <w:rPr>
        <w:rFonts w:hint="default"/>
        <w:lang w:val="en-US" w:eastAsia="en-US" w:bidi="ar-SA"/>
      </w:rPr>
    </w:lvl>
    <w:lvl w:ilvl="2">
      <w:start w:val="0"/>
      <w:numFmt w:val="bullet"/>
      <w:lvlText w:val="•"/>
      <w:lvlJc w:val="left"/>
      <w:pPr>
        <w:ind w:left="2220" w:hanging="245"/>
      </w:pPr>
      <w:rPr>
        <w:rFonts w:hint="default"/>
        <w:lang w:val="en-US" w:eastAsia="en-US" w:bidi="ar-SA"/>
      </w:rPr>
    </w:lvl>
    <w:lvl w:ilvl="3">
      <w:start w:val="0"/>
      <w:numFmt w:val="bullet"/>
      <w:lvlText w:val="•"/>
      <w:lvlJc w:val="left"/>
      <w:pPr>
        <w:ind w:left="3200" w:hanging="245"/>
      </w:pPr>
      <w:rPr>
        <w:rFonts w:hint="default"/>
        <w:lang w:val="en-US" w:eastAsia="en-US" w:bidi="ar-SA"/>
      </w:rPr>
    </w:lvl>
    <w:lvl w:ilvl="4">
      <w:start w:val="0"/>
      <w:numFmt w:val="bullet"/>
      <w:lvlText w:val="•"/>
      <w:lvlJc w:val="left"/>
      <w:pPr>
        <w:ind w:left="4180" w:hanging="245"/>
      </w:pPr>
      <w:rPr>
        <w:rFonts w:hint="default"/>
        <w:lang w:val="en-US" w:eastAsia="en-US" w:bidi="ar-SA"/>
      </w:rPr>
    </w:lvl>
    <w:lvl w:ilvl="5">
      <w:start w:val="0"/>
      <w:numFmt w:val="bullet"/>
      <w:lvlText w:val="•"/>
      <w:lvlJc w:val="left"/>
      <w:pPr>
        <w:ind w:left="5161" w:hanging="245"/>
      </w:pPr>
      <w:rPr>
        <w:rFonts w:hint="default"/>
        <w:lang w:val="en-US" w:eastAsia="en-US" w:bidi="ar-SA"/>
      </w:rPr>
    </w:lvl>
    <w:lvl w:ilvl="6">
      <w:start w:val="0"/>
      <w:numFmt w:val="bullet"/>
      <w:lvlText w:val="•"/>
      <w:lvlJc w:val="left"/>
      <w:pPr>
        <w:ind w:left="6141" w:hanging="245"/>
      </w:pPr>
      <w:rPr>
        <w:rFonts w:hint="default"/>
        <w:lang w:val="en-US" w:eastAsia="en-US" w:bidi="ar-SA"/>
      </w:rPr>
    </w:lvl>
    <w:lvl w:ilvl="7">
      <w:start w:val="0"/>
      <w:numFmt w:val="bullet"/>
      <w:lvlText w:val="•"/>
      <w:lvlJc w:val="left"/>
      <w:pPr>
        <w:ind w:left="7121" w:hanging="245"/>
      </w:pPr>
      <w:rPr>
        <w:rFonts w:hint="default"/>
        <w:lang w:val="en-US" w:eastAsia="en-US" w:bidi="ar-SA"/>
      </w:rPr>
    </w:lvl>
    <w:lvl w:ilvl="8">
      <w:start w:val="0"/>
      <w:numFmt w:val="bullet"/>
      <w:lvlText w:val="•"/>
      <w:lvlJc w:val="left"/>
      <w:pPr>
        <w:ind w:left="8101" w:hanging="245"/>
      </w:pPr>
      <w:rPr>
        <w:rFonts w:hint="default"/>
        <w:lang w:val="en-US" w:eastAsia="en-US" w:bidi="ar-SA"/>
      </w:rPr>
    </w:lvl>
  </w:abstractNum>
  <w:abstractNum w:abstractNumId="1">
    <w:multiLevelType w:val="hybridMultilevel"/>
    <w:lvl w:ilvl="0">
      <w:start w:val="4"/>
      <w:numFmt w:val="decimal"/>
      <w:lvlText w:val="%1"/>
      <w:lvlJc w:val="left"/>
      <w:pPr>
        <w:ind w:left="744" w:hanging="721"/>
        <w:jc w:val="left"/>
      </w:pPr>
      <w:rPr>
        <w:rFonts w:hint="default"/>
        <w:lang w:val="en-US" w:eastAsia="en-US" w:bidi="ar-SA"/>
      </w:rPr>
    </w:lvl>
    <w:lvl w:ilvl="1">
      <w:start w:val="0"/>
      <w:numFmt w:val="decimal"/>
      <w:lvlText w:val="%1.%2"/>
      <w:lvlJc w:val="left"/>
      <w:pPr>
        <w:ind w:left="744"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604" w:hanging="721"/>
      </w:pPr>
      <w:rPr>
        <w:rFonts w:hint="default"/>
        <w:lang w:val="en-US" w:eastAsia="en-US" w:bidi="ar-SA"/>
      </w:rPr>
    </w:lvl>
    <w:lvl w:ilvl="3">
      <w:start w:val="0"/>
      <w:numFmt w:val="bullet"/>
      <w:lvlText w:val="•"/>
      <w:lvlJc w:val="left"/>
      <w:pPr>
        <w:ind w:left="3536" w:hanging="721"/>
      </w:pPr>
      <w:rPr>
        <w:rFonts w:hint="default"/>
        <w:lang w:val="en-US" w:eastAsia="en-US" w:bidi="ar-SA"/>
      </w:rPr>
    </w:lvl>
    <w:lvl w:ilvl="4">
      <w:start w:val="0"/>
      <w:numFmt w:val="bullet"/>
      <w:lvlText w:val="•"/>
      <w:lvlJc w:val="left"/>
      <w:pPr>
        <w:ind w:left="4468" w:hanging="721"/>
      </w:pPr>
      <w:rPr>
        <w:rFonts w:hint="default"/>
        <w:lang w:val="en-US" w:eastAsia="en-US" w:bidi="ar-SA"/>
      </w:rPr>
    </w:lvl>
    <w:lvl w:ilvl="5">
      <w:start w:val="0"/>
      <w:numFmt w:val="bullet"/>
      <w:lvlText w:val="•"/>
      <w:lvlJc w:val="left"/>
      <w:pPr>
        <w:ind w:left="5401" w:hanging="721"/>
      </w:pPr>
      <w:rPr>
        <w:rFonts w:hint="default"/>
        <w:lang w:val="en-US" w:eastAsia="en-US" w:bidi="ar-SA"/>
      </w:rPr>
    </w:lvl>
    <w:lvl w:ilvl="6">
      <w:start w:val="0"/>
      <w:numFmt w:val="bullet"/>
      <w:lvlText w:val="•"/>
      <w:lvlJc w:val="left"/>
      <w:pPr>
        <w:ind w:left="6333" w:hanging="721"/>
      </w:pPr>
      <w:rPr>
        <w:rFonts w:hint="default"/>
        <w:lang w:val="en-US" w:eastAsia="en-US" w:bidi="ar-SA"/>
      </w:rPr>
    </w:lvl>
    <w:lvl w:ilvl="7">
      <w:start w:val="0"/>
      <w:numFmt w:val="bullet"/>
      <w:lvlText w:val="•"/>
      <w:lvlJc w:val="left"/>
      <w:pPr>
        <w:ind w:left="7265" w:hanging="721"/>
      </w:pPr>
      <w:rPr>
        <w:rFonts w:hint="default"/>
        <w:lang w:val="en-US" w:eastAsia="en-US" w:bidi="ar-SA"/>
      </w:rPr>
    </w:lvl>
    <w:lvl w:ilvl="8">
      <w:start w:val="0"/>
      <w:numFmt w:val="bullet"/>
      <w:lvlText w:val="•"/>
      <w:lvlJc w:val="left"/>
      <w:pPr>
        <w:ind w:left="8197" w:hanging="721"/>
      </w:pPr>
      <w:rPr>
        <w:rFonts w:hint="default"/>
        <w:lang w:val="en-US" w:eastAsia="en-US" w:bidi="ar-SA"/>
      </w:rPr>
    </w:lvl>
  </w:abstractNum>
  <w:abstractNum w:abstractNumId="0">
    <w:multiLevelType w:val="hybridMultilevel"/>
    <w:lvl w:ilvl="0">
      <w:start w:val="2"/>
      <w:numFmt w:val="decimal"/>
      <w:lvlText w:val="%1"/>
      <w:lvlJc w:val="left"/>
      <w:pPr>
        <w:ind w:left="744" w:hanging="721"/>
        <w:jc w:val="left"/>
      </w:pPr>
      <w:rPr>
        <w:rFonts w:hint="default"/>
        <w:lang w:val="en-US" w:eastAsia="en-US" w:bidi="ar-SA"/>
      </w:rPr>
    </w:lvl>
    <w:lvl w:ilvl="1">
      <w:start w:val="0"/>
      <w:numFmt w:val="decimal"/>
      <w:lvlText w:val="%1.%2"/>
      <w:lvlJc w:val="left"/>
      <w:pPr>
        <w:ind w:left="744" w:hanging="721"/>
        <w:jc w:val="left"/>
      </w:pPr>
      <w:rPr>
        <w:rFonts w:hint="default"/>
        <w:spacing w:val="0"/>
        <w:w w:val="100"/>
        <w:lang w:val="en-US" w:eastAsia="en-US" w:bidi="ar-SA"/>
      </w:rPr>
    </w:lvl>
    <w:lvl w:ilvl="2">
      <w:start w:val="0"/>
      <w:numFmt w:val="bullet"/>
      <w:lvlText w:val=""/>
      <w:lvlJc w:val="left"/>
      <w:pPr>
        <w:ind w:left="744" w:hanging="361"/>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536" w:hanging="361"/>
      </w:pPr>
      <w:rPr>
        <w:rFonts w:hint="default"/>
        <w:lang w:val="en-US" w:eastAsia="en-US" w:bidi="ar-SA"/>
      </w:rPr>
    </w:lvl>
    <w:lvl w:ilvl="4">
      <w:start w:val="0"/>
      <w:numFmt w:val="bullet"/>
      <w:lvlText w:val="•"/>
      <w:lvlJc w:val="left"/>
      <w:pPr>
        <w:ind w:left="4468" w:hanging="361"/>
      </w:pPr>
      <w:rPr>
        <w:rFonts w:hint="default"/>
        <w:lang w:val="en-US" w:eastAsia="en-US" w:bidi="ar-SA"/>
      </w:rPr>
    </w:lvl>
    <w:lvl w:ilvl="5">
      <w:start w:val="0"/>
      <w:numFmt w:val="bullet"/>
      <w:lvlText w:val="•"/>
      <w:lvlJc w:val="left"/>
      <w:pPr>
        <w:ind w:left="5401" w:hanging="361"/>
      </w:pPr>
      <w:rPr>
        <w:rFonts w:hint="default"/>
        <w:lang w:val="en-US" w:eastAsia="en-US" w:bidi="ar-SA"/>
      </w:rPr>
    </w:lvl>
    <w:lvl w:ilvl="6">
      <w:start w:val="0"/>
      <w:numFmt w:val="bullet"/>
      <w:lvlText w:val="•"/>
      <w:lvlJc w:val="left"/>
      <w:pPr>
        <w:ind w:left="6333" w:hanging="361"/>
      </w:pPr>
      <w:rPr>
        <w:rFonts w:hint="default"/>
        <w:lang w:val="en-US" w:eastAsia="en-US" w:bidi="ar-SA"/>
      </w:rPr>
    </w:lvl>
    <w:lvl w:ilvl="7">
      <w:start w:val="0"/>
      <w:numFmt w:val="bullet"/>
      <w:lvlText w:val="•"/>
      <w:lvlJc w:val="left"/>
      <w:pPr>
        <w:ind w:left="7265" w:hanging="361"/>
      </w:pPr>
      <w:rPr>
        <w:rFonts w:hint="default"/>
        <w:lang w:val="en-US" w:eastAsia="en-US" w:bidi="ar-SA"/>
      </w:rPr>
    </w:lvl>
    <w:lvl w:ilvl="8">
      <w:start w:val="0"/>
      <w:numFmt w:val="bullet"/>
      <w:lvlText w:val="•"/>
      <w:lvlJc w:val="left"/>
      <w:pPr>
        <w:ind w:left="8197" w:hanging="361"/>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23"/>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3"/>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1"/>
      <w:ind w:left="743" w:hanging="720"/>
      <w:outlineLvl w:val="2"/>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743"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3" w:lineRule="exact"/>
      <w:ind w:left="10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40683350@live.napier.ac.uk"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yperlink" Target="https://doi.org/10.1177/014920639101700108" TargetMode="External"/><Relationship Id="rId12" Type="http://schemas.openxmlformats.org/officeDocument/2006/relationships/hyperlink" Target="https://www.bbc.co.uk/news" TargetMode="External"/><Relationship Id="rId13" Type="http://schemas.openxmlformats.org/officeDocument/2006/relationships/hyperlink" Target="https://www.bbc.co.uk/news/articles/c5y35qz73n8o" TargetMode="External"/><Relationship Id="rId14" Type="http://schemas.openxmlformats.org/officeDocument/2006/relationships/hyperlink" Target="https://www.carbonbrief.org/" TargetMode="External"/><Relationship Id="rId15" Type="http://schemas.openxmlformats.org/officeDocument/2006/relationships/hyperlink" Target="https://www.gov.uk/government/publications/clean-power-2030-action-plan" TargetMode="External"/><Relationship Id="rId16" Type="http://schemas.openxmlformats.org/officeDocument/2006/relationships/hyperlink" Target="https://www.gov.uk/government/publications/greenhouse-gas-reporting-conversion-factors-2024" TargetMode="External"/><Relationship Id="rId17" Type="http://schemas.openxmlformats.org/officeDocument/2006/relationships/hyperlink" Target="https://www.gov.uk/" TargetMode="External"/><Relationship Id="rId18" Type="http://schemas.openxmlformats.org/officeDocument/2006/relationships/hyperlink" Target="https://ember-climate.org/insights/research/european-electricity-review-2023" TargetMode="External"/><Relationship Id="rId19" Type="http://schemas.openxmlformats.org/officeDocument/2006/relationships/hyperlink" Target="https://www.parliament.uk/" TargetMode="External"/><Relationship Id="rId20" Type="http://schemas.openxmlformats.org/officeDocument/2006/relationships/hyperlink" Target="https://ghginstitute.org/2022/07/07/you-are-not-buying-green-or-really-any-electrons/" TargetMode="External"/><Relationship Id="rId21" Type="http://schemas.openxmlformats.org/officeDocument/2006/relationships/hyperlink" Target="https://doi.org/10.5547/01956574.39.6.mgru" TargetMode="External"/><Relationship Id="rId22" Type="http://schemas.openxmlformats.org/officeDocument/2006/relationships/hyperlink" Target="https://www.ipcc.ch/report/ar6/wg3/" TargetMode="External"/><Relationship Id="rId23" Type="http://schemas.openxmlformats.org/officeDocument/2006/relationships/hyperlink" Target="https://doi.org/10.1016/j.rser.2022.112317" TargetMode="External"/><Relationship Id="rId24" Type="http://schemas.openxmlformats.org/officeDocument/2006/relationships/hyperlink" Target="https://www.nationalgrid.com/stories/energy-explained/history-of-energy-UK" TargetMode="External"/><Relationship Id="rId25" Type="http://schemas.openxmlformats.org/officeDocument/2006/relationships/hyperlink" Target="https://doi.org/10.5465/amr.2001.4011928" TargetMode="External"/><Relationship Id="rId26" Type="http://schemas.openxmlformats.org/officeDocument/2006/relationships/hyperlink" Target="https://www.renewableuk.com/" TargetMode="External"/><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Ekperi, Paul</dc:creator>
  <dcterms:created xsi:type="dcterms:W3CDTF">2026-06-19T18:12:46Z</dcterms:created>
  <dcterms:modified xsi:type="dcterms:W3CDTF">2026-06-19T18:12:46Z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2025-12-02T00:00:00Z</vt:filetime>
  </property>
  <property fmtid="{D5CDD505-2E9C-101B-9397-08002B2CF9AE}" pid="4" name="Creator">
    <vt:lpwstr>Microsoft® Word 2016</vt:lpwstr>
  </property>
  <property fmtid="{D5CDD505-2E9C-101B-9397-08002B2CF9AE}" pid="5" name="LastSaved">
    <vt:filetime>2026-06-19T00:00:00Z</vt:filetime>
  </property>
  <property fmtid="{D5CDD505-2E9C-101B-9397-08002B2CF9AE}" pid="6" name="Producer">
    <vt:lpwstr>www.ilovepdf.com</vt:lpwstr>
  </property>
</Properties>
</file>