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3EA1" w14:textId="54FBF37F" w:rsidR="00F54C18" w:rsidRDefault="008269AD">
      <w:pPr>
        <w:rPr>
          <w:rFonts w:ascii="Times New Roman" w:hAnsi="Times New Roman" w:cs="Times New Roman"/>
          <w:b/>
          <w:bCs/>
          <w:sz w:val="28"/>
          <w:szCs w:val="28"/>
        </w:rPr>
      </w:pPr>
      <w:r w:rsidRPr="008269AD">
        <w:rPr>
          <w:rFonts w:ascii="Times New Roman" w:hAnsi="Times New Roman" w:cs="Times New Roman"/>
          <w:b/>
          <w:bCs/>
          <w:sz w:val="28"/>
          <w:szCs w:val="28"/>
        </w:rPr>
        <w:t xml:space="preserve">The Effect of ULIP Cost Structure on Investor Persistency: The Moderating Role of </w:t>
      </w:r>
      <w:proofErr w:type="spellStart"/>
      <w:r w:rsidRPr="008269AD">
        <w:rPr>
          <w:rFonts w:ascii="Times New Roman" w:hAnsi="Times New Roman" w:cs="Times New Roman"/>
          <w:b/>
          <w:bCs/>
          <w:sz w:val="28"/>
          <w:szCs w:val="28"/>
        </w:rPr>
        <w:t>InsurTech</w:t>
      </w:r>
      <w:proofErr w:type="spellEnd"/>
      <w:r w:rsidRPr="008269AD">
        <w:rPr>
          <w:rFonts w:ascii="Times New Roman" w:hAnsi="Times New Roman" w:cs="Times New Roman"/>
          <w:b/>
          <w:bCs/>
          <w:sz w:val="28"/>
          <w:szCs w:val="28"/>
        </w:rPr>
        <w:t xml:space="preserve"> Adoption</w:t>
      </w:r>
    </w:p>
    <w:p w14:paraId="75F5B7CA" w14:textId="130B71CB" w:rsidR="00F314C6" w:rsidRDefault="00A07920">
      <w:pPr>
        <w:rPr>
          <w:rFonts w:ascii="Times New Roman" w:hAnsi="Times New Roman" w:cs="Times New Roman"/>
        </w:rPr>
      </w:pPr>
      <w:r>
        <w:rPr>
          <w:rFonts w:ascii="Times New Roman" w:hAnsi="Times New Roman" w:cs="Times New Roman"/>
        </w:rPr>
        <w:t xml:space="preserve">Ms </w:t>
      </w:r>
      <w:r w:rsidR="00527607">
        <w:rPr>
          <w:rFonts w:ascii="Times New Roman" w:hAnsi="Times New Roman" w:cs="Times New Roman"/>
        </w:rPr>
        <w:t xml:space="preserve">Aarya </w:t>
      </w:r>
      <w:r w:rsidR="00CE1764">
        <w:rPr>
          <w:rFonts w:ascii="Times New Roman" w:hAnsi="Times New Roman" w:cs="Times New Roman"/>
        </w:rPr>
        <w:t xml:space="preserve">   </w:t>
      </w:r>
      <w:r w:rsidR="00527607">
        <w:rPr>
          <w:rFonts w:ascii="Times New Roman" w:hAnsi="Times New Roman" w:cs="Times New Roman"/>
        </w:rPr>
        <w:t>Dr</w:t>
      </w:r>
      <w:r w:rsidR="00F314C6">
        <w:rPr>
          <w:rFonts w:ascii="Times New Roman" w:hAnsi="Times New Roman" w:cs="Times New Roman"/>
        </w:rPr>
        <w:t xml:space="preserve"> Arcot Purna Prasad</w:t>
      </w:r>
    </w:p>
    <w:p w14:paraId="1CD2C93B" w14:textId="38D3536F" w:rsidR="00527607" w:rsidRDefault="00527607">
      <w:pPr>
        <w:rPr>
          <w:rFonts w:ascii="Times New Roman" w:hAnsi="Times New Roman" w:cs="Times New Roman"/>
        </w:rPr>
      </w:pPr>
      <w:r>
        <w:rPr>
          <w:rFonts w:ascii="Times New Roman" w:hAnsi="Times New Roman" w:cs="Times New Roman"/>
        </w:rPr>
        <w:t>School of Management, CMR University, Bengaluru, Karnataka</w:t>
      </w:r>
    </w:p>
    <w:p w14:paraId="01E58032" w14:textId="42976C6D" w:rsidR="00CE1764" w:rsidRDefault="00CE1764">
      <w:pPr>
        <w:rPr>
          <w:rFonts w:ascii="Times New Roman" w:hAnsi="Times New Roman" w:cs="Times New Roman"/>
        </w:rPr>
      </w:pPr>
      <w:hyperlink r:id="rId6" w:history="1">
        <w:r w:rsidRPr="00CE1764">
          <w:rPr>
            <w:rStyle w:val="Hyperlink"/>
            <w:rFonts w:ascii="Times New Roman" w:hAnsi="Times New Roman" w:cs="Times New Roman"/>
          </w:rPr>
          <w:t>Aarya.a@cmr.edu.in</w:t>
        </w:r>
      </w:hyperlink>
      <w:r w:rsidRPr="00CE1764">
        <w:rPr>
          <w:rFonts w:ascii="Times New Roman" w:hAnsi="Times New Roman" w:cs="Times New Roman"/>
        </w:rPr>
        <w:t xml:space="preserve"> </w:t>
      </w:r>
      <w:r>
        <w:rPr>
          <w:rFonts w:ascii="Times New Roman" w:hAnsi="Times New Roman" w:cs="Times New Roman"/>
        </w:rPr>
        <w:t xml:space="preserve">  </w:t>
      </w:r>
      <w:hyperlink r:id="rId7" w:history="1">
        <w:r w:rsidRPr="00087E17">
          <w:rPr>
            <w:rStyle w:val="Hyperlink"/>
            <w:rFonts w:ascii="Times New Roman" w:hAnsi="Times New Roman" w:cs="Times New Roman"/>
          </w:rPr>
          <w:t>purnaprasad.a@cmr.edu.in</w:t>
        </w:r>
      </w:hyperlink>
    </w:p>
    <w:p w14:paraId="31747FAE" w14:textId="77777777" w:rsidR="00CE1764" w:rsidRPr="00CE1764" w:rsidRDefault="00CE1764">
      <w:pPr>
        <w:rPr>
          <w:rFonts w:ascii="Times New Roman" w:hAnsi="Times New Roman" w:cs="Times New Roman"/>
        </w:rPr>
      </w:pPr>
    </w:p>
    <w:p w14:paraId="3599DFE9" w14:textId="576A2BD6" w:rsidR="00F54C18" w:rsidRPr="004458B2" w:rsidRDefault="00F54C18">
      <w:pPr>
        <w:rPr>
          <w:rFonts w:ascii="Times New Roman" w:hAnsi="Times New Roman" w:cs="Times New Roman"/>
          <w:b/>
          <w:bCs/>
        </w:rPr>
      </w:pPr>
      <w:r w:rsidRPr="004458B2">
        <w:rPr>
          <w:rFonts w:ascii="Times New Roman" w:hAnsi="Times New Roman" w:cs="Times New Roman"/>
          <w:b/>
          <w:bCs/>
        </w:rPr>
        <w:t>Abstract</w:t>
      </w:r>
    </w:p>
    <w:p w14:paraId="002D9D28" w14:textId="26AFAB98" w:rsidR="005C55E9" w:rsidRPr="004458B2" w:rsidRDefault="005C55E9" w:rsidP="004458B2">
      <w:pPr>
        <w:jc w:val="both"/>
        <w:rPr>
          <w:rFonts w:ascii="Times New Roman" w:hAnsi="Times New Roman" w:cs="Times New Roman"/>
        </w:rPr>
      </w:pPr>
      <w:r>
        <w:rPr>
          <w:rFonts w:ascii="Times New Roman" w:hAnsi="Times New Roman" w:cs="Times New Roman"/>
        </w:rPr>
        <w:t xml:space="preserve">This paper </w:t>
      </w:r>
      <w:r w:rsidR="00500AD2">
        <w:rPr>
          <w:rFonts w:ascii="Times New Roman" w:hAnsi="Times New Roman" w:cs="Times New Roman"/>
        </w:rPr>
        <w:t xml:space="preserve">develops a framework that is conceptually theoretical to define the </w:t>
      </w:r>
      <w:r w:rsidR="005E16BF">
        <w:rPr>
          <w:rFonts w:ascii="Times New Roman" w:hAnsi="Times New Roman" w:cs="Times New Roman"/>
        </w:rPr>
        <w:t xml:space="preserve">composite relationship between the </w:t>
      </w:r>
      <w:r w:rsidR="00357772">
        <w:rPr>
          <w:rFonts w:ascii="Times New Roman" w:hAnsi="Times New Roman" w:cs="Times New Roman"/>
        </w:rPr>
        <w:t xml:space="preserve">cost structure of Unit Linked Insurance Plans (ULIPs) and investor persistency- </w:t>
      </w:r>
      <w:r w:rsidR="000A563E">
        <w:rPr>
          <w:rFonts w:ascii="Times New Roman" w:hAnsi="Times New Roman" w:cs="Times New Roman"/>
        </w:rPr>
        <w:t>a</w:t>
      </w:r>
      <w:r w:rsidR="00A60E98">
        <w:rPr>
          <w:rFonts w:ascii="Times New Roman" w:hAnsi="Times New Roman" w:cs="Times New Roman"/>
        </w:rPr>
        <w:t xml:space="preserve"> </w:t>
      </w:r>
      <w:r w:rsidR="00A60E98" w:rsidRPr="00A60E98">
        <w:rPr>
          <w:rFonts w:ascii="Times New Roman" w:hAnsi="Times New Roman" w:cs="Times New Roman"/>
        </w:rPr>
        <w:t>key determinant of the long-term sustainability and financial performance of insurance providers</w:t>
      </w:r>
      <w:r w:rsidR="00EF33E2">
        <w:rPr>
          <w:rFonts w:ascii="Times New Roman" w:hAnsi="Times New Roman" w:cs="Times New Roman"/>
        </w:rPr>
        <w:t xml:space="preserve">. </w:t>
      </w:r>
      <w:r w:rsidR="0078063D" w:rsidRPr="0078063D">
        <w:rPr>
          <w:rFonts w:ascii="Times New Roman" w:hAnsi="Times New Roman" w:cs="Times New Roman"/>
        </w:rPr>
        <w:t xml:space="preserve">The front-loaded pricing structure of ULIPs, including high initial charges and surrender penalties, is generally regarded as a factor that discourages long-term investment. Nevertheless, this study suggests that these costs may also contribute to investor persistency by affecting investors' behavioural and rational decision-making processes. Drawing on agency theory, behavioural finance (particularly loss aversion and the sunk cost effect), and the Technology Acceptance Model, the study investigates whether </w:t>
      </w:r>
      <w:proofErr w:type="spellStart"/>
      <w:r w:rsidR="0078063D" w:rsidRPr="0078063D">
        <w:rPr>
          <w:rFonts w:ascii="Times New Roman" w:hAnsi="Times New Roman" w:cs="Times New Roman"/>
        </w:rPr>
        <w:t>InsurTech</w:t>
      </w:r>
      <w:proofErr w:type="spellEnd"/>
      <w:r w:rsidR="0078063D" w:rsidRPr="0078063D">
        <w:rPr>
          <w:rFonts w:ascii="Times New Roman" w:hAnsi="Times New Roman" w:cs="Times New Roman"/>
        </w:rPr>
        <w:t xml:space="preserve"> adoption moderates the relationship between ULIP cost structure and investor persistency.</w:t>
      </w:r>
    </w:p>
    <w:p w14:paraId="2EAF3422" w14:textId="77777777" w:rsidR="006D64B8" w:rsidRDefault="006D64B8" w:rsidP="004458B2">
      <w:pPr>
        <w:jc w:val="both"/>
        <w:rPr>
          <w:rFonts w:ascii="Times New Roman" w:hAnsi="Times New Roman" w:cs="Times New Roman"/>
        </w:rPr>
      </w:pPr>
      <w:r w:rsidRPr="006D64B8">
        <w:rPr>
          <w:rFonts w:ascii="Times New Roman" w:hAnsi="Times New Roman" w:cs="Times New Roman"/>
        </w:rPr>
        <w:t xml:space="preserve">This study is based on the premise that the cost structure of Unit Linked Insurance Plans (ULIPs), particularly high initial charges and surrender costs, may influence investor persistency by increasing the perceived financial and psychological costs associated with discontinuing a policy. These perceived switching costs can encourage investors to maintain their policies over a longer period despite the initial financial burden. However, the strength of this relationship is expected to depend on the extent of </w:t>
      </w:r>
      <w:proofErr w:type="spellStart"/>
      <w:r w:rsidRPr="006D64B8">
        <w:rPr>
          <w:rFonts w:ascii="Times New Roman" w:hAnsi="Times New Roman" w:cs="Times New Roman"/>
        </w:rPr>
        <w:t>InsurTech</w:t>
      </w:r>
      <w:proofErr w:type="spellEnd"/>
      <w:r w:rsidRPr="006D64B8">
        <w:rPr>
          <w:rFonts w:ascii="Times New Roman" w:hAnsi="Times New Roman" w:cs="Times New Roman"/>
        </w:rPr>
        <w:t xml:space="preserve"> adoption. Digital innovations, including </w:t>
      </w:r>
      <w:proofErr w:type="spellStart"/>
      <w:r w:rsidRPr="006D64B8">
        <w:rPr>
          <w:rFonts w:ascii="Times New Roman" w:hAnsi="Times New Roman" w:cs="Times New Roman"/>
        </w:rPr>
        <w:t>robo</w:t>
      </w:r>
      <w:proofErr w:type="spellEnd"/>
      <w:r w:rsidRPr="006D64B8">
        <w:rPr>
          <w:rFonts w:ascii="Times New Roman" w:hAnsi="Times New Roman" w:cs="Times New Roman"/>
        </w:rPr>
        <w:t xml:space="preserve">-advisory services, personalized policy management platforms, AI-enabled customer support, and behavioural nudges, have the potential to enhance transparency, improve customer engagement, and help investors better understand the long-term value of their investments. As a result, </w:t>
      </w:r>
      <w:proofErr w:type="spellStart"/>
      <w:r w:rsidRPr="006D64B8">
        <w:rPr>
          <w:rFonts w:ascii="Times New Roman" w:hAnsi="Times New Roman" w:cs="Times New Roman"/>
        </w:rPr>
        <w:t>InsurTech</w:t>
      </w:r>
      <w:proofErr w:type="spellEnd"/>
      <w:r w:rsidRPr="006D64B8">
        <w:rPr>
          <w:rFonts w:ascii="Times New Roman" w:hAnsi="Times New Roman" w:cs="Times New Roman"/>
        </w:rPr>
        <w:t xml:space="preserve"> adoption may shift investors' focus from short-term costs to the overall benefits and value of continued policy ownership, thereby strengthening investor persistency. In contrast, limited access to digital insurance services may amplify the perceived burden of policy charges, increase dissatisfaction, and contribute to higher lapse rates. By integrating perspectives from insurance economics, behavioural finance, and digital financial services, this study develops a comprehensive framework to examine the relationship between ULIP cost structure and investor persistency, while highlighting the moderating role of </w:t>
      </w:r>
      <w:proofErr w:type="spellStart"/>
      <w:r w:rsidRPr="006D64B8">
        <w:rPr>
          <w:rFonts w:ascii="Times New Roman" w:hAnsi="Times New Roman" w:cs="Times New Roman"/>
        </w:rPr>
        <w:t>InsurTech</w:t>
      </w:r>
      <w:proofErr w:type="spellEnd"/>
      <w:r w:rsidRPr="006D64B8">
        <w:rPr>
          <w:rFonts w:ascii="Times New Roman" w:hAnsi="Times New Roman" w:cs="Times New Roman"/>
        </w:rPr>
        <w:t xml:space="preserve"> adoption. The findings are expected to contribute to the growing literature on digital transformation in insurance and provide practical insights for insurers seeking to improve customer retention through effective product design and technology-enabled service delivery.</w:t>
      </w:r>
    </w:p>
    <w:p w14:paraId="1AC795C0" w14:textId="2B307BFC" w:rsidR="00287955" w:rsidRDefault="00000000" w:rsidP="004458B2">
      <w:pPr>
        <w:jc w:val="both"/>
        <w:rPr>
          <w:rFonts w:ascii="Times New Roman" w:hAnsi="Times New Roman" w:cs="Times New Roman"/>
        </w:rPr>
      </w:pPr>
      <w:r>
        <w:rPr>
          <w:rFonts w:ascii="Times New Roman" w:hAnsi="Times New Roman" w:cs="Times New Roman"/>
        </w:rPr>
        <w:pict w14:anchorId="75C89607">
          <v:rect id="_x0000_i1025" style="width:0;height:.75pt" o:hralign="center" o:hrstd="t" o:hr="t" fillcolor="#a0a0a0" stroked="f"/>
        </w:pict>
      </w:r>
    </w:p>
    <w:p w14:paraId="1108A57D" w14:textId="77777777" w:rsidR="00393017" w:rsidRDefault="00393017" w:rsidP="004458B2">
      <w:pPr>
        <w:jc w:val="both"/>
        <w:rPr>
          <w:rFonts w:ascii="Times New Roman" w:hAnsi="Times New Roman" w:cs="Times New Roman"/>
          <w:b/>
          <w:bCs/>
        </w:rPr>
      </w:pPr>
    </w:p>
    <w:p w14:paraId="797B5C2E" w14:textId="3143CC7D" w:rsidR="004458B2" w:rsidRPr="006D64B8" w:rsidRDefault="004458B2" w:rsidP="004458B2">
      <w:pPr>
        <w:jc w:val="both"/>
        <w:rPr>
          <w:rFonts w:ascii="Times New Roman" w:hAnsi="Times New Roman" w:cs="Times New Roman"/>
          <w:b/>
          <w:bCs/>
        </w:rPr>
      </w:pPr>
      <w:r w:rsidRPr="006D64B8">
        <w:rPr>
          <w:rFonts w:ascii="Times New Roman" w:hAnsi="Times New Roman" w:cs="Times New Roman"/>
          <w:b/>
          <w:bCs/>
        </w:rPr>
        <w:lastRenderedPageBreak/>
        <w:t>Keywords</w:t>
      </w:r>
    </w:p>
    <w:p w14:paraId="0C8C52CA" w14:textId="77777777" w:rsidR="004458B2" w:rsidRDefault="004458B2" w:rsidP="004458B2">
      <w:pPr>
        <w:jc w:val="both"/>
        <w:rPr>
          <w:rFonts w:ascii="Times New Roman" w:hAnsi="Times New Roman" w:cs="Times New Roman"/>
        </w:rPr>
      </w:pPr>
      <w:r w:rsidRPr="004458B2">
        <w:rPr>
          <w:rFonts w:ascii="Times New Roman" w:hAnsi="Times New Roman" w:cs="Times New Roman"/>
        </w:rPr>
        <w:t xml:space="preserve">Unit-Linked Insurance Plans (ULIPs), Cost Structure, Investor Persistency, </w:t>
      </w:r>
      <w:proofErr w:type="spellStart"/>
      <w:r w:rsidRPr="004458B2">
        <w:rPr>
          <w:rFonts w:ascii="Times New Roman" w:hAnsi="Times New Roman" w:cs="Times New Roman"/>
        </w:rPr>
        <w:t>InsurTech</w:t>
      </w:r>
      <w:proofErr w:type="spellEnd"/>
      <w:r w:rsidRPr="004458B2">
        <w:rPr>
          <w:rFonts w:ascii="Times New Roman" w:hAnsi="Times New Roman" w:cs="Times New Roman"/>
        </w:rPr>
        <w:t xml:space="preserve">, Surrender Rates, </w:t>
      </w:r>
      <w:proofErr w:type="spellStart"/>
      <w:r w:rsidRPr="004458B2">
        <w:rPr>
          <w:rFonts w:ascii="Times New Roman" w:hAnsi="Times New Roman" w:cs="Times New Roman"/>
        </w:rPr>
        <w:t>Behavioral</w:t>
      </w:r>
      <w:proofErr w:type="spellEnd"/>
      <w:r w:rsidRPr="004458B2">
        <w:rPr>
          <w:rFonts w:ascii="Times New Roman" w:hAnsi="Times New Roman" w:cs="Times New Roman"/>
        </w:rPr>
        <w:t xml:space="preserve"> Finance, Sunk Cost Fallacy, Switching Costs, Customer Retention, Financial Technology, Agency Theory, Technology Acceptance Model (TAM).</w:t>
      </w:r>
    </w:p>
    <w:p w14:paraId="5895E3EC" w14:textId="78B7C31E" w:rsidR="003E2C65" w:rsidRDefault="00000000" w:rsidP="004458B2">
      <w:pPr>
        <w:jc w:val="both"/>
        <w:rPr>
          <w:rFonts w:ascii="Times New Roman" w:hAnsi="Times New Roman" w:cs="Times New Roman"/>
          <w:b/>
          <w:bCs/>
        </w:rPr>
      </w:pPr>
      <w:r>
        <w:rPr>
          <w:rFonts w:ascii="Times New Roman" w:hAnsi="Times New Roman" w:cs="Times New Roman"/>
        </w:rPr>
        <w:pict w14:anchorId="7E114CAF">
          <v:rect id="_x0000_i1026" style="width:0;height:.75pt" o:hralign="center" o:hrstd="t" o:hr="t" fillcolor="#a0a0a0" stroked="f"/>
        </w:pict>
      </w:r>
    </w:p>
    <w:p w14:paraId="3AA64614" w14:textId="77777777" w:rsidR="003E2C65" w:rsidRDefault="003E2C65" w:rsidP="004458B2">
      <w:pPr>
        <w:jc w:val="both"/>
        <w:rPr>
          <w:rFonts w:ascii="Times New Roman" w:hAnsi="Times New Roman" w:cs="Times New Roman"/>
          <w:b/>
          <w:bCs/>
        </w:rPr>
      </w:pPr>
    </w:p>
    <w:p w14:paraId="2FC4A00B" w14:textId="0955C654" w:rsidR="003F30B6" w:rsidRDefault="003F30B6" w:rsidP="004458B2">
      <w:pPr>
        <w:jc w:val="both"/>
        <w:rPr>
          <w:rFonts w:ascii="Times New Roman" w:hAnsi="Times New Roman" w:cs="Times New Roman"/>
          <w:b/>
          <w:bCs/>
        </w:rPr>
      </w:pPr>
      <w:r>
        <w:rPr>
          <w:rFonts w:ascii="Times New Roman" w:hAnsi="Times New Roman" w:cs="Times New Roman"/>
          <w:b/>
          <w:bCs/>
        </w:rPr>
        <w:t>Introduction</w:t>
      </w:r>
    </w:p>
    <w:p w14:paraId="4682E33F" w14:textId="77777777" w:rsidR="009357D5" w:rsidRPr="009357D5" w:rsidRDefault="009357D5" w:rsidP="009357D5">
      <w:pPr>
        <w:jc w:val="both"/>
        <w:rPr>
          <w:rFonts w:ascii="Times New Roman" w:hAnsi="Times New Roman" w:cs="Times New Roman"/>
        </w:rPr>
      </w:pPr>
      <w:r w:rsidRPr="009357D5">
        <w:rPr>
          <w:rFonts w:ascii="Times New Roman" w:hAnsi="Times New Roman" w:cs="Times New Roman"/>
        </w:rPr>
        <w:t>The global insurance industry is undergoing a paradigm shift, driven by two powerful and often conflicting forces: the persistent demand for investment-linked protection products and the disruptive wave of digital innovation. Among these products, Unit-Linked Insurance Plans (ULIPs) have emerged as a cornerstone of modern life insurance portfolios, particularly in emerging economies such as India, China, and Southeast Asian markets. ULIPs offer a unique dual value proposition—combining life cover with market-linked investment returns—making them an attractive instrument for retail investors seeking wealth accumulation alongside risk protection (Swiss Re, 2021). However, despite their product appeal, the life insurance sector has long grappled with a persistent and costly challenge: </w:t>
      </w:r>
      <w:r w:rsidRPr="009357D5">
        <w:rPr>
          <w:rFonts w:ascii="Times New Roman" w:hAnsi="Times New Roman" w:cs="Times New Roman"/>
          <w:b/>
          <w:bCs/>
        </w:rPr>
        <w:t>low investor persistency</w:t>
      </w:r>
      <w:r w:rsidRPr="009357D5">
        <w:rPr>
          <w:rFonts w:ascii="Times New Roman" w:hAnsi="Times New Roman" w:cs="Times New Roman"/>
        </w:rPr>
        <w:t>. High lapse and surrender rates not only erode insurer profitability through the loss of expected future premiums but also undermine the foundational principle of long-term risk pooling, ultimately destabilizing the actuarial assumptions upon which these products are priced (Eling &amp; Kochanski, 2013).</w:t>
      </w:r>
    </w:p>
    <w:p w14:paraId="2654BEA8" w14:textId="77777777" w:rsidR="009357D5" w:rsidRPr="009357D5" w:rsidRDefault="009357D5" w:rsidP="009357D5">
      <w:pPr>
        <w:jc w:val="both"/>
        <w:rPr>
          <w:rFonts w:ascii="Times New Roman" w:hAnsi="Times New Roman" w:cs="Times New Roman"/>
        </w:rPr>
      </w:pPr>
      <w:r w:rsidRPr="009357D5">
        <w:rPr>
          <w:rFonts w:ascii="Times New Roman" w:hAnsi="Times New Roman" w:cs="Times New Roman"/>
        </w:rPr>
        <w:t>At the heart of the persistency dilemma lies the intricate and often controversial </w:t>
      </w:r>
      <w:r w:rsidRPr="009357D5">
        <w:rPr>
          <w:rFonts w:ascii="Times New Roman" w:hAnsi="Times New Roman" w:cs="Times New Roman"/>
          <w:b/>
          <w:bCs/>
        </w:rPr>
        <w:t>cost structure of ULIPs</w:t>
      </w:r>
      <w:r w:rsidRPr="009357D5">
        <w:rPr>
          <w:rFonts w:ascii="Times New Roman" w:hAnsi="Times New Roman" w:cs="Times New Roman"/>
        </w:rPr>
        <w:t>. Unlike mutual funds or direct equity investments, ULIPs are characterized by a distinct front-loaded fee arrangement, comprising high initial allocation charges, policy administration fees, and substantial surrender penalties for early exit (Bhattacharya &amp; Gursoy, 2019). From a rational economic perspective, such a cost configuration creates a significant barrier to exit, as investors face immediate financial penalties for discontinuing their policies during the initial lock-in period. Consequently, one would expect these structural disincentives to mechanically enhance persistency. However, empirical evidence paints a far more complex and contradictory picture. Many insurers continue to report alarming lapse rates, even when the financial penalties for early surrender are substantial (</w:t>
      </w:r>
      <w:proofErr w:type="spellStart"/>
      <w:r w:rsidRPr="009357D5">
        <w:rPr>
          <w:rFonts w:ascii="Times New Roman" w:hAnsi="Times New Roman" w:cs="Times New Roman"/>
        </w:rPr>
        <w:t>Kiesenbauer</w:t>
      </w:r>
      <w:proofErr w:type="spellEnd"/>
      <w:r w:rsidRPr="009357D5">
        <w:rPr>
          <w:rFonts w:ascii="Times New Roman" w:hAnsi="Times New Roman" w:cs="Times New Roman"/>
        </w:rPr>
        <w:t>, 2012). This empirical inconsistency suggests that the relationship between ULIP cost structures and investor persistency is neither linear nor purely mechanistic; rather, it is likely mediated by perceptual factors and moderated by contextual variables that shape how investors interpret and respond to these costs.</w:t>
      </w:r>
    </w:p>
    <w:p w14:paraId="1C22F38C" w14:textId="2CE70D03" w:rsidR="009357D5" w:rsidRPr="009357D5" w:rsidRDefault="009357D5" w:rsidP="009357D5">
      <w:pPr>
        <w:jc w:val="both"/>
        <w:rPr>
          <w:rFonts w:ascii="Times New Roman" w:hAnsi="Times New Roman" w:cs="Times New Roman"/>
        </w:rPr>
      </w:pPr>
      <w:r w:rsidRPr="009357D5">
        <w:rPr>
          <w:rFonts w:ascii="Times New Roman" w:hAnsi="Times New Roman" w:cs="Times New Roman"/>
        </w:rPr>
        <w:t>This conceptual paper addresses this critical theoretical gap by proposing a novel framework that moves beyond the traditional rational-choice paradigm. We contend that the effect of ULIP costs on persistency is not a direct, unmediated relationship but operates through the psychological mechanism of </w:t>
      </w:r>
      <w:r w:rsidRPr="009357D5">
        <w:rPr>
          <w:rFonts w:ascii="Times New Roman" w:hAnsi="Times New Roman" w:cs="Times New Roman"/>
          <w:b/>
          <w:bCs/>
        </w:rPr>
        <w:t>perceived switching costs</w:t>
      </w:r>
      <w:r w:rsidRPr="009357D5">
        <w:rPr>
          <w:rFonts w:ascii="Times New Roman" w:hAnsi="Times New Roman" w:cs="Times New Roman"/>
        </w:rPr>
        <w:t xml:space="preserve">. Drawing on insights from </w:t>
      </w:r>
      <w:r w:rsidR="005A0376" w:rsidRPr="009357D5">
        <w:rPr>
          <w:rFonts w:ascii="Times New Roman" w:hAnsi="Times New Roman" w:cs="Times New Roman"/>
        </w:rPr>
        <w:t>behavioural</w:t>
      </w:r>
      <w:r w:rsidRPr="009357D5">
        <w:rPr>
          <w:rFonts w:ascii="Times New Roman" w:hAnsi="Times New Roman" w:cs="Times New Roman"/>
        </w:rPr>
        <w:t xml:space="preserve"> finance, we argue that the high initial charges embedded in ULIPs trigger cognitive biases, most notably the </w:t>
      </w:r>
      <w:r w:rsidRPr="009357D5">
        <w:rPr>
          <w:rFonts w:ascii="Times New Roman" w:hAnsi="Times New Roman" w:cs="Times New Roman"/>
          <w:b/>
          <w:bCs/>
        </w:rPr>
        <w:t>sunk cost fallacy</w:t>
      </w:r>
      <w:r w:rsidRPr="009357D5">
        <w:rPr>
          <w:rFonts w:ascii="Times New Roman" w:hAnsi="Times New Roman" w:cs="Times New Roman"/>
        </w:rPr>
        <w:t xml:space="preserve">—the human tendency to continue an </w:t>
      </w:r>
      <w:r w:rsidR="005A0376" w:rsidRPr="009357D5">
        <w:rPr>
          <w:rFonts w:ascii="Times New Roman" w:hAnsi="Times New Roman" w:cs="Times New Roman"/>
        </w:rPr>
        <w:t>endeavour</w:t>
      </w:r>
      <w:r w:rsidRPr="009357D5">
        <w:rPr>
          <w:rFonts w:ascii="Times New Roman" w:hAnsi="Times New Roman" w:cs="Times New Roman"/>
        </w:rPr>
        <w:t xml:space="preserve"> once an </w:t>
      </w:r>
      <w:r w:rsidRPr="009357D5">
        <w:rPr>
          <w:rFonts w:ascii="Times New Roman" w:hAnsi="Times New Roman" w:cs="Times New Roman"/>
        </w:rPr>
        <w:lastRenderedPageBreak/>
        <w:t xml:space="preserve">investment of money, effort, or time has been made (Thaler, 1980; Kahneman &amp; Tversky, 1979). Once investors have incurred substantial upfront charges, they become psychologically reluctant to terminate the policy, even if continued retention may not be financially optimal ex-ante. This psychological lock-in effect, we propose, serves as a powerful intervening mechanism that converts a purely financial disincentive into a </w:t>
      </w:r>
      <w:r w:rsidR="005A0376" w:rsidRPr="009357D5">
        <w:rPr>
          <w:rFonts w:ascii="Times New Roman" w:hAnsi="Times New Roman" w:cs="Times New Roman"/>
        </w:rPr>
        <w:t>behavioural</w:t>
      </w:r>
      <w:r w:rsidRPr="009357D5">
        <w:rPr>
          <w:rFonts w:ascii="Times New Roman" w:hAnsi="Times New Roman" w:cs="Times New Roman"/>
        </w:rPr>
        <w:t xml:space="preserve"> commitment device, thereby enhancing persistency.</w:t>
      </w:r>
    </w:p>
    <w:p w14:paraId="03E60466" w14:textId="4FE9F0A6" w:rsidR="009357D5" w:rsidRPr="009357D5" w:rsidRDefault="009357D5" w:rsidP="009357D5">
      <w:pPr>
        <w:jc w:val="both"/>
        <w:rPr>
          <w:rFonts w:ascii="Times New Roman" w:hAnsi="Times New Roman" w:cs="Times New Roman"/>
        </w:rPr>
      </w:pPr>
      <w:r w:rsidRPr="009357D5">
        <w:rPr>
          <w:rFonts w:ascii="Times New Roman" w:hAnsi="Times New Roman" w:cs="Times New Roman"/>
        </w:rPr>
        <w:t>However, we further posit that this mediated relationship is not universal but is critically contingent upon the degree of </w:t>
      </w:r>
      <w:proofErr w:type="spellStart"/>
      <w:r w:rsidRPr="009357D5">
        <w:rPr>
          <w:rFonts w:ascii="Times New Roman" w:hAnsi="Times New Roman" w:cs="Times New Roman"/>
          <w:b/>
          <w:bCs/>
        </w:rPr>
        <w:t>InsurTech</w:t>
      </w:r>
      <w:proofErr w:type="spellEnd"/>
      <w:r w:rsidRPr="009357D5">
        <w:rPr>
          <w:rFonts w:ascii="Times New Roman" w:hAnsi="Times New Roman" w:cs="Times New Roman"/>
          <w:b/>
          <w:bCs/>
        </w:rPr>
        <w:t xml:space="preserve"> adoption</w:t>
      </w:r>
      <w:r w:rsidRPr="009357D5">
        <w:rPr>
          <w:rFonts w:ascii="Times New Roman" w:hAnsi="Times New Roman" w:cs="Times New Roman"/>
        </w:rPr>
        <w:t xml:space="preserve"> within the insurance ecosystem. The rapid proliferation of digital technologies—including </w:t>
      </w:r>
      <w:proofErr w:type="spellStart"/>
      <w:r w:rsidRPr="009357D5">
        <w:rPr>
          <w:rFonts w:ascii="Times New Roman" w:hAnsi="Times New Roman" w:cs="Times New Roman"/>
        </w:rPr>
        <w:t>robo</w:t>
      </w:r>
      <w:proofErr w:type="spellEnd"/>
      <w:r w:rsidRPr="009357D5">
        <w:rPr>
          <w:rFonts w:ascii="Times New Roman" w:hAnsi="Times New Roman" w:cs="Times New Roman"/>
        </w:rPr>
        <w:t xml:space="preserve">-advisory platforms, artificial intelligence-driven portfolio optimization, gamified customer dashboards, and personalized </w:t>
      </w:r>
      <w:r w:rsidR="005A0376" w:rsidRPr="009357D5">
        <w:rPr>
          <w:rFonts w:ascii="Times New Roman" w:hAnsi="Times New Roman" w:cs="Times New Roman"/>
        </w:rPr>
        <w:t>behavioural</w:t>
      </w:r>
      <w:r w:rsidRPr="009357D5">
        <w:rPr>
          <w:rFonts w:ascii="Times New Roman" w:hAnsi="Times New Roman" w:cs="Times New Roman"/>
        </w:rPr>
        <w:t xml:space="preserve"> nudges—has fundamentally altered the way investors interact with and perceive their insurance products (</w:t>
      </w:r>
      <w:proofErr w:type="spellStart"/>
      <w:r w:rsidRPr="009357D5">
        <w:rPr>
          <w:rFonts w:ascii="Times New Roman" w:hAnsi="Times New Roman" w:cs="Times New Roman"/>
        </w:rPr>
        <w:t>Stoeckli</w:t>
      </w:r>
      <w:proofErr w:type="spellEnd"/>
      <w:r w:rsidRPr="009357D5">
        <w:rPr>
          <w:rFonts w:ascii="Times New Roman" w:hAnsi="Times New Roman" w:cs="Times New Roman"/>
        </w:rPr>
        <w:t xml:space="preserve"> et al., 2018; Eling &amp; Lehmann, 2018). We argue that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serves as a crucial </w:t>
      </w:r>
      <w:r w:rsidRPr="009357D5">
        <w:rPr>
          <w:rFonts w:ascii="Times New Roman" w:hAnsi="Times New Roman" w:cs="Times New Roman"/>
          <w:b/>
          <w:bCs/>
        </w:rPr>
        <w:t>moderator</w:t>
      </w:r>
      <w:r w:rsidRPr="009357D5">
        <w:rPr>
          <w:rFonts w:ascii="Times New Roman" w:hAnsi="Times New Roman" w:cs="Times New Roman"/>
        </w:rPr>
        <w:t xml:space="preserve"> that can either amplify or attenuate the psychological impact of the sunk cost fallacy. In the absence of </w:t>
      </w:r>
      <w:proofErr w:type="spellStart"/>
      <w:r w:rsidRPr="009357D5">
        <w:rPr>
          <w:rFonts w:ascii="Times New Roman" w:hAnsi="Times New Roman" w:cs="Times New Roman"/>
        </w:rPr>
        <w:t>InsurTech</w:t>
      </w:r>
      <w:proofErr w:type="spellEnd"/>
      <w:r w:rsidRPr="009357D5">
        <w:rPr>
          <w:rFonts w:ascii="Times New Roman" w:hAnsi="Times New Roman" w:cs="Times New Roman"/>
        </w:rPr>
        <w:t>, investors are left in an information vacuum, with limited visibility into their policy performance, opaque fee structures, and minimal engagement—conditions that exacerbate the negative salience of high upfront costs and paradoxically </w:t>
      </w:r>
      <w:r w:rsidRPr="009357D5">
        <w:rPr>
          <w:rFonts w:ascii="Times New Roman" w:hAnsi="Times New Roman" w:cs="Times New Roman"/>
          <w:i/>
          <w:iCs/>
        </w:rPr>
        <w:t>increase</w:t>
      </w:r>
      <w:r w:rsidRPr="009357D5">
        <w:rPr>
          <w:rFonts w:ascii="Times New Roman" w:hAnsi="Times New Roman" w:cs="Times New Roman"/>
        </w:rPr>
        <w:t xml:space="preserve"> lapse propensity despite the financial penalties. Conversely, high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adoption—characterized by transparent fee visualizations, real-time performance tracking, and </w:t>
      </w:r>
      <w:proofErr w:type="spellStart"/>
      <w:r w:rsidRPr="009357D5">
        <w:rPr>
          <w:rFonts w:ascii="Times New Roman" w:hAnsi="Times New Roman" w:cs="Times New Roman"/>
        </w:rPr>
        <w:t>robo</w:t>
      </w:r>
      <w:proofErr w:type="spellEnd"/>
      <w:r w:rsidRPr="009357D5">
        <w:rPr>
          <w:rFonts w:ascii="Times New Roman" w:hAnsi="Times New Roman" w:cs="Times New Roman"/>
        </w:rPr>
        <w:t>-advisory interventions that reframe long-term value—can transform the investor's decision calculus. By shifting the focus from the </w:t>
      </w:r>
      <w:r w:rsidRPr="009357D5">
        <w:rPr>
          <w:rFonts w:ascii="Times New Roman" w:hAnsi="Times New Roman" w:cs="Times New Roman"/>
          <w:i/>
          <w:iCs/>
        </w:rPr>
        <w:t>cost incurred</w:t>
      </w:r>
      <w:r w:rsidRPr="009357D5">
        <w:rPr>
          <w:rFonts w:ascii="Times New Roman" w:hAnsi="Times New Roman" w:cs="Times New Roman"/>
        </w:rPr>
        <w:t> to the </w:t>
      </w:r>
      <w:r w:rsidRPr="009357D5">
        <w:rPr>
          <w:rFonts w:ascii="Times New Roman" w:hAnsi="Times New Roman" w:cs="Times New Roman"/>
          <w:i/>
          <w:iCs/>
        </w:rPr>
        <w:t>value delivered</w:t>
      </w:r>
      <w:r w:rsidRPr="009357D5">
        <w:rPr>
          <w:rFonts w:ascii="Times New Roman" w:hAnsi="Times New Roman" w:cs="Times New Roman"/>
        </w:rPr>
        <w:t xml:space="preserve">,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can attenuate the negative emotional response to sunk costs, recalibrate the investor's time horizon, and foster a more rational, value-based persistency decision.</w:t>
      </w:r>
    </w:p>
    <w:p w14:paraId="2A437BEC" w14:textId="77777777" w:rsidR="009357D5" w:rsidRPr="009357D5" w:rsidRDefault="009357D5" w:rsidP="009357D5">
      <w:pPr>
        <w:jc w:val="both"/>
        <w:rPr>
          <w:rFonts w:ascii="Times New Roman" w:hAnsi="Times New Roman" w:cs="Times New Roman"/>
        </w:rPr>
      </w:pPr>
      <w:r w:rsidRPr="009357D5">
        <w:rPr>
          <w:rFonts w:ascii="Times New Roman" w:hAnsi="Times New Roman" w:cs="Times New Roman"/>
        </w:rPr>
        <w:t xml:space="preserve">Thus, our central thesis is that the interaction between ULIP cost structures and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adoption creates a nuanced, conditional effect on investor persistency. Specifically, we propose that the positive indirect effect of front-loaded costs on persistency (via perceived switching costs and the sunk cost fallacy) is strengthened when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adoption is low, as the psychological lock-in operates without competing digital interventions. However, when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adoption is high, the relationship becomes more complex: technology does not necessarily </w:t>
      </w:r>
      <w:r w:rsidRPr="009357D5">
        <w:rPr>
          <w:rFonts w:ascii="Times New Roman" w:hAnsi="Times New Roman" w:cs="Times New Roman"/>
          <w:i/>
          <w:iCs/>
        </w:rPr>
        <w:t>weaken</w:t>
      </w:r>
      <w:r w:rsidRPr="009357D5">
        <w:rPr>
          <w:rFonts w:ascii="Times New Roman" w:hAnsi="Times New Roman" w:cs="Times New Roman"/>
        </w:rPr>
        <w:t> persistency; rather, it transforms the basis of persistency from a </w:t>
      </w:r>
      <w:r w:rsidRPr="009357D5">
        <w:rPr>
          <w:rFonts w:ascii="Times New Roman" w:hAnsi="Times New Roman" w:cs="Times New Roman"/>
          <w:b/>
          <w:bCs/>
        </w:rPr>
        <w:t>cost-induced lock-in</w:t>
      </w:r>
      <w:r w:rsidRPr="009357D5">
        <w:rPr>
          <w:rFonts w:ascii="Times New Roman" w:hAnsi="Times New Roman" w:cs="Times New Roman"/>
        </w:rPr>
        <w:t> to a </w:t>
      </w:r>
      <w:r w:rsidRPr="009357D5">
        <w:rPr>
          <w:rFonts w:ascii="Times New Roman" w:hAnsi="Times New Roman" w:cs="Times New Roman"/>
          <w:b/>
          <w:bCs/>
        </w:rPr>
        <w:t>value-induced loyalty</w:t>
      </w:r>
      <w:r w:rsidRPr="009357D5">
        <w:rPr>
          <w:rFonts w:ascii="Times New Roman" w:hAnsi="Times New Roman" w:cs="Times New Roman"/>
        </w:rPr>
        <w:t>, thereby creating more sustainable and mutually beneficial long-term relationships.</w:t>
      </w:r>
    </w:p>
    <w:p w14:paraId="79F5CF6B" w14:textId="241CD1AF" w:rsidR="009357D5" w:rsidRPr="009357D5" w:rsidRDefault="009357D5" w:rsidP="009357D5">
      <w:pPr>
        <w:jc w:val="both"/>
        <w:rPr>
          <w:rFonts w:ascii="Times New Roman" w:hAnsi="Times New Roman" w:cs="Times New Roman"/>
        </w:rPr>
      </w:pPr>
      <w:r w:rsidRPr="009357D5">
        <w:rPr>
          <w:rFonts w:ascii="Times New Roman" w:hAnsi="Times New Roman" w:cs="Times New Roman"/>
        </w:rPr>
        <w:t>This paper makes several significant contributions to theory and practice. </w:t>
      </w:r>
      <w:r w:rsidRPr="009357D5">
        <w:rPr>
          <w:rFonts w:ascii="Times New Roman" w:hAnsi="Times New Roman" w:cs="Times New Roman"/>
          <w:b/>
          <w:bCs/>
        </w:rPr>
        <w:t>First</w:t>
      </w:r>
      <w:r w:rsidRPr="009357D5">
        <w:rPr>
          <w:rFonts w:ascii="Times New Roman" w:hAnsi="Times New Roman" w:cs="Times New Roman"/>
        </w:rPr>
        <w:t xml:space="preserve">, we advance the insurance literature by providing a comprehensive theoretical framework that synthesizes agency theory, </w:t>
      </w:r>
      <w:r w:rsidR="006D6994" w:rsidRPr="009357D5">
        <w:rPr>
          <w:rFonts w:ascii="Times New Roman" w:hAnsi="Times New Roman" w:cs="Times New Roman"/>
        </w:rPr>
        <w:t>behavioural</w:t>
      </w:r>
      <w:r w:rsidRPr="009357D5">
        <w:rPr>
          <w:rFonts w:ascii="Times New Roman" w:hAnsi="Times New Roman" w:cs="Times New Roman"/>
        </w:rPr>
        <w:t xml:space="preserve"> finance, and information systems theory (specifically, the Technology Acceptance Model—TAM) to explain persistency dynamics—a theoretical triangulation that has been conspicuously absent in prior research. </w:t>
      </w:r>
      <w:r w:rsidRPr="009357D5">
        <w:rPr>
          <w:rFonts w:ascii="Times New Roman" w:hAnsi="Times New Roman" w:cs="Times New Roman"/>
          <w:b/>
          <w:bCs/>
        </w:rPr>
        <w:t>Second</w:t>
      </w:r>
      <w:r w:rsidRPr="009357D5">
        <w:rPr>
          <w:rFonts w:ascii="Times New Roman" w:hAnsi="Times New Roman" w:cs="Times New Roman"/>
        </w:rPr>
        <w:t>, we introduce the concept of "perceived switching costs" as a critical psychological mediator in the ULIP context, offering a more nuanced explanation for why empirical findings on costs and persistency have been inconsistent. </w:t>
      </w:r>
      <w:r w:rsidRPr="009357D5">
        <w:rPr>
          <w:rFonts w:ascii="Times New Roman" w:hAnsi="Times New Roman" w:cs="Times New Roman"/>
          <w:b/>
          <w:bCs/>
        </w:rPr>
        <w:t>Third</w:t>
      </w:r>
      <w:r w:rsidRPr="009357D5">
        <w:rPr>
          <w:rFonts w:ascii="Times New Roman" w:hAnsi="Times New Roman" w:cs="Times New Roman"/>
        </w:rPr>
        <w:t xml:space="preserve">, and most importantly, we position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as a strategic organizational capability, not merely a transactional tool, and demonstrate its pivotal moderating role in shaping investor </w:t>
      </w:r>
      <w:r w:rsidR="006D6994" w:rsidRPr="009357D5">
        <w:rPr>
          <w:rFonts w:ascii="Times New Roman" w:hAnsi="Times New Roman" w:cs="Times New Roman"/>
        </w:rPr>
        <w:t>behaviour</w:t>
      </w:r>
      <w:r w:rsidRPr="009357D5">
        <w:rPr>
          <w:rFonts w:ascii="Times New Roman" w:hAnsi="Times New Roman" w:cs="Times New Roman"/>
        </w:rPr>
        <w:t>—a contribution that is particularly timely given the accelerating digital transformation of the financial services sector. </w:t>
      </w:r>
      <w:r w:rsidRPr="009357D5">
        <w:rPr>
          <w:rFonts w:ascii="Times New Roman" w:hAnsi="Times New Roman" w:cs="Times New Roman"/>
          <w:b/>
          <w:bCs/>
        </w:rPr>
        <w:t>Fourth</w:t>
      </w:r>
      <w:r w:rsidRPr="009357D5">
        <w:rPr>
          <w:rFonts w:ascii="Times New Roman" w:hAnsi="Times New Roman" w:cs="Times New Roman"/>
        </w:rPr>
        <w:t xml:space="preserve">, we propose a </w:t>
      </w:r>
      <w:r w:rsidRPr="009357D5">
        <w:rPr>
          <w:rFonts w:ascii="Times New Roman" w:hAnsi="Times New Roman" w:cs="Times New Roman"/>
        </w:rPr>
        <w:lastRenderedPageBreak/>
        <w:t>set of clearly articulated, testable propositions that provide a robust roadmap for future empirical validation, bridging the gap between conceptual theorizing and applied research.</w:t>
      </w:r>
    </w:p>
    <w:p w14:paraId="66232F09" w14:textId="648B2EED" w:rsidR="009357D5" w:rsidRPr="009357D5" w:rsidRDefault="009357D5" w:rsidP="002D3617">
      <w:pPr>
        <w:jc w:val="both"/>
        <w:rPr>
          <w:rFonts w:ascii="Times New Roman" w:hAnsi="Times New Roman" w:cs="Times New Roman"/>
        </w:rPr>
      </w:pPr>
      <w:r w:rsidRPr="009357D5">
        <w:rPr>
          <w:rFonts w:ascii="Times New Roman" w:hAnsi="Times New Roman" w:cs="Times New Roman"/>
        </w:rPr>
        <w:t xml:space="preserve">The remainder of this paper is structured as follows. Section 2 presents a comprehensive review of the relevant literature on ULIP cost structures, investor persistency, </w:t>
      </w:r>
      <w:r w:rsidR="006D6994" w:rsidRPr="009357D5">
        <w:rPr>
          <w:rFonts w:ascii="Times New Roman" w:hAnsi="Times New Roman" w:cs="Times New Roman"/>
        </w:rPr>
        <w:t>behavioural</w:t>
      </w:r>
      <w:r w:rsidRPr="009357D5">
        <w:rPr>
          <w:rFonts w:ascii="Times New Roman" w:hAnsi="Times New Roman" w:cs="Times New Roman"/>
        </w:rPr>
        <w:t xml:space="preserve"> finance perspectives on switching costs, and the evolving role of </w:t>
      </w:r>
      <w:proofErr w:type="spellStart"/>
      <w:r w:rsidRPr="009357D5">
        <w:rPr>
          <w:rFonts w:ascii="Times New Roman" w:hAnsi="Times New Roman" w:cs="Times New Roman"/>
        </w:rPr>
        <w:t>InsurTech</w:t>
      </w:r>
      <w:proofErr w:type="spellEnd"/>
      <w:r w:rsidRPr="009357D5">
        <w:rPr>
          <w:rFonts w:ascii="Times New Roman" w:hAnsi="Times New Roman" w:cs="Times New Roman"/>
        </w:rPr>
        <w:t xml:space="preserve"> in insurance markets. Section 3 develops the conceptual framework and derives our core propositions, delineating the mediated and moderated relationships. Section 4 discusses the theoretical and practical implications of our framework, including specific recommendations for product design, customer relationship management, and regulatory policy. Section 5 outlines the research agenda, suggesting appropriate methodologies, constructs, and contexts for empirical testing. Finally, Section 6 concludes the paper by summarizing the key contributions and acknowledging the limitations of our conceptual approach.</w:t>
      </w:r>
    </w:p>
    <w:p w14:paraId="143C565B" w14:textId="77011228" w:rsidR="003F30B6" w:rsidRPr="003F30B6" w:rsidRDefault="00000000" w:rsidP="002D3617">
      <w:pPr>
        <w:jc w:val="both"/>
        <w:rPr>
          <w:rFonts w:ascii="Times New Roman" w:hAnsi="Times New Roman" w:cs="Times New Roman"/>
        </w:rPr>
      </w:pPr>
      <w:r>
        <w:rPr>
          <w:rFonts w:ascii="Times New Roman" w:hAnsi="Times New Roman" w:cs="Times New Roman"/>
        </w:rPr>
        <w:pict w14:anchorId="3CC54551">
          <v:rect id="_x0000_i1027" style="width:0;height:.75pt" o:hralign="center" o:hrstd="t" o:hr="t" fillcolor="#a0a0a0" stroked="f"/>
        </w:pict>
      </w:r>
    </w:p>
    <w:p w14:paraId="3DCA8F4D" w14:textId="19F38B60" w:rsidR="00F54C18" w:rsidRDefault="003A6956" w:rsidP="002D3617">
      <w:pPr>
        <w:jc w:val="both"/>
        <w:rPr>
          <w:rFonts w:ascii="Times New Roman" w:hAnsi="Times New Roman" w:cs="Times New Roman"/>
          <w:b/>
          <w:bCs/>
        </w:rPr>
      </w:pPr>
      <w:r>
        <w:rPr>
          <w:rFonts w:ascii="Times New Roman" w:hAnsi="Times New Roman" w:cs="Times New Roman"/>
          <w:b/>
          <w:bCs/>
        </w:rPr>
        <w:t>Literature Review</w:t>
      </w:r>
    </w:p>
    <w:p w14:paraId="38856BBE" w14:textId="3D0098AC"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This section reviews the extant literature across three interconnected domains. First, we examine the nature and structure of Unit-Linked Insurance Plans (ULIPs), with a particular focus on their unique cost configurations. Second, we explore the determinants of investor persistency, synthesizing insights from classical economic theories and </w:t>
      </w:r>
      <w:r w:rsidR="006D6994" w:rsidRPr="003A6956">
        <w:rPr>
          <w:rFonts w:ascii="Times New Roman" w:hAnsi="Times New Roman" w:cs="Times New Roman"/>
        </w:rPr>
        <w:t>behavioural</w:t>
      </w:r>
      <w:r w:rsidRPr="003A6956">
        <w:rPr>
          <w:rFonts w:ascii="Times New Roman" w:hAnsi="Times New Roman" w:cs="Times New Roman"/>
        </w:rPr>
        <w:t xml:space="preserve"> finance. Third, we review the nascent but rapidly growing literature on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adoption, positioning it as a critical contextual factor that shapes investor perceptions and decision-making. The section concludes by identifying the theoretical gaps that motivate our conceptual framework.</w:t>
      </w:r>
    </w:p>
    <w:p w14:paraId="71832113" w14:textId="61D7C093" w:rsidR="003A6956" w:rsidRPr="003A6956" w:rsidRDefault="003A6956" w:rsidP="003A6956">
      <w:pPr>
        <w:pStyle w:val="ListParagraph"/>
        <w:numPr>
          <w:ilvl w:val="0"/>
          <w:numId w:val="1"/>
        </w:numPr>
        <w:rPr>
          <w:rFonts w:ascii="Times New Roman" w:hAnsi="Times New Roman" w:cs="Times New Roman"/>
          <w:b/>
          <w:bCs/>
        </w:rPr>
      </w:pPr>
      <w:r w:rsidRPr="003A6956">
        <w:rPr>
          <w:rFonts w:ascii="Times New Roman" w:hAnsi="Times New Roman" w:cs="Times New Roman"/>
          <w:b/>
          <w:bCs/>
        </w:rPr>
        <w:t>Unit-Linked Insurance Plans: Structure, Costs, and Investor Appeal</w:t>
      </w:r>
    </w:p>
    <w:p w14:paraId="4E98D9ED"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Unit-Linked Insurance Plans represent a hybrid financial instrument that integrates life insurance protection with investment exposure to capital markets (Bhattacharya &amp; Gursoy, 2019). Unlike traditional participating or non-participating life insurance policies, where the insurer bears the investment risk, ULIPs transfer this risk to the policyholder, who receives units in a segregated fund whose value fluctuates with underlying asset performance (</w:t>
      </w:r>
      <w:proofErr w:type="spellStart"/>
      <w:r w:rsidRPr="003A6956">
        <w:rPr>
          <w:rFonts w:ascii="Times New Roman" w:hAnsi="Times New Roman" w:cs="Times New Roman"/>
        </w:rPr>
        <w:t>Gatzert</w:t>
      </w:r>
      <w:proofErr w:type="spellEnd"/>
      <w:r w:rsidRPr="003A6956">
        <w:rPr>
          <w:rFonts w:ascii="Times New Roman" w:hAnsi="Times New Roman" w:cs="Times New Roman"/>
        </w:rPr>
        <w:t xml:space="preserve"> &amp; Schmeiser, 2008). This product structure has gained substantial traction globally, particularly in markets where investors seek both protection and wealth accumulation within a single, tax-efficient vehicle (Swiss Re, 2021).</w:t>
      </w:r>
    </w:p>
    <w:p w14:paraId="58ED3509"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However, the defining characteristic of ULIPs—and the primary source of academic and regulatory debate—is their complex and often opaque </w:t>
      </w:r>
      <w:r w:rsidRPr="003A6956">
        <w:rPr>
          <w:rFonts w:ascii="Times New Roman" w:hAnsi="Times New Roman" w:cs="Times New Roman"/>
          <w:b/>
          <w:bCs/>
        </w:rPr>
        <w:t>cost structure</w:t>
      </w:r>
      <w:r w:rsidRPr="003A6956">
        <w:rPr>
          <w:rFonts w:ascii="Times New Roman" w:hAnsi="Times New Roman" w:cs="Times New Roman"/>
        </w:rPr>
        <w:t>. Typically, ULIPs feature a front-loaded fee arrangement comprising several components: (a) </w:t>
      </w:r>
      <w:r w:rsidRPr="003A6956">
        <w:rPr>
          <w:rFonts w:ascii="Times New Roman" w:hAnsi="Times New Roman" w:cs="Times New Roman"/>
          <w:b/>
          <w:bCs/>
        </w:rPr>
        <w:t>initial allocation charges</w:t>
      </w:r>
      <w:r w:rsidRPr="003A6956">
        <w:rPr>
          <w:rFonts w:ascii="Times New Roman" w:hAnsi="Times New Roman" w:cs="Times New Roman"/>
        </w:rPr>
        <w:t>, which deduct a significant percentage of the first few years' premiums towards distribution and underwriting expenses; (b) </w:t>
      </w:r>
      <w:r w:rsidRPr="003A6956">
        <w:rPr>
          <w:rFonts w:ascii="Times New Roman" w:hAnsi="Times New Roman" w:cs="Times New Roman"/>
          <w:b/>
          <w:bCs/>
        </w:rPr>
        <w:t>policy administration fees</w:t>
      </w:r>
      <w:r w:rsidRPr="003A6956">
        <w:rPr>
          <w:rFonts w:ascii="Times New Roman" w:hAnsi="Times New Roman" w:cs="Times New Roman"/>
        </w:rPr>
        <w:t>, levied annually to cover servicing costs; (c) </w:t>
      </w:r>
      <w:r w:rsidRPr="003A6956">
        <w:rPr>
          <w:rFonts w:ascii="Times New Roman" w:hAnsi="Times New Roman" w:cs="Times New Roman"/>
          <w:b/>
          <w:bCs/>
        </w:rPr>
        <w:t>fund management charges</w:t>
      </w:r>
      <w:r w:rsidRPr="003A6956">
        <w:rPr>
          <w:rFonts w:ascii="Times New Roman" w:hAnsi="Times New Roman" w:cs="Times New Roman"/>
        </w:rPr>
        <w:t>, deducted from the investment portfolio; and (d) </w:t>
      </w:r>
      <w:r w:rsidRPr="003A6956">
        <w:rPr>
          <w:rFonts w:ascii="Times New Roman" w:hAnsi="Times New Roman" w:cs="Times New Roman"/>
          <w:b/>
          <w:bCs/>
        </w:rPr>
        <w:t>surrender penalties</w:t>
      </w:r>
      <w:r w:rsidRPr="003A6956">
        <w:rPr>
          <w:rFonts w:ascii="Times New Roman" w:hAnsi="Times New Roman" w:cs="Times New Roman"/>
        </w:rPr>
        <w:t>, which impose substantial financial penalties on policyholders who terminate their contracts within a specified lock-in period, commonly five years (</w:t>
      </w:r>
      <w:proofErr w:type="spellStart"/>
      <w:r w:rsidRPr="003A6956">
        <w:rPr>
          <w:rFonts w:ascii="Times New Roman" w:hAnsi="Times New Roman" w:cs="Times New Roman"/>
        </w:rPr>
        <w:t>Kiesenbauer</w:t>
      </w:r>
      <w:proofErr w:type="spellEnd"/>
      <w:r w:rsidRPr="003A6956">
        <w:rPr>
          <w:rFonts w:ascii="Times New Roman" w:hAnsi="Times New Roman" w:cs="Times New Roman"/>
        </w:rPr>
        <w:t>, 2012; Eling &amp; Kochanski, 2013).</w:t>
      </w:r>
    </w:p>
    <w:p w14:paraId="1F186F3E" w14:textId="77777777" w:rsidR="003A6956" w:rsidRDefault="003A6956" w:rsidP="002D3617">
      <w:pPr>
        <w:jc w:val="both"/>
        <w:rPr>
          <w:rFonts w:ascii="Times New Roman" w:hAnsi="Times New Roman" w:cs="Times New Roman"/>
        </w:rPr>
      </w:pPr>
      <w:r w:rsidRPr="003A6956">
        <w:rPr>
          <w:rFonts w:ascii="Times New Roman" w:hAnsi="Times New Roman" w:cs="Times New Roman"/>
        </w:rPr>
        <w:lastRenderedPageBreak/>
        <w:t>From a rational economic standpoint, this cost structure is designed to achieve two objectives. First, it compensates insurers and intermediaries for the upfront acquisition and underwriting costs incurred at policy inception, thereby aligning the insurer's revenue stream with the substantial front-loaded expenses of policy issuance (</w:t>
      </w:r>
      <w:proofErr w:type="spellStart"/>
      <w:r w:rsidRPr="003A6956">
        <w:rPr>
          <w:rFonts w:ascii="Times New Roman" w:hAnsi="Times New Roman" w:cs="Times New Roman"/>
        </w:rPr>
        <w:t>Outreville</w:t>
      </w:r>
      <w:proofErr w:type="spellEnd"/>
      <w:r w:rsidRPr="003A6956">
        <w:rPr>
          <w:rFonts w:ascii="Times New Roman" w:hAnsi="Times New Roman" w:cs="Times New Roman"/>
        </w:rPr>
        <w:t>, 2011). Second, the surrender penalties serve as a contractual commitment device, disincentivizing early termination and thereby protecting the insurer's long-term cash flow projections and actuarial assumptions (</w:t>
      </w:r>
      <w:proofErr w:type="spellStart"/>
      <w:r w:rsidRPr="003A6956">
        <w:rPr>
          <w:rFonts w:ascii="Times New Roman" w:hAnsi="Times New Roman" w:cs="Times New Roman"/>
        </w:rPr>
        <w:t>Kiesenbauer</w:t>
      </w:r>
      <w:proofErr w:type="spellEnd"/>
      <w:r w:rsidRPr="003A6956">
        <w:rPr>
          <w:rFonts w:ascii="Times New Roman" w:hAnsi="Times New Roman" w:cs="Times New Roman"/>
        </w:rPr>
        <w:t>, 2012). Critics, however, contend that these costs are excessive, lack transparency, and disproportionately disadvantage retail investors who may lack the financial sophistication to fully comprehend the long-term implications of front-loaded fees (Bhattacharya &amp; Gursoy, 2019). Regulatory interventions, such as the cap on initial charges imposed by the Insurance Regulatory and Development Authority of India (IRDAI), have sought to mitigate these concerns, yet the fundamental tension between insurer profitability and investor fairness remains unresolved.</w:t>
      </w:r>
    </w:p>
    <w:p w14:paraId="6CCD0805" w14:textId="77777777" w:rsidR="00287955" w:rsidRPr="003A6956" w:rsidRDefault="00287955" w:rsidP="002D3617">
      <w:pPr>
        <w:jc w:val="both"/>
        <w:rPr>
          <w:rFonts w:ascii="Times New Roman" w:hAnsi="Times New Roman" w:cs="Times New Roman"/>
        </w:rPr>
      </w:pPr>
    </w:p>
    <w:p w14:paraId="07705041" w14:textId="77B8A047" w:rsidR="003A6956" w:rsidRPr="003A6956" w:rsidRDefault="003A6956" w:rsidP="002D3617">
      <w:pPr>
        <w:pStyle w:val="ListParagraph"/>
        <w:numPr>
          <w:ilvl w:val="0"/>
          <w:numId w:val="1"/>
        </w:numPr>
        <w:jc w:val="both"/>
        <w:rPr>
          <w:rFonts w:ascii="Times New Roman" w:hAnsi="Times New Roman" w:cs="Times New Roman"/>
          <w:b/>
          <w:bCs/>
        </w:rPr>
      </w:pPr>
      <w:r w:rsidRPr="003A6956">
        <w:rPr>
          <w:rFonts w:ascii="Times New Roman" w:hAnsi="Times New Roman" w:cs="Times New Roman"/>
          <w:b/>
          <w:bCs/>
        </w:rPr>
        <w:t>Investor Persistency: Determinants and Theoretical Perspectives</w:t>
      </w:r>
    </w:p>
    <w:p w14:paraId="3F5747D0" w14:textId="7781D08A" w:rsidR="004B3B7E" w:rsidRDefault="003A6956" w:rsidP="002D3617">
      <w:pPr>
        <w:jc w:val="both"/>
        <w:rPr>
          <w:rFonts w:ascii="Times New Roman" w:hAnsi="Times New Roman" w:cs="Times New Roman"/>
        </w:rPr>
      </w:pPr>
      <w:r w:rsidRPr="003A6956">
        <w:rPr>
          <w:rFonts w:ascii="Times New Roman" w:hAnsi="Times New Roman" w:cs="Times New Roman"/>
        </w:rPr>
        <w:t xml:space="preserve">Investor persistency—defined as the continued retention of an insurance policy over its contractual term—stands as a pivotal performance metric for life insurers. High persistency ensures predictable premium income, enhances the efficiency of capital allocation, and reduces the need for costly new business acquisition to replace lapsed policies (Eling &amp; Kochanski, 2013; </w:t>
      </w:r>
      <w:proofErr w:type="spellStart"/>
      <w:r w:rsidRPr="003A6956">
        <w:rPr>
          <w:rFonts w:ascii="Times New Roman" w:hAnsi="Times New Roman" w:cs="Times New Roman"/>
        </w:rPr>
        <w:t>Kiesenbauer</w:t>
      </w:r>
      <w:proofErr w:type="spellEnd"/>
      <w:r w:rsidRPr="003A6956">
        <w:rPr>
          <w:rFonts w:ascii="Times New Roman" w:hAnsi="Times New Roman" w:cs="Times New Roman"/>
        </w:rPr>
        <w:t>, 2012). Conversely, low persistency (high lapse rates) undermines actuarial assumptions, erodes profitability, and can lead to adverse selection dynamics that destabilize the insurer's risk pool (</w:t>
      </w:r>
      <w:proofErr w:type="spellStart"/>
      <w:r w:rsidRPr="003A6956">
        <w:rPr>
          <w:rFonts w:ascii="Times New Roman" w:hAnsi="Times New Roman" w:cs="Times New Roman"/>
        </w:rPr>
        <w:t>Outreville</w:t>
      </w:r>
      <w:proofErr w:type="spellEnd"/>
      <w:r w:rsidRPr="003A6956">
        <w:rPr>
          <w:rFonts w:ascii="Times New Roman" w:hAnsi="Times New Roman" w:cs="Times New Roman"/>
        </w:rPr>
        <w:t>, 2011). Given these substantial implications, a rich body of literature has sought to identify the determinants of policy persistency.</w:t>
      </w:r>
    </w:p>
    <w:p w14:paraId="532A499B" w14:textId="77777777" w:rsidR="004B3B7E" w:rsidRPr="003A6956" w:rsidRDefault="004B3B7E" w:rsidP="002D3617">
      <w:pPr>
        <w:jc w:val="both"/>
        <w:rPr>
          <w:rFonts w:ascii="Times New Roman" w:hAnsi="Times New Roman" w:cs="Times New Roman"/>
        </w:rPr>
      </w:pPr>
    </w:p>
    <w:p w14:paraId="391102F8" w14:textId="6F5199C7" w:rsidR="003A6956" w:rsidRPr="003A6956" w:rsidRDefault="003A6956" w:rsidP="003A6956">
      <w:pPr>
        <w:pStyle w:val="ListParagraph"/>
        <w:numPr>
          <w:ilvl w:val="0"/>
          <w:numId w:val="1"/>
        </w:numPr>
        <w:rPr>
          <w:rFonts w:ascii="Times New Roman" w:hAnsi="Times New Roman" w:cs="Times New Roman"/>
          <w:b/>
          <w:bCs/>
        </w:rPr>
      </w:pPr>
      <w:r w:rsidRPr="003A6956">
        <w:rPr>
          <w:rFonts w:ascii="Times New Roman" w:hAnsi="Times New Roman" w:cs="Times New Roman"/>
          <w:b/>
          <w:bCs/>
        </w:rPr>
        <w:t>Classical Economic Perspectives</w:t>
      </w:r>
    </w:p>
    <w:p w14:paraId="5CABAEA5"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Traditional economic models view the persistency decision through the lens of </w:t>
      </w:r>
      <w:r w:rsidRPr="003A6956">
        <w:rPr>
          <w:rFonts w:ascii="Times New Roman" w:hAnsi="Times New Roman" w:cs="Times New Roman"/>
          <w:b/>
          <w:bCs/>
        </w:rPr>
        <w:t>rational choice theory</w:t>
      </w:r>
      <w:r w:rsidRPr="003A6956">
        <w:rPr>
          <w:rFonts w:ascii="Times New Roman" w:hAnsi="Times New Roman" w:cs="Times New Roman"/>
        </w:rPr>
        <w:t>. From this perspective, a policyholder lapses a policy when the net present value of continuing the contract is less than the net present value of surrendering and re-investing the surrender value elsewhere (</w:t>
      </w:r>
      <w:proofErr w:type="spellStart"/>
      <w:r w:rsidRPr="003A6956">
        <w:rPr>
          <w:rFonts w:ascii="Times New Roman" w:hAnsi="Times New Roman" w:cs="Times New Roman"/>
        </w:rPr>
        <w:t>Kiesenbauer</w:t>
      </w:r>
      <w:proofErr w:type="spellEnd"/>
      <w:r w:rsidRPr="003A6956">
        <w:rPr>
          <w:rFonts w:ascii="Times New Roman" w:hAnsi="Times New Roman" w:cs="Times New Roman"/>
        </w:rPr>
        <w:t>, 2012). The decision is thus a function of comparative financial returns, prevailing interest rates, investment alternatives, and the magnitude of surrender penalties (Eling &amp; Kochanski, 2013). Empirical studies have consistently identified macroeconomic variables—such as interest rate movements, stock market performance, and unemployment rates—as significant predictors of aggregate lapse rates (</w:t>
      </w:r>
      <w:proofErr w:type="spellStart"/>
      <w:r w:rsidRPr="003A6956">
        <w:rPr>
          <w:rFonts w:ascii="Times New Roman" w:hAnsi="Times New Roman" w:cs="Times New Roman"/>
        </w:rPr>
        <w:t>Kiesenbauer</w:t>
      </w:r>
      <w:proofErr w:type="spellEnd"/>
      <w:r w:rsidRPr="003A6956">
        <w:rPr>
          <w:rFonts w:ascii="Times New Roman" w:hAnsi="Times New Roman" w:cs="Times New Roman"/>
        </w:rPr>
        <w:t>, 2012). Furthermore, </w:t>
      </w:r>
      <w:r w:rsidRPr="003A6956">
        <w:rPr>
          <w:rFonts w:ascii="Times New Roman" w:hAnsi="Times New Roman" w:cs="Times New Roman"/>
          <w:b/>
          <w:bCs/>
        </w:rPr>
        <w:t>agency theory</w:t>
      </w:r>
      <w:r w:rsidRPr="003A6956">
        <w:rPr>
          <w:rFonts w:ascii="Times New Roman" w:hAnsi="Times New Roman" w:cs="Times New Roman"/>
        </w:rPr>
        <w:t xml:space="preserve"> has been employed to examine the incentive misalignment between insurers, distributors, and policyholders. Specifically, commission structures that reward intermediaries for new business acquisition rather than long-term policy retention may incentivize mis-selling, leading to suboptimal policy choices and subsequent lapses (Bhattacharya &amp; Gursoy, 2019; </w:t>
      </w:r>
      <w:proofErr w:type="spellStart"/>
      <w:r w:rsidRPr="003A6956">
        <w:rPr>
          <w:rFonts w:ascii="Times New Roman" w:hAnsi="Times New Roman" w:cs="Times New Roman"/>
        </w:rPr>
        <w:t>Outreville</w:t>
      </w:r>
      <w:proofErr w:type="spellEnd"/>
      <w:r w:rsidRPr="003A6956">
        <w:rPr>
          <w:rFonts w:ascii="Times New Roman" w:hAnsi="Times New Roman" w:cs="Times New Roman"/>
        </w:rPr>
        <w:t>, 2011).</w:t>
      </w:r>
    </w:p>
    <w:p w14:paraId="4157E5E1"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Yet, a purely rational-economic account has proven insufficient to explain the observed empirical anomalies. Studies have consistently reported substantial variation in lapse rates </w:t>
      </w:r>
      <w:r w:rsidRPr="003A6956">
        <w:rPr>
          <w:rFonts w:ascii="Times New Roman" w:hAnsi="Times New Roman" w:cs="Times New Roman"/>
        </w:rPr>
        <w:lastRenderedPageBreak/>
        <w:t xml:space="preserve">across similar products, market conditions, and demographic segments, suggesting that non-rational, </w:t>
      </w:r>
      <w:proofErr w:type="spellStart"/>
      <w:r w:rsidRPr="003A6956">
        <w:rPr>
          <w:rFonts w:ascii="Times New Roman" w:hAnsi="Times New Roman" w:cs="Times New Roman"/>
        </w:rPr>
        <w:t>behavioral</w:t>
      </w:r>
      <w:proofErr w:type="spellEnd"/>
      <w:r w:rsidRPr="003A6956">
        <w:rPr>
          <w:rFonts w:ascii="Times New Roman" w:hAnsi="Times New Roman" w:cs="Times New Roman"/>
        </w:rPr>
        <w:t xml:space="preserve"> factors exert significant influence on persistency decisions (Kiesenbauer, 2012). Moreover, the persistence of high lapse rates even when surrender penalties are objectively large challenges the mechanistic logic of rational exit barriers (Eling &amp; Kochanski, 2013).</w:t>
      </w:r>
    </w:p>
    <w:p w14:paraId="641ABED4" w14:textId="28854BD9" w:rsidR="003A6956" w:rsidRPr="003A6956" w:rsidRDefault="003A6956" w:rsidP="002D3617">
      <w:pPr>
        <w:pStyle w:val="ListParagraph"/>
        <w:numPr>
          <w:ilvl w:val="0"/>
          <w:numId w:val="1"/>
        </w:numPr>
        <w:jc w:val="both"/>
        <w:rPr>
          <w:rFonts w:ascii="Times New Roman" w:hAnsi="Times New Roman" w:cs="Times New Roman"/>
          <w:b/>
          <w:bCs/>
        </w:rPr>
      </w:pPr>
      <w:proofErr w:type="spellStart"/>
      <w:r w:rsidRPr="003A6956">
        <w:rPr>
          <w:rFonts w:ascii="Times New Roman" w:hAnsi="Times New Roman" w:cs="Times New Roman"/>
          <w:b/>
          <w:bCs/>
        </w:rPr>
        <w:t>Behavioral</w:t>
      </w:r>
      <w:proofErr w:type="spellEnd"/>
      <w:r w:rsidRPr="003A6956">
        <w:rPr>
          <w:rFonts w:ascii="Times New Roman" w:hAnsi="Times New Roman" w:cs="Times New Roman"/>
          <w:b/>
          <w:bCs/>
        </w:rPr>
        <w:t xml:space="preserve"> Finance Perspectives on Persistency</w:t>
      </w:r>
    </w:p>
    <w:p w14:paraId="7117BFE7"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To address the limitations of rational-choice models, scholars have increasingly turned to insights from </w:t>
      </w:r>
      <w:proofErr w:type="spellStart"/>
      <w:r w:rsidRPr="003A6956">
        <w:rPr>
          <w:rFonts w:ascii="Times New Roman" w:hAnsi="Times New Roman" w:cs="Times New Roman"/>
        </w:rPr>
        <w:t>behavioral</w:t>
      </w:r>
      <w:proofErr w:type="spellEnd"/>
      <w:r w:rsidRPr="003A6956">
        <w:rPr>
          <w:rFonts w:ascii="Times New Roman" w:hAnsi="Times New Roman" w:cs="Times New Roman"/>
        </w:rPr>
        <w:t xml:space="preserve"> finance and psychology to explain persistency dynamics. At the forefront of this theoretical turn is the concept of </w:t>
      </w:r>
      <w:r w:rsidRPr="003A6956">
        <w:rPr>
          <w:rFonts w:ascii="Times New Roman" w:hAnsi="Times New Roman" w:cs="Times New Roman"/>
          <w:b/>
          <w:bCs/>
        </w:rPr>
        <w:t>loss aversion</w:t>
      </w:r>
      <w:r w:rsidRPr="003A6956">
        <w:rPr>
          <w:rFonts w:ascii="Times New Roman" w:hAnsi="Times New Roman" w:cs="Times New Roman"/>
        </w:rPr>
        <w:t> and the </w:t>
      </w:r>
      <w:r w:rsidRPr="003A6956">
        <w:rPr>
          <w:rFonts w:ascii="Times New Roman" w:hAnsi="Times New Roman" w:cs="Times New Roman"/>
          <w:b/>
          <w:bCs/>
        </w:rPr>
        <w:t>sunk cost fallacy</w:t>
      </w:r>
      <w:r w:rsidRPr="003A6956">
        <w:rPr>
          <w:rFonts w:ascii="Times New Roman" w:hAnsi="Times New Roman" w:cs="Times New Roman"/>
        </w:rPr>
        <w:t>, foundational concepts advanced by Kahneman and Tversky (1979) within the framework of Prospect Theory. Loss aversion posits that individuals experience losses more intensely than equivalent gains, leading to decision-making that is asymmetric with respect to gains and losses. The sunk cost fallacy extends this logic by demonstrating that individuals irrationally escalate their commitment to a failing course of action when they have already incurred significant unrecoverable costs, because the psychological pain of "writing off" those costs outweighs the rational assessment of future benefits (Thaler, 1980; Arkes &amp; Blumer, 1985).</w:t>
      </w:r>
    </w:p>
    <w:p w14:paraId="3729E88B"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In the context of ULIPs, the front-loaded cost structure creates a fertile ground for the activation of the sunk cost fallacy. Once a policyholder has incurred substantial initial allocation charges and administration fees, the very act of surrendering the policy forces a tangible recognition of those losses. As argued by Feldman (2013), policyholders may persist with a poorly performing ULIP not because the future outlook is </w:t>
      </w:r>
      <w:proofErr w:type="spellStart"/>
      <w:r w:rsidRPr="003A6956">
        <w:rPr>
          <w:rFonts w:ascii="Times New Roman" w:hAnsi="Times New Roman" w:cs="Times New Roman"/>
        </w:rPr>
        <w:t>favorable</w:t>
      </w:r>
      <w:proofErr w:type="spellEnd"/>
      <w:r w:rsidRPr="003A6956">
        <w:rPr>
          <w:rFonts w:ascii="Times New Roman" w:hAnsi="Times New Roman" w:cs="Times New Roman"/>
        </w:rPr>
        <w:t xml:space="preserve">, but because the psychological disutility of realizing the sunk costs exceeds the rational calculus of switching to a superior investment alternative. This </w:t>
      </w:r>
      <w:proofErr w:type="spellStart"/>
      <w:r w:rsidRPr="003A6956">
        <w:rPr>
          <w:rFonts w:ascii="Times New Roman" w:hAnsi="Times New Roman" w:cs="Times New Roman"/>
        </w:rPr>
        <w:t>behavioral</w:t>
      </w:r>
      <w:proofErr w:type="spellEnd"/>
      <w:r w:rsidRPr="003A6956">
        <w:rPr>
          <w:rFonts w:ascii="Times New Roman" w:hAnsi="Times New Roman" w:cs="Times New Roman"/>
        </w:rPr>
        <w:t xml:space="preserve"> lock-in effect suggests that cost structures, paradoxically, can foster persistency through non-rational psychological mechanisms, even when financial conditions would dictate otherwise.</w:t>
      </w:r>
    </w:p>
    <w:p w14:paraId="5DCAFE6D"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Complementing the sunk cost fallacy, the concept of </w:t>
      </w:r>
      <w:r w:rsidRPr="003A6956">
        <w:rPr>
          <w:rFonts w:ascii="Times New Roman" w:hAnsi="Times New Roman" w:cs="Times New Roman"/>
          <w:b/>
          <w:bCs/>
        </w:rPr>
        <w:t>perceived switching costs</w:t>
      </w:r>
      <w:r w:rsidRPr="003A6956">
        <w:rPr>
          <w:rFonts w:ascii="Times New Roman" w:hAnsi="Times New Roman" w:cs="Times New Roman"/>
        </w:rPr>
        <w:t xml:space="preserve"> has been extensively studied in the marketing and consumer </w:t>
      </w:r>
      <w:proofErr w:type="spellStart"/>
      <w:r w:rsidRPr="003A6956">
        <w:rPr>
          <w:rFonts w:ascii="Times New Roman" w:hAnsi="Times New Roman" w:cs="Times New Roman"/>
        </w:rPr>
        <w:t>behavior</w:t>
      </w:r>
      <w:proofErr w:type="spellEnd"/>
      <w:r w:rsidRPr="003A6956">
        <w:rPr>
          <w:rFonts w:ascii="Times New Roman" w:hAnsi="Times New Roman" w:cs="Times New Roman"/>
        </w:rPr>
        <w:t xml:space="preserve"> literatures (Burnham, Frels, &amp; Mahajan, 2003; Jones, Mothersbaugh, &amp; Beatty, 2000). Switching costs encompass the financial, psychological, and relational costs that a consumer perceives in terminating a relationship and establishing a new one. In insurance contexts, perceived switching costs include not only the explicit surrender penalties but also the emotional discomfort of terminating a long-term relationship, the cognitive effort required to evaluate alternative products, and the uncertainty associated with a new provider (Colgate &amp; Lang, 2001). While switching costs are often conceptualized as direct antecedents of customer retention, their formation and impact are inextricably linked to the objective cost structure of the product. We posit that the front-loaded costs of ULIPs contribute significantly to the perception of high switching costs, thereby mediating the relationship between the objective cost structure and actual persistency </w:t>
      </w:r>
      <w:proofErr w:type="spellStart"/>
      <w:r w:rsidRPr="003A6956">
        <w:rPr>
          <w:rFonts w:ascii="Times New Roman" w:hAnsi="Times New Roman" w:cs="Times New Roman"/>
        </w:rPr>
        <w:t>behavior</w:t>
      </w:r>
      <w:proofErr w:type="spellEnd"/>
      <w:r w:rsidRPr="003A6956">
        <w:rPr>
          <w:rFonts w:ascii="Times New Roman" w:hAnsi="Times New Roman" w:cs="Times New Roman"/>
        </w:rPr>
        <w:t>.</w:t>
      </w:r>
    </w:p>
    <w:p w14:paraId="4F8F84F2" w14:textId="58C569A6" w:rsidR="003A6956" w:rsidRPr="003A6956" w:rsidRDefault="003A6956" w:rsidP="002D3617">
      <w:pPr>
        <w:pStyle w:val="ListParagraph"/>
        <w:numPr>
          <w:ilvl w:val="0"/>
          <w:numId w:val="1"/>
        </w:numPr>
        <w:jc w:val="both"/>
        <w:rPr>
          <w:rFonts w:ascii="Times New Roman" w:hAnsi="Times New Roman" w:cs="Times New Roman"/>
          <w:b/>
          <w:bCs/>
        </w:rPr>
      </w:pPr>
      <w:proofErr w:type="spellStart"/>
      <w:r w:rsidRPr="003A6956">
        <w:rPr>
          <w:rFonts w:ascii="Times New Roman" w:hAnsi="Times New Roman" w:cs="Times New Roman"/>
          <w:b/>
          <w:bCs/>
        </w:rPr>
        <w:t>InsurTech</w:t>
      </w:r>
      <w:proofErr w:type="spellEnd"/>
      <w:r w:rsidRPr="003A6956">
        <w:rPr>
          <w:rFonts w:ascii="Times New Roman" w:hAnsi="Times New Roman" w:cs="Times New Roman"/>
          <w:b/>
          <w:bCs/>
        </w:rPr>
        <w:t xml:space="preserve"> Adoption: Reconfiguring the Insurance Landscape</w:t>
      </w:r>
    </w:p>
    <w:p w14:paraId="4FEC2097" w14:textId="615897C8" w:rsidR="003A6956" w:rsidRPr="003A6956" w:rsidRDefault="003A6956" w:rsidP="002D3617">
      <w:pPr>
        <w:jc w:val="both"/>
        <w:rPr>
          <w:rFonts w:ascii="Times New Roman" w:hAnsi="Times New Roman" w:cs="Times New Roman"/>
        </w:rPr>
      </w:pPr>
      <w:r w:rsidRPr="003A6956">
        <w:rPr>
          <w:rFonts w:ascii="Times New Roman" w:hAnsi="Times New Roman" w:cs="Times New Roman"/>
        </w:rPr>
        <w:lastRenderedPageBreak/>
        <w:t>The digital transformation of financial services, broadly characterized under the rubric of FinTech, has now penetrated the insurance sector with full force, giving rise to the distinct phenomenon of </w:t>
      </w:r>
      <w:proofErr w:type="spellStart"/>
      <w:r w:rsidRPr="003A6956">
        <w:rPr>
          <w:rFonts w:ascii="Times New Roman" w:hAnsi="Times New Roman" w:cs="Times New Roman"/>
          <w:b/>
          <w:bCs/>
        </w:rPr>
        <w:t>InsurTech</w:t>
      </w:r>
      <w:proofErr w:type="spellEnd"/>
      <w:r w:rsidRPr="003A6956">
        <w:rPr>
          <w:rFonts w:ascii="Times New Roman" w:hAnsi="Times New Roman" w:cs="Times New Roman"/>
        </w:rPr>
        <w:t> (</w:t>
      </w:r>
      <w:proofErr w:type="spellStart"/>
      <w:r w:rsidRPr="003A6956">
        <w:rPr>
          <w:rFonts w:ascii="Times New Roman" w:hAnsi="Times New Roman" w:cs="Times New Roman"/>
        </w:rPr>
        <w:t>Stoeckli</w:t>
      </w:r>
      <w:proofErr w:type="spellEnd"/>
      <w:r w:rsidRPr="003A6956">
        <w:rPr>
          <w:rFonts w:ascii="Times New Roman" w:hAnsi="Times New Roman" w:cs="Times New Roman"/>
        </w:rPr>
        <w:t xml:space="preserve"> et al., 2018; Eling &amp; Lehmann, 2018).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encompasses a wide array of technological innovations—including artificial intelligence (AI), big data analytics, blockchain, </w:t>
      </w:r>
      <w:proofErr w:type="spellStart"/>
      <w:r w:rsidRPr="003A6956">
        <w:rPr>
          <w:rFonts w:ascii="Times New Roman" w:hAnsi="Times New Roman" w:cs="Times New Roman"/>
        </w:rPr>
        <w:t>robo</w:t>
      </w:r>
      <w:proofErr w:type="spellEnd"/>
      <w:r w:rsidRPr="003A6956">
        <w:rPr>
          <w:rFonts w:ascii="Times New Roman" w:hAnsi="Times New Roman" w:cs="Times New Roman"/>
        </w:rPr>
        <w:t xml:space="preserve">-advisory platforms, mobile applications, and the Internet of Things (IoT)—that are fundamentally reshaping how insurance products are designed, priced, distributed, and serviced (Nicoletti, 2020). While much of the early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literature focused on underwriting efficiency, fraud detection, and claims processing, a growing body of scholarship has begun to examine the impact of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on customer </w:t>
      </w:r>
      <w:r w:rsidR="002C2072" w:rsidRPr="003A6956">
        <w:rPr>
          <w:rFonts w:ascii="Times New Roman" w:hAnsi="Times New Roman" w:cs="Times New Roman"/>
        </w:rPr>
        <w:t>behaviour</w:t>
      </w:r>
      <w:r w:rsidRPr="003A6956">
        <w:rPr>
          <w:rFonts w:ascii="Times New Roman" w:hAnsi="Times New Roman" w:cs="Times New Roman"/>
        </w:rPr>
        <w:t xml:space="preserve"> and engagement (Eling &amp; Lehmann, 2018).</w:t>
      </w:r>
    </w:p>
    <w:p w14:paraId="30AB112E" w14:textId="2872DF4C" w:rsidR="003A6956" w:rsidRPr="003A6956" w:rsidRDefault="003A6956" w:rsidP="002D3617">
      <w:pPr>
        <w:pStyle w:val="ListParagraph"/>
        <w:numPr>
          <w:ilvl w:val="0"/>
          <w:numId w:val="1"/>
        </w:numPr>
        <w:jc w:val="both"/>
        <w:rPr>
          <w:rFonts w:ascii="Times New Roman" w:hAnsi="Times New Roman" w:cs="Times New Roman"/>
          <w:b/>
          <w:bCs/>
        </w:rPr>
      </w:pPr>
      <w:r w:rsidRPr="003A6956">
        <w:rPr>
          <w:rFonts w:ascii="Times New Roman" w:hAnsi="Times New Roman" w:cs="Times New Roman"/>
          <w:b/>
          <w:bCs/>
        </w:rPr>
        <w:t>The Technology Acceptance Model (TAM) and Investor Engagement</w:t>
      </w:r>
    </w:p>
    <w:p w14:paraId="2DBEE0C3" w14:textId="56D42B6A"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To theorize the mechanisms through which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adoption influences investor </w:t>
      </w:r>
      <w:r w:rsidR="002C2072" w:rsidRPr="003A6956">
        <w:rPr>
          <w:rFonts w:ascii="Times New Roman" w:hAnsi="Times New Roman" w:cs="Times New Roman"/>
        </w:rPr>
        <w:t>behaviour</w:t>
      </w:r>
      <w:r w:rsidRPr="003A6956">
        <w:rPr>
          <w:rFonts w:ascii="Times New Roman" w:hAnsi="Times New Roman" w:cs="Times New Roman"/>
        </w:rPr>
        <w:t>, we draw upon the </w:t>
      </w:r>
      <w:r w:rsidRPr="003A6956">
        <w:rPr>
          <w:rFonts w:ascii="Times New Roman" w:hAnsi="Times New Roman" w:cs="Times New Roman"/>
          <w:b/>
          <w:bCs/>
        </w:rPr>
        <w:t>Technology Acceptance Model (TAM)</w:t>
      </w:r>
      <w:r w:rsidRPr="003A6956">
        <w:rPr>
          <w:rFonts w:ascii="Times New Roman" w:hAnsi="Times New Roman" w:cs="Times New Roman"/>
        </w:rPr>
        <w:t xml:space="preserve">, originally developed by Davis (1989) and extensively validated across diverse technology adoption contexts. TAM posits that an individual's </w:t>
      </w:r>
      <w:r w:rsidR="002C2072" w:rsidRPr="003A6956">
        <w:rPr>
          <w:rFonts w:ascii="Times New Roman" w:hAnsi="Times New Roman" w:cs="Times New Roman"/>
        </w:rPr>
        <w:t>behavioural</w:t>
      </w:r>
      <w:r w:rsidRPr="003A6956">
        <w:rPr>
          <w:rFonts w:ascii="Times New Roman" w:hAnsi="Times New Roman" w:cs="Times New Roman"/>
        </w:rPr>
        <w:t xml:space="preserve"> intention to use a technology is determined by two primary cognitive beliefs: </w:t>
      </w:r>
      <w:r w:rsidRPr="003A6956">
        <w:rPr>
          <w:rFonts w:ascii="Times New Roman" w:hAnsi="Times New Roman" w:cs="Times New Roman"/>
          <w:b/>
          <w:bCs/>
        </w:rPr>
        <w:t>perceived usefulness</w:t>
      </w:r>
      <w:r w:rsidRPr="003A6956">
        <w:rPr>
          <w:rFonts w:ascii="Times New Roman" w:hAnsi="Times New Roman" w:cs="Times New Roman"/>
        </w:rPr>
        <w:t> (the extent to which the technology enhances performance) and </w:t>
      </w:r>
      <w:r w:rsidRPr="003A6956">
        <w:rPr>
          <w:rFonts w:ascii="Times New Roman" w:hAnsi="Times New Roman" w:cs="Times New Roman"/>
          <w:b/>
          <w:bCs/>
        </w:rPr>
        <w:t>perceived ease of use</w:t>
      </w:r>
      <w:r w:rsidRPr="003A6956">
        <w:rPr>
          <w:rFonts w:ascii="Times New Roman" w:hAnsi="Times New Roman" w:cs="Times New Roman"/>
        </w:rPr>
        <w:t xml:space="preserve"> (the extent to which the technology is effortless to adopt). In the insurance context, the adoption of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platforms—such as mobile policy dashboards, real-time performance tracking applications, and </w:t>
      </w:r>
      <w:proofErr w:type="spellStart"/>
      <w:r w:rsidRPr="003A6956">
        <w:rPr>
          <w:rFonts w:ascii="Times New Roman" w:hAnsi="Times New Roman" w:cs="Times New Roman"/>
        </w:rPr>
        <w:t>robo</w:t>
      </w:r>
      <w:proofErr w:type="spellEnd"/>
      <w:r w:rsidRPr="003A6956">
        <w:rPr>
          <w:rFonts w:ascii="Times New Roman" w:hAnsi="Times New Roman" w:cs="Times New Roman"/>
        </w:rPr>
        <w:t>-advisory tools—shapes investors' perceptions of the policy's usefulness and their ability to engage meaningfully with their investments (Wang, 2020).</w:t>
      </w:r>
    </w:p>
    <w:p w14:paraId="0EC16485" w14:textId="5F0FB3C4"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Crucially,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platforms possess the potential to reduce </w:t>
      </w:r>
      <w:r w:rsidRPr="003A6956">
        <w:rPr>
          <w:rFonts w:ascii="Times New Roman" w:hAnsi="Times New Roman" w:cs="Times New Roman"/>
          <w:b/>
          <w:bCs/>
        </w:rPr>
        <w:t>information asymmetry</w:t>
      </w:r>
      <w:r w:rsidRPr="003A6956">
        <w:rPr>
          <w:rFonts w:ascii="Times New Roman" w:hAnsi="Times New Roman" w:cs="Times New Roman"/>
        </w:rPr>
        <w:t>—a persistent challenge in insurance relationships, wherein the insurer possesses significantly more information about product terms, fees, and performance than the policyholder (</w:t>
      </w:r>
      <w:proofErr w:type="spellStart"/>
      <w:r w:rsidRPr="003A6956">
        <w:rPr>
          <w:rFonts w:ascii="Times New Roman" w:hAnsi="Times New Roman" w:cs="Times New Roman"/>
        </w:rPr>
        <w:t>Stoeckli</w:t>
      </w:r>
      <w:proofErr w:type="spellEnd"/>
      <w:r w:rsidRPr="003A6956">
        <w:rPr>
          <w:rFonts w:ascii="Times New Roman" w:hAnsi="Times New Roman" w:cs="Times New Roman"/>
        </w:rPr>
        <w:t xml:space="preserve"> et al., 2018). By providing transparent, user-friendly visualizations of cost breakdowns, projected returns, and surrender penalties,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can demystify the complex ULIP fee structure, enabling investors to make more informed and rational decisions. Furthermore, advanced platforms leverage </w:t>
      </w:r>
      <w:r w:rsidR="002C2072" w:rsidRPr="003A6956">
        <w:rPr>
          <w:rFonts w:ascii="Times New Roman" w:hAnsi="Times New Roman" w:cs="Times New Roman"/>
        </w:rPr>
        <w:t>behavioural</w:t>
      </w:r>
      <w:r w:rsidRPr="003A6956">
        <w:rPr>
          <w:rFonts w:ascii="Times New Roman" w:hAnsi="Times New Roman" w:cs="Times New Roman"/>
        </w:rPr>
        <w:t xml:space="preserve"> nudges—such as personalized reminders, goal-tracking features, and educational content—that can reframe the investor's temporal orientation from short-term cost-salience to long-term value creation (Nicoletti, 2020).</w:t>
      </w:r>
    </w:p>
    <w:p w14:paraId="2C3A0754" w14:textId="4835CA27" w:rsidR="003A6956" w:rsidRPr="003A6956" w:rsidRDefault="003A6956" w:rsidP="002D3617">
      <w:pPr>
        <w:pStyle w:val="ListParagraph"/>
        <w:numPr>
          <w:ilvl w:val="0"/>
          <w:numId w:val="1"/>
        </w:numPr>
        <w:jc w:val="both"/>
        <w:rPr>
          <w:rFonts w:ascii="Times New Roman" w:hAnsi="Times New Roman" w:cs="Times New Roman"/>
          <w:b/>
          <w:bCs/>
        </w:rPr>
      </w:pPr>
      <w:proofErr w:type="spellStart"/>
      <w:r w:rsidRPr="003A6956">
        <w:rPr>
          <w:rFonts w:ascii="Times New Roman" w:hAnsi="Times New Roman" w:cs="Times New Roman"/>
          <w:b/>
          <w:bCs/>
        </w:rPr>
        <w:t>InsurTech</w:t>
      </w:r>
      <w:proofErr w:type="spellEnd"/>
      <w:r w:rsidRPr="003A6956">
        <w:rPr>
          <w:rFonts w:ascii="Times New Roman" w:hAnsi="Times New Roman" w:cs="Times New Roman"/>
          <w:b/>
          <w:bCs/>
        </w:rPr>
        <w:t xml:space="preserve"> as a Moderator of </w:t>
      </w:r>
      <w:proofErr w:type="spellStart"/>
      <w:r w:rsidRPr="003A6956">
        <w:rPr>
          <w:rFonts w:ascii="Times New Roman" w:hAnsi="Times New Roman" w:cs="Times New Roman"/>
          <w:b/>
          <w:bCs/>
        </w:rPr>
        <w:t>Behavioral</w:t>
      </w:r>
      <w:proofErr w:type="spellEnd"/>
      <w:r w:rsidRPr="003A6956">
        <w:rPr>
          <w:rFonts w:ascii="Times New Roman" w:hAnsi="Times New Roman" w:cs="Times New Roman"/>
          <w:b/>
          <w:bCs/>
        </w:rPr>
        <w:t xml:space="preserve"> Biases</w:t>
      </w:r>
    </w:p>
    <w:p w14:paraId="4937E028" w14:textId="6F063C8E"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The most compelling theoretical insight from the intersection of </w:t>
      </w:r>
      <w:r w:rsidR="002C2072" w:rsidRPr="003A6956">
        <w:rPr>
          <w:rFonts w:ascii="Times New Roman" w:hAnsi="Times New Roman" w:cs="Times New Roman"/>
        </w:rPr>
        <w:t>behavioural</w:t>
      </w:r>
      <w:r w:rsidRPr="003A6956">
        <w:rPr>
          <w:rFonts w:ascii="Times New Roman" w:hAnsi="Times New Roman" w:cs="Times New Roman"/>
        </w:rPr>
        <w:t xml:space="preserve"> economics and information systems is that technology can both exploit and mitigate cognitive biases (Ariely, 2008). In the context of ULIP persistency, we propose that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adoption serves as a critical </w:t>
      </w:r>
      <w:r w:rsidRPr="003A6956">
        <w:rPr>
          <w:rFonts w:ascii="Times New Roman" w:hAnsi="Times New Roman" w:cs="Times New Roman"/>
          <w:b/>
          <w:bCs/>
        </w:rPr>
        <w:t>moderator</w:t>
      </w:r>
      <w:r w:rsidRPr="003A6956">
        <w:rPr>
          <w:rFonts w:ascii="Times New Roman" w:hAnsi="Times New Roman" w:cs="Times New Roman"/>
        </w:rPr>
        <w:t> that shapes the strength and nature of the psychological mechanisms linking cost structures to persistency.</w:t>
      </w:r>
    </w:p>
    <w:p w14:paraId="7F9F32AC" w14:textId="4F642351" w:rsidR="003A6956" w:rsidRPr="003A6956" w:rsidRDefault="003A6956" w:rsidP="002D3617">
      <w:pPr>
        <w:jc w:val="both"/>
        <w:rPr>
          <w:rFonts w:ascii="Times New Roman" w:hAnsi="Times New Roman" w:cs="Times New Roman"/>
        </w:rPr>
      </w:pPr>
      <w:r w:rsidRPr="003A6956">
        <w:rPr>
          <w:rFonts w:ascii="Times New Roman" w:hAnsi="Times New Roman" w:cs="Times New Roman"/>
        </w:rPr>
        <w:t>In settings characterized by </w:t>
      </w:r>
      <w:r w:rsidRPr="003A6956">
        <w:rPr>
          <w:rFonts w:ascii="Times New Roman" w:hAnsi="Times New Roman" w:cs="Times New Roman"/>
          <w:b/>
          <w:bCs/>
        </w:rPr>
        <w:t xml:space="preserve">low </w:t>
      </w:r>
      <w:proofErr w:type="spellStart"/>
      <w:r w:rsidRPr="003A6956">
        <w:rPr>
          <w:rFonts w:ascii="Times New Roman" w:hAnsi="Times New Roman" w:cs="Times New Roman"/>
          <w:b/>
          <w:bCs/>
        </w:rPr>
        <w:t>InsurTech</w:t>
      </w:r>
      <w:proofErr w:type="spellEnd"/>
      <w:r w:rsidRPr="003A6956">
        <w:rPr>
          <w:rFonts w:ascii="Times New Roman" w:hAnsi="Times New Roman" w:cs="Times New Roman"/>
          <w:b/>
          <w:bCs/>
        </w:rPr>
        <w:t xml:space="preserve"> adoption</w:t>
      </w:r>
      <w:r w:rsidRPr="003A6956">
        <w:rPr>
          <w:rFonts w:ascii="Times New Roman" w:hAnsi="Times New Roman" w:cs="Times New Roman"/>
        </w:rPr>
        <w:t xml:space="preserve">, investors operate in an environment of informational opacity. They receive periodic, often complex, annual statements; have limited real-time visibility into fund performance; and lack interactive tools to simulate the consequences of surrender versus retention. Under these conditions, the psychological salience </w:t>
      </w:r>
      <w:r w:rsidRPr="003A6956">
        <w:rPr>
          <w:rFonts w:ascii="Times New Roman" w:hAnsi="Times New Roman" w:cs="Times New Roman"/>
        </w:rPr>
        <w:lastRenderedPageBreak/>
        <w:t xml:space="preserve">of sunk costs remains dominant. Investors recall the significant initial charges they have already borne, experience anxiety about the complexity of the product, and may be more susceptible to negative framing of their investment performance. Paradoxically, this environment can lead to two distinct outcomes: some investors may persist due to the sunk cost fallacy, while others—particularly those experiencing high cognitive dissonance—may lapse prematurely as a </w:t>
      </w:r>
      <w:r w:rsidR="002C2072" w:rsidRPr="003A6956">
        <w:rPr>
          <w:rFonts w:ascii="Times New Roman" w:hAnsi="Times New Roman" w:cs="Times New Roman"/>
        </w:rPr>
        <w:t>behavioural</w:t>
      </w:r>
      <w:r w:rsidRPr="003A6956">
        <w:rPr>
          <w:rFonts w:ascii="Times New Roman" w:hAnsi="Times New Roman" w:cs="Times New Roman"/>
        </w:rPr>
        <w:t xml:space="preserve"> avoidance mechanism to escape the ongoing discomfort of a poorly understood product.</w:t>
      </w:r>
    </w:p>
    <w:p w14:paraId="1967F004" w14:textId="4AA1DCCF" w:rsidR="003A6956" w:rsidRPr="003A6956" w:rsidRDefault="003A6956" w:rsidP="002D3617">
      <w:pPr>
        <w:jc w:val="both"/>
        <w:rPr>
          <w:rFonts w:ascii="Times New Roman" w:hAnsi="Times New Roman" w:cs="Times New Roman"/>
        </w:rPr>
      </w:pPr>
      <w:r w:rsidRPr="003A6956">
        <w:rPr>
          <w:rFonts w:ascii="Times New Roman" w:hAnsi="Times New Roman" w:cs="Times New Roman"/>
        </w:rPr>
        <w:t>Conversely, in environments characterized by </w:t>
      </w:r>
      <w:r w:rsidRPr="003A6956">
        <w:rPr>
          <w:rFonts w:ascii="Times New Roman" w:hAnsi="Times New Roman" w:cs="Times New Roman"/>
          <w:b/>
          <w:bCs/>
        </w:rPr>
        <w:t xml:space="preserve">high </w:t>
      </w:r>
      <w:proofErr w:type="spellStart"/>
      <w:r w:rsidRPr="003A6956">
        <w:rPr>
          <w:rFonts w:ascii="Times New Roman" w:hAnsi="Times New Roman" w:cs="Times New Roman"/>
          <w:b/>
          <w:bCs/>
        </w:rPr>
        <w:t>InsurTech</w:t>
      </w:r>
      <w:proofErr w:type="spellEnd"/>
      <w:r w:rsidRPr="003A6956">
        <w:rPr>
          <w:rFonts w:ascii="Times New Roman" w:hAnsi="Times New Roman" w:cs="Times New Roman"/>
          <w:b/>
          <w:bCs/>
        </w:rPr>
        <w:t xml:space="preserve"> adoption</w:t>
      </w:r>
      <w:r w:rsidRPr="003A6956">
        <w:rPr>
          <w:rFonts w:ascii="Times New Roman" w:hAnsi="Times New Roman" w:cs="Times New Roman"/>
        </w:rPr>
        <w:t xml:space="preserve">, the investor experience is fundamentally transformed. Robo-advisory platforms provide personalized, data-driven insights that project long-term policy values, highlight the diminishing impact of initial charges over an extended holding period, and compare policy performance against relevant benchmarks (Wang, 2020). Gamified dashboards and </w:t>
      </w:r>
      <w:r w:rsidR="002C2072" w:rsidRPr="003A6956">
        <w:rPr>
          <w:rFonts w:ascii="Times New Roman" w:hAnsi="Times New Roman" w:cs="Times New Roman"/>
        </w:rPr>
        <w:t>behavioural</w:t>
      </w:r>
      <w:r w:rsidRPr="003A6956">
        <w:rPr>
          <w:rFonts w:ascii="Times New Roman" w:hAnsi="Times New Roman" w:cs="Times New Roman"/>
        </w:rPr>
        <w:t xml:space="preserve"> nudges encourage regular engagement, reinforce positive saving habits, and reduce the emotional salience of the initial costs by framing them as a necessary investment for a superior long-term outcome. Crucially, by enhancing transparency and investor education,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can attenuate the irrational pull of the sunk cost fallacy and recalibrate the investor's decision calculus from a </w:t>
      </w:r>
      <w:r w:rsidRPr="003A6956">
        <w:rPr>
          <w:rFonts w:ascii="Times New Roman" w:hAnsi="Times New Roman" w:cs="Times New Roman"/>
          <w:b/>
          <w:bCs/>
        </w:rPr>
        <w:t>cost-centric</w:t>
      </w:r>
      <w:r w:rsidRPr="003A6956">
        <w:rPr>
          <w:rFonts w:ascii="Times New Roman" w:hAnsi="Times New Roman" w:cs="Times New Roman"/>
        </w:rPr>
        <w:t> perspective (where the focus is on what has been lost) to a </w:t>
      </w:r>
      <w:r w:rsidRPr="003A6956">
        <w:rPr>
          <w:rFonts w:ascii="Times New Roman" w:hAnsi="Times New Roman" w:cs="Times New Roman"/>
          <w:b/>
          <w:bCs/>
        </w:rPr>
        <w:t>value-centric</w:t>
      </w:r>
      <w:r w:rsidRPr="003A6956">
        <w:rPr>
          <w:rFonts w:ascii="Times New Roman" w:hAnsi="Times New Roman" w:cs="Times New Roman"/>
        </w:rPr>
        <w:t> perspective (where the focus is on what can be gained). This does not necessarily eliminate persistency; rather, it transforms its basis from a negative, cost-induced lock-in to a positive, value-induced loyalty.</w:t>
      </w:r>
    </w:p>
    <w:p w14:paraId="436F82EC" w14:textId="5299138E" w:rsidR="003A6956" w:rsidRPr="003A6956" w:rsidRDefault="003A6956" w:rsidP="003A6956">
      <w:pPr>
        <w:pStyle w:val="ListParagraph"/>
        <w:numPr>
          <w:ilvl w:val="0"/>
          <w:numId w:val="1"/>
        </w:numPr>
        <w:rPr>
          <w:rFonts w:ascii="Times New Roman" w:hAnsi="Times New Roman" w:cs="Times New Roman"/>
          <w:b/>
          <w:bCs/>
        </w:rPr>
      </w:pPr>
      <w:r w:rsidRPr="003A6956">
        <w:rPr>
          <w:rFonts w:ascii="Times New Roman" w:hAnsi="Times New Roman" w:cs="Times New Roman"/>
          <w:b/>
          <w:bCs/>
        </w:rPr>
        <w:t>Synthesis and Identification of Research Gaps</w:t>
      </w:r>
    </w:p>
    <w:p w14:paraId="27FE7DCA" w14:textId="77777777" w:rsidR="003A6956" w:rsidRPr="003A6956" w:rsidRDefault="003A6956" w:rsidP="002D3617">
      <w:pPr>
        <w:jc w:val="both"/>
        <w:rPr>
          <w:rFonts w:ascii="Times New Roman" w:hAnsi="Times New Roman" w:cs="Times New Roman"/>
        </w:rPr>
      </w:pPr>
      <w:r w:rsidRPr="003A6956">
        <w:rPr>
          <w:rFonts w:ascii="Times New Roman" w:hAnsi="Times New Roman" w:cs="Times New Roman"/>
        </w:rPr>
        <w:t xml:space="preserve">The preceding review reveals that while significant strides have been made in understanding ULIP cost structures, investor persistency, and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adoption independently, the </w:t>
      </w:r>
      <w:r w:rsidRPr="003A6956">
        <w:rPr>
          <w:rFonts w:ascii="Times New Roman" w:hAnsi="Times New Roman" w:cs="Times New Roman"/>
          <w:i/>
          <w:iCs/>
        </w:rPr>
        <w:t>intersection</w:t>
      </w:r>
      <w:r w:rsidRPr="003A6956">
        <w:rPr>
          <w:rFonts w:ascii="Times New Roman" w:hAnsi="Times New Roman" w:cs="Times New Roman"/>
        </w:rPr>
        <w:t> of these three domains remains theoretically and empirically underdeveloped. We identify three critical gaps that our conceptual paper seeks to address.</w:t>
      </w:r>
    </w:p>
    <w:p w14:paraId="692C70FE" w14:textId="6FCF3179" w:rsidR="003A6956" w:rsidRPr="003A6956" w:rsidRDefault="003A6956" w:rsidP="002D3617">
      <w:pPr>
        <w:jc w:val="both"/>
        <w:rPr>
          <w:rFonts w:ascii="Times New Roman" w:hAnsi="Times New Roman" w:cs="Times New Roman"/>
        </w:rPr>
      </w:pPr>
      <w:r w:rsidRPr="003A6956">
        <w:rPr>
          <w:rFonts w:ascii="Times New Roman" w:hAnsi="Times New Roman" w:cs="Times New Roman"/>
          <w:b/>
          <w:bCs/>
        </w:rPr>
        <w:t>First</w:t>
      </w:r>
      <w:r w:rsidRPr="003A6956">
        <w:rPr>
          <w:rFonts w:ascii="Times New Roman" w:hAnsi="Times New Roman" w:cs="Times New Roman"/>
        </w:rPr>
        <w:t xml:space="preserve">, the existing literature on ULIP persistency has predominantly focused on either the rational, economic determinants of lapses or, separately, the </w:t>
      </w:r>
      <w:r w:rsidR="002C2072" w:rsidRPr="003A6956">
        <w:rPr>
          <w:rFonts w:ascii="Times New Roman" w:hAnsi="Times New Roman" w:cs="Times New Roman"/>
        </w:rPr>
        <w:t>behavioural</w:t>
      </w:r>
      <w:r w:rsidRPr="003A6956">
        <w:rPr>
          <w:rFonts w:ascii="Times New Roman" w:hAnsi="Times New Roman" w:cs="Times New Roman"/>
        </w:rPr>
        <w:t xml:space="preserve"> biases that influence investor decision-making. However, there is a notable absence of an integrated framework that synthesizes these perspectives to explain how objective cost structures translate into </w:t>
      </w:r>
      <w:r w:rsidR="002C2072" w:rsidRPr="003A6956">
        <w:rPr>
          <w:rFonts w:ascii="Times New Roman" w:hAnsi="Times New Roman" w:cs="Times New Roman"/>
        </w:rPr>
        <w:t>behavioural</w:t>
      </w:r>
      <w:r w:rsidRPr="003A6956">
        <w:rPr>
          <w:rFonts w:ascii="Times New Roman" w:hAnsi="Times New Roman" w:cs="Times New Roman"/>
        </w:rPr>
        <w:t xml:space="preserve"> outcomes through psychological mechanisms such as perceived switching costs. Specifically, the mediating role of the sunk cost fallacy in the costs-persistency relationship has been theoretically posited but not systematically developed.</w:t>
      </w:r>
    </w:p>
    <w:p w14:paraId="68F7AC78" w14:textId="7D26C07B" w:rsidR="003A6956" w:rsidRPr="003A6956" w:rsidRDefault="003A6956" w:rsidP="002D3617">
      <w:pPr>
        <w:jc w:val="both"/>
        <w:rPr>
          <w:rFonts w:ascii="Times New Roman" w:hAnsi="Times New Roman" w:cs="Times New Roman"/>
        </w:rPr>
      </w:pPr>
      <w:r w:rsidRPr="003A6956">
        <w:rPr>
          <w:rFonts w:ascii="Times New Roman" w:hAnsi="Times New Roman" w:cs="Times New Roman"/>
          <w:b/>
          <w:bCs/>
        </w:rPr>
        <w:t>Second</w:t>
      </w:r>
      <w:r w:rsidRPr="003A6956">
        <w:rPr>
          <w:rFonts w:ascii="Times New Roman" w:hAnsi="Times New Roman" w:cs="Times New Roman"/>
        </w:rPr>
        <w:t xml:space="preserve">, the role of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in the persistency equation has been largely neglected. While the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literature has examined its effects on underwriting, distribution, and claims, its potential to moderate the </w:t>
      </w:r>
      <w:r w:rsidR="002C2072" w:rsidRPr="003A6956">
        <w:rPr>
          <w:rFonts w:ascii="Times New Roman" w:hAnsi="Times New Roman" w:cs="Times New Roman"/>
        </w:rPr>
        <w:t>behavioural</w:t>
      </w:r>
      <w:r w:rsidRPr="003A6956">
        <w:rPr>
          <w:rFonts w:ascii="Times New Roman" w:hAnsi="Times New Roman" w:cs="Times New Roman"/>
        </w:rPr>
        <w:t xml:space="preserve"> dynamics of policy retention has received scant attention. How does digital engagement alter the psychological impact of front-loaded costs? Does transparency attenuate or amplify the sunk cost effect? These questions remain theoretically unanswered.</w:t>
      </w:r>
    </w:p>
    <w:p w14:paraId="00A05C87" w14:textId="77777777" w:rsidR="003A6956" w:rsidRDefault="003A6956" w:rsidP="002D3617">
      <w:pPr>
        <w:jc w:val="both"/>
        <w:rPr>
          <w:rFonts w:ascii="Times New Roman" w:hAnsi="Times New Roman" w:cs="Times New Roman"/>
        </w:rPr>
      </w:pPr>
      <w:r w:rsidRPr="003A6956">
        <w:rPr>
          <w:rFonts w:ascii="Times New Roman" w:hAnsi="Times New Roman" w:cs="Times New Roman"/>
          <w:b/>
          <w:bCs/>
        </w:rPr>
        <w:t>Third</w:t>
      </w:r>
      <w:r w:rsidRPr="003A6956">
        <w:rPr>
          <w:rFonts w:ascii="Times New Roman" w:hAnsi="Times New Roman" w:cs="Times New Roman"/>
        </w:rPr>
        <w:t xml:space="preserve">, and most importantly, there is no existing theoretical model that posits a conditional (moderated) relationship between cost structures, perceived switching costs, and persistency, </w:t>
      </w:r>
      <w:r w:rsidRPr="003A6956">
        <w:rPr>
          <w:rFonts w:ascii="Times New Roman" w:hAnsi="Times New Roman" w:cs="Times New Roman"/>
        </w:rPr>
        <w:lastRenderedPageBreak/>
        <w:t xml:space="preserve">wherein </w:t>
      </w:r>
      <w:proofErr w:type="spellStart"/>
      <w:r w:rsidRPr="003A6956">
        <w:rPr>
          <w:rFonts w:ascii="Times New Roman" w:hAnsi="Times New Roman" w:cs="Times New Roman"/>
        </w:rPr>
        <w:t>InsurTech</w:t>
      </w:r>
      <w:proofErr w:type="spellEnd"/>
      <w:r w:rsidRPr="003A6956">
        <w:rPr>
          <w:rFonts w:ascii="Times New Roman" w:hAnsi="Times New Roman" w:cs="Times New Roman"/>
        </w:rPr>
        <w:t xml:space="preserve"> adoption serves as the key boundary condition. We argue that the relationship between ULIP costs and persistency is not universal but contingent upon the technological environment in which the investor is embedded. This proposed moderated-mediation framework represents a novel theoretical contribution that can guide future empirical research and inform strategic decision-making in the insurance industry.</w:t>
      </w:r>
    </w:p>
    <w:p w14:paraId="6C3A76BA" w14:textId="34A9C321" w:rsidR="00287955" w:rsidRPr="003A6956" w:rsidRDefault="00000000" w:rsidP="002D3617">
      <w:pPr>
        <w:jc w:val="both"/>
        <w:rPr>
          <w:rFonts w:ascii="Times New Roman" w:hAnsi="Times New Roman" w:cs="Times New Roman"/>
        </w:rPr>
      </w:pPr>
      <w:r>
        <w:rPr>
          <w:rFonts w:ascii="Times New Roman" w:hAnsi="Times New Roman" w:cs="Times New Roman"/>
        </w:rPr>
        <w:pict w14:anchorId="19E9AD4B">
          <v:rect id="_x0000_i1028" style="width:0;height:.75pt" o:hralign="center" o:hrstd="t" o:hr="t" fillcolor="#a0a0a0" stroked="f"/>
        </w:pict>
      </w:r>
    </w:p>
    <w:p w14:paraId="116F7C79" w14:textId="77777777" w:rsidR="00C71891" w:rsidRPr="00C71891" w:rsidRDefault="00C71891" w:rsidP="00C71891">
      <w:pPr>
        <w:jc w:val="both"/>
        <w:rPr>
          <w:rFonts w:ascii="Times New Roman" w:hAnsi="Times New Roman" w:cs="Times New Roman"/>
          <w:b/>
          <w:bCs/>
        </w:rPr>
      </w:pPr>
      <w:r w:rsidRPr="00C71891">
        <w:rPr>
          <w:rFonts w:ascii="Times New Roman" w:hAnsi="Times New Roman" w:cs="Times New Roman"/>
          <w:b/>
          <w:bCs/>
        </w:rPr>
        <w:t>Conceptual Framework and Propositions</w:t>
      </w:r>
    </w:p>
    <w:p w14:paraId="4B7EAAE0" w14:textId="377224B5" w:rsidR="00C71891" w:rsidRPr="00C71891" w:rsidRDefault="00C71891" w:rsidP="00C71891">
      <w:pPr>
        <w:jc w:val="both"/>
        <w:rPr>
          <w:rFonts w:ascii="Times New Roman" w:hAnsi="Times New Roman" w:cs="Times New Roman"/>
        </w:rPr>
      </w:pPr>
      <w:r w:rsidRPr="00C71891">
        <w:rPr>
          <w:rFonts w:ascii="Times New Roman" w:hAnsi="Times New Roman" w:cs="Times New Roman"/>
        </w:rPr>
        <w:t xml:space="preserve">Based on the synthesis of the literature reviewed in the preceding section, this section develops an integrated conceptual framework that explicates the hypothesized relationships among ULIP cost structure, perceived switching costs, investor persistency, and the moderating role of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We draw upon agency theory, </w:t>
      </w:r>
      <w:r w:rsidR="002C2072" w:rsidRPr="00C71891">
        <w:rPr>
          <w:rFonts w:ascii="Times New Roman" w:hAnsi="Times New Roman" w:cs="Times New Roman"/>
        </w:rPr>
        <w:t>behavioural</w:t>
      </w:r>
      <w:r w:rsidRPr="00C71891">
        <w:rPr>
          <w:rFonts w:ascii="Times New Roman" w:hAnsi="Times New Roman" w:cs="Times New Roman"/>
        </w:rPr>
        <w:t xml:space="preserve"> finance (specifically, the sunk cost fallacy and loss aversion), and the Technology Acceptance Model (TAM) to ground our propositions in established theoretical traditions. The framework culminates in a set of clearly articulated, testable propositions that provide a blueprint for future empirical investigation.</w:t>
      </w:r>
    </w:p>
    <w:p w14:paraId="7D7BF7A7" w14:textId="1081A45C" w:rsidR="00C71891" w:rsidRPr="00C71891" w:rsidRDefault="000D27F4" w:rsidP="000D27F4">
      <w:pPr>
        <w:jc w:val="both"/>
        <w:rPr>
          <w:rFonts w:ascii="Times New Roman" w:hAnsi="Times New Roman" w:cs="Times New Roman"/>
        </w:rPr>
      </w:pPr>
      <w:r w:rsidRPr="000D27F4">
        <w:rPr>
          <w:rFonts w:ascii="Times New Roman" w:hAnsi="Times New Roman" w:cs="Times New Roman"/>
        </w:rPr>
        <w:t xml:space="preserve">     </w:t>
      </w:r>
      <w:r w:rsidR="00C71891" w:rsidRPr="00C71891">
        <w:rPr>
          <w:rFonts w:ascii="Times New Roman" w:hAnsi="Times New Roman" w:cs="Times New Roman"/>
        </w:rPr>
        <w:t>Our conceptual model is a </w:t>
      </w:r>
      <w:r w:rsidR="00C71891" w:rsidRPr="00C71891">
        <w:rPr>
          <w:rFonts w:ascii="Times New Roman" w:hAnsi="Times New Roman" w:cs="Times New Roman"/>
          <w:b/>
          <w:bCs/>
        </w:rPr>
        <w:t>moderated-mediation framework</w:t>
      </w:r>
      <w:r w:rsidR="00C71891" w:rsidRPr="00C71891">
        <w:rPr>
          <w:rFonts w:ascii="Times New Roman" w:hAnsi="Times New Roman" w:cs="Times New Roman"/>
        </w:rPr>
        <w:t> comprising four core constructs:</w:t>
      </w:r>
    </w:p>
    <w:p w14:paraId="17D8ACBE" w14:textId="77777777" w:rsidR="00C71891" w:rsidRPr="00C71891" w:rsidRDefault="00C71891" w:rsidP="00C71891">
      <w:pPr>
        <w:numPr>
          <w:ilvl w:val="0"/>
          <w:numId w:val="2"/>
        </w:numPr>
        <w:jc w:val="both"/>
        <w:rPr>
          <w:rFonts w:ascii="Times New Roman" w:hAnsi="Times New Roman" w:cs="Times New Roman"/>
        </w:rPr>
      </w:pPr>
      <w:r w:rsidRPr="00C71891">
        <w:rPr>
          <w:rFonts w:ascii="Times New Roman" w:hAnsi="Times New Roman" w:cs="Times New Roman"/>
          <w:b/>
          <w:bCs/>
        </w:rPr>
        <w:t>Independent Variable (IV):</w:t>
      </w:r>
      <w:r w:rsidRPr="00C71891">
        <w:rPr>
          <w:rFonts w:ascii="Times New Roman" w:hAnsi="Times New Roman" w:cs="Times New Roman"/>
        </w:rPr>
        <w:t> ULIP Cost Structure (characterized by front-loaded charges and surrender penalties)</w:t>
      </w:r>
    </w:p>
    <w:p w14:paraId="6E67BE3A" w14:textId="77777777" w:rsidR="00C71891" w:rsidRPr="00C71891" w:rsidRDefault="00C71891" w:rsidP="00C71891">
      <w:pPr>
        <w:numPr>
          <w:ilvl w:val="0"/>
          <w:numId w:val="2"/>
        </w:numPr>
        <w:jc w:val="both"/>
        <w:rPr>
          <w:rFonts w:ascii="Times New Roman" w:hAnsi="Times New Roman" w:cs="Times New Roman"/>
        </w:rPr>
      </w:pPr>
      <w:r w:rsidRPr="00C71891">
        <w:rPr>
          <w:rFonts w:ascii="Times New Roman" w:hAnsi="Times New Roman" w:cs="Times New Roman"/>
          <w:b/>
          <w:bCs/>
        </w:rPr>
        <w:t>Mediating Variable (MV):</w:t>
      </w:r>
      <w:r w:rsidRPr="00C71891">
        <w:rPr>
          <w:rFonts w:ascii="Times New Roman" w:hAnsi="Times New Roman" w:cs="Times New Roman"/>
        </w:rPr>
        <w:t> Perceived Switching Costs (encompassing financial, psychological, and relational dimensions)</w:t>
      </w:r>
    </w:p>
    <w:p w14:paraId="1CF9A2AB" w14:textId="77777777" w:rsidR="00C71891" w:rsidRPr="00C71891" w:rsidRDefault="00C71891" w:rsidP="00C71891">
      <w:pPr>
        <w:numPr>
          <w:ilvl w:val="0"/>
          <w:numId w:val="2"/>
        </w:numPr>
        <w:jc w:val="both"/>
        <w:rPr>
          <w:rFonts w:ascii="Times New Roman" w:hAnsi="Times New Roman" w:cs="Times New Roman"/>
        </w:rPr>
      </w:pPr>
      <w:r w:rsidRPr="00C71891">
        <w:rPr>
          <w:rFonts w:ascii="Times New Roman" w:hAnsi="Times New Roman" w:cs="Times New Roman"/>
          <w:b/>
          <w:bCs/>
        </w:rPr>
        <w:t>Dependent Variable (DV):</w:t>
      </w:r>
      <w:r w:rsidRPr="00C71891">
        <w:rPr>
          <w:rFonts w:ascii="Times New Roman" w:hAnsi="Times New Roman" w:cs="Times New Roman"/>
        </w:rPr>
        <w:t> Investor Persistency (operationalized as policy retention or reduced lapse propensity)</w:t>
      </w:r>
    </w:p>
    <w:p w14:paraId="2FE24DAB" w14:textId="77777777" w:rsidR="00C71891" w:rsidRDefault="00C71891" w:rsidP="00C71891">
      <w:pPr>
        <w:numPr>
          <w:ilvl w:val="0"/>
          <w:numId w:val="2"/>
        </w:numPr>
        <w:jc w:val="both"/>
        <w:rPr>
          <w:rFonts w:ascii="Times New Roman" w:hAnsi="Times New Roman" w:cs="Times New Roman"/>
        </w:rPr>
      </w:pPr>
      <w:r w:rsidRPr="00C71891">
        <w:rPr>
          <w:rFonts w:ascii="Times New Roman" w:hAnsi="Times New Roman" w:cs="Times New Roman"/>
          <w:b/>
          <w:bCs/>
        </w:rPr>
        <w:t>Moderating Variable (MOD):</w:t>
      </w:r>
      <w:r w:rsidRPr="00C71891">
        <w:rPr>
          <w:rFonts w:ascii="Times New Roman" w:hAnsi="Times New Roman" w:cs="Times New Roman"/>
        </w:rPr>
        <w:t>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(capturing the extent of digital engagement, transparency, and </w:t>
      </w:r>
      <w:proofErr w:type="spellStart"/>
      <w:r w:rsidRPr="00C71891">
        <w:rPr>
          <w:rFonts w:ascii="Times New Roman" w:hAnsi="Times New Roman" w:cs="Times New Roman"/>
        </w:rPr>
        <w:t>robo</w:t>
      </w:r>
      <w:proofErr w:type="spellEnd"/>
      <w:r w:rsidRPr="00C71891">
        <w:rPr>
          <w:rFonts w:ascii="Times New Roman" w:hAnsi="Times New Roman" w:cs="Times New Roman"/>
        </w:rPr>
        <w:t>-advisory utilization)</w:t>
      </w:r>
    </w:p>
    <w:p w14:paraId="17CA60E8" w14:textId="3C3ECAF5" w:rsidR="00C71891" w:rsidRPr="00C71891" w:rsidRDefault="00C71891" w:rsidP="00C71891">
      <w:pPr>
        <w:jc w:val="both"/>
        <w:rPr>
          <w:rFonts w:ascii="Times New Roman" w:hAnsi="Times New Roman" w:cs="Times New Roman"/>
        </w:rPr>
      </w:pPr>
      <w:r w:rsidRPr="00C71891">
        <w:rPr>
          <w:rFonts w:ascii="Times New Roman" w:hAnsi="Times New Roman" w:cs="Times New Roman"/>
          <w:b/>
          <w:bCs/>
        </w:rPr>
        <w:t>Theoretical Logic:</w:t>
      </w:r>
      <w:r w:rsidRPr="00C71891">
        <w:rPr>
          <w:rFonts w:ascii="Times New Roman" w:hAnsi="Times New Roman" w:cs="Times New Roman"/>
        </w:rPr>
        <w:t xml:space="preserve"> We propose that the objective ULIP cost structure does not directly and uniformly influence persistency. Rather, its effect is transmitted through the psychological mechanism of perceived switching costs, which is in turn shaped by the degree of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Specifically, high front-loaded costs increase investors' perception of switching costs (financial penalties, psychological discomfort, relational disruption), which subsequently enhances persistency through </w:t>
      </w:r>
      <w:r w:rsidR="002C2072" w:rsidRPr="00C71891">
        <w:rPr>
          <w:rFonts w:ascii="Times New Roman" w:hAnsi="Times New Roman" w:cs="Times New Roman"/>
        </w:rPr>
        <w:t>behavioural</w:t>
      </w:r>
      <w:r w:rsidRPr="00C71891">
        <w:rPr>
          <w:rFonts w:ascii="Times New Roman" w:hAnsi="Times New Roman" w:cs="Times New Roman"/>
        </w:rPr>
        <w:t xml:space="preserve"> lock-in (the sunk cost fallacy). However, the strength and nature of this mediated relationship are contingent upon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low, the mediated relationship operates through a </w:t>
      </w:r>
      <w:r w:rsidRPr="00C71891">
        <w:rPr>
          <w:rFonts w:ascii="Times New Roman" w:hAnsi="Times New Roman" w:cs="Times New Roman"/>
          <w:b/>
          <w:bCs/>
        </w:rPr>
        <w:t>cost-induced, negative lock-in</w:t>
      </w:r>
      <w:r w:rsidRPr="00C71891">
        <w:rPr>
          <w:rFonts w:ascii="Times New Roman" w:hAnsi="Times New Roman" w:cs="Times New Roman"/>
        </w:rPr>
        <w:t xml:space="preserve"> mechanism. Conversely, 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high, the relationship transforms into a </w:t>
      </w:r>
      <w:r w:rsidRPr="00C71891">
        <w:rPr>
          <w:rFonts w:ascii="Times New Roman" w:hAnsi="Times New Roman" w:cs="Times New Roman"/>
          <w:b/>
          <w:bCs/>
        </w:rPr>
        <w:t>value-induced, positive loyalty</w:t>
      </w:r>
      <w:r w:rsidRPr="00C71891">
        <w:rPr>
          <w:rFonts w:ascii="Times New Roman" w:hAnsi="Times New Roman" w:cs="Times New Roman"/>
        </w:rPr>
        <w:t xml:space="preserve"> mechanism, attenuating the purely </w:t>
      </w:r>
      <w:r w:rsidR="000A2952" w:rsidRPr="00C71891">
        <w:rPr>
          <w:rFonts w:ascii="Times New Roman" w:hAnsi="Times New Roman" w:cs="Times New Roman"/>
        </w:rPr>
        <w:t>behavioural</w:t>
      </w:r>
      <w:r w:rsidRPr="00C71891">
        <w:rPr>
          <w:rFonts w:ascii="Times New Roman" w:hAnsi="Times New Roman" w:cs="Times New Roman"/>
        </w:rPr>
        <w:t xml:space="preserve"> impact of sunk costs and recalibrating the investor's decision calculus toward long-term value.</w:t>
      </w:r>
    </w:p>
    <w:p w14:paraId="49F45835" w14:textId="0C7F7E46" w:rsidR="00C71891" w:rsidRPr="00C71891" w:rsidRDefault="00C71891" w:rsidP="00C71891">
      <w:pPr>
        <w:jc w:val="both"/>
        <w:rPr>
          <w:rFonts w:ascii="Times New Roman" w:hAnsi="Times New Roman" w:cs="Times New Roman"/>
          <w:b/>
          <w:bCs/>
        </w:rPr>
      </w:pPr>
      <w:r w:rsidRPr="00C71891">
        <w:rPr>
          <w:rFonts w:ascii="Times New Roman" w:hAnsi="Times New Roman" w:cs="Times New Roman"/>
          <w:b/>
          <w:bCs/>
        </w:rPr>
        <w:t>The Direct Effect of ULIP Cost Structure on Perceived Switching Costs</w:t>
      </w:r>
    </w:p>
    <w:p w14:paraId="3DE8BE5F"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rPr>
        <w:lastRenderedPageBreak/>
        <w:t>The first link in our conceptual chain posits that the unique cost structure of ULIPs serves as a primary antecedent to investors' perceptions of switching costs. Drawing on the marketing literature, perceived switching costs are conceptualized as the multi-dimensional barriers—financial, psychological, and relational—that a consumer anticipates in terminating an existing service relationship (Burnham, Frels, &amp; Mahajan, 2003; Jones, Mothersbaugh, &amp; Beatty, 2000). In the ULIP context, these costs are particularly salient.</w:t>
      </w:r>
    </w:p>
    <w:p w14:paraId="24DC298A"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b/>
          <w:bCs/>
        </w:rPr>
        <w:t>Financial switching costs</w:t>
      </w:r>
      <w:r w:rsidRPr="00C71891">
        <w:rPr>
          <w:rFonts w:ascii="Times New Roman" w:hAnsi="Times New Roman" w:cs="Times New Roman"/>
        </w:rPr>
        <w:t> are the most explicit dimension, comprising the surrender penalties, exit loads, and the forfeiture of accumulated benefits that policyholders face upon early termination (</w:t>
      </w:r>
      <w:proofErr w:type="spellStart"/>
      <w:r w:rsidRPr="00C71891">
        <w:rPr>
          <w:rFonts w:ascii="Times New Roman" w:hAnsi="Times New Roman" w:cs="Times New Roman"/>
        </w:rPr>
        <w:t>Kiesenbauer</w:t>
      </w:r>
      <w:proofErr w:type="spellEnd"/>
      <w:r w:rsidRPr="00C71891">
        <w:rPr>
          <w:rFonts w:ascii="Times New Roman" w:hAnsi="Times New Roman" w:cs="Times New Roman"/>
        </w:rPr>
        <w:t>, 2012). The front-loaded nature of ULIPs, characterized by substantial initial allocation charges, means that investors who surrender early recover only a fraction of their total premium contributions, thereby crystallizing significant realized losses (Bhattacharya &amp; Gursoy, 2019). </w:t>
      </w:r>
      <w:r w:rsidRPr="00C71891">
        <w:rPr>
          <w:rFonts w:ascii="Times New Roman" w:hAnsi="Times New Roman" w:cs="Times New Roman"/>
          <w:b/>
          <w:bCs/>
        </w:rPr>
        <w:t>Psychological switching costs</w:t>
      </w:r>
      <w:r w:rsidRPr="00C71891">
        <w:rPr>
          <w:rFonts w:ascii="Times New Roman" w:hAnsi="Times New Roman" w:cs="Times New Roman"/>
        </w:rPr>
        <w:t> encompass the emotional discomfort, cognitive dissonance, and anxiety associated with terminating a long-term financial commitment. Investors may experience regret, fear of making a suboptimal decision, or the discomfort of admitting a poor past choice (Arkes &amp; Blumer, 1985). </w:t>
      </w:r>
      <w:r w:rsidRPr="00C71891">
        <w:rPr>
          <w:rFonts w:ascii="Times New Roman" w:hAnsi="Times New Roman" w:cs="Times New Roman"/>
          <w:b/>
          <w:bCs/>
        </w:rPr>
        <w:t>Relational switching costs</w:t>
      </w:r>
      <w:r w:rsidRPr="00C71891">
        <w:rPr>
          <w:rFonts w:ascii="Times New Roman" w:hAnsi="Times New Roman" w:cs="Times New Roman"/>
        </w:rPr>
        <w:t> capture the perceived disruption to the ongoing relationship with the insurer, including the loss of personalized service, the effort required to establish a new relationship, and the uncertainty associated with an alternative provider (Colgate &amp; Lang, 2001).</w:t>
      </w:r>
    </w:p>
    <w:p w14:paraId="2D32639B"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rPr>
        <w:t>We argue that the complex, front-loaded cost structure of ULIPs creates a fertile environment for the elevation of all three dimensions of perceived switching costs. The explicit surrender penalties directly elevate financial switching costs. The cognitive complexity and opacity of the fee structure heighten psychological switching costs by inducing uncertainty and anxiety. Furthermore, the long-term nature of the insurance relationship, coupled with the significant initial investment, amplifies relational switching costs by embedding the investor in a perceived contractual and psychological commitment.</w:t>
      </w:r>
    </w:p>
    <w:p w14:paraId="01240E4C"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b/>
          <w:bCs/>
        </w:rPr>
        <w:t>Proposition 1:</w:t>
      </w:r>
      <w:r w:rsidRPr="00C71891">
        <w:rPr>
          <w:rFonts w:ascii="Times New Roman" w:hAnsi="Times New Roman" w:cs="Times New Roman"/>
        </w:rPr>
        <w:t> ULIP cost structure (characterized by front-loaded charges and high surrender penalties) is positively associated with investors' perceived switching costs.</w:t>
      </w:r>
    </w:p>
    <w:p w14:paraId="5F453D0B" w14:textId="52A7DABE" w:rsidR="00C71891" w:rsidRPr="00C71891" w:rsidRDefault="00C71891" w:rsidP="00C71891">
      <w:pPr>
        <w:jc w:val="both"/>
        <w:rPr>
          <w:rFonts w:ascii="Times New Roman" w:hAnsi="Times New Roman" w:cs="Times New Roman"/>
          <w:b/>
          <w:bCs/>
        </w:rPr>
      </w:pPr>
      <w:r w:rsidRPr="00C71891">
        <w:rPr>
          <w:rFonts w:ascii="Times New Roman" w:hAnsi="Times New Roman" w:cs="Times New Roman"/>
          <w:b/>
          <w:bCs/>
        </w:rPr>
        <w:t>The Mediating Role of Perceived Switching Costs on Investor Persistency</w:t>
      </w:r>
    </w:p>
    <w:p w14:paraId="7E43BB1E" w14:textId="41C90D48" w:rsidR="00C71891" w:rsidRPr="00C71891" w:rsidRDefault="00C71891" w:rsidP="00C71891">
      <w:pPr>
        <w:jc w:val="both"/>
        <w:rPr>
          <w:rFonts w:ascii="Times New Roman" w:hAnsi="Times New Roman" w:cs="Times New Roman"/>
        </w:rPr>
      </w:pPr>
      <w:r w:rsidRPr="00C71891">
        <w:rPr>
          <w:rFonts w:ascii="Times New Roman" w:hAnsi="Times New Roman" w:cs="Times New Roman"/>
        </w:rPr>
        <w:t xml:space="preserve">The second link in our framework addresses the mediating mechanism: how perceived switching costs translate into actual persistency </w:t>
      </w:r>
      <w:r w:rsidR="000A2952" w:rsidRPr="00C71891">
        <w:rPr>
          <w:rFonts w:ascii="Times New Roman" w:hAnsi="Times New Roman" w:cs="Times New Roman"/>
        </w:rPr>
        <w:t>behaviour</w:t>
      </w:r>
      <w:r w:rsidRPr="00C71891">
        <w:rPr>
          <w:rFonts w:ascii="Times New Roman" w:hAnsi="Times New Roman" w:cs="Times New Roman"/>
        </w:rPr>
        <w:t>. We draw upon two complementary theoretical streams—</w:t>
      </w:r>
      <w:r w:rsidR="000A2952" w:rsidRPr="00C71891">
        <w:rPr>
          <w:rFonts w:ascii="Times New Roman" w:hAnsi="Times New Roman" w:cs="Times New Roman"/>
        </w:rPr>
        <w:t>behavioural</w:t>
      </w:r>
      <w:r w:rsidRPr="00C71891">
        <w:rPr>
          <w:rFonts w:ascii="Times New Roman" w:hAnsi="Times New Roman" w:cs="Times New Roman"/>
        </w:rPr>
        <w:t xml:space="preserve"> finance (specifically, the sunk cost fallacy) and the switching costs literature—to argue that perceived switching costs exert a positive influence on investor persistency.</w:t>
      </w:r>
    </w:p>
    <w:p w14:paraId="076E5754"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rPr>
        <w:t>According to the </w:t>
      </w:r>
      <w:r w:rsidRPr="00C71891">
        <w:rPr>
          <w:rFonts w:ascii="Times New Roman" w:hAnsi="Times New Roman" w:cs="Times New Roman"/>
          <w:b/>
          <w:bCs/>
        </w:rPr>
        <w:t>sunk cost fallacy</w:t>
      </w:r>
      <w:r w:rsidRPr="00C71891">
        <w:rPr>
          <w:rFonts w:ascii="Times New Roman" w:hAnsi="Times New Roman" w:cs="Times New Roman"/>
        </w:rPr>
        <w:t xml:space="preserve">, individuals irrationally escalate their commitment to a course of action when they have already incurred significant irrecoverable costs, because the psychological pain of realizing those losses outweighs the rational assessment of future benefits (Thaler, 1980; Kahneman &amp; Tversky, 1979; Arkes &amp; Blumer, 1985). In the ULIP context, once investors have incurred substantial initial charges and administration fees, the decision to surrender forces them to explicitly recognize those losses—a psychologically aversive </w:t>
      </w:r>
      <w:r w:rsidRPr="00C71891">
        <w:rPr>
          <w:rFonts w:ascii="Times New Roman" w:hAnsi="Times New Roman" w:cs="Times New Roman"/>
        </w:rPr>
        <w:lastRenderedPageBreak/>
        <w:t>experience. Consequently, investors may choose to persist with the policy, even if a rational analysis would suggest that switching to an alternative investment could yield superior returns.</w:t>
      </w:r>
    </w:p>
    <w:p w14:paraId="2F18D482" w14:textId="11421790" w:rsidR="00C71891" w:rsidRPr="00C71891" w:rsidRDefault="00C71891" w:rsidP="00C71891">
      <w:pPr>
        <w:jc w:val="both"/>
        <w:rPr>
          <w:rFonts w:ascii="Times New Roman" w:hAnsi="Times New Roman" w:cs="Times New Roman"/>
        </w:rPr>
      </w:pPr>
      <w:r w:rsidRPr="00C71891">
        <w:rPr>
          <w:rFonts w:ascii="Times New Roman" w:hAnsi="Times New Roman" w:cs="Times New Roman"/>
        </w:rPr>
        <w:t>Beyond the sunk cost fallacy, the switching costs literature provides a complementary rationale. High perceived switching costs act as a </w:t>
      </w:r>
      <w:r w:rsidR="000A2952" w:rsidRPr="00C71891">
        <w:rPr>
          <w:rFonts w:ascii="Times New Roman" w:hAnsi="Times New Roman" w:cs="Times New Roman"/>
          <w:b/>
          <w:bCs/>
        </w:rPr>
        <w:t>behavioural</w:t>
      </w:r>
      <w:r w:rsidRPr="00C71891">
        <w:rPr>
          <w:rFonts w:ascii="Times New Roman" w:hAnsi="Times New Roman" w:cs="Times New Roman"/>
          <w:b/>
          <w:bCs/>
        </w:rPr>
        <w:t xml:space="preserve"> barrier</w:t>
      </w:r>
      <w:r w:rsidRPr="00C71891">
        <w:rPr>
          <w:rFonts w:ascii="Times New Roman" w:hAnsi="Times New Roman" w:cs="Times New Roman"/>
        </w:rPr>
        <w:t> to exit, reducing the likelihood of termination regardless of satisfaction with the current product (Jones et al., 2000). Investors who perceive high financial penalties, anticipate psychological discomfort, and fear relational disruption are more likely to remain with their current insurer, even in the face of suboptimal performance (Colgate &amp; Lang, 2001). Thus, perceived switching costs serve as a psychological lock-in mechanism, converting the objective cost structure into a subjective experience of entrapment that enhances retention.</w:t>
      </w:r>
    </w:p>
    <w:p w14:paraId="669D5265" w14:textId="1C5AB3C9" w:rsidR="00C71891" w:rsidRPr="00C71891" w:rsidRDefault="00C71891" w:rsidP="00C71891">
      <w:pPr>
        <w:jc w:val="both"/>
        <w:rPr>
          <w:rFonts w:ascii="Times New Roman" w:hAnsi="Times New Roman" w:cs="Times New Roman"/>
        </w:rPr>
      </w:pPr>
      <w:r w:rsidRPr="00C71891">
        <w:rPr>
          <w:rFonts w:ascii="Times New Roman" w:hAnsi="Times New Roman" w:cs="Times New Roman"/>
        </w:rPr>
        <w:t>It is important to note that this mediating mechanism is fundamentally </w:t>
      </w:r>
      <w:r w:rsidR="000A2952" w:rsidRPr="00C71891">
        <w:rPr>
          <w:rFonts w:ascii="Times New Roman" w:hAnsi="Times New Roman" w:cs="Times New Roman"/>
          <w:b/>
          <w:bCs/>
        </w:rPr>
        <w:t>behavioural</w:t>
      </w:r>
      <w:r w:rsidRPr="00C71891">
        <w:rPr>
          <w:rFonts w:ascii="Times New Roman" w:hAnsi="Times New Roman" w:cs="Times New Roman"/>
        </w:rPr>
        <w:t> rather than purely rational. While rational-choice models would predict that high switching costs mechanically deter exit, our framework emphasizes that it is the </w:t>
      </w:r>
      <w:r w:rsidRPr="00C71891">
        <w:rPr>
          <w:rFonts w:ascii="Times New Roman" w:hAnsi="Times New Roman" w:cs="Times New Roman"/>
          <w:i/>
          <w:iCs/>
        </w:rPr>
        <w:t>perception</w:t>
      </w:r>
      <w:r w:rsidRPr="00C71891">
        <w:rPr>
          <w:rFonts w:ascii="Times New Roman" w:hAnsi="Times New Roman" w:cs="Times New Roman"/>
        </w:rPr>
        <w:t> of these costs—shaped by cognitive biases, emotional responses, and information asymmetries—that truly drives persistency. This distinction is critical for understanding the empirical inconsistencies in prior research, as objective costs may not uniformly translate into perceived costs across investor segments.</w:t>
      </w:r>
    </w:p>
    <w:p w14:paraId="3C6EDE5C"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b/>
          <w:bCs/>
        </w:rPr>
        <w:t>Proposition 2:</w:t>
      </w:r>
      <w:r w:rsidRPr="00C71891">
        <w:rPr>
          <w:rFonts w:ascii="Times New Roman" w:hAnsi="Times New Roman" w:cs="Times New Roman"/>
        </w:rPr>
        <w:t> Perceived switching costs mediate the positive relationship between ULIP cost structure and investor persistency, such that higher perceived switching costs lead to greater policy retention.</w:t>
      </w:r>
    </w:p>
    <w:p w14:paraId="045537F5" w14:textId="19970BAE" w:rsidR="00C71891" w:rsidRPr="00C71891" w:rsidRDefault="00C71891" w:rsidP="00C71891">
      <w:pPr>
        <w:jc w:val="both"/>
        <w:rPr>
          <w:rFonts w:ascii="Times New Roman" w:hAnsi="Times New Roman" w:cs="Times New Roman"/>
          <w:b/>
          <w:bCs/>
        </w:rPr>
      </w:pPr>
      <w:r w:rsidRPr="00C71891">
        <w:rPr>
          <w:rFonts w:ascii="Times New Roman" w:hAnsi="Times New Roman" w:cs="Times New Roman"/>
          <w:b/>
          <w:bCs/>
        </w:rPr>
        <w:t xml:space="preserve">The Moderating Role of </w:t>
      </w:r>
      <w:proofErr w:type="spellStart"/>
      <w:r w:rsidRPr="00C71891">
        <w:rPr>
          <w:rFonts w:ascii="Times New Roman" w:hAnsi="Times New Roman" w:cs="Times New Roman"/>
          <w:b/>
          <w:bCs/>
        </w:rPr>
        <w:t>InsurTech</w:t>
      </w:r>
      <w:proofErr w:type="spellEnd"/>
      <w:r w:rsidRPr="00C71891">
        <w:rPr>
          <w:rFonts w:ascii="Times New Roman" w:hAnsi="Times New Roman" w:cs="Times New Roman"/>
          <w:b/>
          <w:bCs/>
        </w:rPr>
        <w:t xml:space="preserve"> Adoption</w:t>
      </w:r>
    </w:p>
    <w:p w14:paraId="54505EE3" w14:textId="77777777" w:rsidR="00C71891" w:rsidRDefault="00C71891" w:rsidP="00C71891">
      <w:pPr>
        <w:jc w:val="both"/>
        <w:rPr>
          <w:rFonts w:ascii="Times New Roman" w:hAnsi="Times New Roman" w:cs="Times New Roman"/>
        </w:rPr>
      </w:pPr>
      <w:r w:rsidRPr="00C71891">
        <w:rPr>
          <w:rFonts w:ascii="Times New Roman" w:hAnsi="Times New Roman" w:cs="Times New Roman"/>
        </w:rPr>
        <w:t>The core novelty of our conceptual model lies in the proposition that the mediated relationship between ULIP cost structure, perceived switching costs, and persistency is </w:t>
      </w:r>
      <w:r w:rsidRPr="00C71891">
        <w:rPr>
          <w:rFonts w:ascii="Times New Roman" w:hAnsi="Times New Roman" w:cs="Times New Roman"/>
          <w:b/>
          <w:bCs/>
        </w:rPr>
        <w:t>conditional</w:t>
      </w:r>
      <w:r w:rsidRPr="00C71891">
        <w:rPr>
          <w:rFonts w:ascii="Times New Roman" w:hAnsi="Times New Roman" w:cs="Times New Roman"/>
        </w:rPr>
        <w:t xml:space="preserve"> upon the level of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We argue that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fundamentally alters the psychological and informational environment in which investors make persistency decisions, thereby moderating both the first stage (cost → perceived switching costs) and the second stage (perceived switching costs → persistency) of the mediation pathway.</w:t>
      </w:r>
    </w:p>
    <w:p w14:paraId="3EE41DC0" w14:textId="13744523" w:rsidR="00287955" w:rsidRPr="00C71891" w:rsidRDefault="00000000" w:rsidP="00C71891">
      <w:pPr>
        <w:jc w:val="both"/>
        <w:rPr>
          <w:rFonts w:ascii="Times New Roman" w:hAnsi="Times New Roman" w:cs="Times New Roman"/>
        </w:rPr>
      </w:pPr>
      <w:r>
        <w:rPr>
          <w:rFonts w:ascii="Times New Roman" w:hAnsi="Times New Roman" w:cs="Times New Roman"/>
        </w:rPr>
        <w:pict w14:anchorId="50562272">
          <v:rect id="_x0000_i1029" style="width:0;height:.75pt" o:hralign="center" o:hrstd="t" o:hr="t" fillcolor="#a0a0a0" stroked="f"/>
        </w:pict>
      </w:r>
    </w:p>
    <w:p w14:paraId="1E85FEF6" w14:textId="5D1F69FC" w:rsidR="00C71891" w:rsidRPr="00C71891" w:rsidRDefault="00C71891" w:rsidP="00C71891">
      <w:pPr>
        <w:jc w:val="both"/>
        <w:rPr>
          <w:rFonts w:ascii="Times New Roman" w:hAnsi="Times New Roman" w:cs="Times New Roman"/>
          <w:b/>
          <w:bCs/>
        </w:rPr>
      </w:pPr>
      <w:r w:rsidRPr="00C71891">
        <w:rPr>
          <w:rFonts w:ascii="Times New Roman" w:hAnsi="Times New Roman" w:cs="Times New Roman"/>
          <w:b/>
          <w:bCs/>
        </w:rPr>
        <w:t>The Moderated Mediation Hypothesis</w:t>
      </w:r>
    </w:p>
    <w:p w14:paraId="1592E1A3"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rPr>
        <w:t>Finally, we integrate the first-stage and second-stage moderation effects into a comprehensive </w:t>
      </w:r>
      <w:r w:rsidRPr="00C71891">
        <w:rPr>
          <w:rFonts w:ascii="Times New Roman" w:hAnsi="Times New Roman" w:cs="Times New Roman"/>
          <w:b/>
          <w:bCs/>
        </w:rPr>
        <w:t>moderated mediation</w:t>
      </w:r>
      <w:r w:rsidRPr="00C71891">
        <w:rPr>
          <w:rFonts w:ascii="Times New Roman" w:hAnsi="Times New Roman" w:cs="Times New Roman"/>
        </w:rPr>
        <w:t xml:space="preserve"> hypothesis. We predict that the indirect effect of ULIP cost structure on investor persistency through perceived switching costs is contingent upon the level of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Specifically:</w:t>
      </w:r>
    </w:p>
    <w:p w14:paraId="3EE6F285" w14:textId="666EAB5E" w:rsidR="00C71891" w:rsidRPr="00C71891" w:rsidRDefault="00C71891" w:rsidP="00C71891">
      <w:pPr>
        <w:numPr>
          <w:ilvl w:val="0"/>
          <w:numId w:val="3"/>
        </w:numPr>
        <w:jc w:val="both"/>
        <w:rPr>
          <w:rFonts w:ascii="Times New Roman" w:hAnsi="Times New Roman" w:cs="Times New Roman"/>
        </w:rPr>
      </w:pPr>
      <w:r w:rsidRPr="00C71891">
        <w:rPr>
          <w:rFonts w:ascii="Times New Roman" w:hAnsi="Times New Roman" w:cs="Times New Roman"/>
        </w:rPr>
        <w:t xml:space="preserve">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w:t>
      </w:r>
      <w:r w:rsidRPr="00C71891">
        <w:rPr>
          <w:rFonts w:ascii="Times New Roman" w:hAnsi="Times New Roman" w:cs="Times New Roman"/>
          <w:b/>
          <w:bCs/>
        </w:rPr>
        <w:t>low</w:t>
      </w:r>
      <w:r w:rsidRPr="00C71891">
        <w:rPr>
          <w:rFonts w:ascii="Times New Roman" w:hAnsi="Times New Roman" w:cs="Times New Roman"/>
        </w:rPr>
        <w:t>, the positive indirect effect of ULIP cost structure on persistency (via perceived switching costs) is relatively </w:t>
      </w:r>
      <w:r w:rsidRPr="00C71891">
        <w:rPr>
          <w:rFonts w:ascii="Times New Roman" w:hAnsi="Times New Roman" w:cs="Times New Roman"/>
          <w:b/>
          <w:bCs/>
        </w:rPr>
        <w:t>stronger</w:t>
      </w:r>
      <w:r w:rsidRPr="00C71891">
        <w:rPr>
          <w:rFonts w:ascii="Times New Roman" w:hAnsi="Times New Roman" w:cs="Times New Roman"/>
        </w:rPr>
        <w:t xml:space="preserve">, as both the formation of perceived switching costs and their </w:t>
      </w:r>
      <w:r w:rsidR="000A2952" w:rsidRPr="00C71891">
        <w:rPr>
          <w:rFonts w:ascii="Times New Roman" w:hAnsi="Times New Roman" w:cs="Times New Roman"/>
        </w:rPr>
        <w:t>behavioural</w:t>
      </w:r>
      <w:r w:rsidRPr="00C71891">
        <w:rPr>
          <w:rFonts w:ascii="Times New Roman" w:hAnsi="Times New Roman" w:cs="Times New Roman"/>
        </w:rPr>
        <w:t xml:space="preserve"> impact on persistency are amplified by informational opacity and the dominance of the sunk cost fallacy.</w:t>
      </w:r>
    </w:p>
    <w:p w14:paraId="3CF2BD05" w14:textId="77777777" w:rsidR="00C71891" w:rsidRPr="00C71891" w:rsidRDefault="00C71891" w:rsidP="00C71891">
      <w:pPr>
        <w:numPr>
          <w:ilvl w:val="0"/>
          <w:numId w:val="3"/>
        </w:numPr>
        <w:jc w:val="both"/>
        <w:rPr>
          <w:rFonts w:ascii="Times New Roman" w:hAnsi="Times New Roman" w:cs="Times New Roman"/>
        </w:rPr>
      </w:pPr>
      <w:r w:rsidRPr="00C71891">
        <w:rPr>
          <w:rFonts w:ascii="Times New Roman" w:hAnsi="Times New Roman" w:cs="Times New Roman"/>
        </w:rPr>
        <w:lastRenderedPageBreak/>
        <w:t xml:space="preserve">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w:t>
      </w:r>
      <w:r w:rsidRPr="00C71891">
        <w:rPr>
          <w:rFonts w:ascii="Times New Roman" w:hAnsi="Times New Roman" w:cs="Times New Roman"/>
          <w:b/>
          <w:bCs/>
        </w:rPr>
        <w:t>high</w:t>
      </w:r>
      <w:r w:rsidRPr="00C71891">
        <w:rPr>
          <w:rFonts w:ascii="Times New Roman" w:hAnsi="Times New Roman" w:cs="Times New Roman"/>
        </w:rPr>
        <w:t>, the positive indirect effect is relatively </w:t>
      </w:r>
      <w:r w:rsidRPr="00C71891">
        <w:rPr>
          <w:rFonts w:ascii="Times New Roman" w:hAnsi="Times New Roman" w:cs="Times New Roman"/>
          <w:b/>
          <w:bCs/>
        </w:rPr>
        <w:t>weaker</w:t>
      </w:r>
      <w:r w:rsidRPr="00C71891">
        <w:rPr>
          <w:rFonts w:ascii="Times New Roman" w:hAnsi="Times New Roman" w:cs="Times New Roman"/>
        </w:rPr>
        <w:t xml:space="preserve">, as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attenuates the formation of perceived switching costs (first-stage moderation) and transforms the basis of persistency from cost-induced lock-in to value-induced loyalty (second-stage moderation).</w:t>
      </w:r>
    </w:p>
    <w:p w14:paraId="474A4773" w14:textId="115E7FAD" w:rsidR="00C71891" w:rsidRPr="00C71891" w:rsidRDefault="00C71891" w:rsidP="00C71891">
      <w:pPr>
        <w:jc w:val="both"/>
        <w:rPr>
          <w:rFonts w:ascii="Times New Roman" w:hAnsi="Times New Roman" w:cs="Times New Roman"/>
        </w:rPr>
      </w:pPr>
      <w:r w:rsidRPr="00C71891">
        <w:rPr>
          <w:rFonts w:ascii="Times New Roman" w:hAnsi="Times New Roman" w:cs="Times New Roman"/>
        </w:rPr>
        <w:t xml:space="preserve">However, we emphasize that high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does not necessarily reduce persistency in absolute terms; rather, it reduces the </w:t>
      </w:r>
      <w:r w:rsidR="000A2952" w:rsidRPr="00C71891">
        <w:rPr>
          <w:rFonts w:ascii="Times New Roman" w:hAnsi="Times New Roman" w:cs="Times New Roman"/>
          <w:i/>
          <w:iCs/>
        </w:rPr>
        <w:t>behavioural</w:t>
      </w:r>
      <w:r w:rsidRPr="00C71891">
        <w:rPr>
          <w:rFonts w:ascii="Times New Roman" w:hAnsi="Times New Roman" w:cs="Times New Roman"/>
          <w:i/>
          <w:iCs/>
        </w:rPr>
        <w:t>, non-rational</w:t>
      </w:r>
      <w:r w:rsidRPr="00C71891">
        <w:rPr>
          <w:rFonts w:ascii="Times New Roman" w:hAnsi="Times New Roman" w:cs="Times New Roman"/>
        </w:rPr>
        <w:t xml:space="preserve"> component of persistency. In fact, by fostering value-based engagement,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may sustain or even enhance persistency through positive mechanisms, leading to more durable and mutually beneficial long-term relationships.</w:t>
      </w:r>
    </w:p>
    <w:p w14:paraId="07A3F06E" w14:textId="77777777" w:rsidR="00C71891" w:rsidRPr="00C71891" w:rsidRDefault="00C71891" w:rsidP="00C71891">
      <w:pPr>
        <w:jc w:val="both"/>
        <w:rPr>
          <w:rFonts w:ascii="Times New Roman" w:hAnsi="Times New Roman" w:cs="Times New Roman"/>
        </w:rPr>
      </w:pPr>
      <w:r w:rsidRPr="00C71891">
        <w:rPr>
          <w:rFonts w:ascii="Times New Roman" w:hAnsi="Times New Roman" w:cs="Times New Roman"/>
          <w:b/>
          <w:bCs/>
        </w:rPr>
        <w:t>Proposition 4:</w:t>
      </w:r>
      <w:r w:rsidRPr="00C71891">
        <w:rPr>
          <w:rFonts w:ascii="Times New Roman" w:hAnsi="Times New Roman" w:cs="Times New Roman"/>
        </w:rPr>
        <w:t xml:space="preserve"> The indirect positive effect of ULIP cost structure on investor persistency, mediated by perceived switching costs, is moderated by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Specifically, the indirect effect is stronger 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low and weaker (but potentially transformed) when </w:t>
      </w:r>
      <w:proofErr w:type="spellStart"/>
      <w:r w:rsidRPr="00C71891">
        <w:rPr>
          <w:rFonts w:ascii="Times New Roman" w:hAnsi="Times New Roman" w:cs="Times New Roman"/>
        </w:rPr>
        <w:t>InsurTech</w:t>
      </w:r>
      <w:proofErr w:type="spellEnd"/>
      <w:r w:rsidRPr="00C71891">
        <w:rPr>
          <w:rFonts w:ascii="Times New Roman" w:hAnsi="Times New Roman" w:cs="Times New Roman"/>
        </w:rPr>
        <w:t xml:space="preserve"> adoption is high.</w:t>
      </w:r>
    </w:p>
    <w:p w14:paraId="3936B627" w14:textId="77777777"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Theoretical and Practical Implications</w:t>
      </w:r>
    </w:p>
    <w:p w14:paraId="02F6BEDA" w14:textId="77777777" w:rsidR="00B92DDE" w:rsidRDefault="00B92DDE" w:rsidP="00B92DDE">
      <w:pPr>
        <w:jc w:val="both"/>
        <w:rPr>
          <w:rFonts w:ascii="Times New Roman" w:hAnsi="Times New Roman" w:cs="Times New Roman"/>
        </w:rPr>
      </w:pPr>
      <w:r w:rsidRPr="00B92DDE">
        <w:rPr>
          <w:rFonts w:ascii="Times New Roman" w:hAnsi="Times New Roman" w:cs="Times New Roman"/>
        </w:rPr>
        <w:t xml:space="preserve">Our conceptual framework, which integrates ULIP cost structures, perceived switching costs, and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offers several significant contributions to theory and practice. This section delineates these implications, addressing the needs of academic researchers, insurance practitioners, regulators, and policymakers.</w:t>
      </w:r>
    </w:p>
    <w:p w14:paraId="7D9B5780" w14:textId="736BD54F" w:rsidR="00287955" w:rsidRPr="00B92DDE" w:rsidRDefault="00000000" w:rsidP="00B92DDE">
      <w:pPr>
        <w:jc w:val="both"/>
        <w:rPr>
          <w:rFonts w:ascii="Times New Roman" w:hAnsi="Times New Roman" w:cs="Times New Roman"/>
        </w:rPr>
      </w:pPr>
      <w:r>
        <w:rPr>
          <w:rFonts w:ascii="Times New Roman" w:hAnsi="Times New Roman" w:cs="Times New Roman"/>
        </w:rPr>
        <w:pict w14:anchorId="4B78C6B4">
          <v:rect id="_x0000_i1030" style="width:0;height:.75pt" o:hralign="center" o:hrstd="t" o:hr="t" fillcolor="#a0a0a0" stroked="f"/>
        </w:pict>
      </w:r>
    </w:p>
    <w:p w14:paraId="4F046C03" w14:textId="44E453AF"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Theoretical Implications</w:t>
      </w:r>
    </w:p>
    <w:p w14:paraId="77B09F7B" w14:textId="29DCB4B3"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 xml:space="preserve">Advancing the </w:t>
      </w:r>
      <w:r w:rsidR="000A2952" w:rsidRPr="00B92DDE">
        <w:rPr>
          <w:rFonts w:ascii="Times New Roman" w:hAnsi="Times New Roman" w:cs="Times New Roman"/>
          <w:b/>
          <w:bCs/>
        </w:rPr>
        <w:t>Behavioural</w:t>
      </w:r>
      <w:r w:rsidRPr="00B92DDE">
        <w:rPr>
          <w:rFonts w:ascii="Times New Roman" w:hAnsi="Times New Roman" w:cs="Times New Roman"/>
          <w:b/>
          <w:bCs/>
        </w:rPr>
        <w:t xml:space="preserve"> Insurance Literature</w:t>
      </w:r>
    </w:p>
    <w:p w14:paraId="4DE33435" w14:textId="40E47AE4"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Our framework makes a foundational contribution to the emerging field of </w:t>
      </w:r>
      <w:r w:rsidR="00267386" w:rsidRPr="00B92DDE">
        <w:rPr>
          <w:rFonts w:ascii="Times New Roman" w:hAnsi="Times New Roman" w:cs="Times New Roman"/>
        </w:rPr>
        <w:t>behavioural</w:t>
      </w:r>
      <w:r w:rsidRPr="00B92DDE">
        <w:rPr>
          <w:rFonts w:ascii="Times New Roman" w:hAnsi="Times New Roman" w:cs="Times New Roman"/>
        </w:rPr>
        <w:t xml:space="preserve"> insurance by demonstrating that persistency decisions are not purely rational, economic calculations but are profoundly shaped by cognitive biases and psychological mechanisms. While prior research has acknowledged the role of </w:t>
      </w:r>
      <w:proofErr w:type="spellStart"/>
      <w:r w:rsidRPr="00B92DDE">
        <w:rPr>
          <w:rFonts w:ascii="Times New Roman" w:hAnsi="Times New Roman" w:cs="Times New Roman"/>
        </w:rPr>
        <w:t>behavioral</w:t>
      </w:r>
      <w:proofErr w:type="spellEnd"/>
      <w:r w:rsidRPr="00B92DDE">
        <w:rPr>
          <w:rFonts w:ascii="Times New Roman" w:hAnsi="Times New Roman" w:cs="Times New Roman"/>
        </w:rPr>
        <w:t xml:space="preserve"> factors in insurance decisions (e.g., Eling &amp; Kochanski, 2013; </w:t>
      </w:r>
      <w:proofErr w:type="spellStart"/>
      <w:r w:rsidRPr="00B92DDE">
        <w:rPr>
          <w:rFonts w:ascii="Times New Roman" w:hAnsi="Times New Roman" w:cs="Times New Roman"/>
        </w:rPr>
        <w:t>Kiesenbauer</w:t>
      </w:r>
      <w:proofErr w:type="spellEnd"/>
      <w:r w:rsidRPr="00B92DDE">
        <w:rPr>
          <w:rFonts w:ascii="Times New Roman" w:hAnsi="Times New Roman" w:cs="Times New Roman"/>
        </w:rPr>
        <w:t>, 2012), our model provides a systematic theoretical account of </w:t>
      </w:r>
      <w:r w:rsidRPr="00B92DDE">
        <w:rPr>
          <w:rFonts w:ascii="Times New Roman" w:hAnsi="Times New Roman" w:cs="Times New Roman"/>
          <w:i/>
          <w:iCs/>
        </w:rPr>
        <w:t>how</w:t>
      </w:r>
      <w:r w:rsidRPr="00B92DDE">
        <w:rPr>
          <w:rFonts w:ascii="Times New Roman" w:hAnsi="Times New Roman" w:cs="Times New Roman"/>
        </w:rPr>
        <w:t> and </w:t>
      </w:r>
      <w:r w:rsidRPr="00B92DDE">
        <w:rPr>
          <w:rFonts w:ascii="Times New Roman" w:hAnsi="Times New Roman" w:cs="Times New Roman"/>
          <w:i/>
          <w:iCs/>
        </w:rPr>
        <w:t>why</w:t>
      </w:r>
      <w:r w:rsidRPr="00B92DDE">
        <w:rPr>
          <w:rFonts w:ascii="Times New Roman" w:hAnsi="Times New Roman" w:cs="Times New Roman"/>
        </w:rPr>
        <w:t xml:space="preserve"> these biases operate in the specific context of ULIPs. By introducing perceived switching costs as a mediating mechanism and the sunk cost fallacy as its underlying </w:t>
      </w:r>
      <w:r w:rsidR="00267386" w:rsidRPr="00B92DDE">
        <w:rPr>
          <w:rFonts w:ascii="Times New Roman" w:hAnsi="Times New Roman" w:cs="Times New Roman"/>
        </w:rPr>
        <w:t>behavioural</w:t>
      </w:r>
      <w:r w:rsidRPr="00B92DDE">
        <w:rPr>
          <w:rFonts w:ascii="Times New Roman" w:hAnsi="Times New Roman" w:cs="Times New Roman"/>
        </w:rPr>
        <w:t xml:space="preserve"> driver, we move beyond descriptive accounts of </w:t>
      </w:r>
      <w:r w:rsidR="00267386" w:rsidRPr="00B92DDE">
        <w:rPr>
          <w:rFonts w:ascii="Times New Roman" w:hAnsi="Times New Roman" w:cs="Times New Roman"/>
        </w:rPr>
        <w:t>behavioural</w:t>
      </w:r>
      <w:r w:rsidRPr="00B92DDE">
        <w:rPr>
          <w:rFonts w:ascii="Times New Roman" w:hAnsi="Times New Roman" w:cs="Times New Roman"/>
        </w:rPr>
        <w:t xml:space="preserve"> anomalies toward a theoretically grounded explanatory framework.</w:t>
      </w:r>
    </w:p>
    <w:p w14:paraId="2056BF48" w14:textId="4BB585D0" w:rsidR="00B92DDE" w:rsidRDefault="00B92DDE" w:rsidP="00B92DDE">
      <w:pPr>
        <w:jc w:val="both"/>
        <w:rPr>
          <w:rFonts w:ascii="Times New Roman" w:hAnsi="Times New Roman" w:cs="Times New Roman"/>
        </w:rPr>
      </w:pPr>
      <w:r w:rsidRPr="00B92DDE">
        <w:rPr>
          <w:rFonts w:ascii="Times New Roman" w:hAnsi="Times New Roman" w:cs="Times New Roman"/>
        </w:rPr>
        <w:t>Specifically, we extend the application of </w:t>
      </w:r>
      <w:r w:rsidRPr="00B92DDE">
        <w:rPr>
          <w:rFonts w:ascii="Times New Roman" w:hAnsi="Times New Roman" w:cs="Times New Roman"/>
          <w:b/>
          <w:bCs/>
        </w:rPr>
        <w:t>Prospect Theory</w:t>
      </w:r>
      <w:r w:rsidRPr="00B92DDE">
        <w:rPr>
          <w:rFonts w:ascii="Times New Roman" w:hAnsi="Times New Roman" w:cs="Times New Roman"/>
        </w:rPr>
        <w:t> (Kahneman &amp; Tversky, 1979) and the </w:t>
      </w:r>
      <w:r w:rsidRPr="00B92DDE">
        <w:rPr>
          <w:rFonts w:ascii="Times New Roman" w:hAnsi="Times New Roman" w:cs="Times New Roman"/>
          <w:b/>
          <w:bCs/>
        </w:rPr>
        <w:t>sunk cost fallacy</w:t>
      </w:r>
      <w:r w:rsidRPr="00B92DDE">
        <w:rPr>
          <w:rFonts w:ascii="Times New Roman" w:hAnsi="Times New Roman" w:cs="Times New Roman"/>
        </w:rPr>
        <w:t xml:space="preserve"> (Thaler, 1980; Arkes &amp; Blumer, 1985) to the insurance domain. Our model illustrates that the front-loaded cost structure of ULIPs creates a psychological environment where loss aversion is activated, and where the cognitive pain of realizing sunk costs drives irrational commitment. This theoretical extension enriches both the </w:t>
      </w:r>
      <w:r w:rsidR="00267386" w:rsidRPr="00B92DDE">
        <w:rPr>
          <w:rFonts w:ascii="Times New Roman" w:hAnsi="Times New Roman" w:cs="Times New Roman"/>
        </w:rPr>
        <w:t>behavioural</w:t>
      </w:r>
      <w:r w:rsidRPr="00B92DDE">
        <w:rPr>
          <w:rFonts w:ascii="Times New Roman" w:hAnsi="Times New Roman" w:cs="Times New Roman"/>
        </w:rPr>
        <w:t xml:space="preserve"> finance literature and the insurance economics literature by demonstrating the applicability of </w:t>
      </w:r>
      <w:r w:rsidR="00267386" w:rsidRPr="00B92DDE">
        <w:rPr>
          <w:rFonts w:ascii="Times New Roman" w:hAnsi="Times New Roman" w:cs="Times New Roman"/>
        </w:rPr>
        <w:t>behavioural</w:t>
      </w:r>
      <w:r w:rsidRPr="00B92DDE">
        <w:rPr>
          <w:rFonts w:ascii="Times New Roman" w:hAnsi="Times New Roman" w:cs="Times New Roman"/>
        </w:rPr>
        <w:t xml:space="preserve"> constructs in a product context that has traditionally been </w:t>
      </w:r>
      <w:r w:rsidR="00267386" w:rsidRPr="00B92DDE">
        <w:rPr>
          <w:rFonts w:ascii="Times New Roman" w:hAnsi="Times New Roman" w:cs="Times New Roman"/>
        </w:rPr>
        <w:t>analysed</w:t>
      </w:r>
      <w:r w:rsidRPr="00B92DDE">
        <w:rPr>
          <w:rFonts w:ascii="Times New Roman" w:hAnsi="Times New Roman" w:cs="Times New Roman"/>
        </w:rPr>
        <w:t xml:space="preserve"> through rational-choice lenses.</w:t>
      </w:r>
    </w:p>
    <w:p w14:paraId="46D3AE0C" w14:textId="4FDA178A" w:rsidR="00287955" w:rsidRPr="00B92DDE" w:rsidRDefault="00000000" w:rsidP="00B92DDE">
      <w:pPr>
        <w:jc w:val="both"/>
        <w:rPr>
          <w:rFonts w:ascii="Times New Roman" w:hAnsi="Times New Roman" w:cs="Times New Roman"/>
        </w:rPr>
      </w:pPr>
      <w:r>
        <w:rPr>
          <w:rFonts w:ascii="Times New Roman" w:hAnsi="Times New Roman" w:cs="Times New Roman"/>
        </w:rPr>
        <w:lastRenderedPageBreak/>
        <w:pict w14:anchorId="41C8CFD6">
          <v:rect id="_x0000_i1031" style="width:0;height:.75pt" o:hralign="center" o:hrstd="t" o:hr="t" fillcolor="#a0a0a0" stroked="f"/>
        </w:pict>
      </w:r>
    </w:p>
    <w:p w14:paraId="3AF4E175" w14:textId="18D1D4FB"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Integrating Insurance Economics with Information Systems Theory</w:t>
      </w:r>
    </w:p>
    <w:p w14:paraId="5F7A1719"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Perhaps our most significant theoretical contribution lies in the integration of insurance economics with information systems theory, specifically the </w:t>
      </w:r>
      <w:r w:rsidRPr="00B92DDE">
        <w:rPr>
          <w:rFonts w:ascii="Times New Roman" w:hAnsi="Times New Roman" w:cs="Times New Roman"/>
          <w:b/>
          <w:bCs/>
        </w:rPr>
        <w:t>Technology Acceptance Model (TAM)</w:t>
      </w:r>
      <w:r w:rsidRPr="00B92DDE">
        <w:rPr>
          <w:rFonts w:ascii="Times New Roman" w:hAnsi="Times New Roman" w:cs="Times New Roman"/>
        </w:rPr>
        <w:t xml:space="preserve"> (Davis, 1989). By positioning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as a critical moderator, we bridge two scholarly domains that have largely developed in isolation. This integration is timely and relevant, given the accelerating digital transformation of financial services.</w:t>
      </w:r>
    </w:p>
    <w:p w14:paraId="69D512DD" w14:textId="495ACD28"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Our moderated-mediation framework demonstrates that technology does not merely facilitate operational efficiency but fundamentally reshapes the psychological and informational environment in which investors make decisions. By enhancing transparency, reducing information asymmetry, and enabling cognitive reframing through </w:t>
      </w:r>
      <w:proofErr w:type="spellStart"/>
      <w:r w:rsidRPr="00B92DDE">
        <w:rPr>
          <w:rFonts w:ascii="Times New Roman" w:hAnsi="Times New Roman" w:cs="Times New Roman"/>
        </w:rPr>
        <w:t>robo</w:t>
      </w:r>
      <w:proofErr w:type="spellEnd"/>
      <w:r w:rsidRPr="00B92DDE">
        <w:rPr>
          <w:rFonts w:ascii="Times New Roman" w:hAnsi="Times New Roman" w:cs="Times New Roman"/>
        </w:rPr>
        <w:t xml:space="preserve">-advisory and </w:t>
      </w:r>
      <w:r w:rsidR="00267386" w:rsidRPr="00B92DDE">
        <w:rPr>
          <w:rFonts w:ascii="Times New Roman" w:hAnsi="Times New Roman" w:cs="Times New Roman"/>
        </w:rPr>
        <w:t>behavioural</w:t>
      </w:r>
      <w:r w:rsidRPr="00B92DDE">
        <w:rPr>
          <w:rFonts w:ascii="Times New Roman" w:hAnsi="Times New Roman" w:cs="Times New Roman"/>
        </w:rPr>
        <w:t xml:space="preserve"> nudging,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alters the very mechanisms through which cost structures influence </w:t>
      </w:r>
      <w:r w:rsidR="00267386" w:rsidRPr="00B92DDE">
        <w:rPr>
          <w:rFonts w:ascii="Times New Roman" w:hAnsi="Times New Roman" w:cs="Times New Roman"/>
        </w:rPr>
        <w:t>behaviour</w:t>
      </w:r>
      <w:r w:rsidRPr="00B92DDE">
        <w:rPr>
          <w:rFonts w:ascii="Times New Roman" w:hAnsi="Times New Roman" w:cs="Times New Roman"/>
        </w:rPr>
        <w:t>. This insight contributes to the growing body of literature on </w:t>
      </w:r>
      <w:r w:rsidRPr="00B92DDE">
        <w:rPr>
          <w:rFonts w:ascii="Times New Roman" w:hAnsi="Times New Roman" w:cs="Times New Roman"/>
          <w:b/>
          <w:bCs/>
        </w:rPr>
        <w:t xml:space="preserve">FinTech and </w:t>
      </w:r>
      <w:proofErr w:type="spellStart"/>
      <w:r w:rsidRPr="00B92DDE">
        <w:rPr>
          <w:rFonts w:ascii="Times New Roman" w:hAnsi="Times New Roman" w:cs="Times New Roman"/>
          <w:b/>
          <w:bCs/>
        </w:rPr>
        <w:t>InsurTech</w:t>
      </w:r>
      <w:proofErr w:type="spellEnd"/>
      <w:r w:rsidRPr="00B92DDE">
        <w:rPr>
          <w:rFonts w:ascii="Times New Roman" w:hAnsi="Times New Roman" w:cs="Times New Roman"/>
        </w:rPr>
        <w:t xml:space="preserve"> (e.g., </w:t>
      </w:r>
      <w:proofErr w:type="spellStart"/>
      <w:r w:rsidRPr="00B92DDE">
        <w:rPr>
          <w:rFonts w:ascii="Times New Roman" w:hAnsi="Times New Roman" w:cs="Times New Roman"/>
        </w:rPr>
        <w:t>Stoeckli</w:t>
      </w:r>
      <w:proofErr w:type="spellEnd"/>
      <w:r w:rsidRPr="00B92DDE">
        <w:rPr>
          <w:rFonts w:ascii="Times New Roman" w:hAnsi="Times New Roman" w:cs="Times New Roman"/>
        </w:rPr>
        <w:t xml:space="preserve"> et al., 2018; Eling &amp; Lehmann, 2018; Wang, 2020) by moving beyond descriptive accounts of technological adoption toward a nuanced understanding of technology's </w:t>
      </w:r>
      <w:r w:rsidRPr="00B92DDE">
        <w:rPr>
          <w:rFonts w:ascii="Times New Roman" w:hAnsi="Times New Roman" w:cs="Times New Roman"/>
          <w:i/>
          <w:iCs/>
        </w:rPr>
        <w:t>moderating</w:t>
      </w:r>
      <w:r w:rsidRPr="00B92DDE">
        <w:rPr>
          <w:rFonts w:ascii="Times New Roman" w:hAnsi="Times New Roman" w:cs="Times New Roman"/>
        </w:rPr>
        <w:t xml:space="preserve"> effects on consumer </w:t>
      </w:r>
      <w:r w:rsidR="00267386" w:rsidRPr="00B92DDE">
        <w:rPr>
          <w:rFonts w:ascii="Times New Roman" w:hAnsi="Times New Roman" w:cs="Times New Roman"/>
        </w:rPr>
        <w:t>behaviour</w:t>
      </w:r>
      <w:r w:rsidRPr="00B92DDE">
        <w:rPr>
          <w:rFonts w:ascii="Times New Roman" w:hAnsi="Times New Roman" w:cs="Times New Roman"/>
        </w:rPr>
        <w:t>.</w:t>
      </w:r>
    </w:p>
    <w:p w14:paraId="2E41A0FF" w14:textId="6F7946CC"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Reconceptualizing Persistency as a Multi-Dimensional Outcome</w:t>
      </w:r>
    </w:p>
    <w:p w14:paraId="26CA2204" w14:textId="5C4D3C32" w:rsidR="00B92DDE" w:rsidRPr="00B92DDE" w:rsidRDefault="00B92DDE" w:rsidP="00B92DDE">
      <w:pPr>
        <w:jc w:val="both"/>
        <w:rPr>
          <w:rFonts w:ascii="Times New Roman" w:hAnsi="Times New Roman" w:cs="Times New Roman"/>
        </w:rPr>
      </w:pPr>
      <w:r w:rsidRPr="00B92DDE">
        <w:rPr>
          <w:rFonts w:ascii="Times New Roman" w:hAnsi="Times New Roman" w:cs="Times New Roman"/>
        </w:rPr>
        <w:t>Our framework challenges the traditional conceptualization of persistency as a monolithic outcome driven primarily by economic incentives. We distinguish between two qualitatively distinct forms of persistency: </w:t>
      </w:r>
      <w:r w:rsidRPr="00B92DDE">
        <w:rPr>
          <w:rFonts w:ascii="Times New Roman" w:hAnsi="Times New Roman" w:cs="Times New Roman"/>
          <w:b/>
          <w:bCs/>
        </w:rPr>
        <w:t>cost-induced lock-in</w:t>
      </w:r>
      <w:r w:rsidRPr="00B92DDE">
        <w:rPr>
          <w:rFonts w:ascii="Times New Roman" w:hAnsi="Times New Roman" w:cs="Times New Roman"/>
        </w:rPr>
        <w:t xml:space="preserve"> (negative, fragile, and rooted in </w:t>
      </w:r>
      <w:r w:rsidR="00267386" w:rsidRPr="00B92DDE">
        <w:rPr>
          <w:rFonts w:ascii="Times New Roman" w:hAnsi="Times New Roman" w:cs="Times New Roman"/>
        </w:rPr>
        <w:t>behavioural</w:t>
      </w:r>
      <w:r w:rsidRPr="00B92DDE">
        <w:rPr>
          <w:rFonts w:ascii="Times New Roman" w:hAnsi="Times New Roman" w:cs="Times New Roman"/>
        </w:rPr>
        <w:t xml:space="preserve"> biases) and </w:t>
      </w:r>
      <w:r w:rsidRPr="00B92DDE">
        <w:rPr>
          <w:rFonts w:ascii="Times New Roman" w:hAnsi="Times New Roman" w:cs="Times New Roman"/>
          <w:b/>
          <w:bCs/>
        </w:rPr>
        <w:t>value-induced loyalty</w:t>
      </w:r>
      <w:r w:rsidRPr="00B92DDE">
        <w:rPr>
          <w:rFonts w:ascii="Times New Roman" w:hAnsi="Times New Roman" w:cs="Times New Roman"/>
        </w:rPr>
        <w:t> (positive, durable, and rooted in rational engagement). This distinction has important theoretical implications. It suggests that not all persistency is equally valuable to insurers. Persistency driven by cost-induced lock-in may be unstable, as investors may lapse as soon as the lock-in period expires or when a more attractive alternative emerges. Conversely, persistency driven by value-induced loyalty is more sustainable and contributes to long-term customer lifetime value.</w:t>
      </w:r>
    </w:p>
    <w:p w14:paraId="3387C2F4"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This reconceptualization opens new avenues for theoretical development, inviting researchers to explore the antecedents, consequences, and boundary conditions of these distinct persistency types. It also aligns with the broader marketing literature on customer retention, which distinguishes between "true loyalty" and "spurious loyalty" (Dick &amp; Basu, 1994; Jones et al., 2000).</w:t>
      </w:r>
    </w:p>
    <w:p w14:paraId="7A4ED9C3" w14:textId="4D20696D"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Extending Agency Theory to the Digital Context</w:t>
      </w:r>
    </w:p>
    <w:p w14:paraId="3E0506D9" w14:textId="77777777" w:rsidR="00B92DDE" w:rsidRDefault="00B92DDE" w:rsidP="00B92DDE">
      <w:pPr>
        <w:jc w:val="both"/>
        <w:rPr>
          <w:rFonts w:ascii="Times New Roman" w:hAnsi="Times New Roman" w:cs="Times New Roman"/>
        </w:rPr>
      </w:pPr>
      <w:r w:rsidRPr="00B92DDE">
        <w:rPr>
          <w:rFonts w:ascii="Times New Roman" w:hAnsi="Times New Roman" w:cs="Times New Roman"/>
        </w:rPr>
        <w:t>Finally, our framework extends </w:t>
      </w:r>
      <w:r w:rsidRPr="00B92DDE">
        <w:rPr>
          <w:rFonts w:ascii="Times New Roman" w:hAnsi="Times New Roman" w:cs="Times New Roman"/>
          <w:b/>
          <w:bCs/>
        </w:rPr>
        <w:t>agency theory</w:t>
      </w:r>
      <w:r w:rsidRPr="00B92DDE">
        <w:rPr>
          <w:rFonts w:ascii="Times New Roman" w:hAnsi="Times New Roman" w:cs="Times New Roman"/>
        </w:rPr>
        <w:t xml:space="preserve"> by demonstrating how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can mitigate agency problems in insurance relationships. Traditional agency theory in insurance has focused on the misalignment of incentives between insurers, intermediaries, and policyholders, particularly concerning commission structures and mis-selling (Bhattacharya &amp; Gursoy, 2019; </w:t>
      </w:r>
      <w:proofErr w:type="spellStart"/>
      <w:r w:rsidRPr="00B92DDE">
        <w:rPr>
          <w:rFonts w:ascii="Times New Roman" w:hAnsi="Times New Roman" w:cs="Times New Roman"/>
        </w:rPr>
        <w:t>Outreville</w:t>
      </w:r>
      <w:proofErr w:type="spellEnd"/>
      <w:r w:rsidRPr="00B92DDE">
        <w:rPr>
          <w:rFonts w:ascii="Times New Roman" w:hAnsi="Times New Roman" w:cs="Times New Roman"/>
        </w:rPr>
        <w:t xml:space="preserve">, 2011). Our model suggests that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—by enhancing transparency, providing personalized advice, and reducing information asymmetry—can serve as a governance mechanism that attenuates agency conflicts. This extension enriches agency theory by </w:t>
      </w:r>
      <w:r w:rsidRPr="00B92DDE">
        <w:rPr>
          <w:rFonts w:ascii="Times New Roman" w:hAnsi="Times New Roman" w:cs="Times New Roman"/>
        </w:rPr>
        <w:lastRenderedPageBreak/>
        <w:t>incorporating technological capabilities as a contextual factor that shapes the effectiveness of contractual mechanisms.</w:t>
      </w:r>
    </w:p>
    <w:p w14:paraId="4CFAAF24" w14:textId="39C90487" w:rsidR="00287955" w:rsidRPr="00B92DDE" w:rsidRDefault="00000000" w:rsidP="00B92DDE">
      <w:pPr>
        <w:jc w:val="both"/>
        <w:rPr>
          <w:rFonts w:ascii="Times New Roman" w:hAnsi="Times New Roman" w:cs="Times New Roman"/>
        </w:rPr>
      </w:pPr>
      <w:r>
        <w:rPr>
          <w:rFonts w:ascii="Times New Roman" w:hAnsi="Times New Roman" w:cs="Times New Roman"/>
        </w:rPr>
        <w:pict w14:anchorId="481DC986">
          <v:rect id="_x0000_i1032" style="width:0;height:.75pt" o:hralign="center" o:hrstd="t" o:hr="t" fillcolor="#a0a0a0" stroked="f"/>
        </w:pict>
      </w:r>
    </w:p>
    <w:p w14:paraId="61E49A28" w14:textId="289BC1B7"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Practical Implications</w:t>
      </w:r>
    </w:p>
    <w:p w14:paraId="19FADCE1" w14:textId="7A634379"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Implications for Insurance Product Design</w:t>
      </w:r>
    </w:p>
    <w:p w14:paraId="47F8703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For insurance product designers and actuaries, our framework offers critical insights into the strategic design of ULIP cost structures. While front-loaded costs have traditionally been justified as a necessary mechanism to recover acquisition expenses and ensure long-term persistency, our model suggests that this rationale is contingent upon the technological environment.</w:t>
      </w:r>
    </w:p>
    <w:p w14:paraId="20F6BF7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In contexts with </w:t>
      </w:r>
      <w:r w:rsidRPr="00B92DDE">
        <w:rPr>
          <w:rFonts w:ascii="Times New Roman" w:hAnsi="Times New Roman" w:cs="Times New Roman"/>
          <w:b/>
          <w:bCs/>
        </w:rPr>
        <w:t xml:space="preserve">low </w:t>
      </w:r>
      <w:proofErr w:type="spellStart"/>
      <w:r w:rsidRPr="00B92DDE">
        <w:rPr>
          <w:rFonts w:ascii="Times New Roman" w:hAnsi="Times New Roman" w:cs="Times New Roman"/>
          <w:b/>
          <w:bCs/>
        </w:rPr>
        <w:t>InsurTech</w:t>
      </w:r>
      <w:proofErr w:type="spellEnd"/>
      <w:r w:rsidRPr="00B92DDE">
        <w:rPr>
          <w:rFonts w:ascii="Times New Roman" w:hAnsi="Times New Roman" w:cs="Times New Roman"/>
          <w:b/>
          <w:bCs/>
        </w:rPr>
        <w:t xml:space="preserve"> adoption</w:t>
      </w:r>
      <w:r w:rsidRPr="00B92DDE">
        <w:rPr>
          <w:rFonts w:ascii="Times New Roman" w:hAnsi="Times New Roman" w:cs="Times New Roman"/>
        </w:rPr>
        <w:t>, insurers may rely more heavily on front-loaded costs and surrender penalties to achieve persistency through cost-induced lock-in. However, this strategy carries significant risks, including regulatory scrutiny (as seen with IRDAI's caps on initial charges), reputational damage, and the potential for post-lock-in mass lapses.</w:t>
      </w:r>
    </w:p>
    <w:p w14:paraId="351BC98A" w14:textId="3CCAD9C2" w:rsidR="00B92DDE" w:rsidRPr="00B92DDE" w:rsidRDefault="00B92DDE" w:rsidP="00B92DDE">
      <w:pPr>
        <w:jc w:val="both"/>
        <w:rPr>
          <w:rFonts w:ascii="Times New Roman" w:hAnsi="Times New Roman" w:cs="Times New Roman"/>
        </w:rPr>
      </w:pPr>
      <w:r w:rsidRPr="00B92DDE">
        <w:rPr>
          <w:rFonts w:ascii="Times New Roman" w:hAnsi="Times New Roman" w:cs="Times New Roman"/>
        </w:rPr>
        <w:t>In contexts with </w:t>
      </w:r>
      <w:r w:rsidRPr="00B92DDE">
        <w:rPr>
          <w:rFonts w:ascii="Times New Roman" w:hAnsi="Times New Roman" w:cs="Times New Roman"/>
          <w:b/>
          <w:bCs/>
        </w:rPr>
        <w:t xml:space="preserve">high </w:t>
      </w:r>
      <w:proofErr w:type="spellStart"/>
      <w:r w:rsidRPr="00B92DDE">
        <w:rPr>
          <w:rFonts w:ascii="Times New Roman" w:hAnsi="Times New Roman" w:cs="Times New Roman"/>
          <w:b/>
          <w:bCs/>
        </w:rPr>
        <w:t>InsurTech</w:t>
      </w:r>
      <w:proofErr w:type="spellEnd"/>
      <w:r w:rsidRPr="00B92DDE">
        <w:rPr>
          <w:rFonts w:ascii="Times New Roman" w:hAnsi="Times New Roman" w:cs="Times New Roman"/>
          <w:b/>
          <w:bCs/>
        </w:rPr>
        <w:t xml:space="preserve"> adoption</w:t>
      </w:r>
      <w:r w:rsidRPr="00B92DDE">
        <w:rPr>
          <w:rFonts w:ascii="Times New Roman" w:hAnsi="Times New Roman" w:cs="Times New Roman"/>
        </w:rPr>
        <w:t xml:space="preserve">, insurers have greater flexibility in designing cost structures. Because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can foster value-induced loyalty through transparency, education, and personalized engagement, insurers may consider </w:t>
      </w:r>
      <w:r w:rsidRPr="00B92DDE">
        <w:rPr>
          <w:rFonts w:ascii="Times New Roman" w:hAnsi="Times New Roman" w:cs="Times New Roman"/>
          <w:b/>
          <w:bCs/>
        </w:rPr>
        <w:t>reducing front-loaded charges</w:t>
      </w:r>
      <w:r w:rsidRPr="00B92DDE">
        <w:rPr>
          <w:rFonts w:ascii="Times New Roman" w:hAnsi="Times New Roman" w:cs="Times New Roman"/>
        </w:rPr>
        <w:t xml:space="preserve"> in </w:t>
      </w:r>
      <w:r w:rsidR="00267386">
        <w:rPr>
          <w:rFonts w:ascii="Times New Roman" w:hAnsi="Times New Roman" w:cs="Times New Roman"/>
        </w:rPr>
        <w:t xml:space="preserve">favour </w:t>
      </w:r>
      <w:r w:rsidRPr="00B92DDE">
        <w:rPr>
          <w:rFonts w:ascii="Times New Roman" w:hAnsi="Times New Roman" w:cs="Times New Roman"/>
        </w:rPr>
        <w:t xml:space="preserve">of more back-ended or spread-out fee structures. This approach could enhance customer trust, reduce regulatory risk, and attract more financially sophisticated investors who are deterred by high initial costs. Furthermore, insurers can leverage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to develop </w:t>
      </w:r>
      <w:r w:rsidRPr="00B92DDE">
        <w:rPr>
          <w:rFonts w:ascii="Times New Roman" w:hAnsi="Times New Roman" w:cs="Times New Roman"/>
          <w:b/>
          <w:bCs/>
        </w:rPr>
        <w:t>dynamic pricing models</w:t>
      </w:r>
      <w:r w:rsidRPr="00B92DDE">
        <w:rPr>
          <w:rFonts w:ascii="Times New Roman" w:hAnsi="Times New Roman" w:cs="Times New Roman"/>
        </w:rPr>
        <w:t> that adjust fees based on investor engagement levels, rewarding digitally active investors with lower costs.</w:t>
      </w:r>
    </w:p>
    <w:p w14:paraId="060F8B67" w14:textId="5C0AE262"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Implications for Customer Relationship Management (CRM) and Retention Strategies</w:t>
      </w:r>
    </w:p>
    <w:p w14:paraId="1D63A0D9"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Our findings have direct implications for CRM strategies. Traditional retention strategies have focused on financial incentives (e.g., loyalty bonuses) and contractual barriers (e.g., surrender penalties). While these remain relevant, our framework suggests that </w:t>
      </w:r>
      <w:r w:rsidRPr="00B92DDE">
        <w:rPr>
          <w:rFonts w:ascii="Times New Roman" w:hAnsi="Times New Roman" w:cs="Times New Roman"/>
          <w:b/>
          <w:bCs/>
        </w:rPr>
        <w:t>psychological engagement</w:t>
      </w:r>
      <w:r w:rsidRPr="00B92DDE">
        <w:rPr>
          <w:rFonts w:ascii="Times New Roman" w:hAnsi="Times New Roman" w:cs="Times New Roman"/>
        </w:rPr>
        <w:t> and </w:t>
      </w:r>
      <w:r w:rsidRPr="00B92DDE">
        <w:rPr>
          <w:rFonts w:ascii="Times New Roman" w:hAnsi="Times New Roman" w:cs="Times New Roman"/>
          <w:b/>
          <w:bCs/>
        </w:rPr>
        <w:t>perceived value</w:t>
      </w:r>
      <w:r w:rsidRPr="00B92DDE">
        <w:rPr>
          <w:rFonts w:ascii="Times New Roman" w:hAnsi="Times New Roman" w:cs="Times New Roman"/>
        </w:rPr>
        <w:t> are equally—if not more—important drivers of long-term persistency.</w:t>
      </w:r>
    </w:p>
    <w:p w14:paraId="121E61A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Insurers should invest in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platforms that:</w:t>
      </w:r>
    </w:p>
    <w:p w14:paraId="3295F035" w14:textId="77777777" w:rsidR="00B92DDE" w:rsidRPr="00B92DDE" w:rsidRDefault="00B92DDE" w:rsidP="00B92DDE">
      <w:pPr>
        <w:numPr>
          <w:ilvl w:val="0"/>
          <w:numId w:val="4"/>
        </w:numPr>
        <w:jc w:val="both"/>
        <w:rPr>
          <w:rFonts w:ascii="Times New Roman" w:hAnsi="Times New Roman" w:cs="Times New Roman"/>
        </w:rPr>
      </w:pPr>
      <w:r w:rsidRPr="00B92DDE">
        <w:rPr>
          <w:rFonts w:ascii="Times New Roman" w:hAnsi="Times New Roman" w:cs="Times New Roman"/>
          <w:b/>
          <w:bCs/>
        </w:rPr>
        <w:t>Provide real-time, transparent visualizations</w:t>
      </w:r>
      <w:r w:rsidRPr="00B92DDE">
        <w:rPr>
          <w:rFonts w:ascii="Times New Roman" w:hAnsi="Times New Roman" w:cs="Times New Roman"/>
        </w:rPr>
        <w:t> of policy performance, cost breakdowns, and projected future values.</w:t>
      </w:r>
    </w:p>
    <w:p w14:paraId="3D2CEA3C" w14:textId="77777777" w:rsidR="00B92DDE" w:rsidRPr="00B92DDE" w:rsidRDefault="00B92DDE" w:rsidP="00B92DDE">
      <w:pPr>
        <w:numPr>
          <w:ilvl w:val="0"/>
          <w:numId w:val="4"/>
        </w:numPr>
        <w:jc w:val="both"/>
        <w:rPr>
          <w:rFonts w:ascii="Times New Roman" w:hAnsi="Times New Roman" w:cs="Times New Roman"/>
        </w:rPr>
      </w:pPr>
      <w:r w:rsidRPr="00B92DDE">
        <w:rPr>
          <w:rFonts w:ascii="Times New Roman" w:hAnsi="Times New Roman" w:cs="Times New Roman"/>
          <w:b/>
          <w:bCs/>
        </w:rPr>
        <w:t xml:space="preserve">Offer personalized </w:t>
      </w:r>
      <w:proofErr w:type="spellStart"/>
      <w:r w:rsidRPr="00B92DDE">
        <w:rPr>
          <w:rFonts w:ascii="Times New Roman" w:hAnsi="Times New Roman" w:cs="Times New Roman"/>
          <w:b/>
          <w:bCs/>
        </w:rPr>
        <w:t>robo</w:t>
      </w:r>
      <w:proofErr w:type="spellEnd"/>
      <w:r w:rsidRPr="00B92DDE">
        <w:rPr>
          <w:rFonts w:ascii="Times New Roman" w:hAnsi="Times New Roman" w:cs="Times New Roman"/>
          <w:b/>
          <w:bCs/>
        </w:rPr>
        <w:t>-advisory services</w:t>
      </w:r>
      <w:r w:rsidRPr="00B92DDE">
        <w:rPr>
          <w:rFonts w:ascii="Times New Roman" w:hAnsi="Times New Roman" w:cs="Times New Roman"/>
        </w:rPr>
        <w:t> that contextualize costs within the investor's broader financial goals and risk profile.</w:t>
      </w:r>
    </w:p>
    <w:p w14:paraId="7F22D67C" w14:textId="01CCCD9B" w:rsidR="00B92DDE" w:rsidRPr="00B92DDE" w:rsidRDefault="00B92DDE" w:rsidP="00B92DDE">
      <w:pPr>
        <w:numPr>
          <w:ilvl w:val="0"/>
          <w:numId w:val="4"/>
        </w:numPr>
        <w:jc w:val="both"/>
        <w:rPr>
          <w:rFonts w:ascii="Times New Roman" w:hAnsi="Times New Roman" w:cs="Times New Roman"/>
        </w:rPr>
      </w:pPr>
      <w:r w:rsidRPr="00B92DDE">
        <w:rPr>
          <w:rFonts w:ascii="Times New Roman" w:hAnsi="Times New Roman" w:cs="Times New Roman"/>
          <w:b/>
          <w:bCs/>
        </w:rPr>
        <w:t xml:space="preserve">Implement </w:t>
      </w:r>
      <w:r w:rsidR="00267386" w:rsidRPr="00B92DDE">
        <w:rPr>
          <w:rFonts w:ascii="Times New Roman" w:hAnsi="Times New Roman" w:cs="Times New Roman"/>
          <w:b/>
          <w:bCs/>
        </w:rPr>
        <w:t>behavioural</w:t>
      </w:r>
      <w:r w:rsidRPr="00B92DDE">
        <w:rPr>
          <w:rFonts w:ascii="Times New Roman" w:hAnsi="Times New Roman" w:cs="Times New Roman"/>
          <w:b/>
          <w:bCs/>
        </w:rPr>
        <w:t xml:space="preserve"> nudges</w:t>
      </w:r>
      <w:r w:rsidRPr="00B92DDE">
        <w:rPr>
          <w:rFonts w:ascii="Times New Roman" w:hAnsi="Times New Roman" w:cs="Times New Roman"/>
        </w:rPr>
        <w:t>—such as personalized reminders, milestone celebrations, and educational content—that foster positive engagement and reinforce the long-term value proposition.</w:t>
      </w:r>
    </w:p>
    <w:p w14:paraId="768B5951" w14:textId="77777777" w:rsidR="00B92DDE" w:rsidRPr="00B92DDE" w:rsidRDefault="00B92DDE" w:rsidP="00B92DDE">
      <w:pPr>
        <w:numPr>
          <w:ilvl w:val="0"/>
          <w:numId w:val="4"/>
        </w:numPr>
        <w:jc w:val="both"/>
        <w:rPr>
          <w:rFonts w:ascii="Times New Roman" w:hAnsi="Times New Roman" w:cs="Times New Roman"/>
        </w:rPr>
      </w:pPr>
      <w:r w:rsidRPr="00B92DDE">
        <w:rPr>
          <w:rFonts w:ascii="Times New Roman" w:hAnsi="Times New Roman" w:cs="Times New Roman"/>
          <w:b/>
          <w:bCs/>
        </w:rPr>
        <w:lastRenderedPageBreak/>
        <w:t>Gamify the investor experience</w:t>
      </w:r>
      <w:r w:rsidRPr="00B92DDE">
        <w:rPr>
          <w:rFonts w:ascii="Times New Roman" w:hAnsi="Times New Roman" w:cs="Times New Roman"/>
        </w:rPr>
        <w:t> to sustain engagement, build trust, and reduce the emotional salience of sunk costs.</w:t>
      </w:r>
    </w:p>
    <w:p w14:paraId="5AEE6572"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Crucially, these strategies should be tailored to different investor segments. For less financially sophisticated investors who may be more susceptible to the sunk cost fallacy, enhanced transparency and education may be particularly effective in reducing anxiety and preventing irrational lapses. For more sophisticated investors, advanced analytics and personalized recommendations may be more appropriate.</w:t>
      </w:r>
    </w:p>
    <w:p w14:paraId="06B6AB59" w14:textId="0AB4FAEC"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Implications for Regulatory Policy</w:t>
      </w:r>
    </w:p>
    <w:p w14:paraId="28D81C2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Our framework offers important insights for regulators concerned with investor protection and market stability. Regulators have historically focused on capping charges, mandating disclosure, and enforcing cooling-off periods to protect investors from excessive costs and mis-selling. While these measures are valuable, our model suggests that regulators should also consider the role of digital infrastructure in enhancing investor outcomes.</w:t>
      </w:r>
    </w:p>
    <w:p w14:paraId="05BC94BB"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Specifically, regulators could:</w:t>
      </w:r>
    </w:p>
    <w:p w14:paraId="2EA282E1" w14:textId="77777777" w:rsidR="00B92DDE" w:rsidRPr="00B92DDE" w:rsidRDefault="00B92DDE" w:rsidP="00B92DDE">
      <w:pPr>
        <w:numPr>
          <w:ilvl w:val="0"/>
          <w:numId w:val="5"/>
        </w:numPr>
        <w:jc w:val="both"/>
        <w:rPr>
          <w:rFonts w:ascii="Times New Roman" w:hAnsi="Times New Roman" w:cs="Times New Roman"/>
        </w:rPr>
      </w:pPr>
      <w:r w:rsidRPr="00B92DDE">
        <w:rPr>
          <w:rFonts w:ascii="Times New Roman" w:hAnsi="Times New Roman" w:cs="Times New Roman"/>
          <w:b/>
          <w:bCs/>
        </w:rPr>
        <w:t>Mandate minimum standards for digital transparency</w:t>
      </w:r>
      <w:r w:rsidRPr="00B92DDE">
        <w:rPr>
          <w:rFonts w:ascii="Times New Roman" w:hAnsi="Times New Roman" w:cs="Times New Roman"/>
        </w:rPr>
        <w:t>, requiring insurers to provide user-friendly, real-time dashboards that clearly visualize cost structures, surrender penalties, and projected returns.</w:t>
      </w:r>
    </w:p>
    <w:p w14:paraId="2B83CD61" w14:textId="77777777" w:rsidR="00B92DDE" w:rsidRPr="00B92DDE" w:rsidRDefault="00B92DDE" w:rsidP="00B92DDE">
      <w:pPr>
        <w:numPr>
          <w:ilvl w:val="0"/>
          <w:numId w:val="5"/>
        </w:numPr>
        <w:jc w:val="both"/>
        <w:rPr>
          <w:rFonts w:ascii="Times New Roman" w:hAnsi="Times New Roman" w:cs="Times New Roman"/>
        </w:rPr>
      </w:pPr>
      <w:r w:rsidRPr="00B92DDE">
        <w:rPr>
          <w:rFonts w:ascii="Times New Roman" w:hAnsi="Times New Roman" w:cs="Times New Roman"/>
          <w:b/>
          <w:bCs/>
        </w:rPr>
        <w:t xml:space="preserve">Promote the adoption of </w:t>
      </w:r>
      <w:proofErr w:type="spellStart"/>
      <w:r w:rsidRPr="00B92DDE">
        <w:rPr>
          <w:rFonts w:ascii="Times New Roman" w:hAnsi="Times New Roman" w:cs="Times New Roman"/>
          <w:b/>
          <w:bCs/>
        </w:rPr>
        <w:t>robo</w:t>
      </w:r>
      <w:proofErr w:type="spellEnd"/>
      <w:r w:rsidRPr="00B92DDE">
        <w:rPr>
          <w:rFonts w:ascii="Times New Roman" w:hAnsi="Times New Roman" w:cs="Times New Roman"/>
          <w:b/>
          <w:bCs/>
        </w:rPr>
        <w:t>-advisory and educational tools</w:t>
      </w:r>
      <w:r w:rsidRPr="00B92DDE">
        <w:rPr>
          <w:rFonts w:ascii="Times New Roman" w:hAnsi="Times New Roman" w:cs="Times New Roman"/>
        </w:rPr>
        <w:t> as a complement to traditional disclosure requirements, recognizing that transparency alone is insufficient if investors do not engage with or understand the information.</w:t>
      </w:r>
    </w:p>
    <w:p w14:paraId="7A6ABB55" w14:textId="77777777" w:rsidR="00B92DDE" w:rsidRPr="00B92DDE" w:rsidRDefault="00B92DDE" w:rsidP="00B92DDE">
      <w:pPr>
        <w:numPr>
          <w:ilvl w:val="0"/>
          <w:numId w:val="5"/>
        </w:numPr>
        <w:jc w:val="both"/>
        <w:rPr>
          <w:rFonts w:ascii="Times New Roman" w:hAnsi="Times New Roman" w:cs="Times New Roman"/>
        </w:rPr>
      </w:pPr>
      <w:r w:rsidRPr="00B92DDE">
        <w:rPr>
          <w:rFonts w:ascii="Times New Roman" w:hAnsi="Times New Roman" w:cs="Times New Roman"/>
          <w:b/>
          <w:bCs/>
        </w:rPr>
        <w:t>Encourage the development of industry-wide digital platforms</w:t>
      </w:r>
      <w:r w:rsidRPr="00B92DDE">
        <w:rPr>
          <w:rFonts w:ascii="Times New Roman" w:hAnsi="Times New Roman" w:cs="Times New Roman"/>
        </w:rPr>
        <w:t> that enable investors to compare ULIP products, switch providers seamlessly, and access independent advice.</w:t>
      </w:r>
    </w:p>
    <w:p w14:paraId="6BA19573" w14:textId="77777777" w:rsidR="00B92DDE" w:rsidRPr="00B92DDE" w:rsidRDefault="00B92DDE" w:rsidP="00B92DDE">
      <w:pPr>
        <w:numPr>
          <w:ilvl w:val="0"/>
          <w:numId w:val="5"/>
        </w:numPr>
        <w:jc w:val="both"/>
        <w:rPr>
          <w:rFonts w:ascii="Times New Roman" w:hAnsi="Times New Roman" w:cs="Times New Roman"/>
        </w:rPr>
      </w:pPr>
      <w:r w:rsidRPr="00B92DDE">
        <w:rPr>
          <w:rFonts w:ascii="Times New Roman" w:hAnsi="Times New Roman" w:cs="Times New Roman"/>
          <w:b/>
          <w:bCs/>
        </w:rPr>
        <w:t>Monitor the distribution of persistency types</w:t>
      </w:r>
      <w:r w:rsidRPr="00B92DDE">
        <w:rPr>
          <w:rFonts w:ascii="Times New Roman" w:hAnsi="Times New Roman" w:cs="Times New Roman"/>
        </w:rPr>
        <w:t>, distinguishing between cost-induced lock-in and value-induced loyalty, to ensure that high persistency rates are not masking consumer detriment.</w:t>
      </w:r>
    </w:p>
    <w:p w14:paraId="30EF5A6F" w14:textId="77777777" w:rsidR="00B92DDE" w:rsidRDefault="00B92DDE" w:rsidP="00B92DDE">
      <w:pPr>
        <w:jc w:val="both"/>
        <w:rPr>
          <w:rFonts w:ascii="Times New Roman" w:hAnsi="Times New Roman" w:cs="Times New Roman"/>
        </w:rPr>
      </w:pPr>
      <w:r w:rsidRPr="00B92DDE">
        <w:rPr>
          <w:rFonts w:ascii="Times New Roman" w:hAnsi="Times New Roman" w:cs="Times New Roman"/>
        </w:rPr>
        <w:t>By adopting a technology-informed regulatory approach, policymakers can foster a more competitive, transparent, and consumer-friendly insurance market.</w:t>
      </w:r>
    </w:p>
    <w:p w14:paraId="220FD67B" w14:textId="331C9A0B" w:rsidR="00287955" w:rsidRPr="00B92DDE" w:rsidRDefault="00000000" w:rsidP="00B92DDE">
      <w:pPr>
        <w:jc w:val="both"/>
        <w:rPr>
          <w:rFonts w:ascii="Times New Roman" w:hAnsi="Times New Roman" w:cs="Times New Roman"/>
        </w:rPr>
      </w:pPr>
      <w:r>
        <w:rPr>
          <w:rFonts w:ascii="Times New Roman" w:hAnsi="Times New Roman" w:cs="Times New Roman"/>
        </w:rPr>
        <w:pict w14:anchorId="54A4033A">
          <v:rect id="_x0000_i1033" style="width:0;height:.75pt" o:hralign="center" o:hrstd="t" o:hr="t" fillcolor="#a0a0a0" stroked="f"/>
        </w:pict>
      </w:r>
    </w:p>
    <w:p w14:paraId="696D1F53" w14:textId="051827A1"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 xml:space="preserve">Implications for </w:t>
      </w:r>
      <w:proofErr w:type="spellStart"/>
      <w:r w:rsidRPr="00B92DDE">
        <w:rPr>
          <w:rFonts w:ascii="Times New Roman" w:hAnsi="Times New Roman" w:cs="Times New Roman"/>
          <w:b/>
          <w:bCs/>
        </w:rPr>
        <w:t>InsurTech</w:t>
      </w:r>
      <w:proofErr w:type="spellEnd"/>
      <w:r w:rsidRPr="00B92DDE">
        <w:rPr>
          <w:rFonts w:ascii="Times New Roman" w:hAnsi="Times New Roman" w:cs="Times New Roman"/>
          <w:b/>
          <w:bCs/>
        </w:rPr>
        <w:t xml:space="preserve"> Developers and Technology Vendors</w:t>
      </w:r>
    </w:p>
    <w:p w14:paraId="1A57AC8A" w14:textId="4219ED49"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For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developers, our framework highlights the strategic importance of designing platforms that address the psychological and </w:t>
      </w:r>
      <w:r w:rsidR="008F7B17" w:rsidRPr="00B92DDE">
        <w:rPr>
          <w:rFonts w:ascii="Times New Roman" w:hAnsi="Times New Roman" w:cs="Times New Roman"/>
        </w:rPr>
        <w:t>behavioural</w:t>
      </w:r>
      <w:r w:rsidRPr="00B92DDE">
        <w:rPr>
          <w:rFonts w:ascii="Times New Roman" w:hAnsi="Times New Roman" w:cs="Times New Roman"/>
        </w:rPr>
        <w:t xml:space="preserve"> aspects of investor decision-making. Beyond operational efficiency and transaction processing,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platforms should be designed to:</w:t>
      </w:r>
    </w:p>
    <w:p w14:paraId="3082E780" w14:textId="77777777" w:rsidR="00B92DDE" w:rsidRPr="00B92DDE" w:rsidRDefault="00B92DDE" w:rsidP="00B92DDE">
      <w:pPr>
        <w:numPr>
          <w:ilvl w:val="0"/>
          <w:numId w:val="6"/>
        </w:numPr>
        <w:jc w:val="both"/>
        <w:rPr>
          <w:rFonts w:ascii="Times New Roman" w:hAnsi="Times New Roman" w:cs="Times New Roman"/>
        </w:rPr>
      </w:pPr>
      <w:r w:rsidRPr="00B92DDE">
        <w:rPr>
          <w:rFonts w:ascii="Times New Roman" w:hAnsi="Times New Roman" w:cs="Times New Roman"/>
          <w:b/>
          <w:bCs/>
        </w:rPr>
        <w:t>Reduce cognitive load</w:t>
      </w:r>
      <w:r w:rsidRPr="00B92DDE">
        <w:rPr>
          <w:rFonts w:ascii="Times New Roman" w:hAnsi="Times New Roman" w:cs="Times New Roman"/>
        </w:rPr>
        <w:t> through intuitive interfaces and simplified visualizations.</w:t>
      </w:r>
    </w:p>
    <w:p w14:paraId="28F7EA46" w14:textId="77777777" w:rsidR="00B92DDE" w:rsidRPr="00B92DDE" w:rsidRDefault="00B92DDE" w:rsidP="00B92DDE">
      <w:pPr>
        <w:numPr>
          <w:ilvl w:val="0"/>
          <w:numId w:val="6"/>
        </w:numPr>
        <w:jc w:val="both"/>
        <w:rPr>
          <w:rFonts w:ascii="Times New Roman" w:hAnsi="Times New Roman" w:cs="Times New Roman"/>
        </w:rPr>
      </w:pPr>
      <w:r w:rsidRPr="00B92DDE">
        <w:rPr>
          <w:rFonts w:ascii="Times New Roman" w:hAnsi="Times New Roman" w:cs="Times New Roman"/>
          <w:b/>
          <w:bCs/>
        </w:rPr>
        <w:lastRenderedPageBreak/>
        <w:t>Enhance perceived usefulness</w:t>
      </w:r>
      <w:r w:rsidRPr="00B92DDE">
        <w:rPr>
          <w:rFonts w:ascii="Times New Roman" w:hAnsi="Times New Roman" w:cs="Times New Roman"/>
        </w:rPr>
        <w:t> by demonstrating clear value in terms of financial outcomes and decision support.</w:t>
      </w:r>
    </w:p>
    <w:p w14:paraId="49E351ED" w14:textId="77777777" w:rsidR="00B92DDE" w:rsidRPr="00B92DDE" w:rsidRDefault="00B92DDE" w:rsidP="00B92DDE">
      <w:pPr>
        <w:numPr>
          <w:ilvl w:val="0"/>
          <w:numId w:val="6"/>
        </w:numPr>
        <w:jc w:val="both"/>
        <w:rPr>
          <w:rFonts w:ascii="Times New Roman" w:hAnsi="Times New Roman" w:cs="Times New Roman"/>
        </w:rPr>
      </w:pPr>
      <w:r w:rsidRPr="00B92DDE">
        <w:rPr>
          <w:rFonts w:ascii="Times New Roman" w:hAnsi="Times New Roman" w:cs="Times New Roman"/>
          <w:b/>
          <w:bCs/>
        </w:rPr>
        <w:t>Facilitate cognitive reframing</w:t>
      </w:r>
      <w:r w:rsidRPr="00B92DDE">
        <w:rPr>
          <w:rFonts w:ascii="Times New Roman" w:hAnsi="Times New Roman" w:cs="Times New Roman"/>
        </w:rPr>
        <w:t> by presenting costs as investments in long-term value rather than as losses.</w:t>
      </w:r>
    </w:p>
    <w:p w14:paraId="30CACA6A" w14:textId="77777777" w:rsidR="00B92DDE" w:rsidRPr="00B92DDE" w:rsidRDefault="00B92DDE" w:rsidP="00B92DDE">
      <w:pPr>
        <w:numPr>
          <w:ilvl w:val="0"/>
          <w:numId w:val="6"/>
        </w:numPr>
        <w:jc w:val="both"/>
        <w:rPr>
          <w:rFonts w:ascii="Times New Roman" w:hAnsi="Times New Roman" w:cs="Times New Roman"/>
        </w:rPr>
      </w:pPr>
      <w:r w:rsidRPr="00B92DDE">
        <w:rPr>
          <w:rFonts w:ascii="Times New Roman" w:hAnsi="Times New Roman" w:cs="Times New Roman"/>
          <w:b/>
          <w:bCs/>
        </w:rPr>
        <w:t>Enable personalization</w:t>
      </w:r>
      <w:r w:rsidRPr="00B92DDE">
        <w:rPr>
          <w:rFonts w:ascii="Times New Roman" w:hAnsi="Times New Roman" w:cs="Times New Roman"/>
        </w:rPr>
        <w:t> to cater to different investor segments with varying levels of financial literacy, risk tolerance, and engagement preferences.</w:t>
      </w:r>
    </w:p>
    <w:p w14:paraId="6EC40BC3" w14:textId="7E5DD484"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By incorporating insights from </w:t>
      </w:r>
      <w:r w:rsidR="008F7B17" w:rsidRPr="00B92DDE">
        <w:rPr>
          <w:rFonts w:ascii="Times New Roman" w:hAnsi="Times New Roman" w:cs="Times New Roman"/>
        </w:rPr>
        <w:t>behavioural</w:t>
      </w:r>
      <w:r w:rsidRPr="00B92DDE">
        <w:rPr>
          <w:rFonts w:ascii="Times New Roman" w:hAnsi="Times New Roman" w:cs="Times New Roman"/>
        </w:rPr>
        <w:t xml:space="preserve"> economics and human-computer interaction,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developers can create platforms that not only satisfy regulatory requirements but also genuinely enhance investor welfare and retention.</w:t>
      </w:r>
    </w:p>
    <w:p w14:paraId="72042E13" w14:textId="77777777" w:rsidR="00B92DDE" w:rsidRPr="00B92DDE" w:rsidRDefault="00000000" w:rsidP="00B92DDE">
      <w:pPr>
        <w:jc w:val="both"/>
        <w:rPr>
          <w:rFonts w:ascii="Times New Roman" w:hAnsi="Times New Roman" w:cs="Times New Roman"/>
        </w:rPr>
      </w:pPr>
      <w:r>
        <w:rPr>
          <w:rFonts w:ascii="Times New Roman" w:hAnsi="Times New Roman" w:cs="Times New Roman"/>
        </w:rPr>
        <w:pict w14:anchorId="2F14D2A7">
          <v:rect id="_x0000_i1034" style="width:0;height:.75pt" o:hralign="center" o:hrstd="t" o:hr="t" fillcolor="#a0a0a0" stroked="f"/>
        </w:pict>
      </w:r>
    </w:p>
    <w:p w14:paraId="25688105" w14:textId="55A3B9B5"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Future Research Agenda and Methodology</w:t>
      </w:r>
    </w:p>
    <w:p w14:paraId="352A68DF"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This section outlines a comprehensive research agenda for empirically validating our conceptual framework. We discuss appropriate research designs, construct measurement, contextual considerations, and potential methodological challenges. Our goal is to provide a clear roadmap that facilitates rigorous empirical testing by future researchers.</w:t>
      </w:r>
    </w:p>
    <w:p w14:paraId="3705F480" w14:textId="4063F466"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Research Design Options</w:t>
      </w:r>
    </w:p>
    <w:p w14:paraId="7A81A2E5" w14:textId="48FDE181"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Given the multi-level nature of our conceptual model—involving individual investor perceptions, product-level cost structures, and organizational-level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adoption—a combination of research designs is recom</w:t>
      </w:r>
      <w:r w:rsidR="00084F0C">
        <w:rPr>
          <w:rFonts w:ascii="Times New Roman" w:hAnsi="Times New Roman" w:cs="Times New Roman"/>
        </w:rPr>
        <w:t>m</w:t>
      </w:r>
      <w:r w:rsidRPr="00B92DDE">
        <w:rPr>
          <w:rFonts w:ascii="Times New Roman" w:hAnsi="Times New Roman" w:cs="Times New Roman"/>
        </w:rPr>
        <w:t>ended.</w:t>
      </w:r>
    </w:p>
    <w:p w14:paraId="5A532792" w14:textId="6EFECF4F"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Quantitative Cross-Sectional Survey Design</w:t>
      </w:r>
    </w:p>
    <w:p w14:paraId="4321F9F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A large-scale cross-sectional survey design would be appropriate for an initial empirical test of the moderated-mediation framework. Researchers could collect primary data from ULIP investors across multiple insurers and markets. The survey instrument would measure:</w:t>
      </w:r>
    </w:p>
    <w:p w14:paraId="097F17C1" w14:textId="77777777" w:rsidR="00B92DDE" w:rsidRPr="00B92DDE" w:rsidRDefault="00B92DDE" w:rsidP="00B92DDE">
      <w:pPr>
        <w:numPr>
          <w:ilvl w:val="0"/>
          <w:numId w:val="7"/>
        </w:numPr>
        <w:jc w:val="both"/>
        <w:rPr>
          <w:rFonts w:ascii="Times New Roman" w:hAnsi="Times New Roman" w:cs="Times New Roman"/>
        </w:rPr>
      </w:pPr>
      <w:r w:rsidRPr="00B92DDE">
        <w:rPr>
          <w:rFonts w:ascii="Times New Roman" w:hAnsi="Times New Roman" w:cs="Times New Roman"/>
          <w:b/>
          <w:bCs/>
        </w:rPr>
        <w:t>Perceived ULIP cost structure</w:t>
      </w:r>
      <w:r w:rsidRPr="00B92DDE">
        <w:rPr>
          <w:rFonts w:ascii="Times New Roman" w:hAnsi="Times New Roman" w:cs="Times New Roman"/>
        </w:rPr>
        <w:t> (investor perceptions of front-loaded charges and surrender penalties)</w:t>
      </w:r>
    </w:p>
    <w:p w14:paraId="6BBF023B" w14:textId="77777777" w:rsidR="00B92DDE" w:rsidRPr="00B92DDE" w:rsidRDefault="00B92DDE" w:rsidP="00B92DDE">
      <w:pPr>
        <w:numPr>
          <w:ilvl w:val="0"/>
          <w:numId w:val="7"/>
        </w:numPr>
        <w:jc w:val="both"/>
        <w:rPr>
          <w:rFonts w:ascii="Times New Roman" w:hAnsi="Times New Roman" w:cs="Times New Roman"/>
        </w:rPr>
      </w:pPr>
      <w:r w:rsidRPr="00B92DDE">
        <w:rPr>
          <w:rFonts w:ascii="Times New Roman" w:hAnsi="Times New Roman" w:cs="Times New Roman"/>
          <w:b/>
          <w:bCs/>
        </w:rPr>
        <w:t>Perceived switching costs</w:t>
      </w:r>
      <w:r w:rsidRPr="00B92DDE">
        <w:rPr>
          <w:rFonts w:ascii="Times New Roman" w:hAnsi="Times New Roman" w:cs="Times New Roman"/>
        </w:rPr>
        <w:t> (financial, psychological, and relational dimensions)</w:t>
      </w:r>
    </w:p>
    <w:p w14:paraId="19C57757" w14:textId="71FB7513" w:rsidR="00B92DDE" w:rsidRPr="00B92DDE" w:rsidRDefault="00B92DDE" w:rsidP="00B92DDE">
      <w:pPr>
        <w:numPr>
          <w:ilvl w:val="0"/>
          <w:numId w:val="7"/>
        </w:numPr>
        <w:jc w:val="both"/>
        <w:rPr>
          <w:rFonts w:ascii="Times New Roman" w:hAnsi="Times New Roman" w:cs="Times New Roman"/>
        </w:rPr>
      </w:pPr>
      <w:r w:rsidRPr="00B92DDE">
        <w:rPr>
          <w:rFonts w:ascii="Times New Roman" w:hAnsi="Times New Roman" w:cs="Times New Roman"/>
          <w:b/>
          <w:bCs/>
        </w:rPr>
        <w:t>Investor persistency</w:t>
      </w:r>
      <w:r w:rsidRPr="00B92DDE">
        <w:rPr>
          <w:rFonts w:ascii="Times New Roman" w:hAnsi="Times New Roman" w:cs="Times New Roman"/>
        </w:rPr>
        <w:t xml:space="preserve"> (self-reported retention intentions or actual lapse </w:t>
      </w:r>
      <w:r w:rsidR="008F7B17" w:rsidRPr="00B92DDE">
        <w:rPr>
          <w:rFonts w:ascii="Times New Roman" w:hAnsi="Times New Roman" w:cs="Times New Roman"/>
        </w:rPr>
        <w:t>behaviour</w:t>
      </w:r>
      <w:r w:rsidRPr="00B92DDE">
        <w:rPr>
          <w:rFonts w:ascii="Times New Roman" w:hAnsi="Times New Roman" w:cs="Times New Roman"/>
        </w:rPr>
        <w:t>)</w:t>
      </w:r>
    </w:p>
    <w:p w14:paraId="477FF948" w14:textId="77777777" w:rsidR="00B92DDE" w:rsidRPr="00B92DDE" w:rsidRDefault="00B92DDE" w:rsidP="00B92DDE">
      <w:pPr>
        <w:numPr>
          <w:ilvl w:val="0"/>
          <w:numId w:val="7"/>
        </w:numPr>
        <w:jc w:val="both"/>
        <w:rPr>
          <w:rFonts w:ascii="Times New Roman" w:hAnsi="Times New Roman" w:cs="Times New Roman"/>
        </w:rPr>
      </w:pPr>
      <w:proofErr w:type="spellStart"/>
      <w:r w:rsidRPr="00B92DDE">
        <w:rPr>
          <w:rFonts w:ascii="Times New Roman" w:hAnsi="Times New Roman" w:cs="Times New Roman"/>
          <w:b/>
          <w:bCs/>
        </w:rPr>
        <w:t>InsurTech</w:t>
      </w:r>
      <w:proofErr w:type="spellEnd"/>
      <w:r w:rsidRPr="00B92DDE">
        <w:rPr>
          <w:rFonts w:ascii="Times New Roman" w:hAnsi="Times New Roman" w:cs="Times New Roman"/>
          <w:b/>
          <w:bCs/>
        </w:rPr>
        <w:t xml:space="preserve"> adoption</w:t>
      </w:r>
      <w:r w:rsidRPr="00B92DDE">
        <w:rPr>
          <w:rFonts w:ascii="Times New Roman" w:hAnsi="Times New Roman" w:cs="Times New Roman"/>
        </w:rPr>
        <w:t xml:space="preserve"> (self-reported use of digital tools, </w:t>
      </w:r>
      <w:proofErr w:type="spellStart"/>
      <w:r w:rsidRPr="00B92DDE">
        <w:rPr>
          <w:rFonts w:ascii="Times New Roman" w:hAnsi="Times New Roman" w:cs="Times New Roman"/>
        </w:rPr>
        <w:t>robo</w:t>
      </w:r>
      <w:proofErr w:type="spellEnd"/>
      <w:r w:rsidRPr="00B92DDE">
        <w:rPr>
          <w:rFonts w:ascii="Times New Roman" w:hAnsi="Times New Roman" w:cs="Times New Roman"/>
        </w:rPr>
        <w:t>-advisory, dashboards, etc.)</w:t>
      </w:r>
    </w:p>
    <w:p w14:paraId="138B0D3C" w14:textId="77777777" w:rsidR="00B92DDE" w:rsidRPr="00B92DDE" w:rsidRDefault="00B92DDE" w:rsidP="00B92DDE">
      <w:pPr>
        <w:numPr>
          <w:ilvl w:val="0"/>
          <w:numId w:val="7"/>
        </w:numPr>
        <w:jc w:val="both"/>
        <w:rPr>
          <w:rFonts w:ascii="Times New Roman" w:hAnsi="Times New Roman" w:cs="Times New Roman"/>
        </w:rPr>
      </w:pPr>
      <w:r w:rsidRPr="00B92DDE">
        <w:rPr>
          <w:rFonts w:ascii="Times New Roman" w:hAnsi="Times New Roman" w:cs="Times New Roman"/>
          <w:b/>
          <w:bCs/>
        </w:rPr>
        <w:t>Control variables</w:t>
      </w:r>
      <w:r w:rsidRPr="00B92DDE">
        <w:rPr>
          <w:rFonts w:ascii="Times New Roman" w:hAnsi="Times New Roman" w:cs="Times New Roman"/>
        </w:rPr>
        <w:t> (demographics, financial literacy, risk tolerance, policy tenure, investment amount)</w:t>
      </w:r>
    </w:p>
    <w:p w14:paraId="5887749D" w14:textId="0464D65E"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Structural Equation </w:t>
      </w:r>
      <w:r w:rsidR="00400E9D" w:rsidRPr="00B92DDE">
        <w:rPr>
          <w:rFonts w:ascii="Times New Roman" w:hAnsi="Times New Roman" w:cs="Times New Roman"/>
        </w:rPr>
        <w:t>Modelling</w:t>
      </w:r>
      <w:r w:rsidRPr="00B92DDE">
        <w:rPr>
          <w:rFonts w:ascii="Times New Roman" w:hAnsi="Times New Roman" w:cs="Times New Roman"/>
        </w:rPr>
        <w:t xml:space="preserve"> (SEM) using software such as AMOS, LISREL, or </w:t>
      </w:r>
      <w:proofErr w:type="spellStart"/>
      <w:r w:rsidRPr="00B92DDE">
        <w:rPr>
          <w:rFonts w:ascii="Times New Roman" w:hAnsi="Times New Roman" w:cs="Times New Roman"/>
        </w:rPr>
        <w:t>SmartPLS</w:t>
      </w:r>
      <w:proofErr w:type="spellEnd"/>
      <w:r w:rsidRPr="00B92DDE">
        <w:rPr>
          <w:rFonts w:ascii="Times New Roman" w:hAnsi="Times New Roman" w:cs="Times New Roman"/>
        </w:rPr>
        <w:t xml:space="preserve"> would be employed to test the hypothesized mediation, moderation, and moderated-mediation pathways (Hayes, 2018). PROCESS macro for SPSS (Model 7 or Model 14) would be particularly suitable for testing the conditional indirect effects.</w:t>
      </w:r>
    </w:p>
    <w:p w14:paraId="5F917F41" w14:textId="3869D08E" w:rsidR="00B92DDE" w:rsidRPr="00B92DDE" w:rsidRDefault="00B92DDE" w:rsidP="00B92DDE">
      <w:pPr>
        <w:jc w:val="both"/>
        <w:rPr>
          <w:rFonts w:ascii="Times New Roman" w:hAnsi="Times New Roman" w:cs="Times New Roman"/>
        </w:rPr>
      </w:pPr>
      <w:r w:rsidRPr="00B92DDE">
        <w:rPr>
          <w:rFonts w:ascii="Times New Roman" w:hAnsi="Times New Roman" w:cs="Times New Roman"/>
          <w:b/>
          <w:bCs/>
        </w:rPr>
        <w:lastRenderedPageBreak/>
        <w:t>Advantages:</w:t>
      </w:r>
      <w:r w:rsidRPr="00B92DDE">
        <w:rPr>
          <w:rFonts w:ascii="Times New Roman" w:hAnsi="Times New Roman" w:cs="Times New Roman"/>
        </w:rPr>
        <w:t> Feasible, cost-effective, allows testing of perceptual mechanisms.</w:t>
      </w:r>
      <w:r w:rsidRPr="00B92DDE">
        <w:rPr>
          <w:rFonts w:ascii="Times New Roman" w:hAnsi="Times New Roman" w:cs="Times New Roman"/>
        </w:rPr>
        <w:br/>
      </w:r>
      <w:r w:rsidRPr="00B92DDE">
        <w:rPr>
          <w:rFonts w:ascii="Times New Roman" w:hAnsi="Times New Roman" w:cs="Times New Roman"/>
          <w:b/>
          <w:bCs/>
        </w:rPr>
        <w:t>Limitations:</w:t>
      </w:r>
      <w:r w:rsidRPr="00B92DDE">
        <w:rPr>
          <w:rFonts w:ascii="Times New Roman" w:hAnsi="Times New Roman" w:cs="Times New Roman"/>
        </w:rPr>
        <w:t xml:space="preserve"> Cross-sectional data cannot establish causality; self-reported persistency may not perfectly align with actual </w:t>
      </w:r>
      <w:r w:rsidR="008F7B17" w:rsidRPr="00B92DDE">
        <w:rPr>
          <w:rFonts w:ascii="Times New Roman" w:hAnsi="Times New Roman" w:cs="Times New Roman"/>
        </w:rPr>
        <w:t>behaviour</w:t>
      </w:r>
      <w:r w:rsidRPr="00B92DDE">
        <w:rPr>
          <w:rFonts w:ascii="Times New Roman" w:hAnsi="Times New Roman" w:cs="Times New Roman"/>
        </w:rPr>
        <w:t>; common method bias risk.</w:t>
      </w:r>
    </w:p>
    <w:p w14:paraId="6BCBC0BE" w14:textId="3EA8DBA3"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Quantitative Longitudinal Design</w:t>
      </w:r>
    </w:p>
    <w:p w14:paraId="02AE3AF4" w14:textId="70A7238D"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To establish causal direction and temporal precedence, a longitudinal design is recommended. Researchers could track a cohort of new ULIP investors over a period of 3-5 years, measuring perceived switching costs and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engagement at multiple time points and recording actual lapse </w:t>
      </w:r>
      <w:r w:rsidR="008F7B17" w:rsidRPr="00B92DDE">
        <w:rPr>
          <w:rFonts w:ascii="Times New Roman" w:hAnsi="Times New Roman" w:cs="Times New Roman"/>
        </w:rPr>
        <w:t>behaviour</w:t>
      </w:r>
      <w:r w:rsidRPr="00B92DDE">
        <w:rPr>
          <w:rFonts w:ascii="Times New Roman" w:hAnsi="Times New Roman" w:cs="Times New Roman"/>
        </w:rPr>
        <w:t xml:space="preserve"> at the end of the observation period. This design would provide stronger evidence for the hypothesized causal pathways and would allow researchers to distinguish between short-term and long-term persistency dynamics.</w:t>
      </w:r>
    </w:p>
    <w:p w14:paraId="711854EA" w14:textId="77777777" w:rsidR="00B92DDE" w:rsidRDefault="00B92DDE" w:rsidP="00B92DDE">
      <w:pPr>
        <w:jc w:val="both"/>
        <w:rPr>
          <w:rFonts w:ascii="Times New Roman" w:hAnsi="Times New Roman" w:cs="Times New Roman"/>
        </w:rPr>
      </w:pPr>
      <w:r w:rsidRPr="00B92DDE">
        <w:rPr>
          <w:rFonts w:ascii="Times New Roman" w:hAnsi="Times New Roman" w:cs="Times New Roman"/>
          <w:b/>
          <w:bCs/>
        </w:rPr>
        <w:t>Advantages:</w:t>
      </w:r>
      <w:r w:rsidRPr="00B92DDE">
        <w:rPr>
          <w:rFonts w:ascii="Times New Roman" w:hAnsi="Times New Roman" w:cs="Times New Roman"/>
        </w:rPr>
        <w:t> Establishes causality; captures actual rather than self-reported persistency; enables analysis of temporal dynamics.</w:t>
      </w:r>
      <w:r w:rsidRPr="00B92DDE">
        <w:rPr>
          <w:rFonts w:ascii="Times New Roman" w:hAnsi="Times New Roman" w:cs="Times New Roman"/>
        </w:rPr>
        <w:br/>
      </w:r>
      <w:r w:rsidRPr="00B92DDE">
        <w:rPr>
          <w:rFonts w:ascii="Times New Roman" w:hAnsi="Times New Roman" w:cs="Times New Roman"/>
          <w:b/>
          <w:bCs/>
        </w:rPr>
        <w:t>Limitations:</w:t>
      </w:r>
      <w:r w:rsidRPr="00B92DDE">
        <w:rPr>
          <w:rFonts w:ascii="Times New Roman" w:hAnsi="Times New Roman" w:cs="Times New Roman"/>
        </w:rPr>
        <w:t> Resource-intensive; high attrition rates; subject to external shocks (market volatility, regulatory changes).</w:t>
      </w:r>
    </w:p>
    <w:p w14:paraId="39CE434C" w14:textId="3180E72D" w:rsidR="00287955" w:rsidRPr="00B92DDE" w:rsidRDefault="00000000" w:rsidP="00B92DDE">
      <w:pPr>
        <w:jc w:val="both"/>
        <w:rPr>
          <w:rFonts w:ascii="Times New Roman" w:hAnsi="Times New Roman" w:cs="Times New Roman"/>
        </w:rPr>
      </w:pPr>
      <w:r>
        <w:rPr>
          <w:rFonts w:ascii="Times New Roman" w:hAnsi="Times New Roman" w:cs="Times New Roman"/>
        </w:rPr>
        <w:pict w14:anchorId="38F887DC">
          <v:rect id="_x0000_i1035" style="width:0;height:.75pt" o:hralign="center" o:hrstd="t" o:hr="t" fillcolor="#a0a0a0" stroked="f"/>
        </w:pict>
      </w:r>
    </w:p>
    <w:p w14:paraId="4D7E90A4" w14:textId="1643B5F9"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Multi-Level Design Incorporating Objective Insurer Data</w:t>
      </w:r>
    </w:p>
    <w:p w14:paraId="0B7FC942" w14:textId="40E99D30"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An ideal empirical test would combine individual-level investor data with objective, insurer-level data on ULIP cost structures and organizational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Multi-level </w:t>
      </w:r>
      <w:r w:rsidR="008F7B17" w:rsidRPr="00B92DDE">
        <w:rPr>
          <w:rFonts w:ascii="Times New Roman" w:hAnsi="Times New Roman" w:cs="Times New Roman"/>
        </w:rPr>
        <w:t>modelling</w:t>
      </w:r>
      <w:r w:rsidRPr="00B92DDE">
        <w:rPr>
          <w:rFonts w:ascii="Times New Roman" w:hAnsi="Times New Roman" w:cs="Times New Roman"/>
        </w:rPr>
        <w:t xml:space="preserve"> (MLM) or Hierarchical Linear </w:t>
      </w:r>
      <w:r w:rsidR="008F7B17" w:rsidRPr="00B92DDE">
        <w:rPr>
          <w:rFonts w:ascii="Times New Roman" w:hAnsi="Times New Roman" w:cs="Times New Roman"/>
        </w:rPr>
        <w:t>Modelling</w:t>
      </w:r>
      <w:r w:rsidRPr="00B92DDE">
        <w:rPr>
          <w:rFonts w:ascii="Times New Roman" w:hAnsi="Times New Roman" w:cs="Times New Roman"/>
        </w:rPr>
        <w:t xml:space="preserve"> (HLM) could be used to </w:t>
      </w:r>
      <w:r w:rsidR="008F7B17" w:rsidRPr="00B92DDE">
        <w:rPr>
          <w:rFonts w:ascii="Times New Roman" w:hAnsi="Times New Roman" w:cs="Times New Roman"/>
        </w:rPr>
        <w:t>analyse</w:t>
      </w:r>
      <w:r w:rsidRPr="00B92DDE">
        <w:rPr>
          <w:rFonts w:ascii="Times New Roman" w:hAnsi="Times New Roman" w:cs="Times New Roman"/>
        </w:rPr>
        <w:t xml:space="preserve"> how organizational-level variables (e.g., insurer's digital maturity, </w:t>
      </w:r>
      <w:proofErr w:type="spellStart"/>
      <w:r w:rsidRPr="00B92DDE">
        <w:rPr>
          <w:rFonts w:ascii="Times New Roman" w:hAnsi="Times New Roman" w:cs="Times New Roman"/>
        </w:rPr>
        <w:t>robo</w:t>
      </w:r>
      <w:proofErr w:type="spellEnd"/>
      <w:r w:rsidRPr="00B92DDE">
        <w:rPr>
          <w:rFonts w:ascii="Times New Roman" w:hAnsi="Times New Roman" w:cs="Times New Roman"/>
        </w:rPr>
        <w:t>-advisory deployment) moderate individual-level relationships. This design would require collaboration with insurance companies to access proprietary data on policy terms, investor characteristics, and actual lapse events.</w:t>
      </w:r>
    </w:p>
    <w:p w14:paraId="4058AF1C" w14:textId="093A6BC7" w:rsidR="00B92DDE" w:rsidRPr="00B92DDE" w:rsidRDefault="00B92DDE" w:rsidP="00B92DDE">
      <w:pPr>
        <w:jc w:val="both"/>
        <w:rPr>
          <w:rFonts w:ascii="Times New Roman" w:hAnsi="Times New Roman" w:cs="Times New Roman"/>
        </w:rPr>
      </w:pPr>
      <w:r w:rsidRPr="00B92DDE">
        <w:rPr>
          <w:rFonts w:ascii="Times New Roman" w:hAnsi="Times New Roman" w:cs="Times New Roman"/>
          <w:b/>
          <w:bCs/>
        </w:rPr>
        <w:t>Advantages:</w:t>
      </w:r>
      <w:r w:rsidRPr="00B92DDE">
        <w:rPr>
          <w:rFonts w:ascii="Times New Roman" w:hAnsi="Times New Roman" w:cs="Times New Roman"/>
        </w:rPr>
        <w:t> Reduces common method bias; incorporates objective cost and technology data</w:t>
      </w:r>
      <w:r w:rsidR="00356D40">
        <w:rPr>
          <w:rFonts w:ascii="Times New Roman" w:hAnsi="Times New Roman" w:cs="Times New Roman"/>
        </w:rPr>
        <w:t>.</w:t>
      </w:r>
      <w:r w:rsidRPr="00B92DDE">
        <w:rPr>
          <w:rFonts w:ascii="Times New Roman" w:hAnsi="Times New Roman" w:cs="Times New Roman"/>
        </w:rPr>
        <w:br/>
      </w:r>
      <w:r w:rsidRPr="00B92DDE">
        <w:rPr>
          <w:rFonts w:ascii="Times New Roman" w:hAnsi="Times New Roman" w:cs="Times New Roman"/>
          <w:b/>
          <w:bCs/>
        </w:rPr>
        <w:t>Limitations:</w:t>
      </w:r>
      <w:r w:rsidRPr="00B92DDE">
        <w:rPr>
          <w:rFonts w:ascii="Times New Roman" w:hAnsi="Times New Roman" w:cs="Times New Roman"/>
        </w:rPr>
        <w:t xml:space="preserve"> Requires institutional access and data-sharing agreements; complex </w:t>
      </w:r>
      <w:r w:rsidR="008F7B17" w:rsidRPr="00B92DDE">
        <w:rPr>
          <w:rFonts w:ascii="Times New Roman" w:hAnsi="Times New Roman" w:cs="Times New Roman"/>
        </w:rPr>
        <w:t>modelling</w:t>
      </w:r>
      <w:r w:rsidRPr="00B92DDE">
        <w:rPr>
          <w:rFonts w:ascii="Times New Roman" w:hAnsi="Times New Roman" w:cs="Times New Roman"/>
        </w:rPr>
        <w:t xml:space="preserve"> requirements.</w:t>
      </w:r>
    </w:p>
    <w:p w14:paraId="25429F9D" w14:textId="0B09E931"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Mixed-Methods Approach</w:t>
      </w:r>
    </w:p>
    <w:p w14:paraId="07F206BB"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A mixed-methods design combining quantitative surveys with qualitative interviews or focus groups could provide deeper insights into the psychological mechanisms underlying our propositions. Semi-structured interviews with ULIP investors who have either persisted or lapsed could explore their decision-making processes, emotional responses to costs, and engagement with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platforms. Thematic analysis of interview data could complement and enrich the quantitative findings, potentially uncovering additional mechanisms or contextual factors not captured in the conceptual model.</w:t>
      </w:r>
    </w:p>
    <w:p w14:paraId="6AF8EC5A" w14:textId="77777777" w:rsidR="00B92DDE" w:rsidRDefault="00B92DDE" w:rsidP="00B92DDE">
      <w:pPr>
        <w:jc w:val="both"/>
        <w:rPr>
          <w:rFonts w:ascii="Times New Roman" w:hAnsi="Times New Roman" w:cs="Times New Roman"/>
        </w:rPr>
      </w:pPr>
      <w:r w:rsidRPr="00B92DDE">
        <w:rPr>
          <w:rFonts w:ascii="Times New Roman" w:hAnsi="Times New Roman" w:cs="Times New Roman"/>
          <w:b/>
          <w:bCs/>
        </w:rPr>
        <w:t>Advantages:</w:t>
      </w:r>
      <w:r w:rsidRPr="00B92DDE">
        <w:rPr>
          <w:rFonts w:ascii="Times New Roman" w:hAnsi="Times New Roman" w:cs="Times New Roman"/>
        </w:rPr>
        <w:t> Provides depth and richness; enables triangulation; may reveal unexpected insights.</w:t>
      </w:r>
      <w:r w:rsidRPr="00B92DDE">
        <w:rPr>
          <w:rFonts w:ascii="Times New Roman" w:hAnsi="Times New Roman" w:cs="Times New Roman"/>
        </w:rPr>
        <w:br/>
      </w:r>
      <w:r w:rsidRPr="00B92DDE">
        <w:rPr>
          <w:rFonts w:ascii="Times New Roman" w:hAnsi="Times New Roman" w:cs="Times New Roman"/>
          <w:b/>
          <w:bCs/>
        </w:rPr>
        <w:t>Limitations:</w:t>
      </w:r>
      <w:r w:rsidRPr="00B92DDE">
        <w:rPr>
          <w:rFonts w:ascii="Times New Roman" w:hAnsi="Times New Roman" w:cs="Times New Roman"/>
        </w:rPr>
        <w:t> Time-consuming; requires specialized qualitative research skills; findings may not be generalizable.</w:t>
      </w:r>
    </w:p>
    <w:p w14:paraId="3BB657C8" w14:textId="3E8FEF30" w:rsidR="00287955" w:rsidRPr="00B92DDE" w:rsidRDefault="00000000" w:rsidP="00B92DDE">
      <w:pPr>
        <w:jc w:val="both"/>
        <w:rPr>
          <w:rFonts w:ascii="Times New Roman" w:hAnsi="Times New Roman" w:cs="Times New Roman"/>
        </w:rPr>
      </w:pPr>
      <w:r>
        <w:rPr>
          <w:rFonts w:ascii="Times New Roman" w:hAnsi="Times New Roman" w:cs="Times New Roman"/>
        </w:rPr>
        <w:lastRenderedPageBreak/>
        <w:pict w14:anchorId="5D526F98">
          <v:rect id="_x0000_i1036" style="width:0;height:.75pt" o:hralign="center" o:hrstd="t" o:hr="t" fillcolor="#a0a0a0" stroked="f"/>
        </w:pict>
      </w:r>
    </w:p>
    <w:p w14:paraId="6A903047" w14:textId="64F7A1E0"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Operationalization and Measurement of Constructs</w:t>
      </w:r>
    </w:p>
    <w:p w14:paraId="3899101A"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To facilitate rigorous empirical testing, we provide preliminary guidance on the operationalization and measurement of our core constructs. Validated scales from prior literature should be adapted to the ULIP context.</w:t>
      </w:r>
    </w:p>
    <w:p w14:paraId="630B7608" w14:textId="69470780"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ULIP Cost Structure (Independent Variable)</w:t>
      </w:r>
    </w:p>
    <w:p w14:paraId="49BC00C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ULIP cost structure can be operationalized as either an </w:t>
      </w:r>
      <w:r w:rsidRPr="00B92DDE">
        <w:rPr>
          <w:rFonts w:ascii="Times New Roman" w:hAnsi="Times New Roman" w:cs="Times New Roman"/>
          <w:b/>
          <w:bCs/>
        </w:rPr>
        <w:t>objective</w:t>
      </w:r>
      <w:r w:rsidRPr="00B92DDE">
        <w:rPr>
          <w:rFonts w:ascii="Times New Roman" w:hAnsi="Times New Roman" w:cs="Times New Roman"/>
        </w:rPr>
        <w:t> or </w:t>
      </w:r>
      <w:r w:rsidRPr="00B92DDE">
        <w:rPr>
          <w:rFonts w:ascii="Times New Roman" w:hAnsi="Times New Roman" w:cs="Times New Roman"/>
          <w:b/>
          <w:bCs/>
        </w:rPr>
        <w:t>perceived</w:t>
      </w:r>
      <w:r w:rsidRPr="00B92DDE">
        <w:rPr>
          <w:rFonts w:ascii="Times New Roman" w:hAnsi="Times New Roman" w:cs="Times New Roman"/>
        </w:rPr>
        <w:t> measure:</w:t>
      </w:r>
    </w:p>
    <w:p w14:paraId="4C768D09" w14:textId="77777777" w:rsidR="00B92DDE" w:rsidRPr="00B92DDE" w:rsidRDefault="00B92DDE" w:rsidP="00B92DDE">
      <w:pPr>
        <w:numPr>
          <w:ilvl w:val="0"/>
          <w:numId w:val="8"/>
        </w:numPr>
        <w:jc w:val="both"/>
        <w:rPr>
          <w:rFonts w:ascii="Times New Roman" w:hAnsi="Times New Roman" w:cs="Times New Roman"/>
        </w:rPr>
      </w:pPr>
      <w:r w:rsidRPr="00B92DDE">
        <w:rPr>
          <w:rFonts w:ascii="Times New Roman" w:hAnsi="Times New Roman" w:cs="Times New Roman"/>
          <w:b/>
          <w:bCs/>
        </w:rPr>
        <w:t>Objective measure:</w:t>
      </w:r>
      <w:r w:rsidRPr="00B92DDE">
        <w:rPr>
          <w:rFonts w:ascii="Times New Roman" w:hAnsi="Times New Roman" w:cs="Times New Roman"/>
        </w:rPr>
        <w:t> Extracted from actual policy documents, capturing the percentage of initial allocation charges, annual administration fees, fund management charges, and surrender penalties (measured as a percentage of fund value or premium paid). This measure would be collected from insurer records or public disclosure documents.</w:t>
      </w:r>
    </w:p>
    <w:p w14:paraId="7B0D7BB1" w14:textId="77777777" w:rsidR="00B92DDE" w:rsidRDefault="00B92DDE" w:rsidP="00B92DDE">
      <w:pPr>
        <w:numPr>
          <w:ilvl w:val="0"/>
          <w:numId w:val="8"/>
        </w:numPr>
        <w:jc w:val="both"/>
        <w:rPr>
          <w:rFonts w:ascii="Times New Roman" w:hAnsi="Times New Roman" w:cs="Times New Roman"/>
        </w:rPr>
      </w:pPr>
      <w:r w:rsidRPr="00B92DDE">
        <w:rPr>
          <w:rFonts w:ascii="Times New Roman" w:hAnsi="Times New Roman" w:cs="Times New Roman"/>
          <w:b/>
          <w:bCs/>
        </w:rPr>
        <w:t>Perceived measure:</w:t>
      </w:r>
      <w:r w:rsidRPr="00B92DDE">
        <w:rPr>
          <w:rFonts w:ascii="Times New Roman" w:hAnsi="Times New Roman" w:cs="Times New Roman"/>
        </w:rPr>
        <w:t> Captured through investor self-reports using adapted items from prior research on fee perceptions (e.g., Walsh, 2002). Sample items: "The initial charges on my ULIP policy are substantial"; "The surrender penalties on my policy are high"; "The fee structure of my ULIP is complex and difficult to understand." Responses recorded on a 7-point Likert scale (1 = strongly disagree to 7 = strongly agree).</w:t>
      </w:r>
    </w:p>
    <w:p w14:paraId="1E5A5CC3" w14:textId="6195E8F5" w:rsidR="00287955" w:rsidRPr="00B92DDE" w:rsidRDefault="00000000" w:rsidP="00287955">
      <w:pPr>
        <w:jc w:val="both"/>
        <w:rPr>
          <w:rFonts w:ascii="Times New Roman" w:hAnsi="Times New Roman" w:cs="Times New Roman"/>
        </w:rPr>
      </w:pPr>
      <w:r>
        <w:rPr>
          <w:rFonts w:ascii="Times New Roman" w:hAnsi="Times New Roman" w:cs="Times New Roman"/>
        </w:rPr>
        <w:pict w14:anchorId="0BA55AB8">
          <v:rect id="_x0000_i1037" style="width:0;height:.75pt" o:hralign="center" o:hrstd="t" o:hr="t" fillcolor="#a0a0a0" stroked="f"/>
        </w:pict>
      </w:r>
    </w:p>
    <w:p w14:paraId="33BB2D47" w14:textId="1D069553"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Contextual Considerations and Boundary Conditions</w:t>
      </w:r>
    </w:p>
    <w:p w14:paraId="2EC4C4A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Our conceptual framework is intended to be generalizable across markets, but researchers should consider the following contextual factors that may influence the observed relationships:</w:t>
      </w:r>
    </w:p>
    <w:p w14:paraId="4DB8F590" w14:textId="77777777" w:rsidR="00B92DDE" w:rsidRPr="00B92DDE" w:rsidRDefault="00B92DDE" w:rsidP="00B92DDE">
      <w:pPr>
        <w:numPr>
          <w:ilvl w:val="0"/>
          <w:numId w:val="14"/>
        </w:numPr>
        <w:jc w:val="both"/>
        <w:rPr>
          <w:rFonts w:ascii="Times New Roman" w:hAnsi="Times New Roman" w:cs="Times New Roman"/>
        </w:rPr>
      </w:pPr>
      <w:r w:rsidRPr="00B92DDE">
        <w:rPr>
          <w:rFonts w:ascii="Times New Roman" w:hAnsi="Times New Roman" w:cs="Times New Roman"/>
          <w:b/>
          <w:bCs/>
        </w:rPr>
        <w:t>Regulatory environment:</w:t>
      </w:r>
      <w:r w:rsidRPr="00B92DDE">
        <w:rPr>
          <w:rFonts w:ascii="Times New Roman" w:hAnsi="Times New Roman" w:cs="Times New Roman"/>
        </w:rPr>
        <w:t> Markets with strict caps on charges (e.g., India) may exhibit weaker cost-perceived switching cost relationships compared to less regulated markets. Researchers should control for regulatory differences in cross-country studies.</w:t>
      </w:r>
    </w:p>
    <w:p w14:paraId="4BB1664F" w14:textId="77777777" w:rsidR="00B92DDE" w:rsidRPr="00B92DDE" w:rsidRDefault="00B92DDE" w:rsidP="00B92DDE">
      <w:pPr>
        <w:numPr>
          <w:ilvl w:val="0"/>
          <w:numId w:val="14"/>
        </w:numPr>
        <w:jc w:val="both"/>
        <w:rPr>
          <w:rFonts w:ascii="Times New Roman" w:hAnsi="Times New Roman" w:cs="Times New Roman"/>
        </w:rPr>
      </w:pPr>
      <w:r w:rsidRPr="00B92DDE">
        <w:rPr>
          <w:rFonts w:ascii="Times New Roman" w:hAnsi="Times New Roman" w:cs="Times New Roman"/>
          <w:b/>
          <w:bCs/>
        </w:rPr>
        <w:t>Investor financial literacy:</w:t>
      </w:r>
      <w:r w:rsidRPr="00B92DDE">
        <w:rPr>
          <w:rFonts w:ascii="Times New Roman" w:hAnsi="Times New Roman" w:cs="Times New Roman"/>
        </w:rPr>
        <w:t xml:space="preserve"> Less financially literate investors may be more susceptible to the sunk cost fallacy and less likely to benefit from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transparency. Researchers should test whether financial literacy moderates the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effect.</w:t>
      </w:r>
    </w:p>
    <w:p w14:paraId="6FAECC19" w14:textId="77777777" w:rsidR="00B92DDE" w:rsidRPr="00B92DDE" w:rsidRDefault="00B92DDE" w:rsidP="00B92DDE">
      <w:pPr>
        <w:numPr>
          <w:ilvl w:val="0"/>
          <w:numId w:val="14"/>
        </w:numPr>
        <w:jc w:val="both"/>
        <w:rPr>
          <w:rFonts w:ascii="Times New Roman" w:hAnsi="Times New Roman" w:cs="Times New Roman"/>
        </w:rPr>
      </w:pPr>
      <w:r w:rsidRPr="00B92DDE">
        <w:rPr>
          <w:rFonts w:ascii="Times New Roman" w:hAnsi="Times New Roman" w:cs="Times New Roman"/>
          <w:b/>
          <w:bCs/>
        </w:rPr>
        <w:t>Cultural factors:</w:t>
      </w:r>
      <w:r w:rsidRPr="00B92DDE">
        <w:rPr>
          <w:rFonts w:ascii="Times New Roman" w:hAnsi="Times New Roman" w:cs="Times New Roman"/>
        </w:rPr>
        <w:t> Markets with high uncertainty avoidance (e.g., Japan, Germany) may exhibit stronger psychological switching costs. Cross-cultural validation would enhance the generalizability of the framework.</w:t>
      </w:r>
    </w:p>
    <w:p w14:paraId="1FD8CE66" w14:textId="77777777" w:rsidR="00B92DDE" w:rsidRPr="00B92DDE" w:rsidRDefault="00B92DDE" w:rsidP="00B92DDE">
      <w:pPr>
        <w:numPr>
          <w:ilvl w:val="0"/>
          <w:numId w:val="14"/>
        </w:numPr>
        <w:jc w:val="both"/>
        <w:rPr>
          <w:rFonts w:ascii="Times New Roman" w:hAnsi="Times New Roman" w:cs="Times New Roman"/>
        </w:rPr>
      </w:pPr>
      <w:r w:rsidRPr="00B92DDE">
        <w:rPr>
          <w:rFonts w:ascii="Times New Roman" w:hAnsi="Times New Roman" w:cs="Times New Roman"/>
          <w:b/>
          <w:bCs/>
        </w:rPr>
        <w:t>Market maturity:</w:t>
      </w:r>
      <w:r w:rsidRPr="00B92DDE">
        <w:rPr>
          <w:rFonts w:ascii="Times New Roman" w:hAnsi="Times New Roman" w:cs="Times New Roman"/>
        </w:rPr>
        <w:t> In emerging markets with rapidly growing insurance penetration, the dynamics may differ from mature markets with established customer relationships.</w:t>
      </w:r>
    </w:p>
    <w:p w14:paraId="5B72E782" w14:textId="77777777" w:rsidR="00B92DDE" w:rsidRDefault="00B92DDE" w:rsidP="00B92DDE">
      <w:pPr>
        <w:numPr>
          <w:ilvl w:val="0"/>
          <w:numId w:val="14"/>
        </w:numPr>
        <w:jc w:val="both"/>
        <w:rPr>
          <w:rFonts w:ascii="Times New Roman" w:hAnsi="Times New Roman" w:cs="Times New Roman"/>
        </w:rPr>
      </w:pPr>
      <w:r w:rsidRPr="00B92DDE">
        <w:rPr>
          <w:rFonts w:ascii="Times New Roman" w:hAnsi="Times New Roman" w:cs="Times New Roman"/>
          <w:b/>
          <w:bCs/>
        </w:rPr>
        <w:t>Product heterogeneity:</w:t>
      </w:r>
      <w:r w:rsidRPr="00B92DDE">
        <w:rPr>
          <w:rFonts w:ascii="Times New Roman" w:hAnsi="Times New Roman" w:cs="Times New Roman"/>
        </w:rPr>
        <w:t> Different types of ULIPs (e.g., aggressive growth vs. conservative balanced funds) may influence cost perceptions and persistency decisions.</w:t>
      </w:r>
    </w:p>
    <w:p w14:paraId="1361A90B" w14:textId="58E86000" w:rsidR="000B2CCE" w:rsidRPr="00B92DDE" w:rsidRDefault="00000000" w:rsidP="00287955">
      <w:pPr>
        <w:jc w:val="both"/>
        <w:rPr>
          <w:rFonts w:ascii="Times New Roman" w:hAnsi="Times New Roman" w:cs="Times New Roman"/>
        </w:rPr>
      </w:pPr>
      <w:r>
        <w:rPr>
          <w:rFonts w:ascii="Times New Roman" w:hAnsi="Times New Roman" w:cs="Times New Roman"/>
        </w:rPr>
        <w:pict w14:anchorId="249ED567">
          <v:rect id="_x0000_i1038" style="width:410.3pt;height:5.5pt" o:hrpct="988" o:hralign="center" o:hrstd="t" o:hr="t" fillcolor="#a0a0a0" stroked="f"/>
        </w:pict>
      </w:r>
    </w:p>
    <w:p w14:paraId="04974D04" w14:textId="77777777" w:rsidR="00D61F12" w:rsidRDefault="00D61F12" w:rsidP="00B92DDE">
      <w:pPr>
        <w:jc w:val="both"/>
        <w:rPr>
          <w:rFonts w:ascii="Times New Roman" w:hAnsi="Times New Roman" w:cs="Times New Roman"/>
          <w:b/>
          <w:bCs/>
        </w:rPr>
      </w:pPr>
    </w:p>
    <w:p w14:paraId="622858DD" w14:textId="57AC35C3"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lastRenderedPageBreak/>
        <w:t>Methodological Considerations and Mitigation Strategies</w:t>
      </w:r>
    </w:p>
    <w:p w14:paraId="40E6130B"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To ensure robust empirical findings, researchers should address the following methodological challenges:</w:t>
      </w:r>
    </w:p>
    <w:p w14:paraId="55755108" w14:textId="77777777" w:rsidR="00B92DDE" w:rsidRPr="00B92DDE" w:rsidRDefault="00B92DDE" w:rsidP="00B92DDE">
      <w:pPr>
        <w:numPr>
          <w:ilvl w:val="0"/>
          <w:numId w:val="15"/>
        </w:numPr>
        <w:jc w:val="both"/>
        <w:rPr>
          <w:rFonts w:ascii="Times New Roman" w:hAnsi="Times New Roman" w:cs="Times New Roman"/>
        </w:rPr>
      </w:pPr>
      <w:r w:rsidRPr="00B92DDE">
        <w:rPr>
          <w:rFonts w:ascii="Times New Roman" w:hAnsi="Times New Roman" w:cs="Times New Roman"/>
          <w:b/>
          <w:bCs/>
        </w:rPr>
        <w:t>Common Method Bias:</w:t>
      </w:r>
      <w:r w:rsidRPr="00B92DDE">
        <w:rPr>
          <w:rFonts w:ascii="Times New Roman" w:hAnsi="Times New Roman" w:cs="Times New Roman"/>
        </w:rPr>
        <w:t> To mitigate the risk of common method variance in cross-sectional survey designs, researchers should employ procedural remedies (e.g., temporal separation of predictor and criterion variables, anonymous responses, psychologically separated scales) and statistical remedies (e.g., Harman's single-factor test, common latent factor correction, marker variable technique) (Podsakoff et al., 2003).</w:t>
      </w:r>
    </w:p>
    <w:p w14:paraId="10B2770D" w14:textId="77777777" w:rsidR="00B92DDE" w:rsidRPr="00B92DDE" w:rsidRDefault="00B92DDE" w:rsidP="00B92DDE">
      <w:pPr>
        <w:numPr>
          <w:ilvl w:val="0"/>
          <w:numId w:val="15"/>
        </w:numPr>
        <w:jc w:val="both"/>
        <w:rPr>
          <w:rFonts w:ascii="Times New Roman" w:hAnsi="Times New Roman" w:cs="Times New Roman"/>
        </w:rPr>
      </w:pPr>
      <w:r w:rsidRPr="00B92DDE">
        <w:rPr>
          <w:rFonts w:ascii="Times New Roman" w:hAnsi="Times New Roman" w:cs="Times New Roman"/>
          <w:b/>
          <w:bCs/>
        </w:rPr>
        <w:t>Endogeneity Concerns:</w:t>
      </w:r>
      <w:r w:rsidRPr="00B92DDE">
        <w:rPr>
          <w:rFonts w:ascii="Times New Roman" w:hAnsi="Times New Roman" w:cs="Times New Roman"/>
        </w:rPr>
        <w:t> To address potential endogeneity—where unobserved factors may influence both perceived switching costs and persistency—researchers should consider instrumental variable approaches or longitudinal designs that establish temporal precedence. Policy tenure or regulatory changes may serve as plausible instruments.</w:t>
      </w:r>
    </w:p>
    <w:p w14:paraId="298DEAB7" w14:textId="77777777" w:rsidR="00B92DDE" w:rsidRPr="00B92DDE" w:rsidRDefault="00B92DDE" w:rsidP="00B92DDE">
      <w:pPr>
        <w:numPr>
          <w:ilvl w:val="0"/>
          <w:numId w:val="15"/>
        </w:numPr>
        <w:jc w:val="both"/>
        <w:rPr>
          <w:rFonts w:ascii="Times New Roman" w:hAnsi="Times New Roman" w:cs="Times New Roman"/>
        </w:rPr>
      </w:pPr>
      <w:r w:rsidRPr="00B92DDE">
        <w:rPr>
          <w:rFonts w:ascii="Times New Roman" w:hAnsi="Times New Roman" w:cs="Times New Roman"/>
          <w:b/>
          <w:bCs/>
        </w:rPr>
        <w:t>Measurement Validity:</w:t>
      </w:r>
      <w:r w:rsidRPr="00B92DDE">
        <w:rPr>
          <w:rFonts w:ascii="Times New Roman" w:hAnsi="Times New Roman" w:cs="Times New Roman"/>
        </w:rPr>
        <w:t> To ensure the validity of adapted scales, researchers should conduct confirmatory factor analysis (CFA), assess composite reliability (CR &gt; 0.70), and examine average variance extracted (AVE &gt; 0.50). Discriminant validity should be established by comparing AVE to squared inter-construct correlations (Fornell &amp; Larcker, 1981).</w:t>
      </w:r>
    </w:p>
    <w:p w14:paraId="447242C6" w14:textId="77777777" w:rsidR="00B92DDE" w:rsidRPr="00B92DDE" w:rsidRDefault="00B92DDE" w:rsidP="00B92DDE">
      <w:pPr>
        <w:numPr>
          <w:ilvl w:val="0"/>
          <w:numId w:val="15"/>
        </w:numPr>
        <w:jc w:val="both"/>
        <w:rPr>
          <w:rFonts w:ascii="Times New Roman" w:hAnsi="Times New Roman" w:cs="Times New Roman"/>
        </w:rPr>
      </w:pPr>
      <w:r w:rsidRPr="00B92DDE">
        <w:rPr>
          <w:rFonts w:ascii="Times New Roman" w:hAnsi="Times New Roman" w:cs="Times New Roman"/>
          <w:b/>
          <w:bCs/>
        </w:rPr>
        <w:t>Sample Representativeness:</w:t>
      </w:r>
      <w:r w:rsidRPr="00B92DDE">
        <w:rPr>
          <w:rFonts w:ascii="Times New Roman" w:hAnsi="Times New Roman" w:cs="Times New Roman"/>
        </w:rPr>
        <w:t> Researchers should strive for diverse and representative samples to enhance external validity. Where sampling biases are unavoidable, they should be explicitly acknowledged and discussed.</w:t>
      </w:r>
    </w:p>
    <w:p w14:paraId="6E788D07" w14:textId="77777777" w:rsidR="00B92DDE" w:rsidRPr="00B92DDE" w:rsidRDefault="00B92DDE" w:rsidP="00B92DDE">
      <w:pPr>
        <w:numPr>
          <w:ilvl w:val="0"/>
          <w:numId w:val="15"/>
        </w:numPr>
        <w:jc w:val="both"/>
        <w:rPr>
          <w:rFonts w:ascii="Times New Roman" w:hAnsi="Times New Roman" w:cs="Times New Roman"/>
        </w:rPr>
      </w:pPr>
      <w:r w:rsidRPr="00B92DDE">
        <w:rPr>
          <w:rFonts w:ascii="Times New Roman" w:hAnsi="Times New Roman" w:cs="Times New Roman"/>
          <w:b/>
          <w:bCs/>
        </w:rPr>
        <w:t>Statistical Power:</w:t>
      </w:r>
      <w:r w:rsidRPr="00B92DDE">
        <w:rPr>
          <w:rFonts w:ascii="Times New Roman" w:hAnsi="Times New Roman" w:cs="Times New Roman"/>
        </w:rPr>
        <w:t> For moderated-mediation models, researchers should conduct a priori power analyses to determine the minimum sample size required to detect hypothesized effects (Fritz &amp; MacKinnon, 2007; Preacher et al., 2007).</w:t>
      </w:r>
    </w:p>
    <w:p w14:paraId="21C7435A" w14:textId="53CC8741" w:rsidR="00B92DDE" w:rsidRPr="00B92DDE" w:rsidRDefault="00000000" w:rsidP="00B92DDE">
      <w:pPr>
        <w:jc w:val="both"/>
        <w:rPr>
          <w:rFonts w:ascii="Times New Roman" w:hAnsi="Times New Roman" w:cs="Times New Roman"/>
          <w:b/>
          <w:bCs/>
        </w:rPr>
      </w:pPr>
      <w:r>
        <w:rPr>
          <w:rFonts w:ascii="Times New Roman" w:hAnsi="Times New Roman" w:cs="Times New Roman"/>
        </w:rPr>
        <w:pict w14:anchorId="16FF1B71">
          <v:rect id="_x0000_i1039" style="width:0;height:.75pt" o:hralign="center" o:hrstd="t" o:hr="t" fillcolor="#a0a0a0" stroked="f"/>
        </w:pict>
      </w:r>
      <w:r w:rsidR="00B92DDE" w:rsidRPr="00B92DDE">
        <w:rPr>
          <w:rFonts w:ascii="Times New Roman" w:hAnsi="Times New Roman" w:cs="Times New Roman"/>
          <w:b/>
          <w:bCs/>
        </w:rPr>
        <w:t>Proposed Analytical Framework</w:t>
      </w:r>
    </w:p>
    <w:p w14:paraId="746F8645"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We recommend the following analytical approach for testing our propositions:</w:t>
      </w:r>
    </w:p>
    <w:p w14:paraId="757EF635"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t>Descriptive Analysis:</w:t>
      </w:r>
      <w:r w:rsidRPr="00B92DDE">
        <w:rPr>
          <w:rFonts w:ascii="Times New Roman" w:hAnsi="Times New Roman" w:cs="Times New Roman"/>
        </w:rPr>
        <w:t> Examine means, standard deviations, and bivariate correlations among all study variables.</w:t>
      </w:r>
    </w:p>
    <w:p w14:paraId="22B833E2"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t>Measurement Model Validation:</w:t>
      </w:r>
      <w:r w:rsidRPr="00B92DDE">
        <w:rPr>
          <w:rFonts w:ascii="Times New Roman" w:hAnsi="Times New Roman" w:cs="Times New Roman"/>
        </w:rPr>
        <w:t> Conduct CFA to confirm the factor structure, reliability, and validity of all multi-item scales.</w:t>
      </w:r>
    </w:p>
    <w:p w14:paraId="0FAB3CD9"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t>Test of Mediation (P1 and P2):</w:t>
      </w:r>
      <w:r w:rsidRPr="00B92DDE">
        <w:rPr>
          <w:rFonts w:ascii="Times New Roman" w:hAnsi="Times New Roman" w:cs="Times New Roman"/>
        </w:rPr>
        <w:t> Use SEM or PROCESS (Model 4) to test the indirect effect of ULIP cost structure on investor persistency through perceived switching costs. Bootstrap confidence intervals (5000 resamples) should be used to assess the significance of the indirect effect.</w:t>
      </w:r>
    </w:p>
    <w:p w14:paraId="3749F8D8"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lastRenderedPageBreak/>
        <w:t>Test of Moderation (P3a and P3b):</w:t>
      </w:r>
      <w:r w:rsidRPr="00B92DDE">
        <w:rPr>
          <w:rFonts w:ascii="Times New Roman" w:hAnsi="Times New Roman" w:cs="Times New Roman"/>
        </w:rPr>
        <w:t xml:space="preserve"> Use SEM with interaction terms or PROCESS (Model 1) to test the moderating effects of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on the IV → MV and MV → DV paths separately.</w:t>
      </w:r>
    </w:p>
    <w:p w14:paraId="2BDC5029"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t>Test of Moderated Mediation (P4):</w:t>
      </w:r>
      <w:r w:rsidRPr="00B92DDE">
        <w:rPr>
          <w:rFonts w:ascii="Times New Roman" w:hAnsi="Times New Roman" w:cs="Times New Roman"/>
        </w:rPr>
        <w:t xml:space="preserve"> Use PROCESS (Model 7 or Model 14) or SEM with conditional indirect effects to test whether the indirect effect varies across levels of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The Johnson-Neyman technique should be used to probe the regions of significance for the moderator.</w:t>
      </w:r>
    </w:p>
    <w:p w14:paraId="3DFBF8A1" w14:textId="77777777" w:rsidR="00B92DDE" w:rsidRPr="00B92DDE" w:rsidRDefault="00B92DDE" w:rsidP="00B92DDE">
      <w:pPr>
        <w:numPr>
          <w:ilvl w:val="0"/>
          <w:numId w:val="16"/>
        </w:numPr>
        <w:jc w:val="both"/>
        <w:rPr>
          <w:rFonts w:ascii="Times New Roman" w:hAnsi="Times New Roman" w:cs="Times New Roman"/>
        </w:rPr>
      </w:pPr>
      <w:r w:rsidRPr="00B92DDE">
        <w:rPr>
          <w:rFonts w:ascii="Times New Roman" w:hAnsi="Times New Roman" w:cs="Times New Roman"/>
          <w:b/>
          <w:bCs/>
        </w:rPr>
        <w:t>Supplementary Analysis:</w:t>
      </w:r>
      <w:r w:rsidRPr="00B92DDE">
        <w:rPr>
          <w:rFonts w:ascii="Times New Roman" w:hAnsi="Times New Roman" w:cs="Times New Roman"/>
        </w:rPr>
        <w:t xml:space="preserve"> Conduct multi-group analyses (e.g., low vs. high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groups), test alternative model specifications, and examine the robustness of findings to control variables and potential endogeneity.</w:t>
      </w:r>
    </w:p>
    <w:p w14:paraId="067E1A20" w14:textId="77777777" w:rsidR="00B92DDE" w:rsidRPr="00B92DDE" w:rsidRDefault="00000000" w:rsidP="00B92DDE">
      <w:pPr>
        <w:jc w:val="both"/>
        <w:rPr>
          <w:rFonts w:ascii="Times New Roman" w:hAnsi="Times New Roman" w:cs="Times New Roman"/>
        </w:rPr>
      </w:pPr>
      <w:r>
        <w:rPr>
          <w:rFonts w:ascii="Times New Roman" w:hAnsi="Times New Roman" w:cs="Times New Roman"/>
        </w:rPr>
        <w:pict w14:anchorId="4CE21261">
          <v:rect id="_x0000_i1040" style="width:0;height:.75pt" o:hralign="center" o:hrstd="t" o:hr="t" fillcolor="#a0a0a0" stroked="f"/>
        </w:pict>
      </w:r>
    </w:p>
    <w:p w14:paraId="2EBCE4BD" w14:textId="3B52B90C"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Conclusion</w:t>
      </w:r>
    </w:p>
    <w:p w14:paraId="1F9FF975" w14:textId="0E47199F"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This conceptual paper has developed a comprehensive, theoretically grounded framework to explain the intricate relationship between ULIP cost structures, perceived switching costs, investor persistency, and the moderating role of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By integrating insights from </w:t>
      </w:r>
      <w:r w:rsidR="008F7B17" w:rsidRPr="00B92DDE">
        <w:rPr>
          <w:rFonts w:ascii="Times New Roman" w:hAnsi="Times New Roman" w:cs="Times New Roman"/>
        </w:rPr>
        <w:t>behavioural</w:t>
      </w:r>
      <w:r w:rsidRPr="00B92DDE">
        <w:rPr>
          <w:rFonts w:ascii="Times New Roman" w:hAnsi="Times New Roman" w:cs="Times New Roman"/>
        </w:rPr>
        <w:t xml:space="preserve"> finance, agency theory, and the Technology Acceptance Model, we have demonstrated that persistency decisions are not purely rational but are profoundly shaped by cognitive biases—particularly the sunk cost fallacy—which translate objective cost structures into subjective perceptions of switching costs. Critically, we have positioned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adoption as a pivotal moderator that can either amplify or attenuate these </w:t>
      </w:r>
      <w:r w:rsidR="008F7B17" w:rsidRPr="00B92DDE">
        <w:rPr>
          <w:rFonts w:ascii="Times New Roman" w:hAnsi="Times New Roman" w:cs="Times New Roman"/>
        </w:rPr>
        <w:t>behavioural</w:t>
      </w:r>
      <w:r w:rsidRPr="00B92DDE">
        <w:rPr>
          <w:rFonts w:ascii="Times New Roman" w:hAnsi="Times New Roman" w:cs="Times New Roman"/>
        </w:rPr>
        <w:t xml:space="preserve"> dynamics, transforming persistency from a cost-induced lock-in into a value-induced loyalty.</w:t>
      </w:r>
    </w:p>
    <w:p w14:paraId="5731CC54" w14:textId="0D6100A4"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Our framework offers significant theoretical contributions by advancing the </w:t>
      </w:r>
      <w:r w:rsidR="008F7B17" w:rsidRPr="00B92DDE">
        <w:rPr>
          <w:rFonts w:ascii="Times New Roman" w:hAnsi="Times New Roman" w:cs="Times New Roman"/>
        </w:rPr>
        <w:t>behavioural</w:t>
      </w:r>
      <w:r w:rsidRPr="00B92DDE">
        <w:rPr>
          <w:rFonts w:ascii="Times New Roman" w:hAnsi="Times New Roman" w:cs="Times New Roman"/>
        </w:rPr>
        <w:t xml:space="preserve"> insurance literature, integrating insurance economics with information systems theory, and reconceptualizing persistency as a multi-dimensional outcome. The practical implications for product design, customer relationship management, regulatory policy, and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development are substantial, providing actionable insights for insurers and policymakers navigating the digital transformation of the insurance industry.</w:t>
      </w:r>
    </w:p>
    <w:p w14:paraId="2C788FA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The research agenda outlined in this paper provides a clear roadmap for empirical validation, with specific recommendations for research design, measurement, sampling, and analytical techniques. While our conceptual framework is theoretically robust, we acknowledge that empirical testing in diverse contexts is essential to establish its validity, generalizability, and boundary conditions. Future researchers are encouraged to adopt longitudinal, multi-level, and mixed-methods designs to rigorously test our propositions and extend the framework to related domains.</w:t>
      </w:r>
    </w:p>
    <w:p w14:paraId="282BCB0B" w14:textId="4A896A48"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In conclusion, as the insurance industry continues its digital evolution, understanding the interplay between product design, </w:t>
      </w:r>
      <w:r w:rsidR="008F7B17" w:rsidRPr="00B92DDE">
        <w:rPr>
          <w:rFonts w:ascii="Times New Roman" w:hAnsi="Times New Roman" w:cs="Times New Roman"/>
        </w:rPr>
        <w:t>behavioural</w:t>
      </w:r>
      <w:r w:rsidRPr="00B92DDE">
        <w:rPr>
          <w:rFonts w:ascii="Times New Roman" w:hAnsi="Times New Roman" w:cs="Times New Roman"/>
        </w:rPr>
        <w:t xml:space="preserve"> biases, and technology is paramount. Our framework offers a timely and relevant contribution to this </w:t>
      </w:r>
      <w:r w:rsidR="008F7B17" w:rsidRPr="00B92DDE">
        <w:rPr>
          <w:rFonts w:ascii="Times New Roman" w:hAnsi="Times New Roman" w:cs="Times New Roman"/>
        </w:rPr>
        <w:t>endeavour</w:t>
      </w:r>
      <w:r w:rsidRPr="00B92DDE">
        <w:rPr>
          <w:rFonts w:ascii="Times New Roman" w:hAnsi="Times New Roman" w:cs="Times New Roman"/>
        </w:rPr>
        <w:t>, paving the way for more sustainable, transparent, and mutually beneficial insurance relationships in the digital age.</w:t>
      </w:r>
    </w:p>
    <w:p w14:paraId="33192283" w14:textId="77777777" w:rsidR="00B92DDE" w:rsidRPr="00B92DDE" w:rsidRDefault="00000000" w:rsidP="00B92DDE">
      <w:pPr>
        <w:jc w:val="both"/>
        <w:rPr>
          <w:rFonts w:ascii="Times New Roman" w:hAnsi="Times New Roman" w:cs="Times New Roman"/>
        </w:rPr>
      </w:pPr>
      <w:r>
        <w:rPr>
          <w:rFonts w:ascii="Times New Roman" w:hAnsi="Times New Roman" w:cs="Times New Roman"/>
        </w:rPr>
        <w:pict w14:anchorId="17E7F88B">
          <v:rect id="_x0000_i1041" style="width:0;height:.75pt" o:hralign="center" o:hrstd="t" o:hr="t" fillcolor="#a0a0a0" stroked="f"/>
        </w:pict>
      </w:r>
    </w:p>
    <w:p w14:paraId="7EFDFF0D" w14:textId="77777777" w:rsidR="00D61F12" w:rsidRDefault="00D61F12" w:rsidP="00B92DDE">
      <w:pPr>
        <w:jc w:val="both"/>
        <w:rPr>
          <w:rFonts w:ascii="Times New Roman" w:hAnsi="Times New Roman" w:cs="Times New Roman"/>
          <w:b/>
          <w:bCs/>
        </w:rPr>
      </w:pPr>
    </w:p>
    <w:p w14:paraId="24908788" w14:textId="77777777" w:rsidR="00D61F12" w:rsidRDefault="00D61F12" w:rsidP="00B92DDE">
      <w:pPr>
        <w:jc w:val="both"/>
        <w:rPr>
          <w:rFonts w:ascii="Times New Roman" w:hAnsi="Times New Roman" w:cs="Times New Roman"/>
          <w:b/>
          <w:bCs/>
        </w:rPr>
      </w:pPr>
    </w:p>
    <w:p w14:paraId="0C7AB3EF" w14:textId="712E9ED7" w:rsidR="00B92DDE" w:rsidRPr="00B92DDE" w:rsidRDefault="00B92DDE" w:rsidP="00B92DDE">
      <w:pPr>
        <w:jc w:val="both"/>
        <w:rPr>
          <w:rFonts w:ascii="Times New Roman" w:hAnsi="Times New Roman" w:cs="Times New Roman"/>
          <w:b/>
          <w:bCs/>
        </w:rPr>
      </w:pPr>
      <w:r w:rsidRPr="00B92DDE">
        <w:rPr>
          <w:rFonts w:ascii="Times New Roman" w:hAnsi="Times New Roman" w:cs="Times New Roman"/>
          <w:b/>
          <w:bCs/>
        </w:rPr>
        <w:t>References</w:t>
      </w:r>
    </w:p>
    <w:p w14:paraId="5A557E7D" w14:textId="7740EC04" w:rsidR="00B92DDE" w:rsidRPr="00B92DDE" w:rsidRDefault="00B92DDE" w:rsidP="00B92DDE">
      <w:pPr>
        <w:jc w:val="both"/>
        <w:rPr>
          <w:rFonts w:ascii="Times New Roman" w:hAnsi="Times New Roman" w:cs="Times New Roman"/>
        </w:rPr>
      </w:pPr>
      <w:r w:rsidRPr="00B92DDE">
        <w:rPr>
          <w:rFonts w:ascii="Times New Roman" w:hAnsi="Times New Roman" w:cs="Times New Roman"/>
        </w:rPr>
        <w:t>Arkes, H. R., &amp; Blumer, C. (1985). The psychology of sunk cost. </w:t>
      </w:r>
      <w:r w:rsidRPr="00B92DDE">
        <w:rPr>
          <w:rFonts w:ascii="Times New Roman" w:hAnsi="Times New Roman" w:cs="Times New Roman"/>
          <w:i/>
          <w:iCs/>
        </w:rPr>
        <w:t xml:space="preserve">Organizational </w:t>
      </w:r>
      <w:r w:rsidR="008F7B17" w:rsidRPr="00B92DDE">
        <w:rPr>
          <w:rFonts w:ascii="Times New Roman" w:hAnsi="Times New Roman" w:cs="Times New Roman"/>
          <w:i/>
          <w:iCs/>
        </w:rPr>
        <w:t>Behaviour</w:t>
      </w:r>
      <w:r w:rsidRPr="00B92DDE">
        <w:rPr>
          <w:rFonts w:ascii="Times New Roman" w:hAnsi="Times New Roman" w:cs="Times New Roman"/>
          <w:i/>
          <w:iCs/>
        </w:rPr>
        <w:t xml:space="preserve"> and Human Decision Processes</w:t>
      </w:r>
      <w:r w:rsidRPr="00B92DDE">
        <w:rPr>
          <w:rFonts w:ascii="Times New Roman" w:hAnsi="Times New Roman" w:cs="Times New Roman"/>
        </w:rPr>
        <w:t>, 35(1), 124-140.</w:t>
      </w:r>
    </w:p>
    <w:p w14:paraId="1CE267C1"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Bhattacharya, S., &amp; Gursoy, D. (2019). </w:t>
      </w:r>
      <w:r w:rsidRPr="00B92DDE">
        <w:rPr>
          <w:rFonts w:ascii="Times New Roman" w:hAnsi="Times New Roman" w:cs="Times New Roman"/>
          <w:i/>
          <w:iCs/>
        </w:rPr>
        <w:t>Unit-linked insurance plans: Product structure, costs, and regulatory challenges</w:t>
      </w:r>
      <w:r w:rsidRPr="00B92DDE">
        <w:rPr>
          <w:rFonts w:ascii="Times New Roman" w:hAnsi="Times New Roman" w:cs="Times New Roman"/>
        </w:rPr>
        <w:t>. Journal of Insurance and Risk Management.</w:t>
      </w:r>
    </w:p>
    <w:p w14:paraId="34B3265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Burnham, T. A., Frels, J. K., &amp; Mahajan, V. (2003). Consumer switching costs: A typology, antecedents, and consequences. </w:t>
      </w:r>
      <w:r w:rsidRPr="00B92DDE">
        <w:rPr>
          <w:rFonts w:ascii="Times New Roman" w:hAnsi="Times New Roman" w:cs="Times New Roman"/>
          <w:i/>
          <w:iCs/>
        </w:rPr>
        <w:t>Journal of the Academy of Marketing Science</w:t>
      </w:r>
      <w:r w:rsidRPr="00B92DDE">
        <w:rPr>
          <w:rFonts w:ascii="Times New Roman" w:hAnsi="Times New Roman" w:cs="Times New Roman"/>
        </w:rPr>
        <w:t>, 31(2), 109-126.</w:t>
      </w:r>
    </w:p>
    <w:p w14:paraId="57D1A4A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Carson, J. M. (1994). An analysis of the net present value of backdating life insurance. </w:t>
      </w:r>
      <w:r w:rsidRPr="00B92DDE">
        <w:rPr>
          <w:rFonts w:ascii="Times New Roman" w:hAnsi="Times New Roman" w:cs="Times New Roman"/>
          <w:i/>
          <w:iCs/>
        </w:rPr>
        <w:t>Journal of Financial Service Professionals</w:t>
      </w:r>
      <w:r w:rsidRPr="00B92DDE">
        <w:rPr>
          <w:rFonts w:ascii="Times New Roman" w:hAnsi="Times New Roman" w:cs="Times New Roman"/>
        </w:rPr>
        <w:t>, 48(3), 57-62.</w:t>
      </w:r>
    </w:p>
    <w:p w14:paraId="20A763FB"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Carson, J. M., &amp; Forster, W. H. (2000). Policy replacement: A review of the literature and issues. </w:t>
      </w:r>
      <w:r w:rsidRPr="00B92DDE">
        <w:rPr>
          <w:rFonts w:ascii="Times New Roman" w:hAnsi="Times New Roman" w:cs="Times New Roman"/>
          <w:i/>
          <w:iCs/>
        </w:rPr>
        <w:t>Journal of Insurance Issues</w:t>
      </w:r>
      <w:r w:rsidRPr="00B92DDE">
        <w:rPr>
          <w:rFonts w:ascii="Times New Roman" w:hAnsi="Times New Roman" w:cs="Times New Roman"/>
        </w:rPr>
        <w:t>, 23(1), 1-23.</w:t>
      </w:r>
    </w:p>
    <w:p w14:paraId="50B35392"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Carson, J. M., Clark, J. M., &amp; Ostaszewski, K. (2012). The incentives and welfare economics of life insurance backdating. </w:t>
      </w:r>
      <w:r w:rsidRPr="00B92DDE">
        <w:rPr>
          <w:rFonts w:ascii="Times New Roman" w:hAnsi="Times New Roman" w:cs="Times New Roman"/>
          <w:i/>
          <w:iCs/>
        </w:rPr>
        <w:t>Journal of Insurance Issues</w:t>
      </w:r>
      <w:r w:rsidRPr="00B92DDE">
        <w:rPr>
          <w:rFonts w:ascii="Times New Roman" w:hAnsi="Times New Roman" w:cs="Times New Roman"/>
        </w:rPr>
        <w:t>, 35(2), 157-182.</w:t>
      </w:r>
    </w:p>
    <w:p w14:paraId="0A99FB82"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Carson, J. M., &amp; Ostaszewski, K. (2004). The actuarial present value of backdating life insurance. </w:t>
      </w:r>
      <w:r w:rsidRPr="00B92DDE">
        <w:rPr>
          <w:rFonts w:ascii="Times New Roman" w:hAnsi="Times New Roman" w:cs="Times New Roman"/>
          <w:i/>
          <w:iCs/>
        </w:rPr>
        <w:t>Journal of Financial Service Professionals</w:t>
      </w:r>
      <w:r w:rsidRPr="00B92DDE">
        <w:rPr>
          <w:rFonts w:ascii="Times New Roman" w:hAnsi="Times New Roman" w:cs="Times New Roman"/>
        </w:rPr>
        <w:t>, 58(1), 68-77.</w:t>
      </w:r>
    </w:p>
    <w:p w14:paraId="50525A2E"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Cawley, J., &amp; Philipson, T. (1999). An empirical examination of information barriers to trade in insurance. </w:t>
      </w:r>
      <w:r w:rsidRPr="00B92DDE">
        <w:rPr>
          <w:rFonts w:ascii="Times New Roman" w:hAnsi="Times New Roman" w:cs="Times New Roman"/>
          <w:i/>
          <w:iCs/>
        </w:rPr>
        <w:t>American Economic Review</w:t>
      </w:r>
      <w:r w:rsidRPr="00B92DDE">
        <w:rPr>
          <w:rFonts w:ascii="Times New Roman" w:hAnsi="Times New Roman" w:cs="Times New Roman"/>
        </w:rPr>
        <w:t>, 89(4), 827-846.</w:t>
      </w:r>
    </w:p>
    <w:p w14:paraId="025A7A25"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Chiappori</w:t>
      </w:r>
      <w:proofErr w:type="spellEnd"/>
      <w:r w:rsidRPr="00B92DDE">
        <w:rPr>
          <w:rFonts w:ascii="Times New Roman" w:hAnsi="Times New Roman" w:cs="Times New Roman"/>
        </w:rPr>
        <w:t xml:space="preserve">, P. A., Jullien, B., </w:t>
      </w:r>
      <w:proofErr w:type="spellStart"/>
      <w:r w:rsidRPr="00B92DDE">
        <w:rPr>
          <w:rFonts w:ascii="Times New Roman" w:hAnsi="Times New Roman" w:cs="Times New Roman"/>
        </w:rPr>
        <w:t>Salanié</w:t>
      </w:r>
      <w:proofErr w:type="spellEnd"/>
      <w:r w:rsidRPr="00B92DDE">
        <w:rPr>
          <w:rFonts w:ascii="Times New Roman" w:hAnsi="Times New Roman" w:cs="Times New Roman"/>
        </w:rPr>
        <w:t xml:space="preserve">, B., &amp; </w:t>
      </w:r>
      <w:proofErr w:type="spellStart"/>
      <w:r w:rsidRPr="00B92DDE">
        <w:rPr>
          <w:rFonts w:ascii="Times New Roman" w:hAnsi="Times New Roman" w:cs="Times New Roman"/>
        </w:rPr>
        <w:t>Salanié</w:t>
      </w:r>
      <w:proofErr w:type="spellEnd"/>
      <w:r w:rsidRPr="00B92DDE">
        <w:rPr>
          <w:rFonts w:ascii="Times New Roman" w:hAnsi="Times New Roman" w:cs="Times New Roman"/>
        </w:rPr>
        <w:t>, F. (2006). Asymmetric information in insurance: General testable implications. </w:t>
      </w:r>
      <w:r w:rsidRPr="00B92DDE">
        <w:rPr>
          <w:rFonts w:ascii="Times New Roman" w:hAnsi="Times New Roman" w:cs="Times New Roman"/>
          <w:i/>
          <w:iCs/>
        </w:rPr>
        <w:t>RAND Journal of Economics</w:t>
      </w:r>
      <w:r w:rsidRPr="00B92DDE">
        <w:rPr>
          <w:rFonts w:ascii="Times New Roman" w:hAnsi="Times New Roman" w:cs="Times New Roman"/>
        </w:rPr>
        <w:t>, 37(4), 783-798.</w:t>
      </w:r>
    </w:p>
    <w:p w14:paraId="640C925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Colgate, M., &amp; Lang, B. (2001). Switching barriers in consumer markets: An investigation of the financial services industry. </w:t>
      </w:r>
      <w:r w:rsidRPr="00B92DDE">
        <w:rPr>
          <w:rFonts w:ascii="Times New Roman" w:hAnsi="Times New Roman" w:cs="Times New Roman"/>
          <w:i/>
          <w:iCs/>
        </w:rPr>
        <w:t>Journal of Consumer Marketing</w:t>
      </w:r>
      <w:r w:rsidRPr="00B92DDE">
        <w:rPr>
          <w:rFonts w:ascii="Times New Roman" w:hAnsi="Times New Roman" w:cs="Times New Roman"/>
        </w:rPr>
        <w:t>, 18(4), 332-347.</w:t>
      </w:r>
    </w:p>
    <w:p w14:paraId="5156F69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Cooper, R., &amp; Hayes, B. (1987). Multi-period insurance contracts. </w:t>
      </w:r>
      <w:r w:rsidRPr="00B92DDE">
        <w:rPr>
          <w:rFonts w:ascii="Times New Roman" w:hAnsi="Times New Roman" w:cs="Times New Roman"/>
          <w:i/>
          <w:iCs/>
        </w:rPr>
        <w:t>International Journal of Industrial Organization</w:t>
      </w:r>
      <w:r w:rsidRPr="00B92DDE">
        <w:rPr>
          <w:rFonts w:ascii="Times New Roman" w:hAnsi="Times New Roman" w:cs="Times New Roman"/>
        </w:rPr>
        <w:t>, 5(2), 211-231.</w:t>
      </w:r>
    </w:p>
    <w:p w14:paraId="103EC75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Cutler, D. M., Finkelstein, A., &amp; McGarry, K. (2008). Preference heterogeneity and insurance markets: Explaining a puzzle of insurance. </w:t>
      </w:r>
      <w:r w:rsidRPr="00B92DDE">
        <w:rPr>
          <w:rFonts w:ascii="Times New Roman" w:hAnsi="Times New Roman" w:cs="Times New Roman"/>
          <w:i/>
          <w:iCs/>
        </w:rPr>
        <w:t>American Economic Review</w:t>
      </w:r>
      <w:r w:rsidRPr="00B92DDE">
        <w:rPr>
          <w:rFonts w:ascii="Times New Roman" w:hAnsi="Times New Roman" w:cs="Times New Roman"/>
        </w:rPr>
        <w:t>, 98(2), 157-162.</w:t>
      </w:r>
    </w:p>
    <w:p w14:paraId="5371145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D'Arcy, S. P., &amp; Doherty, N. A. (1990). Adverse selection, private information, and lowballing in insurance markets. </w:t>
      </w:r>
      <w:r w:rsidRPr="00B92DDE">
        <w:rPr>
          <w:rFonts w:ascii="Times New Roman" w:hAnsi="Times New Roman" w:cs="Times New Roman"/>
          <w:i/>
          <w:iCs/>
        </w:rPr>
        <w:t>Journal of Business</w:t>
      </w:r>
      <w:r w:rsidRPr="00B92DDE">
        <w:rPr>
          <w:rFonts w:ascii="Times New Roman" w:hAnsi="Times New Roman" w:cs="Times New Roman"/>
        </w:rPr>
        <w:t>, 63(2), 145-164.</w:t>
      </w:r>
    </w:p>
    <w:p w14:paraId="3426240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Davis, F. D. (1989). Perceived usefulness, perceived ease of use, and user acceptance of information technology. </w:t>
      </w:r>
      <w:r w:rsidRPr="00B92DDE">
        <w:rPr>
          <w:rFonts w:ascii="Times New Roman" w:hAnsi="Times New Roman" w:cs="Times New Roman"/>
          <w:i/>
          <w:iCs/>
        </w:rPr>
        <w:t>MIS Quarterly</w:t>
      </w:r>
      <w:r w:rsidRPr="00B92DDE">
        <w:rPr>
          <w:rFonts w:ascii="Times New Roman" w:hAnsi="Times New Roman" w:cs="Times New Roman"/>
        </w:rPr>
        <w:t>, 13(3), 319-340.</w:t>
      </w:r>
    </w:p>
    <w:p w14:paraId="363FD809"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De Meza, D., &amp; Webb, D. C. (2001). Advantageous selection in insurance markets. </w:t>
      </w:r>
      <w:r w:rsidRPr="00B92DDE">
        <w:rPr>
          <w:rFonts w:ascii="Times New Roman" w:hAnsi="Times New Roman" w:cs="Times New Roman"/>
          <w:i/>
          <w:iCs/>
        </w:rPr>
        <w:t>RAND Journal of Economics</w:t>
      </w:r>
      <w:r w:rsidRPr="00B92DDE">
        <w:rPr>
          <w:rFonts w:ascii="Times New Roman" w:hAnsi="Times New Roman" w:cs="Times New Roman"/>
        </w:rPr>
        <w:t>, 32(2), 249-262.</w:t>
      </w:r>
    </w:p>
    <w:p w14:paraId="4A4FA869"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lastRenderedPageBreak/>
        <w:t>Dick, A. S., &amp; Basu, K. (1994). Customer loyalty: Toward an integrated conceptual framework. </w:t>
      </w:r>
      <w:r w:rsidRPr="00B92DDE">
        <w:rPr>
          <w:rFonts w:ascii="Times New Roman" w:hAnsi="Times New Roman" w:cs="Times New Roman"/>
          <w:i/>
          <w:iCs/>
        </w:rPr>
        <w:t>Journal of the Academy of Marketing Science</w:t>
      </w:r>
      <w:r w:rsidRPr="00B92DDE">
        <w:rPr>
          <w:rFonts w:ascii="Times New Roman" w:hAnsi="Times New Roman" w:cs="Times New Roman"/>
        </w:rPr>
        <w:t>, 22(2), 99-113.</w:t>
      </w:r>
    </w:p>
    <w:p w14:paraId="6CFCA77F"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Eling, M., &amp; Kochanski, M. (2013). Research on lapse in life insurance: What has been done and what needs to be done? </w:t>
      </w:r>
      <w:r w:rsidRPr="00B92DDE">
        <w:rPr>
          <w:rFonts w:ascii="Times New Roman" w:hAnsi="Times New Roman" w:cs="Times New Roman"/>
          <w:i/>
          <w:iCs/>
        </w:rPr>
        <w:t>Journal of Risk Finance</w:t>
      </w:r>
      <w:r w:rsidRPr="00B92DDE">
        <w:rPr>
          <w:rFonts w:ascii="Times New Roman" w:hAnsi="Times New Roman" w:cs="Times New Roman"/>
        </w:rPr>
        <w:t>, 14(4), 392-413.</w:t>
      </w:r>
    </w:p>
    <w:p w14:paraId="33B2ADCC"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Eling, M., &amp; Lehmann, M. (2018). The impact of digitalization on the insurance value chain and the insurability of risks. </w:t>
      </w:r>
      <w:r w:rsidRPr="00B92DDE">
        <w:rPr>
          <w:rFonts w:ascii="Times New Roman" w:hAnsi="Times New Roman" w:cs="Times New Roman"/>
          <w:i/>
          <w:iCs/>
        </w:rPr>
        <w:t>Geneva Papers on Risk and Insurance</w:t>
      </w:r>
      <w:r w:rsidRPr="00B92DDE">
        <w:rPr>
          <w:rFonts w:ascii="Times New Roman" w:hAnsi="Times New Roman" w:cs="Times New Roman"/>
        </w:rPr>
        <w:t>, 43(3), 359-396.</w:t>
      </w:r>
    </w:p>
    <w:p w14:paraId="68C22BEC"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Fang, H., &amp; Kung, E. (2010). Why do life insurance policyholders lapse? The roles of income, health, and bequest motives. </w:t>
      </w:r>
      <w:r w:rsidRPr="00B92DDE">
        <w:rPr>
          <w:rFonts w:ascii="Times New Roman" w:hAnsi="Times New Roman" w:cs="Times New Roman"/>
          <w:i/>
          <w:iCs/>
        </w:rPr>
        <w:t>Journal of Risk and Insurance</w:t>
      </w:r>
      <w:r w:rsidRPr="00B92DDE">
        <w:rPr>
          <w:rFonts w:ascii="Times New Roman" w:hAnsi="Times New Roman" w:cs="Times New Roman"/>
        </w:rPr>
        <w:t>, 77(3), 567-596.</w:t>
      </w:r>
    </w:p>
    <w:p w14:paraId="7C1BDB24"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lang w:val="de-DE"/>
        </w:rPr>
        <w:t xml:space="preserve">Fei, W., Fluet, C., &amp; Schlesinger, H. (2015). </w:t>
      </w:r>
      <w:r w:rsidRPr="00B92DDE">
        <w:rPr>
          <w:rFonts w:ascii="Times New Roman" w:hAnsi="Times New Roman" w:cs="Times New Roman"/>
        </w:rPr>
        <w:t>Risk aversion, risk prudence, and the demand for insurance. </w:t>
      </w:r>
      <w:r w:rsidRPr="00B92DDE">
        <w:rPr>
          <w:rFonts w:ascii="Times New Roman" w:hAnsi="Times New Roman" w:cs="Times New Roman"/>
          <w:i/>
          <w:iCs/>
        </w:rPr>
        <w:t>Journal of Risk and Insurance</w:t>
      </w:r>
      <w:r w:rsidRPr="00B92DDE">
        <w:rPr>
          <w:rFonts w:ascii="Times New Roman" w:hAnsi="Times New Roman" w:cs="Times New Roman"/>
        </w:rPr>
        <w:t>, 82(4), 819-842.</w:t>
      </w:r>
    </w:p>
    <w:p w14:paraId="53B2EF2F"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Feldman, R. (2013). </w:t>
      </w:r>
      <w:proofErr w:type="spellStart"/>
      <w:r w:rsidRPr="00B92DDE">
        <w:rPr>
          <w:rFonts w:ascii="Times New Roman" w:hAnsi="Times New Roman" w:cs="Times New Roman"/>
        </w:rPr>
        <w:t>Behavioral</w:t>
      </w:r>
      <w:proofErr w:type="spellEnd"/>
      <w:r w:rsidRPr="00B92DDE">
        <w:rPr>
          <w:rFonts w:ascii="Times New Roman" w:hAnsi="Times New Roman" w:cs="Times New Roman"/>
        </w:rPr>
        <w:t xml:space="preserve"> economics and insurance: A review. </w:t>
      </w:r>
      <w:r w:rsidRPr="00B92DDE">
        <w:rPr>
          <w:rFonts w:ascii="Times New Roman" w:hAnsi="Times New Roman" w:cs="Times New Roman"/>
          <w:i/>
          <w:iCs/>
        </w:rPr>
        <w:t>Journal of Insurance Regulation</w:t>
      </w:r>
      <w:r w:rsidRPr="00B92DDE">
        <w:rPr>
          <w:rFonts w:ascii="Times New Roman" w:hAnsi="Times New Roman" w:cs="Times New Roman"/>
        </w:rPr>
        <w:t>, 32, 127-152.</w:t>
      </w:r>
    </w:p>
    <w:p w14:paraId="128EC8B3"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Finkelstein, A., McGarry, K., &amp; Sufi, A. (2005). Dynamic inefficiencies in insurance markets: Evidence from long-term care insurance. </w:t>
      </w:r>
      <w:r w:rsidRPr="00B92DDE">
        <w:rPr>
          <w:rFonts w:ascii="Times New Roman" w:hAnsi="Times New Roman" w:cs="Times New Roman"/>
          <w:i/>
          <w:iCs/>
        </w:rPr>
        <w:t>American Economic Review</w:t>
      </w:r>
      <w:r w:rsidRPr="00B92DDE">
        <w:rPr>
          <w:rFonts w:ascii="Times New Roman" w:hAnsi="Times New Roman" w:cs="Times New Roman"/>
        </w:rPr>
        <w:t>, 95(2), 224-228.</w:t>
      </w:r>
    </w:p>
    <w:p w14:paraId="0AB640B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Fornell, C., &amp; Larcker, D. F. (1981). Evaluating structural equation models with unobservable variables and measurement error. </w:t>
      </w:r>
      <w:r w:rsidRPr="00B92DDE">
        <w:rPr>
          <w:rFonts w:ascii="Times New Roman" w:hAnsi="Times New Roman" w:cs="Times New Roman"/>
          <w:i/>
          <w:iCs/>
        </w:rPr>
        <w:t>Journal of Marketing Research</w:t>
      </w:r>
      <w:r w:rsidRPr="00B92DDE">
        <w:rPr>
          <w:rFonts w:ascii="Times New Roman" w:hAnsi="Times New Roman" w:cs="Times New Roman"/>
        </w:rPr>
        <w:t>, 18(1), 39-50.</w:t>
      </w:r>
    </w:p>
    <w:p w14:paraId="0CDD5D1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Fritz, M. S., &amp; MacKinnon, D. P. (2007). Required sample size to detect the mediated effect. </w:t>
      </w:r>
      <w:r w:rsidRPr="00B92DDE">
        <w:rPr>
          <w:rFonts w:ascii="Times New Roman" w:hAnsi="Times New Roman" w:cs="Times New Roman"/>
          <w:i/>
          <w:iCs/>
        </w:rPr>
        <w:t>Psychological Science</w:t>
      </w:r>
      <w:r w:rsidRPr="00B92DDE">
        <w:rPr>
          <w:rFonts w:ascii="Times New Roman" w:hAnsi="Times New Roman" w:cs="Times New Roman"/>
        </w:rPr>
        <w:t>, 18(3), 233-239.</w:t>
      </w:r>
    </w:p>
    <w:p w14:paraId="2349D098"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Gatzert, N., &amp; Schmeiser, H. (2008). The impact of surrender options on the risk profile of unit-linked life insurance products. </w:t>
      </w:r>
      <w:r w:rsidRPr="00B92DDE">
        <w:rPr>
          <w:rFonts w:ascii="Times New Roman" w:hAnsi="Times New Roman" w:cs="Times New Roman"/>
          <w:i/>
          <w:iCs/>
        </w:rPr>
        <w:t>Journal of Risk and Insurance</w:t>
      </w:r>
      <w:r w:rsidRPr="00B92DDE">
        <w:rPr>
          <w:rFonts w:ascii="Times New Roman" w:hAnsi="Times New Roman" w:cs="Times New Roman"/>
        </w:rPr>
        <w:t>, 75(4), 909-936.</w:t>
      </w:r>
    </w:p>
    <w:p w14:paraId="61D40D64"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Gottlieb, D. (2012). Adverse selection in life insurance. </w:t>
      </w:r>
      <w:r w:rsidRPr="00B92DDE">
        <w:rPr>
          <w:rFonts w:ascii="Times New Roman" w:hAnsi="Times New Roman" w:cs="Times New Roman"/>
          <w:i/>
          <w:iCs/>
        </w:rPr>
        <w:t>Journal of Risk and Insurance</w:t>
      </w:r>
      <w:r w:rsidRPr="00B92DDE">
        <w:rPr>
          <w:rFonts w:ascii="Times New Roman" w:hAnsi="Times New Roman" w:cs="Times New Roman"/>
        </w:rPr>
        <w:t>, 79(1), 1-22.</w:t>
      </w:r>
    </w:p>
    <w:p w14:paraId="1F129BAF"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Gottlieb, D., &amp; Smetters, K. (2014). Lapse-based insurance. </w:t>
      </w:r>
      <w:r w:rsidRPr="00B92DDE">
        <w:rPr>
          <w:rFonts w:ascii="Times New Roman" w:hAnsi="Times New Roman" w:cs="Times New Roman"/>
          <w:i/>
          <w:iCs/>
        </w:rPr>
        <w:t>American Economic Review</w:t>
      </w:r>
      <w:r w:rsidRPr="00B92DDE">
        <w:rPr>
          <w:rFonts w:ascii="Times New Roman" w:hAnsi="Times New Roman" w:cs="Times New Roman"/>
        </w:rPr>
        <w:t>, 104(5), 181-185.</w:t>
      </w:r>
    </w:p>
    <w:p w14:paraId="27EB40B3"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Hayes, A. F. (2018). </w:t>
      </w:r>
      <w:r w:rsidRPr="00B92DDE">
        <w:rPr>
          <w:rFonts w:ascii="Times New Roman" w:hAnsi="Times New Roman" w:cs="Times New Roman"/>
          <w:i/>
          <w:iCs/>
        </w:rPr>
        <w:t>Introduction to mediation, moderation, and conditional process analysis: A regression-based approach</w:t>
      </w:r>
      <w:r w:rsidRPr="00B92DDE">
        <w:rPr>
          <w:rFonts w:ascii="Times New Roman" w:hAnsi="Times New Roman" w:cs="Times New Roman"/>
        </w:rPr>
        <w:t> (2nd ed.). Guilford Press.</w:t>
      </w:r>
    </w:p>
    <w:p w14:paraId="071DC861"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Hendel, I., &amp; </w:t>
      </w:r>
      <w:proofErr w:type="spellStart"/>
      <w:r w:rsidRPr="00B92DDE">
        <w:rPr>
          <w:rFonts w:ascii="Times New Roman" w:hAnsi="Times New Roman" w:cs="Times New Roman"/>
        </w:rPr>
        <w:t>Lizzeri</w:t>
      </w:r>
      <w:proofErr w:type="spellEnd"/>
      <w:r w:rsidRPr="00B92DDE">
        <w:rPr>
          <w:rFonts w:ascii="Times New Roman" w:hAnsi="Times New Roman" w:cs="Times New Roman"/>
        </w:rPr>
        <w:t>, A. (2003). The role of commitment in dynamic contracts: Evidence from life insurance. </w:t>
      </w:r>
      <w:r w:rsidRPr="00B92DDE">
        <w:rPr>
          <w:rFonts w:ascii="Times New Roman" w:hAnsi="Times New Roman" w:cs="Times New Roman"/>
          <w:i/>
          <w:iCs/>
        </w:rPr>
        <w:t>Quarterly Journal of Economics</w:t>
      </w:r>
      <w:r w:rsidRPr="00B92DDE">
        <w:rPr>
          <w:rFonts w:ascii="Times New Roman" w:hAnsi="Times New Roman" w:cs="Times New Roman"/>
        </w:rPr>
        <w:t>, 118(1), 299-328.</w:t>
      </w:r>
    </w:p>
    <w:p w14:paraId="1C9CF14E"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Hofmann, A., &amp; Browne, M. J. (2013). The role of front-loading in life insurance contracts. </w:t>
      </w:r>
      <w:r w:rsidRPr="00B92DDE">
        <w:rPr>
          <w:rFonts w:ascii="Times New Roman" w:hAnsi="Times New Roman" w:cs="Times New Roman"/>
          <w:i/>
          <w:iCs/>
        </w:rPr>
        <w:t>Journal of Risk and Insurance</w:t>
      </w:r>
      <w:r w:rsidRPr="00B92DDE">
        <w:rPr>
          <w:rFonts w:ascii="Times New Roman" w:hAnsi="Times New Roman" w:cs="Times New Roman"/>
        </w:rPr>
        <w:t>, 80(4), 935-962.</w:t>
      </w:r>
    </w:p>
    <w:p w14:paraId="4BE1FC6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Jones, M. A., Mothersbaugh, D. L., &amp; Beatty, S. E. (2000). Switching barriers and repurchase intentions in services. </w:t>
      </w:r>
      <w:r w:rsidRPr="00B92DDE">
        <w:rPr>
          <w:rFonts w:ascii="Times New Roman" w:hAnsi="Times New Roman" w:cs="Times New Roman"/>
          <w:i/>
          <w:iCs/>
        </w:rPr>
        <w:t>Journal of Retailing</w:t>
      </w:r>
      <w:r w:rsidRPr="00B92DDE">
        <w:rPr>
          <w:rFonts w:ascii="Times New Roman" w:hAnsi="Times New Roman" w:cs="Times New Roman"/>
        </w:rPr>
        <w:t>, 76(2), 259-274.</w:t>
      </w:r>
    </w:p>
    <w:p w14:paraId="379DB931"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Kahneman, D., &amp; Tversky, A. (1979). Prospect theory: An analysis of decision under risk. </w:t>
      </w:r>
      <w:proofErr w:type="spellStart"/>
      <w:r w:rsidRPr="00B92DDE">
        <w:rPr>
          <w:rFonts w:ascii="Times New Roman" w:hAnsi="Times New Roman" w:cs="Times New Roman"/>
          <w:i/>
          <w:iCs/>
        </w:rPr>
        <w:t>Econometrica</w:t>
      </w:r>
      <w:proofErr w:type="spellEnd"/>
      <w:r w:rsidRPr="00B92DDE">
        <w:rPr>
          <w:rFonts w:ascii="Times New Roman" w:hAnsi="Times New Roman" w:cs="Times New Roman"/>
        </w:rPr>
        <w:t>, 47(2), 263-291.</w:t>
      </w:r>
    </w:p>
    <w:p w14:paraId="38D64D3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lastRenderedPageBreak/>
        <w:t>Kiesenbauer, D. (2012). Main determinants of lapse in the German life insurance industry. </w:t>
      </w:r>
      <w:r w:rsidRPr="00B92DDE">
        <w:rPr>
          <w:rFonts w:ascii="Times New Roman" w:hAnsi="Times New Roman" w:cs="Times New Roman"/>
          <w:i/>
          <w:iCs/>
        </w:rPr>
        <w:t>North American Actuarial Journal</w:t>
      </w:r>
      <w:r w:rsidRPr="00B92DDE">
        <w:rPr>
          <w:rFonts w:ascii="Times New Roman" w:hAnsi="Times New Roman" w:cs="Times New Roman"/>
        </w:rPr>
        <w:t>, 16(1), 52-73.</w:t>
      </w:r>
    </w:p>
    <w:p w14:paraId="105DFF18"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Kline, R. B. (2016). </w:t>
      </w:r>
      <w:r w:rsidRPr="00B92DDE">
        <w:rPr>
          <w:rFonts w:ascii="Times New Roman" w:hAnsi="Times New Roman" w:cs="Times New Roman"/>
          <w:i/>
          <w:iCs/>
        </w:rPr>
        <w:t xml:space="preserve">Principles and practice of structural equation </w:t>
      </w:r>
      <w:proofErr w:type="spellStart"/>
      <w:r w:rsidRPr="00B92DDE">
        <w:rPr>
          <w:rFonts w:ascii="Times New Roman" w:hAnsi="Times New Roman" w:cs="Times New Roman"/>
          <w:i/>
          <w:iCs/>
        </w:rPr>
        <w:t>modeling</w:t>
      </w:r>
      <w:proofErr w:type="spellEnd"/>
      <w:r w:rsidRPr="00B92DDE">
        <w:rPr>
          <w:rFonts w:ascii="Times New Roman" w:hAnsi="Times New Roman" w:cs="Times New Roman"/>
        </w:rPr>
        <w:t> (4th ed.). Guilford Press.</w:t>
      </w:r>
    </w:p>
    <w:p w14:paraId="010FFEB5"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Kuo, W., Tsai, C., &amp; Chen, W. K. (2003). An empirical study on the lapse rate of life insurance policies. </w:t>
      </w:r>
      <w:r w:rsidRPr="00B92DDE">
        <w:rPr>
          <w:rFonts w:ascii="Times New Roman" w:hAnsi="Times New Roman" w:cs="Times New Roman"/>
          <w:i/>
          <w:iCs/>
        </w:rPr>
        <w:t>Journal of Risk Management</w:t>
      </w:r>
      <w:r w:rsidRPr="00B92DDE">
        <w:rPr>
          <w:rFonts w:ascii="Times New Roman" w:hAnsi="Times New Roman" w:cs="Times New Roman"/>
        </w:rPr>
        <w:t>, 5(1), 1-22.</w:t>
      </w:r>
    </w:p>
    <w:p w14:paraId="5DAB281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Liebenberg, A. P., Carson, J. M., &amp; Dumm, R. E. (2012). A dynamic analysis of the demand for life insurance. </w:t>
      </w:r>
      <w:r w:rsidRPr="00B92DDE">
        <w:rPr>
          <w:rFonts w:ascii="Times New Roman" w:hAnsi="Times New Roman" w:cs="Times New Roman"/>
          <w:i/>
          <w:iCs/>
        </w:rPr>
        <w:t>Journal of Risk and Insurance</w:t>
      </w:r>
      <w:r w:rsidRPr="00B92DDE">
        <w:rPr>
          <w:rFonts w:ascii="Times New Roman" w:hAnsi="Times New Roman" w:cs="Times New Roman"/>
        </w:rPr>
        <w:t>, 79(3), 619-644.</w:t>
      </w:r>
    </w:p>
    <w:p w14:paraId="0A2CE481"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Linton, M. A. (1932). </w:t>
      </w:r>
      <w:r w:rsidRPr="00B92DDE">
        <w:rPr>
          <w:rFonts w:ascii="Times New Roman" w:hAnsi="Times New Roman" w:cs="Times New Roman"/>
          <w:i/>
          <w:iCs/>
        </w:rPr>
        <w:t>Life insurance and the emergency fund</w:t>
      </w:r>
      <w:r w:rsidRPr="00B92DDE">
        <w:rPr>
          <w:rFonts w:ascii="Times New Roman" w:hAnsi="Times New Roman" w:cs="Times New Roman"/>
        </w:rPr>
        <w:t>. In </w:t>
      </w:r>
      <w:r w:rsidRPr="00B92DDE">
        <w:rPr>
          <w:rFonts w:ascii="Times New Roman" w:hAnsi="Times New Roman" w:cs="Times New Roman"/>
          <w:i/>
          <w:iCs/>
        </w:rPr>
        <w:t>Proceedings of the Actuarial Society of America</w:t>
      </w:r>
      <w:r w:rsidRPr="00B92DDE">
        <w:rPr>
          <w:rFonts w:ascii="Times New Roman" w:hAnsi="Times New Roman" w:cs="Times New Roman"/>
        </w:rPr>
        <w:t>, 33, 139-154.</w:t>
      </w:r>
    </w:p>
    <w:p w14:paraId="7746DD03"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Lusardi, A., &amp; Mitchell, O. S. (2014). The economic importance of financial literacy: Theory and evidence. </w:t>
      </w:r>
      <w:r w:rsidRPr="00B92DDE">
        <w:rPr>
          <w:rFonts w:ascii="Times New Roman" w:hAnsi="Times New Roman" w:cs="Times New Roman"/>
          <w:i/>
          <w:iCs/>
        </w:rPr>
        <w:t>Journal of Economic Literature</w:t>
      </w:r>
      <w:r w:rsidRPr="00B92DDE">
        <w:rPr>
          <w:rFonts w:ascii="Times New Roman" w:hAnsi="Times New Roman" w:cs="Times New Roman"/>
        </w:rPr>
        <w:t>, 52(1), 5-44.</w:t>
      </w:r>
    </w:p>
    <w:p w14:paraId="7499A61C"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Mulholland, B., &amp; Finke, M. (2014). The effect of </w:t>
      </w:r>
      <w:proofErr w:type="spellStart"/>
      <w:r w:rsidRPr="00B92DDE">
        <w:rPr>
          <w:rFonts w:ascii="Times New Roman" w:hAnsi="Times New Roman" w:cs="Times New Roman"/>
        </w:rPr>
        <w:t>behavioral</w:t>
      </w:r>
      <w:proofErr w:type="spellEnd"/>
      <w:r w:rsidRPr="00B92DDE">
        <w:rPr>
          <w:rFonts w:ascii="Times New Roman" w:hAnsi="Times New Roman" w:cs="Times New Roman"/>
        </w:rPr>
        <w:t xml:space="preserve"> biases on life insurance lapse rates. </w:t>
      </w:r>
      <w:r w:rsidRPr="00B92DDE">
        <w:rPr>
          <w:rFonts w:ascii="Times New Roman" w:hAnsi="Times New Roman" w:cs="Times New Roman"/>
          <w:i/>
          <w:iCs/>
        </w:rPr>
        <w:t>Journal of Financial Service Professionals</w:t>
      </w:r>
      <w:r w:rsidRPr="00B92DDE">
        <w:rPr>
          <w:rFonts w:ascii="Times New Roman" w:hAnsi="Times New Roman" w:cs="Times New Roman"/>
        </w:rPr>
        <w:t>, 68(4), 72-80.</w:t>
      </w:r>
    </w:p>
    <w:p w14:paraId="45868146"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Mussa, M., &amp; Rosen, S. (1978). Monopoly and product quality. </w:t>
      </w:r>
      <w:r w:rsidRPr="00B92DDE">
        <w:rPr>
          <w:rFonts w:ascii="Times New Roman" w:hAnsi="Times New Roman" w:cs="Times New Roman"/>
          <w:i/>
          <w:iCs/>
        </w:rPr>
        <w:t>Journal of Economic Theory</w:t>
      </w:r>
      <w:r w:rsidRPr="00B92DDE">
        <w:rPr>
          <w:rFonts w:ascii="Times New Roman" w:hAnsi="Times New Roman" w:cs="Times New Roman"/>
        </w:rPr>
        <w:t>, 18(2), 301-317.</w:t>
      </w:r>
    </w:p>
    <w:p w14:paraId="541A3312"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Nahata</w:t>
      </w:r>
      <w:proofErr w:type="spellEnd"/>
      <w:r w:rsidRPr="00B92DDE">
        <w:rPr>
          <w:rFonts w:ascii="Times New Roman" w:hAnsi="Times New Roman" w:cs="Times New Roman"/>
        </w:rPr>
        <w:t>, B., Ostaszewski, K., &amp; Sahoo, P. K. (1999). Buffet pricing. </w:t>
      </w:r>
      <w:r w:rsidRPr="00B92DDE">
        <w:rPr>
          <w:rFonts w:ascii="Times New Roman" w:hAnsi="Times New Roman" w:cs="Times New Roman"/>
          <w:i/>
          <w:iCs/>
        </w:rPr>
        <w:t>Journal of Business</w:t>
      </w:r>
      <w:r w:rsidRPr="00B92DDE">
        <w:rPr>
          <w:rFonts w:ascii="Times New Roman" w:hAnsi="Times New Roman" w:cs="Times New Roman"/>
        </w:rPr>
        <w:t>, 72(2), 215-228.</w:t>
      </w:r>
    </w:p>
    <w:p w14:paraId="0C260ED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Nicoletti, B. (2020). </w:t>
      </w:r>
      <w:r w:rsidRPr="00B92DDE">
        <w:rPr>
          <w:rFonts w:ascii="Times New Roman" w:hAnsi="Times New Roman" w:cs="Times New Roman"/>
          <w:i/>
          <w:iCs/>
        </w:rPr>
        <w:t xml:space="preserve">The future of insurance: </w:t>
      </w:r>
      <w:proofErr w:type="spellStart"/>
      <w:r w:rsidRPr="00B92DDE">
        <w:rPr>
          <w:rFonts w:ascii="Times New Roman" w:hAnsi="Times New Roman" w:cs="Times New Roman"/>
          <w:i/>
          <w:iCs/>
        </w:rPr>
        <w:t>InsurTech</w:t>
      </w:r>
      <w:proofErr w:type="spellEnd"/>
      <w:r w:rsidRPr="00B92DDE">
        <w:rPr>
          <w:rFonts w:ascii="Times New Roman" w:hAnsi="Times New Roman" w:cs="Times New Roman"/>
          <w:i/>
          <w:iCs/>
        </w:rPr>
        <w:t xml:space="preserve"> and the digital transformation of the insurance industry</w:t>
      </w:r>
      <w:r w:rsidRPr="00B92DDE">
        <w:rPr>
          <w:rFonts w:ascii="Times New Roman" w:hAnsi="Times New Roman" w:cs="Times New Roman"/>
        </w:rPr>
        <w:t>. Springer.</w:t>
      </w:r>
    </w:p>
    <w:p w14:paraId="2B12E9CD"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Oi, W. Y. (1971). A Disneyland dilemma: Two-part tariffs for a Mickey Mouse monopoly. </w:t>
      </w:r>
      <w:r w:rsidRPr="00B92DDE">
        <w:rPr>
          <w:rFonts w:ascii="Times New Roman" w:hAnsi="Times New Roman" w:cs="Times New Roman"/>
          <w:i/>
          <w:iCs/>
        </w:rPr>
        <w:t>Quarterly Journal of Economics</w:t>
      </w:r>
      <w:r w:rsidRPr="00B92DDE">
        <w:rPr>
          <w:rFonts w:ascii="Times New Roman" w:hAnsi="Times New Roman" w:cs="Times New Roman"/>
        </w:rPr>
        <w:t>, 85(1), 77-96.</w:t>
      </w:r>
    </w:p>
    <w:p w14:paraId="0FA025B5"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Outreville</w:t>
      </w:r>
      <w:proofErr w:type="spellEnd"/>
      <w:r w:rsidRPr="00B92DDE">
        <w:rPr>
          <w:rFonts w:ascii="Times New Roman" w:hAnsi="Times New Roman" w:cs="Times New Roman"/>
        </w:rPr>
        <w:t>, J. F. (1990). Whole-life insurance lapse rates and the emergency fund hypothesis. </w:t>
      </w:r>
      <w:r w:rsidRPr="00B92DDE">
        <w:rPr>
          <w:rFonts w:ascii="Times New Roman" w:hAnsi="Times New Roman" w:cs="Times New Roman"/>
          <w:i/>
          <w:iCs/>
        </w:rPr>
        <w:t>Insurance: Mathematics and Economics</w:t>
      </w:r>
      <w:r w:rsidRPr="00B92DDE">
        <w:rPr>
          <w:rFonts w:ascii="Times New Roman" w:hAnsi="Times New Roman" w:cs="Times New Roman"/>
        </w:rPr>
        <w:t>, 9(4), 249-255.</w:t>
      </w:r>
    </w:p>
    <w:p w14:paraId="0DD34821"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Outreville</w:t>
      </w:r>
      <w:proofErr w:type="spellEnd"/>
      <w:r w:rsidRPr="00B92DDE">
        <w:rPr>
          <w:rFonts w:ascii="Times New Roman" w:hAnsi="Times New Roman" w:cs="Times New Roman"/>
        </w:rPr>
        <w:t>, J. F. (2011). </w:t>
      </w:r>
      <w:r w:rsidRPr="00B92DDE">
        <w:rPr>
          <w:rFonts w:ascii="Times New Roman" w:hAnsi="Times New Roman" w:cs="Times New Roman"/>
          <w:i/>
          <w:iCs/>
        </w:rPr>
        <w:t>The economics of insurance</w:t>
      </w:r>
      <w:r w:rsidRPr="00B92DDE">
        <w:rPr>
          <w:rFonts w:ascii="Times New Roman" w:hAnsi="Times New Roman" w:cs="Times New Roman"/>
        </w:rPr>
        <w:t>. Palgrave Macmillan.</w:t>
      </w:r>
    </w:p>
    <w:p w14:paraId="7D82D661"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Pesando</w:t>
      </w:r>
      <w:proofErr w:type="spellEnd"/>
      <w:r w:rsidRPr="00B92DDE">
        <w:rPr>
          <w:rFonts w:ascii="Times New Roman" w:hAnsi="Times New Roman" w:cs="Times New Roman"/>
        </w:rPr>
        <w:t>, J. E. (1974). Determinants of life insurance policy lapse rates. </w:t>
      </w:r>
      <w:r w:rsidRPr="00B92DDE">
        <w:rPr>
          <w:rFonts w:ascii="Times New Roman" w:hAnsi="Times New Roman" w:cs="Times New Roman"/>
          <w:i/>
          <w:iCs/>
        </w:rPr>
        <w:t>Journal of Risk and Insurance</w:t>
      </w:r>
      <w:r w:rsidRPr="00B92DDE">
        <w:rPr>
          <w:rFonts w:ascii="Times New Roman" w:hAnsi="Times New Roman" w:cs="Times New Roman"/>
        </w:rPr>
        <w:t>, 41(4), 669-685.</w:t>
      </w:r>
    </w:p>
    <w:p w14:paraId="1F673084"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Podsakoff, P. M., MacKenzie, S. B., Lee, J. Y., &amp; Podsakoff, N. P. (2003). Common method biases in </w:t>
      </w:r>
      <w:proofErr w:type="spellStart"/>
      <w:r w:rsidRPr="00B92DDE">
        <w:rPr>
          <w:rFonts w:ascii="Times New Roman" w:hAnsi="Times New Roman" w:cs="Times New Roman"/>
        </w:rPr>
        <w:t>behavioral</w:t>
      </w:r>
      <w:proofErr w:type="spellEnd"/>
      <w:r w:rsidRPr="00B92DDE">
        <w:rPr>
          <w:rFonts w:ascii="Times New Roman" w:hAnsi="Times New Roman" w:cs="Times New Roman"/>
        </w:rPr>
        <w:t xml:space="preserve"> research: A critical review of the literature and recommended remedies. </w:t>
      </w:r>
      <w:r w:rsidRPr="00B92DDE">
        <w:rPr>
          <w:rFonts w:ascii="Times New Roman" w:hAnsi="Times New Roman" w:cs="Times New Roman"/>
          <w:i/>
          <w:iCs/>
        </w:rPr>
        <w:t>Journal of Applied Psychology</w:t>
      </w:r>
      <w:r w:rsidRPr="00B92DDE">
        <w:rPr>
          <w:rFonts w:ascii="Times New Roman" w:hAnsi="Times New Roman" w:cs="Times New Roman"/>
        </w:rPr>
        <w:t>, 88(5), 879-903.</w:t>
      </w:r>
    </w:p>
    <w:p w14:paraId="54BCF35F"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Preacher, K. J., Rucker, D. D., &amp; Hayes, A. F. (2007). Addressing moderated mediation hypotheses: Theory, methods, and prescriptions. </w:t>
      </w:r>
      <w:r w:rsidRPr="00B92DDE">
        <w:rPr>
          <w:rFonts w:ascii="Times New Roman" w:hAnsi="Times New Roman" w:cs="Times New Roman"/>
          <w:i/>
          <w:iCs/>
        </w:rPr>
        <w:t xml:space="preserve">Multivariate </w:t>
      </w:r>
      <w:proofErr w:type="spellStart"/>
      <w:r w:rsidRPr="00B92DDE">
        <w:rPr>
          <w:rFonts w:ascii="Times New Roman" w:hAnsi="Times New Roman" w:cs="Times New Roman"/>
          <w:i/>
          <w:iCs/>
        </w:rPr>
        <w:t>Behavioral</w:t>
      </w:r>
      <w:proofErr w:type="spellEnd"/>
      <w:r w:rsidRPr="00B92DDE">
        <w:rPr>
          <w:rFonts w:ascii="Times New Roman" w:hAnsi="Times New Roman" w:cs="Times New Roman"/>
          <w:i/>
          <w:iCs/>
        </w:rPr>
        <w:t xml:space="preserve"> Research</w:t>
      </w:r>
      <w:r w:rsidRPr="00B92DDE">
        <w:rPr>
          <w:rFonts w:ascii="Times New Roman" w:hAnsi="Times New Roman" w:cs="Times New Roman"/>
        </w:rPr>
        <w:t>, 42(1), 185-227.</w:t>
      </w:r>
    </w:p>
    <w:p w14:paraId="6FD15EEC"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Purushotham</w:t>
      </w:r>
      <w:proofErr w:type="spellEnd"/>
      <w:r w:rsidRPr="00B92DDE">
        <w:rPr>
          <w:rFonts w:ascii="Times New Roman" w:hAnsi="Times New Roman" w:cs="Times New Roman"/>
        </w:rPr>
        <w:t>, M. (2006). </w:t>
      </w:r>
      <w:r w:rsidRPr="00B92DDE">
        <w:rPr>
          <w:rFonts w:ascii="Times New Roman" w:hAnsi="Times New Roman" w:cs="Times New Roman"/>
          <w:i/>
          <w:iCs/>
        </w:rPr>
        <w:t>Lapse rates in the life insurance industry</w:t>
      </w:r>
      <w:r w:rsidRPr="00B92DDE">
        <w:rPr>
          <w:rFonts w:ascii="Times New Roman" w:hAnsi="Times New Roman" w:cs="Times New Roman"/>
        </w:rPr>
        <w:t>. LIMRA International.</w:t>
      </w:r>
    </w:p>
    <w:p w14:paraId="4E3374A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lastRenderedPageBreak/>
        <w:t>Schott, F. H. (1971). The economics of policy replacements. </w:t>
      </w:r>
      <w:r w:rsidRPr="00B92DDE">
        <w:rPr>
          <w:rFonts w:ascii="Times New Roman" w:hAnsi="Times New Roman" w:cs="Times New Roman"/>
          <w:i/>
          <w:iCs/>
        </w:rPr>
        <w:t>Journal of Risk and Insurance</w:t>
      </w:r>
      <w:r w:rsidRPr="00B92DDE">
        <w:rPr>
          <w:rFonts w:ascii="Times New Roman" w:hAnsi="Times New Roman" w:cs="Times New Roman"/>
        </w:rPr>
        <w:t>, 38(3), 423-432.</w:t>
      </w:r>
    </w:p>
    <w:p w14:paraId="270EFA52"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Shefrin, H. (2002). </w:t>
      </w:r>
      <w:r w:rsidRPr="00B92DDE">
        <w:rPr>
          <w:rFonts w:ascii="Times New Roman" w:hAnsi="Times New Roman" w:cs="Times New Roman"/>
          <w:i/>
          <w:iCs/>
        </w:rPr>
        <w:t xml:space="preserve">Beyond greed and fear: Understanding </w:t>
      </w:r>
      <w:proofErr w:type="spellStart"/>
      <w:r w:rsidRPr="00B92DDE">
        <w:rPr>
          <w:rFonts w:ascii="Times New Roman" w:hAnsi="Times New Roman" w:cs="Times New Roman"/>
          <w:i/>
          <w:iCs/>
        </w:rPr>
        <w:t>behavioral</w:t>
      </w:r>
      <w:proofErr w:type="spellEnd"/>
      <w:r w:rsidRPr="00B92DDE">
        <w:rPr>
          <w:rFonts w:ascii="Times New Roman" w:hAnsi="Times New Roman" w:cs="Times New Roman"/>
          <w:i/>
          <w:iCs/>
        </w:rPr>
        <w:t xml:space="preserve"> finance and the psychology of investing</w:t>
      </w:r>
      <w:r w:rsidRPr="00B92DDE">
        <w:rPr>
          <w:rFonts w:ascii="Times New Roman" w:hAnsi="Times New Roman" w:cs="Times New Roman"/>
        </w:rPr>
        <w:t>. Oxford University Press.</w:t>
      </w:r>
    </w:p>
    <w:p w14:paraId="04A5D27E" w14:textId="77777777" w:rsidR="00B92DDE" w:rsidRPr="00B92DDE" w:rsidRDefault="00B92DDE" w:rsidP="00B92DDE">
      <w:pPr>
        <w:jc w:val="both"/>
        <w:rPr>
          <w:rFonts w:ascii="Times New Roman" w:hAnsi="Times New Roman" w:cs="Times New Roman"/>
        </w:rPr>
      </w:pPr>
      <w:proofErr w:type="spellStart"/>
      <w:r w:rsidRPr="00B92DDE">
        <w:rPr>
          <w:rFonts w:ascii="Times New Roman" w:hAnsi="Times New Roman" w:cs="Times New Roman"/>
        </w:rPr>
        <w:t>Stoeckli</w:t>
      </w:r>
      <w:proofErr w:type="spellEnd"/>
      <w:r w:rsidRPr="00B92DDE">
        <w:rPr>
          <w:rFonts w:ascii="Times New Roman" w:hAnsi="Times New Roman" w:cs="Times New Roman"/>
        </w:rPr>
        <w:t xml:space="preserve">, E., Dremel, C., &amp; </w:t>
      </w:r>
      <w:proofErr w:type="spellStart"/>
      <w:r w:rsidRPr="00B92DDE">
        <w:rPr>
          <w:rFonts w:ascii="Times New Roman" w:hAnsi="Times New Roman" w:cs="Times New Roman"/>
        </w:rPr>
        <w:t>Uebernickel</w:t>
      </w:r>
      <w:proofErr w:type="spellEnd"/>
      <w:r w:rsidRPr="00B92DDE">
        <w:rPr>
          <w:rFonts w:ascii="Times New Roman" w:hAnsi="Times New Roman" w:cs="Times New Roman"/>
        </w:rPr>
        <w:t xml:space="preserve">, F. (2018). Exploring characteristics and transformational capabilities of </w:t>
      </w:r>
      <w:proofErr w:type="spellStart"/>
      <w:r w:rsidRPr="00B92DDE">
        <w:rPr>
          <w:rFonts w:ascii="Times New Roman" w:hAnsi="Times New Roman" w:cs="Times New Roman"/>
        </w:rPr>
        <w:t>InsurTech</w:t>
      </w:r>
      <w:proofErr w:type="spellEnd"/>
      <w:r w:rsidRPr="00B92DDE">
        <w:rPr>
          <w:rFonts w:ascii="Times New Roman" w:hAnsi="Times New Roman" w:cs="Times New Roman"/>
        </w:rPr>
        <w:t xml:space="preserve"> innovations to understand insurance value creation. </w:t>
      </w:r>
      <w:r w:rsidRPr="00B92DDE">
        <w:rPr>
          <w:rFonts w:ascii="Times New Roman" w:hAnsi="Times New Roman" w:cs="Times New Roman"/>
          <w:i/>
          <w:iCs/>
        </w:rPr>
        <w:t>Proceedings of the 26th European Conference on Information Systems</w:t>
      </w:r>
      <w:r w:rsidRPr="00B92DDE">
        <w:rPr>
          <w:rFonts w:ascii="Times New Roman" w:hAnsi="Times New Roman" w:cs="Times New Roman"/>
        </w:rPr>
        <w:t>, 1-16.</w:t>
      </w:r>
    </w:p>
    <w:p w14:paraId="6888CFD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Swiss Re. (2021). </w:t>
      </w:r>
      <w:r w:rsidRPr="00B92DDE">
        <w:rPr>
          <w:rFonts w:ascii="Times New Roman" w:hAnsi="Times New Roman" w:cs="Times New Roman"/>
          <w:i/>
          <w:iCs/>
        </w:rPr>
        <w:t>World insurance: The recovery begins</w:t>
      </w:r>
      <w:r w:rsidRPr="00B92DDE">
        <w:rPr>
          <w:rFonts w:ascii="Times New Roman" w:hAnsi="Times New Roman" w:cs="Times New Roman"/>
        </w:rPr>
        <w:t>. Swiss Re Institute Sigma Report.</w:t>
      </w:r>
    </w:p>
    <w:p w14:paraId="63994690"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Thaler, R. (1980). Toward a positive theory of consumer choice. </w:t>
      </w:r>
      <w:r w:rsidRPr="00B92DDE">
        <w:rPr>
          <w:rFonts w:ascii="Times New Roman" w:hAnsi="Times New Roman" w:cs="Times New Roman"/>
          <w:i/>
          <w:iCs/>
        </w:rPr>
        <w:t xml:space="preserve">Journal of Economic </w:t>
      </w:r>
      <w:proofErr w:type="spellStart"/>
      <w:r w:rsidRPr="00B92DDE">
        <w:rPr>
          <w:rFonts w:ascii="Times New Roman" w:hAnsi="Times New Roman" w:cs="Times New Roman"/>
          <w:i/>
          <w:iCs/>
        </w:rPr>
        <w:t>Behavior</w:t>
      </w:r>
      <w:proofErr w:type="spellEnd"/>
      <w:r w:rsidRPr="00B92DDE">
        <w:rPr>
          <w:rFonts w:ascii="Times New Roman" w:hAnsi="Times New Roman" w:cs="Times New Roman"/>
          <w:i/>
          <w:iCs/>
        </w:rPr>
        <w:t xml:space="preserve"> &amp; Organization</w:t>
      </w:r>
      <w:r w:rsidRPr="00B92DDE">
        <w:rPr>
          <w:rFonts w:ascii="Times New Roman" w:hAnsi="Times New Roman" w:cs="Times New Roman"/>
        </w:rPr>
        <w:t>, 1(1), 39-60.</w:t>
      </w:r>
    </w:p>
    <w:p w14:paraId="0A34E0A7"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Walsh, G. (2002). A cross-national comparison of consumer switching costs. </w:t>
      </w:r>
      <w:r w:rsidRPr="00B92DDE">
        <w:rPr>
          <w:rFonts w:ascii="Times New Roman" w:hAnsi="Times New Roman" w:cs="Times New Roman"/>
          <w:i/>
          <w:iCs/>
        </w:rPr>
        <w:t>Journal of Consumer Behaviour</w:t>
      </w:r>
      <w:r w:rsidRPr="00B92DDE">
        <w:rPr>
          <w:rFonts w:ascii="Times New Roman" w:hAnsi="Times New Roman" w:cs="Times New Roman"/>
        </w:rPr>
        <w:t>, 2(1), 46-62.</w:t>
      </w:r>
    </w:p>
    <w:p w14:paraId="299B0E15" w14:textId="77777777" w:rsidR="00B92DDE" w:rsidRPr="00B92DDE" w:rsidRDefault="00B92DDE" w:rsidP="00B92DDE">
      <w:pPr>
        <w:jc w:val="both"/>
        <w:rPr>
          <w:rFonts w:ascii="Times New Roman" w:hAnsi="Times New Roman" w:cs="Times New Roman"/>
        </w:rPr>
      </w:pPr>
      <w:r w:rsidRPr="00B92DDE">
        <w:rPr>
          <w:rFonts w:ascii="Times New Roman" w:hAnsi="Times New Roman" w:cs="Times New Roman"/>
        </w:rPr>
        <w:t xml:space="preserve">Wang, Y. (2020). The role of </w:t>
      </w:r>
      <w:proofErr w:type="spellStart"/>
      <w:r w:rsidRPr="00B92DDE">
        <w:rPr>
          <w:rFonts w:ascii="Times New Roman" w:hAnsi="Times New Roman" w:cs="Times New Roman"/>
        </w:rPr>
        <w:t>robo</w:t>
      </w:r>
      <w:proofErr w:type="spellEnd"/>
      <w:r w:rsidRPr="00B92DDE">
        <w:rPr>
          <w:rFonts w:ascii="Times New Roman" w:hAnsi="Times New Roman" w:cs="Times New Roman"/>
        </w:rPr>
        <w:t>-advisors in the insurance industry: A TAM-based analysis. </w:t>
      </w:r>
      <w:r w:rsidRPr="00B92DDE">
        <w:rPr>
          <w:rFonts w:ascii="Times New Roman" w:hAnsi="Times New Roman" w:cs="Times New Roman"/>
          <w:i/>
          <w:iCs/>
        </w:rPr>
        <w:t>Journal of Financial Services Research</w:t>
      </w:r>
      <w:r w:rsidRPr="00B92DDE">
        <w:rPr>
          <w:rFonts w:ascii="Times New Roman" w:hAnsi="Times New Roman" w:cs="Times New Roman"/>
        </w:rPr>
        <w:t>, 58(2), 145-163.</w:t>
      </w:r>
    </w:p>
    <w:p w14:paraId="7730B571" w14:textId="77777777" w:rsidR="00C71891" w:rsidRPr="00C71891" w:rsidRDefault="00C71891" w:rsidP="002D3617">
      <w:pPr>
        <w:jc w:val="both"/>
        <w:rPr>
          <w:rFonts w:ascii="Times New Roman" w:hAnsi="Times New Roman" w:cs="Times New Roman"/>
        </w:rPr>
      </w:pPr>
    </w:p>
    <w:sectPr w:rsidR="00C71891" w:rsidRPr="00C71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C1"/>
    <w:multiLevelType w:val="multilevel"/>
    <w:tmpl w:val="4188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2251"/>
    <w:multiLevelType w:val="multilevel"/>
    <w:tmpl w:val="4AD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83912"/>
    <w:multiLevelType w:val="multilevel"/>
    <w:tmpl w:val="3C04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74144"/>
    <w:multiLevelType w:val="multilevel"/>
    <w:tmpl w:val="F9DE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83368"/>
    <w:multiLevelType w:val="multilevel"/>
    <w:tmpl w:val="971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A464A"/>
    <w:multiLevelType w:val="multilevel"/>
    <w:tmpl w:val="B49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B5E46"/>
    <w:multiLevelType w:val="multilevel"/>
    <w:tmpl w:val="00A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F6229"/>
    <w:multiLevelType w:val="multilevel"/>
    <w:tmpl w:val="08C4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E43815"/>
    <w:multiLevelType w:val="hybridMultilevel"/>
    <w:tmpl w:val="51766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2210CF"/>
    <w:multiLevelType w:val="multilevel"/>
    <w:tmpl w:val="1D94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35116"/>
    <w:multiLevelType w:val="multilevel"/>
    <w:tmpl w:val="D950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77E5F"/>
    <w:multiLevelType w:val="multilevel"/>
    <w:tmpl w:val="B3C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EA1E58"/>
    <w:multiLevelType w:val="multilevel"/>
    <w:tmpl w:val="BAE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F7D63"/>
    <w:multiLevelType w:val="multilevel"/>
    <w:tmpl w:val="4660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3A12DE"/>
    <w:multiLevelType w:val="multilevel"/>
    <w:tmpl w:val="EEAE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55984"/>
    <w:multiLevelType w:val="multilevel"/>
    <w:tmpl w:val="E572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401715">
    <w:abstractNumId w:val="8"/>
  </w:num>
  <w:num w:numId="2" w16cid:durableId="1446920626">
    <w:abstractNumId w:val="7"/>
  </w:num>
  <w:num w:numId="3" w16cid:durableId="640617088">
    <w:abstractNumId w:val="3"/>
  </w:num>
  <w:num w:numId="4" w16cid:durableId="1797483205">
    <w:abstractNumId w:val="14"/>
  </w:num>
  <w:num w:numId="5" w16cid:durableId="1643999189">
    <w:abstractNumId w:val="12"/>
  </w:num>
  <w:num w:numId="6" w16cid:durableId="1858158183">
    <w:abstractNumId w:val="2"/>
  </w:num>
  <w:num w:numId="7" w16cid:durableId="197355715">
    <w:abstractNumId w:val="6"/>
  </w:num>
  <w:num w:numId="8" w16cid:durableId="1651590909">
    <w:abstractNumId w:val="9"/>
  </w:num>
  <w:num w:numId="9" w16cid:durableId="1434745557">
    <w:abstractNumId w:val="5"/>
  </w:num>
  <w:num w:numId="10" w16cid:durableId="1910074505">
    <w:abstractNumId w:val="1"/>
  </w:num>
  <w:num w:numId="11" w16cid:durableId="550531198">
    <w:abstractNumId w:val="0"/>
  </w:num>
  <w:num w:numId="12" w16cid:durableId="692463100">
    <w:abstractNumId w:val="10"/>
  </w:num>
  <w:num w:numId="13" w16cid:durableId="289013883">
    <w:abstractNumId w:val="15"/>
  </w:num>
  <w:num w:numId="14" w16cid:durableId="1056852665">
    <w:abstractNumId w:val="4"/>
  </w:num>
  <w:num w:numId="15" w16cid:durableId="23332779">
    <w:abstractNumId w:val="11"/>
  </w:num>
  <w:num w:numId="16" w16cid:durableId="871260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AD"/>
    <w:rsid w:val="00084F0C"/>
    <w:rsid w:val="000A2952"/>
    <w:rsid w:val="000A5281"/>
    <w:rsid w:val="000A563E"/>
    <w:rsid w:val="000B2CCE"/>
    <w:rsid w:val="000D27F4"/>
    <w:rsid w:val="00220704"/>
    <w:rsid w:val="00267386"/>
    <w:rsid w:val="00287955"/>
    <w:rsid w:val="002A0BFF"/>
    <w:rsid w:val="002C2072"/>
    <w:rsid w:val="002D3617"/>
    <w:rsid w:val="00356D40"/>
    <w:rsid w:val="00357772"/>
    <w:rsid w:val="00393017"/>
    <w:rsid w:val="003A6956"/>
    <w:rsid w:val="003E2C65"/>
    <w:rsid w:val="003F30B6"/>
    <w:rsid w:val="00400E9D"/>
    <w:rsid w:val="004458B2"/>
    <w:rsid w:val="00491547"/>
    <w:rsid w:val="0049705D"/>
    <w:rsid w:val="004A6314"/>
    <w:rsid w:val="004B3B7E"/>
    <w:rsid w:val="00500AD2"/>
    <w:rsid w:val="00527607"/>
    <w:rsid w:val="005A0376"/>
    <w:rsid w:val="005C55E9"/>
    <w:rsid w:val="005E16BF"/>
    <w:rsid w:val="006D64B8"/>
    <w:rsid w:val="006D6994"/>
    <w:rsid w:val="0078063D"/>
    <w:rsid w:val="007F1297"/>
    <w:rsid w:val="00823ED5"/>
    <w:rsid w:val="008269AD"/>
    <w:rsid w:val="008508F4"/>
    <w:rsid w:val="008B0465"/>
    <w:rsid w:val="008F7B17"/>
    <w:rsid w:val="009357D5"/>
    <w:rsid w:val="00A07920"/>
    <w:rsid w:val="00A60E98"/>
    <w:rsid w:val="00B363AB"/>
    <w:rsid w:val="00B718C7"/>
    <w:rsid w:val="00B8578D"/>
    <w:rsid w:val="00B92DDE"/>
    <w:rsid w:val="00C26FB7"/>
    <w:rsid w:val="00C71891"/>
    <w:rsid w:val="00CE1764"/>
    <w:rsid w:val="00D61F12"/>
    <w:rsid w:val="00DC074F"/>
    <w:rsid w:val="00EA094B"/>
    <w:rsid w:val="00EF33E2"/>
    <w:rsid w:val="00F314C6"/>
    <w:rsid w:val="00F54C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7B30"/>
  <w15:chartTrackingRefBased/>
  <w15:docId w15:val="{9A949431-61BD-4D53-8606-D98E3956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9AD"/>
    <w:rPr>
      <w:rFonts w:eastAsiaTheme="majorEastAsia" w:cstheme="majorBidi"/>
      <w:color w:val="272727" w:themeColor="text1" w:themeTint="D8"/>
    </w:rPr>
  </w:style>
  <w:style w:type="paragraph" w:styleId="Title">
    <w:name w:val="Title"/>
    <w:basedOn w:val="Normal"/>
    <w:next w:val="Normal"/>
    <w:link w:val="TitleChar"/>
    <w:uiPriority w:val="10"/>
    <w:qFormat/>
    <w:rsid w:val="00826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9AD"/>
    <w:pPr>
      <w:spacing w:before="160"/>
      <w:jc w:val="center"/>
    </w:pPr>
    <w:rPr>
      <w:i/>
      <w:iCs/>
      <w:color w:val="404040" w:themeColor="text1" w:themeTint="BF"/>
    </w:rPr>
  </w:style>
  <w:style w:type="character" w:customStyle="1" w:styleId="QuoteChar">
    <w:name w:val="Quote Char"/>
    <w:basedOn w:val="DefaultParagraphFont"/>
    <w:link w:val="Quote"/>
    <w:uiPriority w:val="29"/>
    <w:rsid w:val="008269AD"/>
    <w:rPr>
      <w:i/>
      <w:iCs/>
      <w:color w:val="404040" w:themeColor="text1" w:themeTint="BF"/>
    </w:rPr>
  </w:style>
  <w:style w:type="paragraph" w:styleId="ListParagraph">
    <w:name w:val="List Paragraph"/>
    <w:basedOn w:val="Normal"/>
    <w:uiPriority w:val="34"/>
    <w:qFormat/>
    <w:rsid w:val="008269AD"/>
    <w:pPr>
      <w:ind w:left="720"/>
      <w:contextualSpacing/>
    </w:pPr>
  </w:style>
  <w:style w:type="character" w:styleId="IntenseEmphasis">
    <w:name w:val="Intense Emphasis"/>
    <w:basedOn w:val="DefaultParagraphFont"/>
    <w:uiPriority w:val="21"/>
    <w:qFormat/>
    <w:rsid w:val="008269AD"/>
    <w:rPr>
      <w:i/>
      <w:iCs/>
      <w:color w:val="0F4761" w:themeColor="accent1" w:themeShade="BF"/>
    </w:rPr>
  </w:style>
  <w:style w:type="paragraph" w:styleId="IntenseQuote">
    <w:name w:val="Intense Quote"/>
    <w:basedOn w:val="Normal"/>
    <w:next w:val="Normal"/>
    <w:link w:val="IntenseQuoteChar"/>
    <w:uiPriority w:val="30"/>
    <w:qFormat/>
    <w:rsid w:val="00826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9AD"/>
    <w:rPr>
      <w:i/>
      <w:iCs/>
      <w:color w:val="0F4761" w:themeColor="accent1" w:themeShade="BF"/>
    </w:rPr>
  </w:style>
  <w:style w:type="character" w:styleId="IntenseReference">
    <w:name w:val="Intense Reference"/>
    <w:basedOn w:val="DefaultParagraphFont"/>
    <w:uiPriority w:val="32"/>
    <w:qFormat/>
    <w:rsid w:val="008269AD"/>
    <w:rPr>
      <w:b/>
      <w:bCs/>
      <w:smallCaps/>
      <w:color w:val="0F4761" w:themeColor="accent1" w:themeShade="BF"/>
      <w:spacing w:val="5"/>
    </w:rPr>
  </w:style>
  <w:style w:type="character" w:styleId="Hyperlink">
    <w:name w:val="Hyperlink"/>
    <w:basedOn w:val="DefaultParagraphFont"/>
    <w:uiPriority w:val="99"/>
    <w:unhideWhenUsed/>
    <w:rsid w:val="00287955"/>
    <w:rPr>
      <w:color w:val="467886" w:themeColor="hyperlink"/>
      <w:u w:val="single"/>
    </w:rPr>
  </w:style>
  <w:style w:type="character" w:styleId="UnresolvedMention">
    <w:name w:val="Unresolved Mention"/>
    <w:basedOn w:val="DefaultParagraphFont"/>
    <w:uiPriority w:val="99"/>
    <w:semiHidden/>
    <w:unhideWhenUsed/>
    <w:rsid w:val="00287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urnaprasad.a@cmr.edu.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rya.a@cmr.edu.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B6B4-58C5-4E02-9826-26346380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10050</Words>
  <Characters>57289</Characters>
  <Application>Microsoft Office Word</Application>
  <DocSecurity>0</DocSecurity>
  <Lines>477</Lines>
  <Paragraphs>134</Paragraphs>
  <ScaleCrop>false</ScaleCrop>
  <Company/>
  <LinksUpToDate>false</LinksUpToDate>
  <CharactersWithSpaces>67205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aarya singh</dc:creator>
  <cp:keywords/>
  <dc:description/>
  <cp:lastModifiedBy>aarya singh</cp:lastModifiedBy>
  <cp:revision>4</cp:revision>
  <dcterms:created xsi:type="dcterms:W3CDTF">2026-07-08T05:59:00Z</dcterms:created>
  <dcterms:modified xsi:type="dcterms:W3CDTF">2026-07-08T06:22:00Z</dcterms:modified>
</cp:coreProperties>
</file>