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0C3E9" w14:textId="77777777" w:rsidR="007313F1" w:rsidRPr="007313F1" w:rsidRDefault="007313F1" w:rsidP="007313F1">
      <w:pPr>
        <w:spacing w:line="240" w:lineRule="auto"/>
        <w:jc w:val="center"/>
        <w:rPr>
          <w:rFonts w:ascii="Times New Roman" w:hAnsi="Times New Roman" w:cs="Times New Roman"/>
          <w:b/>
          <w:bCs/>
          <w:sz w:val="36"/>
          <w:szCs w:val="36"/>
        </w:rPr>
      </w:pPr>
      <w:r w:rsidRPr="007313F1">
        <w:rPr>
          <w:rFonts w:ascii="Times New Roman" w:hAnsi="Times New Roman" w:cs="Times New Roman"/>
          <w:b/>
          <w:bCs/>
          <w:sz w:val="36"/>
          <w:szCs w:val="36"/>
        </w:rPr>
        <w:t>Aligning State Universities and Colleges with the Philippine Semiconductor Industry Roadmap: A Strategic Framework for Workforce Development, Research, and Innovation</w:t>
      </w:r>
    </w:p>
    <w:p w14:paraId="70989470" w14:textId="497DAF48" w:rsidR="007313F1" w:rsidRPr="007313F1" w:rsidRDefault="007313F1" w:rsidP="007313F1">
      <w:pPr>
        <w:spacing w:line="240" w:lineRule="auto"/>
        <w:jc w:val="center"/>
        <w:rPr>
          <w:rFonts w:ascii="Times New Roman" w:hAnsi="Times New Roman" w:cs="Times New Roman"/>
          <w:b/>
          <w:bCs/>
          <w:sz w:val="24"/>
          <w:szCs w:val="24"/>
        </w:rPr>
      </w:pPr>
      <w:r w:rsidRPr="007313F1">
        <w:rPr>
          <w:rFonts w:ascii="Times New Roman" w:hAnsi="Times New Roman" w:cs="Times New Roman"/>
          <w:b/>
          <w:bCs/>
          <w:sz w:val="24"/>
          <w:szCs w:val="24"/>
        </w:rPr>
        <w:t/>
      </w:r>
      <w:r w:rsidR="00E047F1" w:rsidRPr="00E047F1">
        <w:rPr>
          <w:rFonts w:ascii="Times New Roman" w:hAnsi="Times New Roman" w:cs="Times New Roman"/>
          <w:b/>
          <w:bCs/>
          <w:sz w:val="24"/>
          <w:szCs w:val="24"/>
          <w:vertAlign w:val="superscript"/>
        </w:rPr>
        <w:t/>
      </w:r>
      <w:r w:rsidRPr="007313F1">
        <w:rPr>
          <w:rFonts w:ascii="Times New Roman" w:hAnsi="Times New Roman" w:cs="Times New Roman"/>
          <w:b/>
          <w:bCs/>
          <w:sz w:val="24"/>
          <w:szCs w:val="24"/>
        </w:rPr>
        <w:br/>
      </w:r>
      <w:r w:rsidR="00E047F1" w:rsidRPr="00E047F1">
        <w:rPr>
          <w:rFonts w:ascii="Times New Roman" w:hAnsi="Times New Roman" w:cs="Times New Roman"/>
          <w:b/>
          <w:bCs/>
          <w:sz w:val="24"/>
          <w:szCs w:val="24"/>
          <w:vertAlign w:val="superscript"/>
        </w:rPr>
        <w:t/>
      </w:r>
      <w:r w:rsidRPr="007313F1">
        <w:rPr>
          <w:rFonts w:ascii="Times New Roman" w:hAnsi="Times New Roman" w:cs="Times New Roman"/>
          <w:b/>
          <w:bCs/>
          <w:sz w:val="24"/>
          <w:szCs w:val="24"/>
        </w:rPr>
        <w:t/>
      </w:r>
    </w:p>
    <w:p w14:paraId="288381E1" w14:textId="41767970" w:rsidR="007313F1" w:rsidRPr="007313F1" w:rsidRDefault="007313F1" w:rsidP="007313F1">
      <w:pPr>
        <w:spacing w:line="240" w:lineRule="auto"/>
        <w:rPr>
          <w:rFonts w:ascii="Times New Roman" w:hAnsi="Times New Roman" w:cs="Times New Roman"/>
          <w:sz w:val="24"/>
          <w:szCs w:val="24"/>
        </w:rPr>
      </w:pPr>
    </w:p>
    <w:p w14:paraId="581A4B82" w14:textId="77777777" w:rsidR="007313F1" w:rsidRPr="007313F1" w:rsidRDefault="007313F1" w:rsidP="007313F1">
      <w:pPr>
        <w:spacing w:line="240" w:lineRule="auto"/>
        <w:rPr>
          <w:rFonts w:ascii="Times New Roman" w:hAnsi="Times New Roman" w:cs="Times New Roman"/>
          <w:b/>
          <w:bCs/>
          <w:sz w:val="28"/>
          <w:szCs w:val="28"/>
        </w:rPr>
      </w:pPr>
      <w:r w:rsidRPr="007313F1">
        <w:rPr>
          <w:rFonts w:ascii="Times New Roman" w:hAnsi="Times New Roman" w:cs="Times New Roman"/>
          <w:b/>
          <w:bCs/>
          <w:sz w:val="28"/>
          <w:szCs w:val="28"/>
        </w:rPr>
        <w:t>Abstract</w:t>
      </w:r>
    </w:p>
    <w:p w14:paraId="03CFB1F7" w14:textId="77777777" w:rsidR="007313F1" w:rsidRPr="007313F1" w:rsidRDefault="007313F1" w:rsidP="007313F1">
      <w:pPr>
        <w:spacing w:line="240" w:lineRule="auto"/>
        <w:jc w:val="both"/>
        <w:rPr>
          <w:rFonts w:ascii="Times New Roman" w:hAnsi="Times New Roman" w:cs="Times New Roman"/>
          <w:sz w:val="24"/>
          <w:szCs w:val="24"/>
        </w:rPr>
      </w:pPr>
      <w:r w:rsidRPr="007313F1">
        <w:rPr>
          <w:rFonts w:ascii="Times New Roman" w:hAnsi="Times New Roman" w:cs="Times New Roman"/>
          <w:sz w:val="24"/>
          <w:szCs w:val="24"/>
        </w:rPr>
        <w:t xml:space="preserve">The semiconductor and electronics industry </w:t>
      </w:r>
      <w:proofErr w:type="gramStart"/>
      <w:r w:rsidRPr="007313F1">
        <w:rPr>
          <w:rFonts w:ascii="Times New Roman" w:hAnsi="Times New Roman" w:cs="Times New Roman"/>
          <w:sz w:val="24"/>
          <w:szCs w:val="24"/>
        </w:rPr>
        <w:t>remains</w:t>
      </w:r>
      <w:proofErr w:type="gramEnd"/>
      <w:r w:rsidRPr="007313F1">
        <w:rPr>
          <w:rFonts w:ascii="Times New Roman" w:hAnsi="Times New Roman" w:cs="Times New Roman"/>
          <w:sz w:val="24"/>
          <w:szCs w:val="24"/>
        </w:rPr>
        <w:t xml:space="preserve"> the backbone of Philippine exports and a strategic pillar of national industrial development. As global demand for semiconductors continues to increase due to artificial intelligence, electric vehicles, advanced manufacturing, and digital transformation, the Philippines faces both opportunities and challenges in strengthening its position within the global semiconductor value chain. The Philippine Semiconductor and Electronics Industry (PSEI) Roadmap outlines ambitious targets, including achieving USD 110 billion in annual electronics exports by 2030 and developing a highly skilled workforce capable of supporting advanced packaging, integrated circuit design, research and development, and future fabrication initiatives. This paper examines the strategic role of State Universities and Colleges (SUCs) in supporting the implementation of the Philippine Semiconductor Industry Roadmap. Through a narrative review of policy documents, industry reports, academic literature, and workforce development initiatives, the study identifies critical gaps in curriculum alignment, laboratory infrastructure, faculty capability, research productivity, and industry engagement. Drawing from Human Capital Theory and the Triple Helix Model of innovation, the paper proposes a strategic framework for SUC participation in semiconductor workforce development, research, and innovation. The framework emphasizes curriculum modernization, industry-academe collaboration, faculty development, infrastructure investment, and policy integration. The study concludes that SUCs can serve as key catalysts in advancing the Philippine semiconductor ecosystem and achieving long-term industrial competitiveness.</w:t>
      </w:r>
    </w:p>
    <w:p w14:paraId="51EB0E3F"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b/>
          <w:bCs/>
          <w:sz w:val="24"/>
          <w:szCs w:val="24"/>
        </w:rPr>
        <w:t>Keywords:</w:t>
      </w:r>
      <w:r w:rsidRPr="007313F1">
        <w:rPr>
          <w:rFonts w:ascii="Times New Roman" w:hAnsi="Times New Roman" w:cs="Times New Roman"/>
          <w:sz w:val="24"/>
          <w:szCs w:val="24"/>
        </w:rPr>
        <w:t xml:space="preserve"> Semiconductor Industry, State Universities and Colleges, Workforce Development, Philippine Semiconductor Industry Roadmap, Higher Education, Innovation</w:t>
      </w:r>
    </w:p>
    <w:p w14:paraId="418E6599" w14:textId="3E81D36A" w:rsidR="007313F1" w:rsidRPr="007313F1" w:rsidRDefault="007313F1" w:rsidP="007313F1">
      <w:pPr>
        <w:spacing w:line="240" w:lineRule="auto"/>
        <w:rPr>
          <w:rFonts w:ascii="Times New Roman" w:hAnsi="Times New Roman" w:cs="Times New Roman"/>
          <w:sz w:val="24"/>
          <w:szCs w:val="24"/>
        </w:rPr>
      </w:pPr>
    </w:p>
    <w:p w14:paraId="0EDC68D7" w14:textId="77777777" w:rsidR="007313F1" w:rsidRPr="007313F1" w:rsidRDefault="007313F1" w:rsidP="007313F1">
      <w:pPr>
        <w:spacing w:line="240" w:lineRule="auto"/>
        <w:rPr>
          <w:rFonts w:ascii="Times New Roman" w:hAnsi="Times New Roman" w:cs="Times New Roman"/>
          <w:b/>
          <w:bCs/>
          <w:sz w:val="28"/>
          <w:szCs w:val="28"/>
        </w:rPr>
      </w:pPr>
      <w:r w:rsidRPr="007313F1">
        <w:rPr>
          <w:rFonts w:ascii="Times New Roman" w:hAnsi="Times New Roman" w:cs="Times New Roman"/>
          <w:b/>
          <w:bCs/>
          <w:sz w:val="28"/>
          <w:szCs w:val="28"/>
        </w:rPr>
        <w:t>I. Introduction</w:t>
      </w:r>
    </w:p>
    <w:p w14:paraId="38AEB3CF" w14:textId="77777777" w:rsidR="007313F1" w:rsidRPr="007313F1" w:rsidRDefault="007313F1" w:rsidP="007313F1">
      <w:pPr>
        <w:spacing w:line="240" w:lineRule="auto"/>
        <w:jc w:val="both"/>
        <w:rPr>
          <w:rFonts w:ascii="Times New Roman" w:hAnsi="Times New Roman" w:cs="Times New Roman"/>
          <w:sz w:val="24"/>
          <w:szCs w:val="24"/>
        </w:rPr>
      </w:pPr>
      <w:r w:rsidRPr="007313F1">
        <w:rPr>
          <w:rFonts w:ascii="Times New Roman" w:hAnsi="Times New Roman" w:cs="Times New Roman"/>
          <w:sz w:val="24"/>
          <w:szCs w:val="24"/>
        </w:rPr>
        <w:t>The semiconductor industry is widely recognized as the foundation of modern technology. Semiconductor devices are embedded in smartphones, computers, telecommunications systems, medical equipment, aerospace technologies, industrial automation systems, and emerging artificial intelligence applications. As economies become increasingly digitalized, semiconductors have become strategic assets that influence national competitiveness, technological sovereignty, and economic growth.</w:t>
      </w:r>
    </w:p>
    <w:p w14:paraId="2134CC6A" w14:textId="77777777" w:rsidR="007313F1" w:rsidRPr="007313F1" w:rsidRDefault="007313F1" w:rsidP="007313F1">
      <w:pPr>
        <w:spacing w:line="240" w:lineRule="auto"/>
        <w:jc w:val="both"/>
        <w:rPr>
          <w:rFonts w:ascii="Times New Roman" w:hAnsi="Times New Roman" w:cs="Times New Roman"/>
          <w:sz w:val="24"/>
          <w:szCs w:val="24"/>
        </w:rPr>
      </w:pPr>
      <w:r w:rsidRPr="007313F1">
        <w:rPr>
          <w:rFonts w:ascii="Times New Roman" w:hAnsi="Times New Roman" w:cs="Times New Roman"/>
          <w:sz w:val="24"/>
          <w:szCs w:val="24"/>
        </w:rPr>
        <w:t xml:space="preserve">The Philippines has maintained a significant role in the global semiconductor and electronics supply chain for decades. The country has developed strengths in semiconductor assembly, testing, and packaging operations and has become one of Southeast Asia's major electronics exporters. The semiconductor and electronics sector </w:t>
      </w:r>
      <w:proofErr w:type="gramStart"/>
      <w:r w:rsidRPr="007313F1">
        <w:rPr>
          <w:rFonts w:ascii="Times New Roman" w:hAnsi="Times New Roman" w:cs="Times New Roman"/>
          <w:sz w:val="24"/>
          <w:szCs w:val="24"/>
        </w:rPr>
        <w:t>contributes</w:t>
      </w:r>
      <w:proofErr w:type="gramEnd"/>
      <w:r w:rsidRPr="007313F1">
        <w:rPr>
          <w:rFonts w:ascii="Times New Roman" w:hAnsi="Times New Roman" w:cs="Times New Roman"/>
          <w:sz w:val="24"/>
          <w:szCs w:val="24"/>
        </w:rPr>
        <w:t xml:space="preserve"> a substantial portion of national exports and supports millions of direct and indirect jobs. </w:t>
      </w:r>
    </w:p>
    <w:p w14:paraId="0192CB8A" w14:textId="77777777" w:rsidR="007313F1" w:rsidRPr="007313F1" w:rsidRDefault="007313F1" w:rsidP="007313F1">
      <w:pPr>
        <w:spacing w:line="240" w:lineRule="auto"/>
        <w:jc w:val="both"/>
        <w:rPr>
          <w:rFonts w:ascii="Times New Roman" w:hAnsi="Times New Roman" w:cs="Times New Roman"/>
          <w:sz w:val="24"/>
          <w:szCs w:val="24"/>
        </w:rPr>
      </w:pPr>
      <w:r w:rsidRPr="007313F1">
        <w:rPr>
          <w:rFonts w:ascii="Times New Roman" w:hAnsi="Times New Roman" w:cs="Times New Roman"/>
          <w:sz w:val="24"/>
          <w:szCs w:val="24"/>
        </w:rPr>
        <w:t xml:space="preserve">Recent government initiatives have intensified efforts to expand the country's role beyond assembly and testing. The Philippine Semiconductor and Electronics Industry Roadmap </w:t>
      </w:r>
      <w:proofErr w:type="gramStart"/>
      <w:r w:rsidRPr="007313F1">
        <w:rPr>
          <w:rFonts w:ascii="Times New Roman" w:hAnsi="Times New Roman" w:cs="Times New Roman"/>
          <w:sz w:val="24"/>
          <w:szCs w:val="24"/>
        </w:rPr>
        <w:t>aims</w:t>
      </w:r>
      <w:proofErr w:type="gramEnd"/>
      <w:r w:rsidRPr="007313F1">
        <w:rPr>
          <w:rFonts w:ascii="Times New Roman" w:hAnsi="Times New Roman" w:cs="Times New Roman"/>
          <w:sz w:val="24"/>
          <w:szCs w:val="24"/>
        </w:rPr>
        <w:t xml:space="preserve"> to achieve USD 110 billion in exports by 2030, including USD 70 billion from semiconductors and USD 40 billion from electronics products. The roadmap further envisions workforce development programs capable of training and upskilling approximately 128,000 semiconductor professionals over a five-year period. </w:t>
      </w:r>
    </w:p>
    <w:p w14:paraId="7797161E" w14:textId="77777777" w:rsidR="007313F1" w:rsidRPr="007313F1" w:rsidRDefault="007313F1" w:rsidP="007313F1">
      <w:pPr>
        <w:spacing w:line="240" w:lineRule="auto"/>
        <w:jc w:val="both"/>
        <w:rPr>
          <w:rFonts w:ascii="Times New Roman" w:hAnsi="Times New Roman" w:cs="Times New Roman"/>
          <w:sz w:val="24"/>
          <w:szCs w:val="24"/>
        </w:rPr>
      </w:pPr>
      <w:r w:rsidRPr="007313F1">
        <w:rPr>
          <w:rFonts w:ascii="Times New Roman" w:hAnsi="Times New Roman" w:cs="Times New Roman"/>
          <w:sz w:val="24"/>
          <w:szCs w:val="24"/>
        </w:rPr>
        <w:t>Achieving these goals requires substantial investments in education, research, innovation, and talent development. State Universities and Colleges (SUCs) represent one of the most important institutional mechanisms for producing engineers, scientists, researchers, and technology professionals capable of supporting the industry's future needs.</w:t>
      </w:r>
    </w:p>
    <w:p w14:paraId="7A386473" w14:textId="77777777" w:rsidR="007313F1" w:rsidRPr="007313F1" w:rsidRDefault="007313F1" w:rsidP="007313F1">
      <w:pPr>
        <w:spacing w:line="240" w:lineRule="auto"/>
        <w:jc w:val="both"/>
        <w:rPr>
          <w:rFonts w:ascii="Times New Roman" w:hAnsi="Times New Roman" w:cs="Times New Roman"/>
          <w:sz w:val="24"/>
          <w:szCs w:val="24"/>
        </w:rPr>
      </w:pPr>
      <w:r w:rsidRPr="007313F1">
        <w:rPr>
          <w:rFonts w:ascii="Times New Roman" w:hAnsi="Times New Roman" w:cs="Times New Roman"/>
          <w:sz w:val="24"/>
          <w:szCs w:val="24"/>
        </w:rPr>
        <w:lastRenderedPageBreak/>
        <w:t>This paper explores how SUCs can align their educational programs, research initiatives, and institutional strategies with the Philippine Semiconductor Industry Roadmap to support national industrial transformation.</w:t>
      </w:r>
    </w:p>
    <w:p w14:paraId="60727634" w14:textId="15985C15" w:rsidR="007313F1" w:rsidRPr="007313F1" w:rsidRDefault="007313F1" w:rsidP="007313F1">
      <w:pPr>
        <w:spacing w:line="240" w:lineRule="auto"/>
        <w:rPr>
          <w:rFonts w:ascii="Times New Roman" w:hAnsi="Times New Roman" w:cs="Times New Roman"/>
          <w:sz w:val="24"/>
          <w:szCs w:val="24"/>
        </w:rPr>
      </w:pPr>
    </w:p>
    <w:p w14:paraId="222D8E6C" w14:textId="77777777" w:rsidR="007313F1" w:rsidRPr="007313F1" w:rsidRDefault="007313F1" w:rsidP="007313F1">
      <w:pPr>
        <w:spacing w:line="240" w:lineRule="auto"/>
        <w:rPr>
          <w:rFonts w:ascii="Times New Roman" w:hAnsi="Times New Roman" w:cs="Times New Roman"/>
          <w:b/>
          <w:bCs/>
          <w:sz w:val="28"/>
          <w:szCs w:val="28"/>
        </w:rPr>
      </w:pPr>
      <w:r w:rsidRPr="007313F1">
        <w:rPr>
          <w:rFonts w:ascii="Times New Roman" w:hAnsi="Times New Roman" w:cs="Times New Roman"/>
          <w:b/>
          <w:bCs/>
          <w:sz w:val="28"/>
          <w:szCs w:val="28"/>
        </w:rPr>
        <w:t>II. Conceptual and Theoretical Foundations</w:t>
      </w:r>
    </w:p>
    <w:p w14:paraId="48BD7D6E" w14:textId="77777777" w:rsidR="007313F1" w:rsidRPr="007313F1" w:rsidRDefault="007313F1" w:rsidP="007313F1">
      <w:pPr>
        <w:spacing w:line="240" w:lineRule="auto"/>
        <w:rPr>
          <w:rFonts w:ascii="Times New Roman" w:hAnsi="Times New Roman" w:cs="Times New Roman"/>
          <w:b/>
          <w:bCs/>
          <w:sz w:val="24"/>
          <w:szCs w:val="24"/>
        </w:rPr>
      </w:pPr>
      <w:r w:rsidRPr="007313F1">
        <w:rPr>
          <w:rFonts w:ascii="Times New Roman" w:hAnsi="Times New Roman" w:cs="Times New Roman"/>
          <w:b/>
          <w:bCs/>
          <w:sz w:val="24"/>
          <w:szCs w:val="24"/>
        </w:rPr>
        <w:t>Human Capital Theory</w:t>
      </w:r>
    </w:p>
    <w:p w14:paraId="2881C7A5"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Human Capital Theory posits that investments in education, training, and skill development improve workforce productivity and economic performance. Schultz (1961) argued that educational investments are essential for increasing labor quality and supporting national development.</w:t>
      </w:r>
    </w:p>
    <w:p w14:paraId="15D4C0E3"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Applied to the semiconductor industry, Human Capital Theory suggests that investments in semiconductor-focused education, specialized laboratories, faculty development, and research infrastructure can increase the availability of highly skilled professionals needed by the industry.</w:t>
      </w:r>
    </w:p>
    <w:p w14:paraId="1DF883EE" w14:textId="77777777" w:rsidR="007313F1" w:rsidRPr="007313F1" w:rsidRDefault="007313F1" w:rsidP="007313F1">
      <w:pPr>
        <w:spacing w:line="240" w:lineRule="auto"/>
        <w:rPr>
          <w:rFonts w:ascii="Times New Roman" w:hAnsi="Times New Roman" w:cs="Times New Roman"/>
          <w:b/>
          <w:bCs/>
          <w:sz w:val="24"/>
          <w:szCs w:val="24"/>
        </w:rPr>
      </w:pPr>
      <w:r w:rsidRPr="007313F1">
        <w:rPr>
          <w:rFonts w:ascii="Times New Roman" w:hAnsi="Times New Roman" w:cs="Times New Roman"/>
          <w:b/>
          <w:bCs/>
          <w:sz w:val="24"/>
          <w:szCs w:val="24"/>
        </w:rPr>
        <w:t>Triple Helix Model</w:t>
      </w:r>
    </w:p>
    <w:p w14:paraId="61EA1587"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The Triple Helix Model emphasizes collaboration among universities, industry, and government as a driver of innovation and economic development.</w:t>
      </w:r>
    </w:p>
    <w:p w14:paraId="6C48D49A"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Under this framework:</w:t>
      </w:r>
    </w:p>
    <w:p w14:paraId="4110FBC0" w14:textId="77777777" w:rsidR="007313F1" w:rsidRPr="007313F1" w:rsidRDefault="007313F1" w:rsidP="007313F1">
      <w:pPr>
        <w:numPr>
          <w:ilvl w:val="0"/>
          <w:numId w:val="1"/>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Universities generate knowledge and human capital. </w:t>
      </w:r>
    </w:p>
    <w:p w14:paraId="4396CC7E" w14:textId="77777777" w:rsidR="007313F1" w:rsidRPr="007313F1" w:rsidRDefault="007313F1" w:rsidP="007313F1">
      <w:pPr>
        <w:numPr>
          <w:ilvl w:val="0"/>
          <w:numId w:val="1"/>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Industry transforms knowledge into economic value. </w:t>
      </w:r>
    </w:p>
    <w:p w14:paraId="0B2FCC27" w14:textId="77777777" w:rsidR="007313F1" w:rsidRPr="007313F1" w:rsidRDefault="007313F1" w:rsidP="007313F1">
      <w:pPr>
        <w:numPr>
          <w:ilvl w:val="0"/>
          <w:numId w:val="1"/>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Government provides policy support and regulatory frameworks. </w:t>
      </w:r>
    </w:p>
    <w:p w14:paraId="43B7A77E"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The Philippine Semiconductor Industry Roadmap reflects this collaborative model by encouraging coordination among educational institutions, government agencies, and industry stakeholders. </w:t>
      </w:r>
    </w:p>
    <w:p w14:paraId="77A176DE" w14:textId="11114B8D" w:rsidR="007313F1" w:rsidRPr="007313F1" w:rsidRDefault="007313F1" w:rsidP="007313F1">
      <w:pPr>
        <w:spacing w:line="240" w:lineRule="auto"/>
        <w:rPr>
          <w:rFonts w:ascii="Times New Roman" w:hAnsi="Times New Roman" w:cs="Times New Roman"/>
          <w:sz w:val="24"/>
          <w:szCs w:val="24"/>
        </w:rPr>
      </w:pPr>
    </w:p>
    <w:p w14:paraId="085A2AA6" w14:textId="77777777" w:rsidR="007313F1" w:rsidRPr="007313F1" w:rsidRDefault="007313F1" w:rsidP="007313F1">
      <w:pPr>
        <w:spacing w:line="240" w:lineRule="auto"/>
        <w:rPr>
          <w:rFonts w:ascii="Times New Roman" w:hAnsi="Times New Roman" w:cs="Times New Roman"/>
          <w:b/>
          <w:bCs/>
          <w:sz w:val="28"/>
          <w:szCs w:val="28"/>
        </w:rPr>
      </w:pPr>
      <w:r w:rsidRPr="007313F1">
        <w:rPr>
          <w:rFonts w:ascii="Times New Roman" w:hAnsi="Times New Roman" w:cs="Times New Roman"/>
          <w:b/>
          <w:bCs/>
          <w:sz w:val="28"/>
          <w:szCs w:val="28"/>
        </w:rPr>
        <w:t>III. Overview of the Philippine Semiconductor Industry</w:t>
      </w:r>
    </w:p>
    <w:p w14:paraId="0622C97F" w14:textId="77777777" w:rsidR="007313F1" w:rsidRPr="007313F1" w:rsidRDefault="007313F1" w:rsidP="007313F1">
      <w:pPr>
        <w:spacing w:line="240" w:lineRule="auto"/>
        <w:rPr>
          <w:rFonts w:ascii="Times New Roman" w:hAnsi="Times New Roman" w:cs="Times New Roman"/>
          <w:b/>
          <w:bCs/>
          <w:sz w:val="24"/>
          <w:szCs w:val="24"/>
        </w:rPr>
      </w:pPr>
      <w:r w:rsidRPr="007313F1">
        <w:rPr>
          <w:rFonts w:ascii="Times New Roman" w:hAnsi="Times New Roman" w:cs="Times New Roman"/>
          <w:b/>
          <w:bCs/>
          <w:sz w:val="24"/>
          <w:szCs w:val="24"/>
        </w:rPr>
        <w:t>Historical Development</w:t>
      </w:r>
    </w:p>
    <w:p w14:paraId="7F98C089"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The Philippine semiconductor industry emerged during the 1970s and expanded significantly through foreign direct investments from multinational electronics firms. Over time, the country established a strong presence in semiconductor assembly, testing, and packaging operations.</w:t>
      </w:r>
    </w:p>
    <w:p w14:paraId="221F38D7"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Today, the sector remains one of the country's largest export industries. According to the Semiconductor and Electronics Industries in the Philippines Foundation (SEIPI), semiconductor manufacturing services account for approximately 73% of the electronics sector, while electronics manufacturing services comprise 27%. </w:t>
      </w:r>
    </w:p>
    <w:p w14:paraId="22D44754" w14:textId="77777777" w:rsidR="007313F1" w:rsidRPr="007313F1" w:rsidRDefault="007313F1" w:rsidP="007313F1">
      <w:pPr>
        <w:spacing w:line="240" w:lineRule="auto"/>
        <w:rPr>
          <w:rFonts w:ascii="Times New Roman" w:hAnsi="Times New Roman" w:cs="Times New Roman"/>
          <w:b/>
          <w:bCs/>
          <w:sz w:val="24"/>
          <w:szCs w:val="24"/>
        </w:rPr>
      </w:pPr>
      <w:r w:rsidRPr="007313F1">
        <w:rPr>
          <w:rFonts w:ascii="Times New Roman" w:hAnsi="Times New Roman" w:cs="Times New Roman"/>
          <w:b/>
          <w:bCs/>
          <w:sz w:val="24"/>
          <w:szCs w:val="24"/>
        </w:rPr>
        <w:t>Economic Significance</w:t>
      </w:r>
    </w:p>
    <w:p w14:paraId="44C13656"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The semiconductor and electronics industry </w:t>
      </w:r>
      <w:proofErr w:type="gramStart"/>
      <w:r w:rsidRPr="007313F1">
        <w:rPr>
          <w:rFonts w:ascii="Times New Roman" w:hAnsi="Times New Roman" w:cs="Times New Roman"/>
          <w:sz w:val="24"/>
          <w:szCs w:val="24"/>
        </w:rPr>
        <w:t>contributes</w:t>
      </w:r>
      <w:proofErr w:type="gramEnd"/>
      <w:r w:rsidRPr="007313F1">
        <w:rPr>
          <w:rFonts w:ascii="Times New Roman" w:hAnsi="Times New Roman" w:cs="Times New Roman"/>
          <w:sz w:val="24"/>
          <w:szCs w:val="24"/>
        </w:rPr>
        <w:t xml:space="preserve"> significantly to:</w:t>
      </w:r>
    </w:p>
    <w:p w14:paraId="434E4C65" w14:textId="0588F30B" w:rsidR="007313F1" w:rsidRPr="007313F1" w:rsidRDefault="007313F1" w:rsidP="007313F1">
      <w:pPr>
        <w:numPr>
          <w:ilvl w:val="0"/>
          <w:numId w:val="2"/>
        </w:numPr>
        <w:spacing w:line="240" w:lineRule="auto"/>
        <w:rPr>
          <w:rFonts w:ascii="Times New Roman" w:hAnsi="Times New Roman" w:cs="Times New Roman"/>
          <w:sz w:val="24"/>
          <w:szCs w:val="24"/>
        </w:rPr>
      </w:pPr>
      <w:r w:rsidRPr="007313F1">
        <w:rPr>
          <w:rFonts w:ascii="Times New Roman" w:hAnsi="Times New Roman" w:cs="Times New Roman"/>
          <w:sz w:val="24"/>
          <w:szCs w:val="24"/>
        </w:rPr>
        <w:t>Export revenues</w:t>
      </w:r>
      <w:r w:rsidR="00E047F1">
        <w:rPr>
          <w:rFonts w:ascii="Times New Roman" w:hAnsi="Times New Roman" w:cs="Times New Roman"/>
          <w:sz w:val="24"/>
          <w:szCs w:val="24"/>
        </w:rPr>
        <w:t>;</w:t>
      </w:r>
    </w:p>
    <w:p w14:paraId="2DD59FA6" w14:textId="71E09FDF" w:rsidR="007313F1" w:rsidRPr="007313F1" w:rsidRDefault="007313F1" w:rsidP="007313F1">
      <w:pPr>
        <w:numPr>
          <w:ilvl w:val="0"/>
          <w:numId w:val="2"/>
        </w:numPr>
        <w:spacing w:line="240" w:lineRule="auto"/>
        <w:rPr>
          <w:rFonts w:ascii="Times New Roman" w:hAnsi="Times New Roman" w:cs="Times New Roman"/>
          <w:sz w:val="24"/>
          <w:szCs w:val="24"/>
        </w:rPr>
      </w:pPr>
      <w:r w:rsidRPr="007313F1">
        <w:rPr>
          <w:rFonts w:ascii="Times New Roman" w:hAnsi="Times New Roman" w:cs="Times New Roman"/>
          <w:sz w:val="24"/>
          <w:szCs w:val="24"/>
        </w:rPr>
        <w:t>Foreign direct investments</w:t>
      </w:r>
      <w:r w:rsidR="00E047F1">
        <w:rPr>
          <w:rFonts w:ascii="Times New Roman" w:hAnsi="Times New Roman" w:cs="Times New Roman"/>
          <w:sz w:val="24"/>
          <w:szCs w:val="24"/>
        </w:rPr>
        <w:t>;</w:t>
      </w:r>
      <w:r w:rsidRPr="007313F1">
        <w:rPr>
          <w:rFonts w:ascii="Times New Roman" w:hAnsi="Times New Roman" w:cs="Times New Roman"/>
          <w:sz w:val="24"/>
          <w:szCs w:val="24"/>
        </w:rPr>
        <w:t xml:space="preserve"> </w:t>
      </w:r>
    </w:p>
    <w:p w14:paraId="775A7ECA" w14:textId="516214AA" w:rsidR="007313F1" w:rsidRPr="007313F1" w:rsidRDefault="007313F1" w:rsidP="007313F1">
      <w:pPr>
        <w:numPr>
          <w:ilvl w:val="0"/>
          <w:numId w:val="2"/>
        </w:numPr>
        <w:spacing w:line="240" w:lineRule="auto"/>
        <w:rPr>
          <w:rFonts w:ascii="Times New Roman" w:hAnsi="Times New Roman" w:cs="Times New Roman"/>
          <w:sz w:val="24"/>
          <w:szCs w:val="24"/>
        </w:rPr>
      </w:pPr>
      <w:r w:rsidRPr="007313F1">
        <w:rPr>
          <w:rFonts w:ascii="Times New Roman" w:hAnsi="Times New Roman" w:cs="Times New Roman"/>
          <w:sz w:val="24"/>
          <w:szCs w:val="24"/>
        </w:rPr>
        <w:t>Employment generation</w:t>
      </w:r>
      <w:r w:rsidR="00E047F1">
        <w:rPr>
          <w:rFonts w:ascii="Times New Roman" w:hAnsi="Times New Roman" w:cs="Times New Roman"/>
          <w:sz w:val="24"/>
          <w:szCs w:val="24"/>
        </w:rPr>
        <w:t>;</w:t>
      </w:r>
      <w:r w:rsidRPr="007313F1">
        <w:rPr>
          <w:rFonts w:ascii="Times New Roman" w:hAnsi="Times New Roman" w:cs="Times New Roman"/>
          <w:sz w:val="24"/>
          <w:szCs w:val="24"/>
        </w:rPr>
        <w:t xml:space="preserve"> </w:t>
      </w:r>
    </w:p>
    <w:p w14:paraId="65BF0344" w14:textId="4ECDEA2D" w:rsidR="007313F1" w:rsidRPr="007313F1" w:rsidRDefault="007313F1" w:rsidP="007313F1">
      <w:pPr>
        <w:numPr>
          <w:ilvl w:val="0"/>
          <w:numId w:val="2"/>
        </w:numPr>
        <w:spacing w:line="240" w:lineRule="auto"/>
        <w:rPr>
          <w:rFonts w:ascii="Times New Roman" w:hAnsi="Times New Roman" w:cs="Times New Roman"/>
          <w:sz w:val="24"/>
          <w:szCs w:val="24"/>
        </w:rPr>
      </w:pPr>
      <w:r w:rsidRPr="007313F1">
        <w:rPr>
          <w:rFonts w:ascii="Times New Roman" w:hAnsi="Times New Roman" w:cs="Times New Roman"/>
          <w:sz w:val="24"/>
          <w:szCs w:val="24"/>
        </w:rPr>
        <w:t>Technology transfer</w:t>
      </w:r>
      <w:r w:rsidR="00E047F1">
        <w:rPr>
          <w:rFonts w:ascii="Times New Roman" w:hAnsi="Times New Roman" w:cs="Times New Roman"/>
          <w:sz w:val="24"/>
          <w:szCs w:val="24"/>
        </w:rPr>
        <w:t>;</w:t>
      </w:r>
    </w:p>
    <w:p w14:paraId="6BED3984" w14:textId="50487DCD" w:rsidR="007313F1" w:rsidRPr="007313F1" w:rsidRDefault="007313F1" w:rsidP="007313F1">
      <w:pPr>
        <w:numPr>
          <w:ilvl w:val="0"/>
          <w:numId w:val="2"/>
        </w:numPr>
        <w:spacing w:line="240" w:lineRule="auto"/>
        <w:rPr>
          <w:rFonts w:ascii="Times New Roman" w:hAnsi="Times New Roman" w:cs="Times New Roman"/>
          <w:sz w:val="24"/>
          <w:szCs w:val="24"/>
        </w:rPr>
      </w:pPr>
      <w:r w:rsidRPr="007313F1">
        <w:rPr>
          <w:rFonts w:ascii="Times New Roman" w:hAnsi="Times New Roman" w:cs="Times New Roman"/>
          <w:sz w:val="24"/>
          <w:szCs w:val="24"/>
        </w:rPr>
        <w:t>Industrial modernization</w:t>
      </w:r>
      <w:r w:rsidR="00E047F1">
        <w:rPr>
          <w:rFonts w:ascii="Times New Roman" w:hAnsi="Times New Roman" w:cs="Times New Roman"/>
          <w:sz w:val="24"/>
          <w:szCs w:val="24"/>
        </w:rPr>
        <w:t>.</w:t>
      </w:r>
    </w:p>
    <w:p w14:paraId="06C479CA"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Government and industry reports indicate that the sector supports approximately three million jobs directly and indirectly while accounting for a large share of Philippine export earnings. </w:t>
      </w:r>
    </w:p>
    <w:p w14:paraId="3A80DF2C" w14:textId="77777777" w:rsidR="007313F1" w:rsidRPr="007313F1" w:rsidRDefault="007313F1" w:rsidP="007313F1">
      <w:pPr>
        <w:spacing w:line="240" w:lineRule="auto"/>
        <w:rPr>
          <w:rFonts w:ascii="Times New Roman" w:hAnsi="Times New Roman" w:cs="Times New Roman"/>
          <w:b/>
          <w:bCs/>
          <w:sz w:val="24"/>
          <w:szCs w:val="24"/>
        </w:rPr>
      </w:pPr>
      <w:r w:rsidRPr="007313F1">
        <w:rPr>
          <w:rFonts w:ascii="Times New Roman" w:hAnsi="Times New Roman" w:cs="Times New Roman"/>
          <w:b/>
          <w:bCs/>
          <w:sz w:val="24"/>
          <w:szCs w:val="24"/>
        </w:rPr>
        <w:t>Emerging Opportunities</w:t>
      </w:r>
    </w:p>
    <w:p w14:paraId="7CFE7BF0"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lastRenderedPageBreak/>
        <w:t>Current industry priorities include:</w:t>
      </w:r>
    </w:p>
    <w:p w14:paraId="49E5A80A" w14:textId="080EFB04" w:rsidR="007313F1" w:rsidRPr="007313F1" w:rsidRDefault="007313F1" w:rsidP="007313F1">
      <w:pPr>
        <w:numPr>
          <w:ilvl w:val="0"/>
          <w:numId w:val="3"/>
        </w:numPr>
        <w:spacing w:line="240" w:lineRule="auto"/>
        <w:rPr>
          <w:rFonts w:ascii="Times New Roman" w:hAnsi="Times New Roman" w:cs="Times New Roman"/>
          <w:sz w:val="24"/>
          <w:szCs w:val="24"/>
        </w:rPr>
      </w:pPr>
      <w:r w:rsidRPr="007313F1">
        <w:rPr>
          <w:rFonts w:ascii="Times New Roman" w:hAnsi="Times New Roman" w:cs="Times New Roman"/>
          <w:sz w:val="24"/>
          <w:szCs w:val="24"/>
        </w:rPr>
        <w:t>Advanced semiconductor packaging</w:t>
      </w:r>
      <w:r w:rsidR="00E047F1">
        <w:rPr>
          <w:rFonts w:ascii="Times New Roman" w:hAnsi="Times New Roman" w:cs="Times New Roman"/>
          <w:sz w:val="24"/>
          <w:szCs w:val="24"/>
        </w:rPr>
        <w:t>;</w:t>
      </w:r>
      <w:r w:rsidRPr="007313F1">
        <w:rPr>
          <w:rFonts w:ascii="Times New Roman" w:hAnsi="Times New Roman" w:cs="Times New Roman"/>
          <w:sz w:val="24"/>
          <w:szCs w:val="24"/>
        </w:rPr>
        <w:t xml:space="preserve"> </w:t>
      </w:r>
    </w:p>
    <w:p w14:paraId="0A6C593C" w14:textId="33294D89" w:rsidR="007313F1" w:rsidRPr="007313F1" w:rsidRDefault="007313F1" w:rsidP="007313F1">
      <w:pPr>
        <w:numPr>
          <w:ilvl w:val="0"/>
          <w:numId w:val="3"/>
        </w:numPr>
        <w:spacing w:line="240" w:lineRule="auto"/>
        <w:rPr>
          <w:rFonts w:ascii="Times New Roman" w:hAnsi="Times New Roman" w:cs="Times New Roman"/>
          <w:sz w:val="24"/>
          <w:szCs w:val="24"/>
        </w:rPr>
      </w:pPr>
      <w:r w:rsidRPr="007313F1">
        <w:rPr>
          <w:rFonts w:ascii="Times New Roman" w:hAnsi="Times New Roman" w:cs="Times New Roman"/>
          <w:sz w:val="24"/>
          <w:szCs w:val="24"/>
        </w:rPr>
        <w:t>Integrated circuit design</w:t>
      </w:r>
      <w:r w:rsidR="00E047F1">
        <w:rPr>
          <w:rFonts w:ascii="Times New Roman" w:hAnsi="Times New Roman" w:cs="Times New Roman"/>
          <w:sz w:val="24"/>
          <w:szCs w:val="24"/>
        </w:rPr>
        <w:t>;</w:t>
      </w:r>
    </w:p>
    <w:p w14:paraId="79A7FEDA" w14:textId="52905271" w:rsidR="007313F1" w:rsidRPr="007313F1" w:rsidRDefault="007313F1" w:rsidP="007313F1">
      <w:pPr>
        <w:numPr>
          <w:ilvl w:val="0"/>
          <w:numId w:val="3"/>
        </w:numPr>
        <w:spacing w:line="240" w:lineRule="auto"/>
        <w:rPr>
          <w:rFonts w:ascii="Times New Roman" w:hAnsi="Times New Roman" w:cs="Times New Roman"/>
          <w:sz w:val="24"/>
          <w:szCs w:val="24"/>
        </w:rPr>
      </w:pPr>
      <w:r w:rsidRPr="007313F1">
        <w:rPr>
          <w:rFonts w:ascii="Times New Roman" w:hAnsi="Times New Roman" w:cs="Times New Roman"/>
          <w:sz w:val="24"/>
          <w:szCs w:val="24"/>
        </w:rPr>
        <w:t>Research and development</w:t>
      </w:r>
      <w:r w:rsidR="00E047F1">
        <w:rPr>
          <w:rFonts w:ascii="Times New Roman" w:hAnsi="Times New Roman" w:cs="Times New Roman"/>
          <w:sz w:val="24"/>
          <w:szCs w:val="24"/>
        </w:rPr>
        <w:t>;</w:t>
      </w:r>
      <w:r w:rsidRPr="007313F1">
        <w:rPr>
          <w:rFonts w:ascii="Times New Roman" w:hAnsi="Times New Roman" w:cs="Times New Roman"/>
          <w:sz w:val="24"/>
          <w:szCs w:val="24"/>
        </w:rPr>
        <w:t xml:space="preserve"> </w:t>
      </w:r>
    </w:p>
    <w:p w14:paraId="3CE8E9E8" w14:textId="05B79272" w:rsidR="007313F1" w:rsidRPr="007313F1" w:rsidRDefault="007313F1" w:rsidP="007313F1">
      <w:pPr>
        <w:numPr>
          <w:ilvl w:val="0"/>
          <w:numId w:val="3"/>
        </w:numPr>
        <w:spacing w:line="240" w:lineRule="auto"/>
        <w:rPr>
          <w:rFonts w:ascii="Times New Roman" w:hAnsi="Times New Roman" w:cs="Times New Roman"/>
          <w:sz w:val="24"/>
          <w:szCs w:val="24"/>
        </w:rPr>
      </w:pPr>
      <w:r w:rsidRPr="007313F1">
        <w:rPr>
          <w:rFonts w:ascii="Times New Roman" w:hAnsi="Times New Roman" w:cs="Times New Roman"/>
          <w:sz w:val="24"/>
          <w:szCs w:val="24"/>
        </w:rPr>
        <w:t>Artificial intelligence applications</w:t>
      </w:r>
      <w:r w:rsidR="00E047F1">
        <w:rPr>
          <w:rFonts w:ascii="Times New Roman" w:hAnsi="Times New Roman" w:cs="Times New Roman"/>
          <w:sz w:val="24"/>
          <w:szCs w:val="24"/>
        </w:rPr>
        <w:t>;</w:t>
      </w:r>
      <w:r w:rsidRPr="007313F1">
        <w:rPr>
          <w:rFonts w:ascii="Times New Roman" w:hAnsi="Times New Roman" w:cs="Times New Roman"/>
          <w:sz w:val="24"/>
          <w:szCs w:val="24"/>
        </w:rPr>
        <w:t xml:space="preserve"> </w:t>
      </w:r>
    </w:p>
    <w:p w14:paraId="4E6234BC" w14:textId="6E79C746" w:rsidR="007313F1" w:rsidRPr="007313F1" w:rsidRDefault="007313F1" w:rsidP="007313F1">
      <w:pPr>
        <w:numPr>
          <w:ilvl w:val="0"/>
          <w:numId w:val="3"/>
        </w:numPr>
        <w:spacing w:line="240" w:lineRule="auto"/>
        <w:rPr>
          <w:rFonts w:ascii="Times New Roman" w:hAnsi="Times New Roman" w:cs="Times New Roman"/>
          <w:sz w:val="24"/>
          <w:szCs w:val="24"/>
        </w:rPr>
      </w:pPr>
      <w:r w:rsidRPr="007313F1">
        <w:rPr>
          <w:rFonts w:ascii="Times New Roman" w:hAnsi="Times New Roman" w:cs="Times New Roman"/>
          <w:sz w:val="24"/>
          <w:szCs w:val="24"/>
        </w:rPr>
        <w:t>Advanced manufacturing technologies</w:t>
      </w:r>
      <w:r w:rsidR="00E047F1">
        <w:rPr>
          <w:rFonts w:ascii="Times New Roman" w:hAnsi="Times New Roman" w:cs="Times New Roman"/>
          <w:sz w:val="24"/>
          <w:szCs w:val="24"/>
        </w:rPr>
        <w:t>;</w:t>
      </w:r>
      <w:r w:rsidRPr="007313F1">
        <w:rPr>
          <w:rFonts w:ascii="Times New Roman" w:hAnsi="Times New Roman" w:cs="Times New Roman"/>
          <w:sz w:val="24"/>
          <w:szCs w:val="24"/>
        </w:rPr>
        <w:t xml:space="preserve"> </w:t>
      </w:r>
    </w:p>
    <w:p w14:paraId="288DE6C4" w14:textId="6F073A88" w:rsidR="007313F1" w:rsidRPr="007313F1" w:rsidRDefault="007313F1" w:rsidP="007313F1">
      <w:pPr>
        <w:numPr>
          <w:ilvl w:val="0"/>
          <w:numId w:val="3"/>
        </w:numPr>
        <w:spacing w:line="240" w:lineRule="auto"/>
        <w:rPr>
          <w:rFonts w:ascii="Times New Roman" w:hAnsi="Times New Roman" w:cs="Times New Roman"/>
          <w:sz w:val="24"/>
          <w:szCs w:val="24"/>
        </w:rPr>
      </w:pPr>
      <w:r w:rsidRPr="007313F1">
        <w:rPr>
          <w:rFonts w:ascii="Times New Roman" w:hAnsi="Times New Roman" w:cs="Times New Roman"/>
          <w:sz w:val="24"/>
          <w:szCs w:val="24"/>
        </w:rPr>
        <w:t>Potential wafer fabrication capabilities</w:t>
      </w:r>
      <w:r w:rsidR="00E047F1">
        <w:rPr>
          <w:rFonts w:ascii="Times New Roman" w:hAnsi="Times New Roman" w:cs="Times New Roman"/>
          <w:sz w:val="24"/>
          <w:szCs w:val="24"/>
        </w:rPr>
        <w:t>.</w:t>
      </w:r>
    </w:p>
    <w:p w14:paraId="66DAB834"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The Philippine roadmap seeks to move the country higher in the global semiconductor value chain through strategic investments and workforce development initiatives. </w:t>
      </w:r>
    </w:p>
    <w:p w14:paraId="6FD99C46" w14:textId="5F8C235B" w:rsidR="007313F1" w:rsidRPr="007313F1" w:rsidRDefault="007313F1" w:rsidP="007313F1">
      <w:pPr>
        <w:spacing w:line="240" w:lineRule="auto"/>
        <w:rPr>
          <w:rFonts w:ascii="Times New Roman" w:hAnsi="Times New Roman" w:cs="Times New Roman"/>
          <w:sz w:val="24"/>
          <w:szCs w:val="24"/>
        </w:rPr>
      </w:pPr>
    </w:p>
    <w:p w14:paraId="0A4D0D2A" w14:textId="77777777" w:rsidR="007313F1" w:rsidRPr="007313F1" w:rsidRDefault="007313F1" w:rsidP="007313F1">
      <w:pPr>
        <w:spacing w:line="240" w:lineRule="auto"/>
        <w:rPr>
          <w:rFonts w:ascii="Times New Roman" w:hAnsi="Times New Roman" w:cs="Times New Roman"/>
          <w:b/>
          <w:bCs/>
          <w:sz w:val="28"/>
          <w:szCs w:val="28"/>
        </w:rPr>
      </w:pPr>
      <w:r w:rsidRPr="007313F1">
        <w:rPr>
          <w:rFonts w:ascii="Times New Roman" w:hAnsi="Times New Roman" w:cs="Times New Roman"/>
          <w:b/>
          <w:bCs/>
          <w:sz w:val="28"/>
          <w:szCs w:val="28"/>
        </w:rPr>
        <w:t>IV. Philippine Semiconductor Industry Roadmap</w:t>
      </w:r>
    </w:p>
    <w:p w14:paraId="48FEAEBE"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The Philippine Semiconductor and Electronics Industry (PSEI) Roadmap outlines a comprehensive strategy for expanding the country's participation in the global semiconductor ecosystem.</w:t>
      </w:r>
    </w:p>
    <w:p w14:paraId="6D82887C"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Key targets include:</w:t>
      </w:r>
    </w:p>
    <w:p w14:paraId="43BAF89B" w14:textId="77777777" w:rsidR="007313F1" w:rsidRPr="007313F1" w:rsidRDefault="007313F1" w:rsidP="007313F1">
      <w:pPr>
        <w:spacing w:line="240" w:lineRule="auto"/>
        <w:rPr>
          <w:rFonts w:ascii="Times New Roman" w:hAnsi="Times New Roman" w:cs="Times New Roman"/>
          <w:b/>
          <w:bCs/>
          <w:sz w:val="24"/>
          <w:szCs w:val="24"/>
        </w:rPr>
      </w:pPr>
      <w:r w:rsidRPr="007313F1">
        <w:rPr>
          <w:rFonts w:ascii="Times New Roman" w:hAnsi="Times New Roman" w:cs="Times New Roman"/>
          <w:b/>
          <w:bCs/>
          <w:sz w:val="24"/>
          <w:szCs w:val="24"/>
        </w:rPr>
        <w:t>Export Growth</w:t>
      </w:r>
    </w:p>
    <w:p w14:paraId="76E01A03" w14:textId="77777777" w:rsidR="007313F1" w:rsidRPr="007313F1" w:rsidRDefault="007313F1" w:rsidP="007313F1">
      <w:pPr>
        <w:numPr>
          <w:ilvl w:val="0"/>
          <w:numId w:val="4"/>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USD 110 billion annual exports by 2030 </w:t>
      </w:r>
    </w:p>
    <w:p w14:paraId="0E52DEC7" w14:textId="77777777" w:rsidR="007313F1" w:rsidRPr="007313F1" w:rsidRDefault="007313F1" w:rsidP="007313F1">
      <w:pPr>
        <w:numPr>
          <w:ilvl w:val="0"/>
          <w:numId w:val="4"/>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USD 70 billion from semiconductors </w:t>
      </w:r>
    </w:p>
    <w:p w14:paraId="1C392B2C" w14:textId="77777777" w:rsidR="007313F1" w:rsidRPr="007313F1" w:rsidRDefault="007313F1" w:rsidP="007313F1">
      <w:pPr>
        <w:numPr>
          <w:ilvl w:val="0"/>
          <w:numId w:val="4"/>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USD 40 billion from electronics products </w:t>
      </w:r>
    </w:p>
    <w:p w14:paraId="5839F746" w14:textId="77777777" w:rsidR="007313F1" w:rsidRPr="007313F1" w:rsidRDefault="007313F1" w:rsidP="007313F1">
      <w:pPr>
        <w:spacing w:line="240" w:lineRule="auto"/>
        <w:rPr>
          <w:rFonts w:ascii="Times New Roman" w:hAnsi="Times New Roman" w:cs="Times New Roman"/>
          <w:b/>
          <w:bCs/>
          <w:sz w:val="24"/>
          <w:szCs w:val="24"/>
        </w:rPr>
      </w:pPr>
      <w:r w:rsidRPr="007313F1">
        <w:rPr>
          <w:rFonts w:ascii="Times New Roman" w:hAnsi="Times New Roman" w:cs="Times New Roman"/>
          <w:b/>
          <w:bCs/>
          <w:sz w:val="24"/>
          <w:szCs w:val="24"/>
        </w:rPr>
        <w:t>Workforce Development</w:t>
      </w:r>
    </w:p>
    <w:p w14:paraId="42D00C6D" w14:textId="77777777" w:rsidR="007313F1" w:rsidRPr="007313F1" w:rsidRDefault="007313F1" w:rsidP="007313F1">
      <w:pPr>
        <w:numPr>
          <w:ilvl w:val="0"/>
          <w:numId w:val="5"/>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Training and upskilling 128,000 semiconductor professionals </w:t>
      </w:r>
    </w:p>
    <w:p w14:paraId="42797CD3" w14:textId="77777777" w:rsidR="007313F1" w:rsidRPr="007313F1" w:rsidRDefault="007313F1" w:rsidP="007313F1">
      <w:pPr>
        <w:numPr>
          <w:ilvl w:val="0"/>
          <w:numId w:val="5"/>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Development of specialized technical competencies </w:t>
      </w:r>
    </w:p>
    <w:p w14:paraId="49B69294" w14:textId="77777777" w:rsidR="007313F1" w:rsidRPr="007313F1" w:rsidRDefault="007313F1" w:rsidP="007313F1">
      <w:pPr>
        <w:numPr>
          <w:ilvl w:val="0"/>
          <w:numId w:val="5"/>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Alignment with global industry standards </w:t>
      </w:r>
    </w:p>
    <w:p w14:paraId="7C220F21" w14:textId="77777777" w:rsidR="007313F1" w:rsidRPr="007313F1" w:rsidRDefault="007313F1" w:rsidP="007313F1">
      <w:pPr>
        <w:spacing w:line="240" w:lineRule="auto"/>
        <w:rPr>
          <w:rFonts w:ascii="Times New Roman" w:hAnsi="Times New Roman" w:cs="Times New Roman"/>
          <w:b/>
          <w:bCs/>
          <w:sz w:val="24"/>
          <w:szCs w:val="24"/>
        </w:rPr>
      </w:pPr>
      <w:r w:rsidRPr="007313F1">
        <w:rPr>
          <w:rFonts w:ascii="Times New Roman" w:hAnsi="Times New Roman" w:cs="Times New Roman"/>
          <w:b/>
          <w:bCs/>
          <w:sz w:val="24"/>
          <w:szCs w:val="24"/>
        </w:rPr>
        <w:t>Research and Development</w:t>
      </w:r>
    </w:p>
    <w:p w14:paraId="41AB5D40" w14:textId="77777777" w:rsidR="007313F1" w:rsidRPr="007313F1" w:rsidRDefault="007313F1" w:rsidP="007313F1">
      <w:pPr>
        <w:numPr>
          <w:ilvl w:val="0"/>
          <w:numId w:val="6"/>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Creation of national research laboratories </w:t>
      </w:r>
    </w:p>
    <w:p w14:paraId="66252841" w14:textId="77777777" w:rsidR="007313F1" w:rsidRPr="007313F1" w:rsidRDefault="007313F1" w:rsidP="007313F1">
      <w:pPr>
        <w:numPr>
          <w:ilvl w:val="0"/>
          <w:numId w:val="6"/>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Expansion of innovation capabilities </w:t>
      </w:r>
    </w:p>
    <w:p w14:paraId="3A8634CF" w14:textId="77777777" w:rsidR="007313F1" w:rsidRPr="007313F1" w:rsidRDefault="007313F1" w:rsidP="007313F1">
      <w:pPr>
        <w:numPr>
          <w:ilvl w:val="0"/>
          <w:numId w:val="6"/>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Development of domestic design and engineering expertise </w:t>
      </w:r>
    </w:p>
    <w:p w14:paraId="49A4B1F4" w14:textId="77777777" w:rsidR="007313F1" w:rsidRPr="007313F1" w:rsidRDefault="007313F1" w:rsidP="007313F1">
      <w:pPr>
        <w:spacing w:line="240" w:lineRule="auto"/>
        <w:rPr>
          <w:rFonts w:ascii="Times New Roman" w:hAnsi="Times New Roman" w:cs="Times New Roman"/>
          <w:b/>
          <w:bCs/>
          <w:sz w:val="24"/>
          <w:szCs w:val="24"/>
        </w:rPr>
      </w:pPr>
      <w:r w:rsidRPr="007313F1">
        <w:rPr>
          <w:rFonts w:ascii="Times New Roman" w:hAnsi="Times New Roman" w:cs="Times New Roman"/>
          <w:b/>
          <w:bCs/>
          <w:sz w:val="24"/>
          <w:szCs w:val="24"/>
        </w:rPr>
        <w:t>Industry Competitiveness</w:t>
      </w:r>
    </w:p>
    <w:p w14:paraId="4E4BC5CA" w14:textId="77777777" w:rsidR="007313F1" w:rsidRPr="007313F1" w:rsidRDefault="007313F1" w:rsidP="007313F1">
      <w:pPr>
        <w:numPr>
          <w:ilvl w:val="0"/>
          <w:numId w:val="7"/>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Strengthening advanced packaging capabilities </w:t>
      </w:r>
    </w:p>
    <w:p w14:paraId="4BEFC2A7" w14:textId="77777777" w:rsidR="007313F1" w:rsidRPr="007313F1" w:rsidRDefault="007313F1" w:rsidP="007313F1">
      <w:pPr>
        <w:numPr>
          <w:ilvl w:val="0"/>
          <w:numId w:val="7"/>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Supporting integrated circuit design </w:t>
      </w:r>
    </w:p>
    <w:p w14:paraId="480B6C91" w14:textId="77777777" w:rsidR="007313F1" w:rsidRPr="007313F1" w:rsidRDefault="007313F1" w:rsidP="007313F1">
      <w:pPr>
        <w:numPr>
          <w:ilvl w:val="0"/>
          <w:numId w:val="7"/>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Enhancing global competitiveness </w:t>
      </w:r>
    </w:p>
    <w:p w14:paraId="7950BFBA"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These priorities demonstrate the growing importance of higher education institutions as talent generators and innovation partners. </w:t>
      </w:r>
    </w:p>
    <w:p w14:paraId="29D84698" w14:textId="1E3550AC" w:rsidR="007313F1" w:rsidRPr="007313F1" w:rsidRDefault="007313F1" w:rsidP="007313F1">
      <w:pPr>
        <w:spacing w:line="240" w:lineRule="auto"/>
        <w:rPr>
          <w:rFonts w:ascii="Times New Roman" w:hAnsi="Times New Roman" w:cs="Times New Roman"/>
          <w:sz w:val="24"/>
          <w:szCs w:val="24"/>
        </w:rPr>
      </w:pPr>
    </w:p>
    <w:p w14:paraId="69191127" w14:textId="77777777" w:rsidR="007313F1" w:rsidRPr="00E047F1" w:rsidRDefault="007313F1" w:rsidP="007313F1">
      <w:pPr>
        <w:spacing w:line="240" w:lineRule="auto"/>
        <w:rPr>
          <w:rFonts w:ascii="Times New Roman" w:hAnsi="Times New Roman" w:cs="Times New Roman"/>
          <w:b/>
          <w:bCs/>
          <w:sz w:val="28"/>
          <w:szCs w:val="28"/>
        </w:rPr>
      </w:pPr>
      <w:r w:rsidRPr="00E047F1">
        <w:rPr>
          <w:rFonts w:ascii="Times New Roman" w:hAnsi="Times New Roman" w:cs="Times New Roman"/>
          <w:b/>
          <w:bCs/>
          <w:sz w:val="28"/>
          <w:szCs w:val="28"/>
        </w:rPr>
        <w:t>V. The Strategic Role of State Universities and Colleges</w:t>
      </w:r>
    </w:p>
    <w:p w14:paraId="01B40081" w14:textId="77777777" w:rsidR="007313F1" w:rsidRPr="007313F1" w:rsidRDefault="007313F1" w:rsidP="007313F1">
      <w:pPr>
        <w:spacing w:line="240" w:lineRule="auto"/>
        <w:rPr>
          <w:rFonts w:ascii="Times New Roman" w:hAnsi="Times New Roman" w:cs="Times New Roman"/>
          <w:b/>
          <w:bCs/>
          <w:sz w:val="24"/>
          <w:szCs w:val="24"/>
        </w:rPr>
      </w:pPr>
      <w:r w:rsidRPr="007313F1">
        <w:rPr>
          <w:rFonts w:ascii="Times New Roman" w:hAnsi="Times New Roman" w:cs="Times New Roman"/>
          <w:b/>
          <w:bCs/>
          <w:sz w:val="24"/>
          <w:szCs w:val="24"/>
        </w:rPr>
        <w:t>Workforce Development</w:t>
      </w:r>
    </w:p>
    <w:p w14:paraId="71840796"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lastRenderedPageBreak/>
        <w:t>SUCs serve as major producers of engineering and technology graduates.</w:t>
      </w:r>
    </w:p>
    <w:p w14:paraId="71240492"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Programs directly supporting semiconductor workforce needs include:</w:t>
      </w:r>
    </w:p>
    <w:p w14:paraId="0DD0485B" w14:textId="77777777" w:rsidR="007313F1" w:rsidRPr="007313F1" w:rsidRDefault="007313F1" w:rsidP="007313F1">
      <w:pPr>
        <w:numPr>
          <w:ilvl w:val="0"/>
          <w:numId w:val="8"/>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Electronics Engineering </w:t>
      </w:r>
    </w:p>
    <w:p w14:paraId="0A749385" w14:textId="77777777" w:rsidR="007313F1" w:rsidRPr="007313F1" w:rsidRDefault="007313F1" w:rsidP="007313F1">
      <w:pPr>
        <w:numPr>
          <w:ilvl w:val="0"/>
          <w:numId w:val="8"/>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Electrical Engineering </w:t>
      </w:r>
    </w:p>
    <w:p w14:paraId="354BFB3B" w14:textId="77777777" w:rsidR="007313F1" w:rsidRPr="007313F1" w:rsidRDefault="007313F1" w:rsidP="007313F1">
      <w:pPr>
        <w:numPr>
          <w:ilvl w:val="0"/>
          <w:numId w:val="8"/>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Computer Engineering </w:t>
      </w:r>
    </w:p>
    <w:p w14:paraId="3EF1DCD4" w14:textId="77777777" w:rsidR="007313F1" w:rsidRPr="007313F1" w:rsidRDefault="007313F1" w:rsidP="007313F1">
      <w:pPr>
        <w:numPr>
          <w:ilvl w:val="0"/>
          <w:numId w:val="8"/>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Mechanical Engineering </w:t>
      </w:r>
    </w:p>
    <w:p w14:paraId="5FB1750D" w14:textId="77777777" w:rsidR="007313F1" w:rsidRPr="007313F1" w:rsidRDefault="007313F1" w:rsidP="007313F1">
      <w:pPr>
        <w:numPr>
          <w:ilvl w:val="0"/>
          <w:numId w:val="8"/>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Physics </w:t>
      </w:r>
    </w:p>
    <w:p w14:paraId="35E44ADD" w14:textId="77777777" w:rsidR="007313F1" w:rsidRPr="007313F1" w:rsidRDefault="007313F1" w:rsidP="007313F1">
      <w:pPr>
        <w:numPr>
          <w:ilvl w:val="0"/>
          <w:numId w:val="8"/>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Computer Science </w:t>
      </w:r>
    </w:p>
    <w:p w14:paraId="1218E3A5" w14:textId="77777777" w:rsidR="007313F1" w:rsidRPr="007313F1" w:rsidRDefault="007313F1" w:rsidP="007313F1">
      <w:pPr>
        <w:numPr>
          <w:ilvl w:val="0"/>
          <w:numId w:val="8"/>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Information Technology </w:t>
      </w:r>
    </w:p>
    <w:p w14:paraId="5FE1DEDF"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The industry's projected workforce expansion requires SUCs to increase both the quantity and quality of graduates entering semiconductor-related careers.</w:t>
      </w:r>
    </w:p>
    <w:p w14:paraId="772FF81C" w14:textId="77777777" w:rsidR="007313F1" w:rsidRPr="007313F1" w:rsidRDefault="007313F1" w:rsidP="007313F1">
      <w:pPr>
        <w:spacing w:line="240" w:lineRule="auto"/>
        <w:rPr>
          <w:rFonts w:ascii="Times New Roman" w:hAnsi="Times New Roman" w:cs="Times New Roman"/>
          <w:b/>
          <w:bCs/>
          <w:sz w:val="24"/>
          <w:szCs w:val="24"/>
        </w:rPr>
      </w:pPr>
      <w:r w:rsidRPr="007313F1">
        <w:rPr>
          <w:rFonts w:ascii="Times New Roman" w:hAnsi="Times New Roman" w:cs="Times New Roman"/>
          <w:b/>
          <w:bCs/>
          <w:sz w:val="24"/>
          <w:szCs w:val="24"/>
        </w:rPr>
        <w:t>Curriculum Modernization</w:t>
      </w:r>
    </w:p>
    <w:p w14:paraId="064E47FB"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Traditional engineering curricula often emphasize foundational theories but may not sufficiently address emerging semiconductor technologies.</w:t>
      </w:r>
    </w:p>
    <w:p w14:paraId="042C1AC4"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Areas requiring greater emphasis include:</w:t>
      </w:r>
    </w:p>
    <w:p w14:paraId="2B0B759F" w14:textId="77777777" w:rsidR="007313F1" w:rsidRPr="007313F1" w:rsidRDefault="007313F1" w:rsidP="007313F1">
      <w:pPr>
        <w:numPr>
          <w:ilvl w:val="0"/>
          <w:numId w:val="9"/>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Semiconductor physics </w:t>
      </w:r>
    </w:p>
    <w:p w14:paraId="71AC12E0" w14:textId="77777777" w:rsidR="007313F1" w:rsidRPr="007313F1" w:rsidRDefault="007313F1" w:rsidP="007313F1">
      <w:pPr>
        <w:numPr>
          <w:ilvl w:val="0"/>
          <w:numId w:val="9"/>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Integrated circuit design </w:t>
      </w:r>
    </w:p>
    <w:p w14:paraId="715D0B77" w14:textId="77777777" w:rsidR="007313F1" w:rsidRPr="007313F1" w:rsidRDefault="007313F1" w:rsidP="007313F1">
      <w:pPr>
        <w:numPr>
          <w:ilvl w:val="0"/>
          <w:numId w:val="9"/>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VLSI systems </w:t>
      </w:r>
    </w:p>
    <w:p w14:paraId="198DCA3F" w14:textId="77777777" w:rsidR="007313F1" w:rsidRPr="007313F1" w:rsidRDefault="007313F1" w:rsidP="007313F1">
      <w:pPr>
        <w:numPr>
          <w:ilvl w:val="0"/>
          <w:numId w:val="9"/>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Advanced packaging technologies </w:t>
      </w:r>
    </w:p>
    <w:p w14:paraId="6F9489A8" w14:textId="77777777" w:rsidR="007313F1" w:rsidRPr="007313F1" w:rsidRDefault="007313F1" w:rsidP="007313F1">
      <w:pPr>
        <w:numPr>
          <w:ilvl w:val="0"/>
          <w:numId w:val="9"/>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Cleanroom operations </w:t>
      </w:r>
    </w:p>
    <w:p w14:paraId="3071E9C5" w14:textId="77777777" w:rsidR="007313F1" w:rsidRPr="007313F1" w:rsidRDefault="007313F1" w:rsidP="007313F1">
      <w:pPr>
        <w:numPr>
          <w:ilvl w:val="0"/>
          <w:numId w:val="9"/>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Automation and robotics </w:t>
      </w:r>
    </w:p>
    <w:p w14:paraId="1D21E83C" w14:textId="77777777" w:rsidR="007313F1" w:rsidRPr="007313F1" w:rsidRDefault="007313F1" w:rsidP="007313F1">
      <w:pPr>
        <w:numPr>
          <w:ilvl w:val="0"/>
          <w:numId w:val="9"/>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Artificial intelligence applications in manufacturing </w:t>
      </w:r>
    </w:p>
    <w:p w14:paraId="38D70C15"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Curriculum modernization can improve graduate employability and industry readiness.</w:t>
      </w:r>
    </w:p>
    <w:p w14:paraId="2CF743A4" w14:textId="77777777" w:rsidR="007313F1" w:rsidRPr="007313F1" w:rsidRDefault="007313F1" w:rsidP="007313F1">
      <w:pPr>
        <w:spacing w:line="240" w:lineRule="auto"/>
        <w:rPr>
          <w:rFonts w:ascii="Times New Roman" w:hAnsi="Times New Roman" w:cs="Times New Roman"/>
          <w:b/>
          <w:bCs/>
          <w:sz w:val="24"/>
          <w:szCs w:val="24"/>
        </w:rPr>
      </w:pPr>
      <w:r w:rsidRPr="007313F1">
        <w:rPr>
          <w:rFonts w:ascii="Times New Roman" w:hAnsi="Times New Roman" w:cs="Times New Roman"/>
          <w:b/>
          <w:bCs/>
          <w:sz w:val="24"/>
          <w:szCs w:val="24"/>
        </w:rPr>
        <w:t>Research and Innovation</w:t>
      </w:r>
    </w:p>
    <w:p w14:paraId="24EAC565"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Research capacity remains a critical challenge within many SUCs.</w:t>
      </w:r>
    </w:p>
    <w:p w14:paraId="5DA36CDC"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Industry advancement increasingly depends on:</w:t>
      </w:r>
    </w:p>
    <w:p w14:paraId="61942476" w14:textId="77777777" w:rsidR="007313F1" w:rsidRPr="007313F1" w:rsidRDefault="007313F1" w:rsidP="007313F1">
      <w:pPr>
        <w:numPr>
          <w:ilvl w:val="0"/>
          <w:numId w:val="10"/>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Applied research </w:t>
      </w:r>
    </w:p>
    <w:p w14:paraId="0B47BC54" w14:textId="77777777" w:rsidR="007313F1" w:rsidRPr="007313F1" w:rsidRDefault="007313F1" w:rsidP="007313F1">
      <w:pPr>
        <w:numPr>
          <w:ilvl w:val="0"/>
          <w:numId w:val="10"/>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Product innovation </w:t>
      </w:r>
    </w:p>
    <w:p w14:paraId="5A10A6D9" w14:textId="77777777" w:rsidR="007313F1" w:rsidRPr="007313F1" w:rsidRDefault="007313F1" w:rsidP="007313F1">
      <w:pPr>
        <w:numPr>
          <w:ilvl w:val="0"/>
          <w:numId w:val="10"/>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Process optimization </w:t>
      </w:r>
    </w:p>
    <w:p w14:paraId="4BDDC5D9" w14:textId="77777777" w:rsidR="007313F1" w:rsidRPr="007313F1" w:rsidRDefault="007313F1" w:rsidP="007313F1">
      <w:pPr>
        <w:numPr>
          <w:ilvl w:val="0"/>
          <w:numId w:val="10"/>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Materials engineering </w:t>
      </w:r>
    </w:p>
    <w:p w14:paraId="15FBE8B5" w14:textId="77777777" w:rsidR="007313F1" w:rsidRPr="007313F1" w:rsidRDefault="007313F1" w:rsidP="007313F1">
      <w:pPr>
        <w:numPr>
          <w:ilvl w:val="0"/>
          <w:numId w:val="10"/>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Reliability testing </w:t>
      </w:r>
    </w:p>
    <w:p w14:paraId="7C1B172E" w14:textId="77777777" w:rsidR="007313F1" w:rsidRPr="007313F1" w:rsidRDefault="007313F1" w:rsidP="007313F1">
      <w:pPr>
        <w:numPr>
          <w:ilvl w:val="0"/>
          <w:numId w:val="10"/>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Automation technologies </w:t>
      </w:r>
    </w:p>
    <w:p w14:paraId="36553F17"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SUCs can become research hubs supporting national semiconductor development initiatives.</w:t>
      </w:r>
    </w:p>
    <w:p w14:paraId="7F622719" w14:textId="7E649E90" w:rsidR="007313F1" w:rsidRPr="007313F1" w:rsidRDefault="007313F1" w:rsidP="007313F1">
      <w:pPr>
        <w:spacing w:line="240" w:lineRule="auto"/>
        <w:rPr>
          <w:rFonts w:ascii="Times New Roman" w:hAnsi="Times New Roman" w:cs="Times New Roman"/>
          <w:sz w:val="24"/>
          <w:szCs w:val="24"/>
        </w:rPr>
      </w:pPr>
    </w:p>
    <w:p w14:paraId="7382F0CD" w14:textId="77777777" w:rsidR="007313F1" w:rsidRPr="00E047F1" w:rsidRDefault="007313F1" w:rsidP="007313F1">
      <w:pPr>
        <w:spacing w:line="240" w:lineRule="auto"/>
        <w:rPr>
          <w:rFonts w:ascii="Times New Roman" w:hAnsi="Times New Roman" w:cs="Times New Roman"/>
          <w:b/>
          <w:bCs/>
          <w:sz w:val="28"/>
          <w:szCs w:val="28"/>
        </w:rPr>
      </w:pPr>
      <w:r w:rsidRPr="00E047F1">
        <w:rPr>
          <w:rFonts w:ascii="Times New Roman" w:hAnsi="Times New Roman" w:cs="Times New Roman"/>
          <w:b/>
          <w:bCs/>
          <w:sz w:val="28"/>
          <w:szCs w:val="28"/>
        </w:rPr>
        <w:t>VI. Challenges Facing SUCs</w:t>
      </w:r>
    </w:p>
    <w:p w14:paraId="015CD918" w14:textId="77777777" w:rsidR="007313F1" w:rsidRPr="007313F1" w:rsidRDefault="007313F1" w:rsidP="007313F1">
      <w:pPr>
        <w:spacing w:line="240" w:lineRule="auto"/>
        <w:rPr>
          <w:rFonts w:ascii="Times New Roman" w:hAnsi="Times New Roman" w:cs="Times New Roman"/>
          <w:b/>
          <w:bCs/>
          <w:sz w:val="24"/>
          <w:szCs w:val="24"/>
        </w:rPr>
      </w:pPr>
      <w:r w:rsidRPr="007313F1">
        <w:rPr>
          <w:rFonts w:ascii="Times New Roman" w:hAnsi="Times New Roman" w:cs="Times New Roman"/>
          <w:b/>
          <w:bCs/>
          <w:sz w:val="24"/>
          <w:szCs w:val="24"/>
        </w:rPr>
        <w:lastRenderedPageBreak/>
        <w:t>Infrastructure Limitations</w:t>
      </w:r>
    </w:p>
    <w:p w14:paraId="6201217E"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Many SUCs lack advanced semiconductor laboratories and specialized equipment.</w:t>
      </w:r>
    </w:p>
    <w:p w14:paraId="606ECC51"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Challenges include:</w:t>
      </w:r>
    </w:p>
    <w:p w14:paraId="15A13A29" w14:textId="77777777" w:rsidR="007313F1" w:rsidRPr="007313F1" w:rsidRDefault="007313F1" w:rsidP="007313F1">
      <w:pPr>
        <w:numPr>
          <w:ilvl w:val="0"/>
          <w:numId w:val="11"/>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Limited cleanroom facilities </w:t>
      </w:r>
    </w:p>
    <w:p w14:paraId="6540FE99" w14:textId="77777777" w:rsidR="007313F1" w:rsidRPr="007313F1" w:rsidRDefault="007313F1" w:rsidP="007313F1">
      <w:pPr>
        <w:numPr>
          <w:ilvl w:val="0"/>
          <w:numId w:val="11"/>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Outdated laboratory equipment </w:t>
      </w:r>
    </w:p>
    <w:p w14:paraId="09742D45" w14:textId="77777777" w:rsidR="007313F1" w:rsidRPr="007313F1" w:rsidRDefault="007313F1" w:rsidP="007313F1">
      <w:pPr>
        <w:numPr>
          <w:ilvl w:val="0"/>
          <w:numId w:val="11"/>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Insufficient simulation software </w:t>
      </w:r>
    </w:p>
    <w:p w14:paraId="48F962F1" w14:textId="77777777" w:rsidR="007313F1" w:rsidRPr="007313F1" w:rsidRDefault="007313F1" w:rsidP="007313F1">
      <w:pPr>
        <w:numPr>
          <w:ilvl w:val="0"/>
          <w:numId w:val="11"/>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Inadequate testing facilities </w:t>
      </w:r>
    </w:p>
    <w:p w14:paraId="22559E34"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These limitations affect both teaching effectiveness and research productivity.</w:t>
      </w:r>
    </w:p>
    <w:p w14:paraId="49A304E3" w14:textId="77777777" w:rsidR="007313F1" w:rsidRPr="007313F1" w:rsidRDefault="007313F1" w:rsidP="007313F1">
      <w:pPr>
        <w:spacing w:line="240" w:lineRule="auto"/>
        <w:rPr>
          <w:rFonts w:ascii="Times New Roman" w:hAnsi="Times New Roman" w:cs="Times New Roman"/>
          <w:b/>
          <w:bCs/>
          <w:sz w:val="24"/>
          <w:szCs w:val="24"/>
        </w:rPr>
      </w:pPr>
      <w:r w:rsidRPr="007313F1">
        <w:rPr>
          <w:rFonts w:ascii="Times New Roman" w:hAnsi="Times New Roman" w:cs="Times New Roman"/>
          <w:b/>
          <w:bCs/>
          <w:sz w:val="24"/>
          <w:szCs w:val="24"/>
        </w:rPr>
        <w:t>Faculty Development</w:t>
      </w:r>
    </w:p>
    <w:p w14:paraId="0DFF43B2"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Rapid technological advancements require continuous faculty training.</w:t>
      </w:r>
    </w:p>
    <w:p w14:paraId="14D4C53B"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Challenges include:</w:t>
      </w:r>
    </w:p>
    <w:p w14:paraId="419F1970" w14:textId="77777777" w:rsidR="007313F1" w:rsidRPr="007313F1" w:rsidRDefault="007313F1" w:rsidP="007313F1">
      <w:pPr>
        <w:numPr>
          <w:ilvl w:val="0"/>
          <w:numId w:val="12"/>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Limited industry immersion opportunities </w:t>
      </w:r>
    </w:p>
    <w:p w14:paraId="0F9FAF96" w14:textId="77777777" w:rsidR="007313F1" w:rsidRPr="007313F1" w:rsidRDefault="007313F1" w:rsidP="007313F1">
      <w:pPr>
        <w:numPr>
          <w:ilvl w:val="0"/>
          <w:numId w:val="12"/>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Insufficient specialized training programs </w:t>
      </w:r>
    </w:p>
    <w:p w14:paraId="7C1FD56C" w14:textId="77777777" w:rsidR="007313F1" w:rsidRPr="007313F1" w:rsidRDefault="007313F1" w:rsidP="007313F1">
      <w:pPr>
        <w:numPr>
          <w:ilvl w:val="0"/>
          <w:numId w:val="12"/>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Funding constraints for advanced studies </w:t>
      </w:r>
    </w:p>
    <w:p w14:paraId="6C4B7875"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Faculty capability development remains essential for delivering industry-relevant education.</w:t>
      </w:r>
    </w:p>
    <w:p w14:paraId="265913D2" w14:textId="77777777" w:rsidR="007313F1" w:rsidRPr="007313F1" w:rsidRDefault="007313F1" w:rsidP="007313F1">
      <w:pPr>
        <w:spacing w:line="240" w:lineRule="auto"/>
        <w:rPr>
          <w:rFonts w:ascii="Times New Roman" w:hAnsi="Times New Roman" w:cs="Times New Roman"/>
          <w:b/>
          <w:bCs/>
          <w:sz w:val="24"/>
          <w:szCs w:val="24"/>
        </w:rPr>
      </w:pPr>
      <w:r w:rsidRPr="007313F1">
        <w:rPr>
          <w:rFonts w:ascii="Times New Roman" w:hAnsi="Times New Roman" w:cs="Times New Roman"/>
          <w:b/>
          <w:bCs/>
          <w:sz w:val="24"/>
          <w:szCs w:val="24"/>
        </w:rPr>
        <w:t>Research Funding Constraints</w:t>
      </w:r>
    </w:p>
    <w:p w14:paraId="425A27BF"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Research activities in semiconductor-related fields often require significant financial resources.</w:t>
      </w:r>
    </w:p>
    <w:p w14:paraId="17B396AB"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Common barriers include:</w:t>
      </w:r>
    </w:p>
    <w:p w14:paraId="5FA7CE26" w14:textId="77777777" w:rsidR="007313F1" w:rsidRPr="007313F1" w:rsidRDefault="007313F1" w:rsidP="007313F1">
      <w:pPr>
        <w:numPr>
          <w:ilvl w:val="0"/>
          <w:numId w:val="13"/>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Equipment costs </w:t>
      </w:r>
    </w:p>
    <w:p w14:paraId="439C7234" w14:textId="77777777" w:rsidR="007313F1" w:rsidRPr="007313F1" w:rsidRDefault="007313F1" w:rsidP="007313F1">
      <w:pPr>
        <w:numPr>
          <w:ilvl w:val="0"/>
          <w:numId w:val="13"/>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Laboratory maintenance expenses </w:t>
      </w:r>
    </w:p>
    <w:p w14:paraId="63D60C08" w14:textId="77777777" w:rsidR="007313F1" w:rsidRPr="007313F1" w:rsidRDefault="007313F1" w:rsidP="007313F1">
      <w:pPr>
        <w:numPr>
          <w:ilvl w:val="0"/>
          <w:numId w:val="13"/>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Limited grant opportunities </w:t>
      </w:r>
    </w:p>
    <w:p w14:paraId="25987243" w14:textId="77777777" w:rsidR="007313F1" w:rsidRPr="007313F1" w:rsidRDefault="007313F1" w:rsidP="007313F1">
      <w:pPr>
        <w:numPr>
          <w:ilvl w:val="0"/>
          <w:numId w:val="13"/>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Restricted international collaborations </w:t>
      </w:r>
    </w:p>
    <w:p w14:paraId="646448A2" w14:textId="77777777" w:rsidR="007313F1" w:rsidRPr="007313F1" w:rsidRDefault="007313F1" w:rsidP="007313F1">
      <w:pPr>
        <w:spacing w:line="240" w:lineRule="auto"/>
        <w:rPr>
          <w:rFonts w:ascii="Times New Roman" w:hAnsi="Times New Roman" w:cs="Times New Roman"/>
          <w:b/>
          <w:bCs/>
          <w:sz w:val="24"/>
          <w:szCs w:val="24"/>
        </w:rPr>
      </w:pPr>
      <w:r w:rsidRPr="007313F1">
        <w:rPr>
          <w:rFonts w:ascii="Times New Roman" w:hAnsi="Times New Roman" w:cs="Times New Roman"/>
          <w:b/>
          <w:bCs/>
          <w:sz w:val="24"/>
          <w:szCs w:val="24"/>
        </w:rPr>
        <w:t>Industry-Academe Gap</w:t>
      </w:r>
    </w:p>
    <w:p w14:paraId="764355F3"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Industry stakeholders frequently identify skill mismatches among graduates.</w:t>
      </w:r>
    </w:p>
    <w:p w14:paraId="10454916"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A discussion among semiconductor practitioners highlighted the country's strengths in assembly, testing, and packaging while emphasizing the need to strengthen higher-value activities such as design and research. </w:t>
      </w:r>
    </w:p>
    <w:p w14:paraId="4D118391" w14:textId="7523F079" w:rsidR="007313F1" w:rsidRPr="007313F1" w:rsidRDefault="007313F1" w:rsidP="007313F1">
      <w:pPr>
        <w:spacing w:line="240" w:lineRule="auto"/>
        <w:rPr>
          <w:rFonts w:ascii="Times New Roman" w:hAnsi="Times New Roman" w:cs="Times New Roman"/>
          <w:sz w:val="24"/>
          <w:szCs w:val="24"/>
        </w:rPr>
      </w:pPr>
    </w:p>
    <w:p w14:paraId="33F142D2" w14:textId="77777777" w:rsidR="007313F1" w:rsidRPr="00E047F1" w:rsidRDefault="007313F1" w:rsidP="007313F1">
      <w:pPr>
        <w:spacing w:line="240" w:lineRule="auto"/>
        <w:rPr>
          <w:rFonts w:ascii="Times New Roman" w:hAnsi="Times New Roman" w:cs="Times New Roman"/>
          <w:b/>
          <w:bCs/>
          <w:sz w:val="28"/>
          <w:szCs w:val="28"/>
        </w:rPr>
      </w:pPr>
      <w:r w:rsidRPr="00E047F1">
        <w:rPr>
          <w:rFonts w:ascii="Times New Roman" w:hAnsi="Times New Roman" w:cs="Times New Roman"/>
          <w:b/>
          <w:bCs/>
          <w:sz w:val="28"/>
          <w:szCs w:val="28"/>
        </w:rPr>
        <w:t>VII. International Best Practices</w:t>
      </w:r>
    </w:p>
    <w:p w14:paraId="499D3068"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Several countries offer valuable lessons for the Philippines.</w:t>
      </w:r>
    </w:p>
    <w:p w14:paraId="2E56CF83" w14:textId="77777777" w:rsidR="007313F1" w:rsidRPr="007313F1" w:rsidRDefault="007313F1" w:rsidP="007313F1">
      <w:pPr>
        <w:spacing w:line="240" w:lineRule="auto"/>
        <w:rPr>
          <w:rFonts w:ascii="Times New Roman" w:hAnsi="Times New Roman" w:cs="Times New Roman"/>
          <w:b/>
          <w:bCs/>
          <w:sz w:val="24"/>
          <w:szCs w:val="24"/>
        </w:rPr>
      </w:pPr>
      <w:r w:rsidRPr="007313F1">
        <w:rPr>
          <w:rFonts w:ascii="Times New Roman" w:hAnsi="Times New Roman" w:cs="Times New Roman"/>
          <w:b/>
          <w:bCs/>
          <w:sz w:val="24"/>
          <w:szCs w:val="24"/>
        </w:rPr>
        <w:t>Taiwan</w:t>
      </w:r>
    </w:p>
    <w:p w14:paraId="5363A43D"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Taiwan's semiconductor success is closely linked to strong university-industry partnerships and sustained government investment in research and talent development.</w:t>
      </w:r>
    </w:p>
    <w:p w14:paraId="30A09539" w14:textId="77777777" w:rsidR="007313F1" w:rsidRPr="007313F1" w:rsidRDefault="007313F1" w:rsidP="007313F1">
      <w:pPr>
        <w:spacing w:line="240" w:lineRule="auto"/>
        <w:rPr>
          <w:rFonts w:ascii="Times New Roman" w:hAnsi="Times New Roman" w:cs="Times New Roman"/>
          <w:b/>
          <w:bCs/>
          <w:sz w:val="24"/>
          <w:szCs w:val="24"/>
        </w:rPr>
      </w:pPr>
      <w:r w:rsidRPr="007313F1">
        <w:rPr>
          <w:rFonts w:ascii="Times New Roman" w:hAnsi="Times New Roman" w:cs="Times New Roman"/>
          <w:b/>
          <w:bCs/>
          <w:sz w:val="24"/>
          <w:szCs w:val="24"/>
        </w:rPr>
        <w:t>South Korea</w:t>
      </w:r>
    </w:p>
    <w:p w14:paraId="1B89761D"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South Korea integrates industry needs directly into engineering education through collaborative research centers and corporate partnerships.</w:t>
      </w:r>
    </w:p>
    <w:p w14:paraId="0384F82D" w14:textId="77777777" w:rsidR="007313F1" w:rsidRPr="007313F1" w:rsidRDefault="007313F1" w:rsidP="007313F1">
      <w:pPr>
        <w:spacing w:line="240" w:lineRule="auto"/>
        <w:rPr>
          <w:rFonts w:ascii="Times New Roman" w:hAnsi="Times New Roman" w:cs="Times New Roman"/>
          <w:b/>
          <w:bCs/>
          <w:sz w:val="24"/>
          <w:szCs w:val="24"/>
        </w:rPr>
      </w:pPr>
      <w:r w:rsidRPr="007313F1">
        <w:rPr>
          <w:rFonts w:ascii="Times New Roman" w:hAnsi="Times New Roman" w:cs="Times New Roman"/>
          <w:b/>
          <w:bCs/>
          <w:sz w:val="24"/>
          <w:szCs w:val="24"/>
        </w:rPr>
        <w:t>United States</w:t>
      </w:r>
    </w:p>
    <w:p w14:paraId="1F318E52"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lastRenderedPageBreak/>
        <w:t xml:space="preserve">The CHIPS Act has highlighted the importance of coordinated workforce development involving universities, industry, and government agencies. Research emphasizes that talent shortages represent one of the most significant barriers to semiconductor expansion. </w:t>
      </w:r>
    </w:p>
    <w:p w14:paraId="4B2DAD90" w14:textId="7ECD3D07" w:rsidR="007313F1" w:rsidRPr="007313F1" w:rsidRDefault="007313F1" w:rsidP="007313F1">
      <w:pPr>
        <w:spacing w:line="240" w:lineRule="auto"/>
        <w:rPr>
          <w:rFonts w:ascii="Times New Roman" w:hAnsi="Times New Roman" w:cs="Times New Roman"/>
          <w:sz w:val="24"/>
          <w:szCs w:val="24"/>
        </w:rPr>
      </w:pPr>
    </w:p>
    <w:p w14:paraId="32685BFC" w14:textId="77777777" w:rsidR="007313F1" w:rsidRPr="00E047F1" w:rsidRDefault="007313F1" w:rsidP="007313F1">
      <w:pPr>
        <w:spacing w:line="240" w:lineRule="auto"/>
        <w:rPr>
          <w:rFonts w:ascii="Times New Roman" w:hAnsi="Times New Roman" w:cs="Times New Roman"/>
          <w:b/>
          <w:bCs/>
          <w:sz w:val="28"/>
          <w:szCs w:val="28"/>
        </w:rPr>
      </w:pPr>
      <w:r w:rsidRPr="00E047F1">
        <w:rPr>
          <w:rFonts w:ascii="Times New Roman" w:hAnsi="Times New Roman" w:cs="Times New Roman"/>
          <w:b/>
          <w:bCs/>
          <w:sz w:val="28"/>
          <w:szCs w:val="28"/>
        </w:rPr>
        <w:t>VIII. Proposed SUC-Semiconductor Development Framework</w:t>
      </w:r>
    </w:p>
    <w:p w14:paraId="689D90E3"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The proposed framework consists of five interconnected pillars.</w:t>
      </w:r>
    </w:p>
    <w:p w14:paraId="7FCC3319" w14:textId="77777777" w:rsidR="007313F1" w:rsidRPr="007313F1" w:rsidRDefault="007313F1" w:rsidP="007313F1">
      <w:pPr>
        <w:spacing w:line="240" w:lineRule="auto"/>
        <w:rPr>
          <w:rFonts w:ascii="Times New Roman" w:hAnsi="Times New Roman" w:cs="Times New Roman"/>
          <w:b/>
          <w:bCs/>
          <w:sz w:val="24"/>
          <w:szCs w:val="24"/>
        </w:rPr>
      </w:pPr>
      <w:r w:rsidRPr="007313F1">
        <w:rPr>
          <w:rFonts w:ascii="Times New Roman" w:hAnsi="Times New Roman" w:cs="Times New Roman"/>
          <w:b/>
          <w:bCs/>
          <w:sz w:val="24"/>
          <w:szCs w:val="24"/>
        </w:rPr>
        <w:t>Pillar 1: Curriculum Transformation</w:t>
      </w:r>
    </w:p>
    <w:p w14:paraId="57D12FBB"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Actions:</w:t>
      </w:r>
    </w:p>
    <w:p w14:paraId="0F20F746" w14:textId="77777777" w:rsidR="007313F1" w:rsidRPr="007313F1" w:rsidRDefault="007313F1" w:rsidP="007313F1">
      <w:pPr>
        <w:numPr>
          <w:ilvl w:val="0"/>
          <w:numId w:val="14"/>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Introduce semiconductor specialization tracks. </w:t>
      </w:r>
    </w:p>
    <w:p w14:paraId="7EBADFD7" w14:textId="77777777" w:rsidR="007313F1" w:rsidRPr="007313F1" w:rsidRDefault="007313F1" w:rsidP="007313F1">
      <w:pPr>
        <w:numPr>
          <w:ilvl w:val="0"/>
          <w:numId w:val="14"/>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Embed Industry 4.0 technologies. </w:t>
      </w:r>
    </w:p>
    <w:p w14:paraId="622A29C6" w14:textId="77777777" w:rsidR="007313F1" w:rsidRPr="007313F1" w:rsidRDefault="007313F1" w:rsidP="007313F1">
      <w:pPr>
        <w:numPr>
          <w:ilvl w:val="0"/>
          <w:numId w:val="14"/>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Develop micro-credential programs. </w:t>
      </w:r>
    </w:p>
    <w:p w14:paraId="069175B6" w14:textId="77777777" w:rsidR="007313F1" w:rsidRPr="007313F1" w:rsidRDefault="007313F1" w:rsidP="007313F1">
      <w:pPr>
        <w:numPr>
          <w:ilvl w:val="0"/>
          <w:numId w:val="14"/>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Strengthen experiential learning. </w:t>
      </w:r>
    </w:p>
    <w:p w14:paraId="155D865C" w14:textId="77777777" w:rsidR="007313F1" w:rsidRPr="007313F1" w:rsidRDefault="007313F1" w:rsidP="007313F1">
      <w:pPr>
        <w:spacing w:line="240" w:lineRule="auto"/>
        <w:rPr>
          <w:rFonts w:ascii="Times New Roman" w:hAnsi="Times New Roman" w:cs="Times New Roman"/>
          <w:b/>
          <w:bCs/>
          <w:sz w:val="24"/>
          <w:szCs w:val="24"/>
        </w:rPr>
      </w:pPr>
      <w:r w:rsidRPr="007313F1">
        <w:rPr>
          <w:rFonts w:ascii="Times New Roman" w:hAnsi="Times New Roman" w:cs="Times New Roman"/>
          <w:b/>
          <w:bCs/>
          <w:sz w:val="24"/>
          <w:szCs w:val="24"/>
        </w:rPr>
        <w:t>Pillar 2: Faculty Capability Enhancement</w:t>
      </w:r>
    </w:p>
    <w:p w14:paraId="3FF83696"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Actions:</w:t>
      </w:r>
    </w:p>
    <w:p w14:paraId="3052F70E" w14:textId="77777777" w:rsidR="007313F1" w:rsidRPr="007313F1" w:rsidRDefault="007313F1" w:rsidP="007313F1">
      <w:pPr>
        <w:numPr>
          <w:ilvl w:val="0"/>
          <w:numId w:val="15"/>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Industry immersion programs. </w:t>
      </w:r>
    </w:p>
    <w:p w14:paraId="79DC9066" w14:textId="77777777" w:rsidR="007313F1" w:rsidRPr="007313F1" w:rsidRDefault="007313F1" w:rsidP="007313F1">
      <w:pPr>
        <w:numPr>
          <w:ilvl w:val="0"/>
          <w:numId w:val="15"/>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Graduate scholarships. </w:t>
      </w:r>
    </w:p>
    <w:p w14:paraId="1D9CA1BA" w14:textId="77777777" w:rsidR="007313F1" w:rsidRPr="007313F1" w:rsidRDefault="007313F1" w:rsidP="007313F1">
      <w:pPr>
        <w:numPr>
          <w:ilvl w:val="0"/>
          <w:numId w:val="15"/>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International faculty exchanges. </w:t>
      </w:r>
    </w:p>
    <w:p w14:paraId="1CF51C09" w14:textId="77777777" w:rsidR="007313F1" w:rsidRPr="007313F1" w:rsidRDefault="007313F1" w:rsidP="007313F1">
      <w:pPr>
        <w:numPr>
          <w:ilvl w:val="0"/>
          <w:numId w:val="15"/>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Research fellowships. </w:t>
      </w:r>
    </w:p>
    <w:p w14:paraId="02415958" w14:textId="77777777" w:rsidR="007313F1" w:rsidRPr="007313F1" w:rsidRDefault="007313F1" w:rsidP="007313F1">
      <w:pPr>
        <w:spacing w:line="240" w:lineRule="auto"/>
        <w:rPr>
          <w:rFonts w:ascii="Times New Roman" w:hAnsi="Times New Roman" w:cs="Times New Roman"/>
          <w:b/>
          <w:bCs/>
          <w:sz w:val="24"/>
          <w:szCs w:val="24"/>
        </w:rPr>
      </w:pPr>
      <w:r w:rsidRPr="007313F1">
        <w:rPr>
          <w:rFonts w:ascii="Times New Roman" w:hAnsi="Times New Roman" w:cs="Times New Roman"/>
          <w:b/>
          <w:bCs/>
          <w:sz w:val="24"/>
          <w:szCs w:val="24"/>
        </w:rPr>
        <w:t>Pillar 3: Research and Innovation Ecosystems</w:t>
      </w:r>
    </w:p>
    <w:p w14:paraId="200D30CE"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Actions:</w:t>
      </w:r>
    </w:p>
    <w:p w14:paraId="35160C48" w14:textId="77777777" w:rsidR="007313F1" w:rsidRPr="007313F1" w:rsidRDefault="007313F1" w:rsidP="007313F1">
      <w:pPr>
        <w:numPr>
          <w:ilvl w:val="0"/>
          <w:numId w:val="16"/>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Establish semiconductor research centers. </w:t>
      </w:r>
    </w:p>
    <w:p w14:paraId="29E1EE8A" w14:textId="77777777" w:rsidR="007313F1" w:rsidRPr="007313F1" w:rsidRDefault="007313F1" w:rsidP="007313F1">
      <w:pPr>
        <w:numPr>
          <w:ilvl w:val="0"/>
          <w:numId w:val="16"/>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Create collaborative innovation laboratories. </w:t>
      </w:r>
    </w:p>
    <w:p w14:paraId="5B88E971" w14:textId="77777777" w:rsidR="007313F1" w:rsidRPr="007313F1" w:rsidRDefault="007313F1" w:rsidP="007313F1">
      <w:pPr>
        <w:numPr>
          <w:ilvl w:val="0"/>
          <w:numId w:val="16"/>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Support patent development. </w:t>
      </w:r>
    </w:p>
    <w:p w14:paraId="2E706E91" w14:textId="77777777" w:rsidR="007313F1" w:rsidRPr="007313F1" w:rsidRDefault="007313F1" w:rsidP="007313F1">
      <w:pPr>
        <w:numPr>
          <w:ilvl w:val="0"/>
          <w:numId w:val="16"/>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Promote technology commercialization. </w:t>
      </w:r>
    </w:p>
    <w:p w14:paraId="2A4E7456" w14:textId="77777777" w:rsidR="007313F1" w:rsidRPr="007313F1" w:rsidRDefault="007313F1" w:rsidP="007313F1">
      <w:pPr>
        <w:spacing w:line="240" w:lineRule="auto"/>
        <w:rPr>
          <w:rFonts w:ascii="Times New Roman" w:hAnsi="Times New Roman" w:cs="Times New Roman"/>
          <w:b/>
          <w:bCs/>
          <w:sz w:val="24"/>
          <w:szCs w:val="24"/>
        </w:rPr>
      </w:pPr>
      <w:r w:rsidRPr="007313F1">
        <w:rPr>
          <w:rFonts w:ascii="Times New Roman" w:hAnsi="Times New Roman" w:cs="Times New Roman"/>
          <w:b/>
          <w:bCs/>
          <w:sz w:val="24"/>
          <w:szCs w:val="24"/>
        </w:rPr>
        <w:t>Pillar 4: Infrastructure Modernization</w:t>
      </w:r>
    </w:p>
    <w:p w14:paraId="1ED1E1E8"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Actions:</w:t>
      </w:r>
    </w:p>
    <w:p w14:paraId="74D452E0" w14:textId="77777777" w:rsidR="007313F1" w:rsidRPr="007313F1" w:rsidRDefault="007313F1" w:rsidP="007313F1">
      <w:pPr>
        <w:numPr>
          <w:ilvl w:val="0"/>
          <w:numId w:val="17"/>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Semiconductor laboratories. </w:t>
      </w:r>
    </w:p>
    <w:p w14:paraId="107C542A" w14:textId="77777777" w:rsidR="007313F1" w:rsidRPr="007313F1" w:rsidRDefault="007313F1" w:rsidP="007313F1">
      <w:pPr>
        <w:numPr>
          <w:ilvl w:val="0"/>
          <w:numId w:val="17"/>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Design and simulation facilities. </w:t>
      </w:r>
    </w:p>
    <w:p w14:paraId="0CB57B3F" w14:textId="77777777" w:rsidR="007313F1" w:rsidRPr="007313F1" w:rsidRDefault="007313F1" w:rsidP="007313F1">
      <w:pPr>
        <w:numPr>
          <w:ilvl w:val="0"/>
          <w:numId w:val="17"/>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Testing and characterization equipment. </w:t>
      </w:r>
    </w:p>
    <w:p w14:paraId="2945C4E7" w14:textId="77777777" w:rsidR="007313F1" w:rsidRPr="007313F1" w:rsidRDefault="007313F1" w:rsidP="007313F1">
      <w:pPr>
        <w:numPr>
          <w:ilvl w:val="0"/>
          <w:numId w:val="17"/>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Shared regional research centers. </w:t>
      </w:r>
    </w:p>
    <w:p w14:paraId="749FA16A" w14:textId="77777777" w:rsidR="007313F1" w:rsidRPr="007313F1" w:rsidRDefault="007313F1" w:rsidP="007313F1">
      <w:pPr>
        <w:spacing w:line="240" w:lineRule="auto"/>
        <w:rPr>
          <w:rFonts w:ascii="Times New Roman" w:hAnsi="Times New Roman" w:cs="Times New Roman"/>
          <w:b/>
          <w:bCs/>
          <w:sz w:val="24"/>
          <w:szCs w:val="24"/>
        </w:rPr>
      </w:pPr>
      <w:r w:rsidRPr="007313F1">
        <w:rPr>
          <w:rFonts w:ascii="Times New Roman" w:hAnsi="Times New Roman" w:cs="Times New Roman"/>
          <w:b/>
          <w:bCs/>
          <w:sz w:val="24"/>
          <w:szCs w:val="24"/>
        </w:rPr>
        <w:t>Pillar 5: Strategic Partnerships</w:t>
      </w:r>
    </w:p>
    <w:p w14:paraId="2B0054FF"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Stakeholders include:</w:t>
      </w:r>
    </w:p>
    <w:p w14:paraId="46C98D48" w14:textId="77777777" w:rsidR="007313F1" w:rsidRPr="007313F1" w:rsidRDefault="007313F1" w:rsidP="007313F1">
      <w:pPr>
        <w:numPr>
          <w:ilvl w:val="0"/>
          <w:numId w:val="18"/>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CHED </w:t>
      </w:r>
    </w:p>
    <w:p w14:paraId="3D3DEA68" w14:textId="77777777" w:rsidR="007313F1" w:rsidRPr="007313F1" w:rsidRDefault="007313F1" w:rsidP="007313F1">
      <w:pPr>
        <w:numPr>
          <w:ilvl w:val="0"/>
          <w:numId w:val="18"/>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DOST </w:t>
      </w:r>
    </w:p>
    <w:p w14:paraId="0B567D2A" w14:textId="77777777" w:rsidR="007313F1" w:rsidRPr="007313F1" w:rsidRDefault="007313F1" w:rsidP="007313F1">
      <w:pPr>
        <w:numPr>
          <w:ilvl w:val="0"/>
          <w:numId w:val="18"/>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TESDA </w:t>
      </w:r>
    </w:p>
    <w:p w14:paraId="100C5E85" w14:textId="77777777" w:rsidR="007313F1" w:rsidRPr="007313F1" w:rsidRDefault="007313F1" w:rsidP="007313F1">
      <w:pPr>
        <w:numPr>
          <w:ilvl w:val="0"/>
          <w:numId w:val="18"/>
        </w:numPr>
        <w:spacing w:line="240" w:lineRule="auto"/>
        <w:rPr>
          <w:rFonts w:ascii="Times New Roman" w:hAnsi="Times New Roman" w:cs="Times New Roman"/>
          <w:sz w:val="24"/>
          <w:szCs w:val="24"/>
        </w:rPr>
      </w:pPr>
      <w:r w:rsidRPr="007313F1">
        <w:rPr>
          <w:rFonts w:ascii="Times New Roman" w:hAnsi="Times New Roman" w:cs="Times New Roman"/>
          <w:sz w:val="24"/>
          <w:szCs w:val="24"/>
        </w:rPr>
        <w:lastRenderedPageBreak/>
        <w:t xml:space="preserve">DTI </w:t>
      </w:r>
    </w:p>
    <w:p w14:paraId="4592D8E0" w14:textId="77777777" w:rsidR="007313F1" w:rsidRPr="007313F1" w:rsidRDefault="007313F1" w:rsidP="007313F1">
      <w:pPr>
        <w:numPr>
          <w:ilvl w:val="0"/>
          <w:numId w:val="18"/>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SEIPI </w:t>
      </w:r>
    </w:p>
    <w:p w14:paraId="2D96EAEF" w14:textId="77777777" w:rsidR="007313F1" w:rsidRPr="007313F1" w:rsidRDefault="007313F1" w:rsidP="007313F1">
      <w:pPr>
        <w:numPr>
          <w:ilvl w:val="0"/>
          <w:numId w:val="18"/>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Multinational semiconductor firms </w:t>
      </w:r>
    </w:p>
    <w:p w14:paraId="11BF9956"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Recent initiatives such as the Philippine Skills Framework for Semiconductor and Electronics illustrate the growing importance of coordinated workforce development among education providers and industry stakeholders. </w:t>
      </w:r>
    </w:p>
    <w:p w14:paraId="7E6A28CB" w14:textId="22AB251D" w:rsidR="007313F1" w:rsidRPr="007313F1" w:rsidRDefault="007313F1" w:rsidP="007313F1">
      <w:pPr>
        <w:spacing w:line="240" w:lineRule="auto"/>
        <w:rPr>
          <w:rFonts w:ascii="Times New Roman" w:hAnsi="Times New Roman" w:cs="Times New Roman"/>
          <w:sz w:val="24"/>
          <w:szCs w:val="24"/>
        </w:rPr>
      </w:pPr>
    </w:p>
    <w:p w14:paraId="49ABE88F" w14:textId="77777777" w:rsidR="007313F1" w:rsidRPr="00E047F1" w:rsidRDefault="007313F1" w:rsidP="007313F1">
      <w:pPr>
        <w:spacing w:line="240" w:lineRule="auto"/>
        <w:rPr>
          <w:rFonts w:ascii="Times New Roman" w:hAnsi="Times New Roman" w:cs="Times New Roman"/>
          <w:b/>
          <w:bCs/>
          <w:sz w:val="28"/>
          <w:szCs w:val="28"/>
        </w:rPr>
      </w:pPr>
      <w:r w:rsidRPr="00E047F1">
        <w:rPr>
          <w:rFonts w:ascii="Times New Roman" w:hAnsi="Times New Roman" w:cs="Times New Roman"/>
          <w:b/>
          <w:bCs/>
          <w:sz w:val="28"/>
          <w:szCs w:val="28"/>
        </w:rPr>
        <w:t>IX. Policy Implications</w:t>
      </w:r>
    </w:p>
    <w:p w14:paraId="630596AE"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To maximize SUC contributions, policymakers should consider:</w:t>
      </w:r>
    </w:p>
    <w:p w14:paraId="68727E28" w14:textId="77777777" w:rsidR="007313F1" w:rsidRPr="007313F1" w:rsidRDefault="007313F1" w:rsidP="007313F1">
      <w:pPr>
        <w:spacing w:line="240" w:lineRule="auto"/>
        <w:rPr>
          <w:rFonts w:ascii="Times New Roman" w:hAnsi="Times New Roman" w:cs="Times New Roman"/>
          <w:b/>
          <w:bCs/>
          <w:sz w:val="24"/>
          <w:szCs w:val="24"/>
        </w:rPr>
      </w:pPr>
      <w:r w:rsidRPr="007313F1">
        <w:rPr>
          <w:rFonts w:ascii="Times New Roman" w:hAnsi="Times New Roman" w:cs="Times New Roman"/>
          <w:b/>
          <w:bCs/>
          <w:sz w:val="24"/>
          <w:szCs w:val="24"/>
        </w:rPr>
        <w:t>For CHED</w:t>
      </w:r>
    </w:p>
    <w:p w14:paraId="0B5EA26C" w14:textId="77777777" w:rsidR="007313F1" w:rsidRPr="007313F1" w:rsidRDefault="007313F1" w:rsidP="007313F1">
      <w:pPr>
        <w:numPr>
          <w:ilvl w:val="0"/>
          <w:numId w:val="19"/>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Establish semiconductor-focused Centers of Excellence. </w:t>
      </w:r>
    </w:p>
    <w:p w14:paraId="4889AD33" w14:textId="77777777" w:rsidR="007313F1" w:rsidRPr="007313F1" w:rsidRDefault="007313F1" w:rsidP="007313F1">
      <w:pPr>
        <w:numPr>
          <w:ilvl w:val="0"/>
          <w:numId w:val="19"/>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Support curriculum modernization. </w:t>
      </w:r>
    </w:p>
    <w:p w14:paraId="64C65E8F" w14:textId="77777777" w:rsidR="007313F1" w:rsidRPr="007313F1" w:rsidRDefault="007313F1" w:rsidP="007313F1">
      <w:pPr>
        <w:numPr>
          <w:ilvl w:val="0"/>
          <w:numId w:val="19"/>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Expand faculty development programs. </w:t>
      </w:r>
    </w:p>
    <w:p w14:paraId="29267668" w14:textId="77777777" w:rsidR="007313F1" w:rsidRPr="007313F1" w:rsidRDefault="007313F1" w:rsidP="007313F1">
      <w:pPr>
        <w:spacing w:line="240" w:lineRule="auto"/>
        <w:rPr>
          <w:rFonts w:ascii="Times New Roman" w:hAnsi="Times New Roman" w:cs="Times New Roman"/>
          <w:b/>
          <w:bCs/>
          <w:sz w:val="24"/>
          <w:szCs w:val="24"/>
        </w:rPr>
      </w:pPr>
      <w:r w:rsidRPr="007313F1">
        <w:rPr>
          <w:rFonts w:ascii="Times New Roman" w:hAnsi="Times New Roman" w:cs="Times New Roman"/>
          <w:b/>
          <w:bCs/>
          <w:sz w:val="24"/>
          <w:szCs w:val="24"/>
        </w:rPr>
        <w:t>For DOST</w:t>
      </w:r>
    </w:p>
    <w:p w14:paraId="4399412F" w14:textId="77777777" w:rsidR="007313F1" w:rsidRPr="007313F1" w:rsidRDefault="007313F1" w:rsidP="007313F1">
      <w:pPr>
        <w:numPr>
          <w:ilvl w:val="0"/>
          <w:numId w:val="20"/>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Increase semiconductor research funding. </w:t>
      </w:r>
    </w:p>
    <w:p w14:paraId="696673E6" w14:textId="77777777" w:rsidR="007313F1" w:rsidRPr="007313F1" w:rsidRDefault="007313F1" w:rsidP="007313F1">
      <w:pPr>
        <w:numPr>
          <w:ilvl w:val="0"/>
          <w:numId w:val="20"/>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Support national research laboratories. </w:t>
      </w:r>
    </w:p>
    <w:p w14:paraId="1A7937DE" w14:textId="77777777" w:rsidR="007313F1" w:rsidRPr="007313F1" w:rsidRDefault="007313F1" w:rsidP="007313F1">
      <w:pPr>
        <w:numPr>
          <w:ilvl w:val="0"/>
          <w:numId w:val="20"/>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Promote international research collaboration. </w:t>
      </w:r>
    </w:p>
    <w:p w14:paraId="3760F60C" w14:textId="77777777" w:rsidR="007313F1" w:rsidRPr="007313F1" w:rsidRDefault="007313F1" w:rsidP="007313F1">
      <w:pPr>
        <w:spacing w:line="240" w:lineRule="auto"/>
        <w:rPr>
          <w:rFonts w:ascii="Times New Roman" w:hAnsi="Times New Roman" w:cs="Times New Roman"/>
          <w:b/>
          <w:bCs/>
          <w:sz w:val="24"/>
          <w:szCs w:val="24"/>
        </w:rPr>
      </w:pPr>
      <w:r w:rsidRPr="007313F1">
        <w:rPr>
          <w:rFonts w:ascii="Times New Roman" w:hAnsi="Times New Roman" w:cs="Times New Roman"/>
          <w:b/>
          <w:bCs/>
          <w:sz w:val="24"/>
          <w:szCs w:val="24"/>
        </w:rPr>
        <w:t>For DTI</w:t>
      </w:r>
    </w:p>
    <w:p w14:paraId="1DCBFF41" w14:textId="77777777" w:rsidR="007313F1" w:rsidRPr="007313F1" w:rsidRDefault="007313F1" w:rsidP="007313F1">
      <w:pPr>
        <w:numPr>
          <w:ilvl w:val="0"/>
          <w:numId w:val="21"/>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Integrate SUCs into industry development programs. </w:t>
      </w:r>
    </w:p>
    <w:p w14:paraId="360C32BC" w14:textId="77777777" w:rsidR="007313F1" w:rsidRPr="007313F1" w:rsidRDefault="007313F1" w:rsidP="007313F1">
      <w:pPr>
        <w:numPr>
          <w:ilvl w:val="0"/>
          <w:numId w:val="21"/>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Support technology transfer initiatives. </w:t>
      </w:r>
    </w:p>
    <w:p w14:paraId="0D033323" w14:textId="77777777" w:rsidR="007313F1" w:rsidRPr="007313F1" w:rsidRDefault="007313F1" w:rsidP="007313F1">
      <w:pPr>
        <w:numPr>
          <w:ilvl w:val="0"/>
          <w:numId w:val="21"/>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Encourage innovation ecosystems. </w:t>
      </w:r>
    </w:p>
    <w:p w14:paraId="4ECD7B37" w14:textId="77777777" w:rsidR="007313F1" w:rsidRPr="007313F1" w:rsidRDefault="007313F1" w:rsidP="007313F1">
      <w:pPr>
        <w:spacing w:line="240" w:lineRule="auto"/>
        <w:rPr>
          <w:rFonts w:ascii="Times New Roman" w:hAnsi="Times New Roman" w:cs="Times New Roman"/>
          <w:b/>
          <w:bCs/>
          <w:sz w:val="24"/>
          <w:szCs w:val="24"/>
        </w:rPr>
      </w:pPr>
      <w:r w:rsidRPr="007313F1">
        <w:rPr>
          <w:rFonts w:ascii="Times New Roman" w:hAnsi="Times New Roman" w:cs="Times New Roman"/>
          <w:b/>
          <w:bCs/>
          <w:sz w:val="24"/>
          <w:szCs w:val="24"/>
        </w:rPr>
        <w:t>For TESDA</w:t>
      </w:r>
    </w:p>
    <w:p w14:paraId="3BFCBAFB" w14:textId="77777777" w:rsidR="007313F1" w:rsidRPr="007313F1" w:rsidRDefault="007313F1" w:rsidP="007313F1">
      <w:pPr>
        <w:numPr>
          <w:ilvl w:val="0"/>
          <w:numId w:val="22"/>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Strengthen </w:t>
      </w:r>
      <w:proofErr w:type="spellStart"/>
      <w:r w:rsidRPr="007313F1">
        <w:rPr>
          <w:rFonts w:ascii="Times New Roman" w:hAnsi="Times New Roman" w:cs="Times New Roman"/>
          <w:sz w:val="24"/>
          <w:szCs w:val="24"/>
        </w:rPr>
        <w:t>ladderized</w:t>
      </w:r>
      <w:proofErr w:type="spellEnd"/>
      <w:r w:rsidRPr="007313F1">
        <w:rPr>
          <w:rFonts w:ascii="Times New Roman" w:hAnsi="Times New Roman" w:cs="Times New Roman"/>
          <w:sz w:val="24"/>
          <w:szCs w:val="24"/>
        </w:rPr>
        <w:t xml:space="preserve"> pathways between technical and higher education. </w:t>
      </w:r>
    </w:p>
    <w:p w14:paraId="699E0C64" w14:textId="77777777" w:rsidR="007313F1" w:rsidRPr="007313F1" w:rsidRDefault="007313F1" w:rsidP="007313F1">
      <w:pPr>
        <w:numPr>
          <w:ilvl w:val="0"/>
          <w:numId w:val="22"/>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Align training programs with industry standards. </w:t>
      </w:r>
    </w:p>
    <w:p w14:paraId="6F4E5708" w14:textId="5D3EBF29" w:rsidR="007313F1" w:rsidRPr="00E047F1" w:rsidRDefault="007313F1" w:rsidP="007313F1">
      <w:pPr>
        <w:spacing w:line="240" w:lineRule="auto"/>
        <w:rPr>
          <w:rFonts w:ascii="Times New Roman" w:hAnsi="Times New Roman" w:cs="Times New Roman"/>
          <w:sz w:val="28"/>
          <w:szCs w:val="28"/>
        </w:rPr>
      </w:pPr>
    </w:p>
    <w:p w14:paraId="2B6DADAB" w14:textId="77777777" w:rsidR="007313F1" w:rsidRPr="00E047F1" w:rsidRDefault="007313F1" w:rsidP="007313F1">
      <w:pPr>
        <w:spacing w:line="240" w:lineRule="auto"/>
        <w:rPr>
          <w:rFonts w:ascii="Times New Roman" w:hAnsi="Times New Roman" w:cs="Times New Roman"/>
          <w:b/>
          <w:bCs/>
          <w:sz w:val="28"/>
          <w:szCs w:val="28"/>
        </w:rPr>
      </w:pPr>
      <w:r w:rsidRPr="00E047F1">
        <w:rPr>
          <w:rFonts w:ascii="Times New Roman" w:hAnsi="Times New Roman" w:cs="Times New Roman"/>
          <w:b/>
          <w:bCs/>
          <w:sz w:val="28"/>
          <w:szCs w:val="28"/>
        </w:rPr>
        <w:t>X. Conclusion</w:t>
      </w:r>
    </w:p>
    <w:p w14:paraId="29AC31FE" w14:textId="77777777" w:rsidR="007313F1" w:rsidRPr="007313F1" w:rsidRDefault="007313F1" w:rsidP="007313F1">
      <w:pPr>
        <w:spacing w:line="240" w:lineRule="auto"/>
        <w:jc w:val="both"/>
        <w:rPr>
          <w:rFonts w:ascii="Times New Roman" w:hAnsi="Times New Roman" w:cs="Times New Roman"/>
          <w:sz w:val="24"/>
          <w:szCs w:val="24"/>
        </w:rPr>
      </w:pPr>
      <w:r w:rsidRPr="007313F1">
        <w:rPr>
          <w:rFonts w:ascii="Times New Roman" w:hAnsi="Times New Roman" w:cs="Times New Roman"/>
          <w:sz w:val="24"/>
          <w:szCs w:val="24"/>
        </w:rPr>
        <w:t>The Philippine Semiconductor Industry Roadmap presents a significant opportunity for economic transformation, technological advancement, and workforce development. Achieving the roadmap's ambitious targets will require a highly skilled workforce, robust research capabilities, and strong collaboration among government, industry, and academia.</w:t>
      </w:r>
    </w:p>
    <w:p w14:paraId="4E06B1F1" w14:textId="77777777" w:rsidR="007313F1" w:rsidRPr="007313F1" w:rsidRDefault="007313F1" w:rsidP="007313F1">
      <w:pPr>
        <w:spacing w:line="240" w:lineRule="auto"/>
        <w:jc w:val="both"/>
        <w:rPr>
          <w:rFonts w:ascii="Times New Roman" w:hAnsi="Times New Roman" w:cs="Times New Roman"/>
          <w:sz w:val="24"/>
          <w:szCs w:val="24"/>
        </w:rPr>
      </w:pPr>
      <w:r w:rsidRPr="007313F1">
        <w:rPr>
          <w:rFonts w:ascii="Times New Roman" w:hAnsi="Times New Roman" w:cs="Times New Roman"/>
          <w:sz w:val="24"/>
          <w:szCs w:val="24"/>
        </w:rPr>
        <w:t>State Universities and Colleges occupy a strategic position within this ecosystem. Through curriculum modernization, faculty development, research expansion, infrastructure investments, and industry engagement, SUCs can serve as critical drivers of semiconductor competitiveness.</w:t>
      </w:r>
    </w:p>
    <w:p w14:paraId="71E54E21" w14:textId="77777777" w:rsidR="007313F1" w:rsidRPr="007313F1" w:rsidRDefault="007313F1" w:rsidP="007313F1">
      <w:pPr>
        <w:spacing w:line="240" w:lineRule="auto"/>
        <w:jc w:val="both"/>
        <w:rPr>
          <w:rFonts w:ascii="Times New Roman" w:hAnsi="Times New Roman" w:cs="Times New Roman"/>
          <w:sz w:val="24"/>
          <w:szCs w:val="24"/>
        </w:rPr>
      </w:pPr>
      <w:r w:rsidRPr="007313F1">
        <w:rPr>
          <w:rFonts w:ascii="Times New Roman" w:hAnsi="Times New Roman" w:cs="Times New Roman"/>
          <w:sz w:val="24"/>
          <w:szCs w:val="24"/>
        </w:rPr>
        <w:t>The future success of the Philippine semiconductor industry will depend not only on investment and policy support but also on the ability of educational institutions to produce the next generation of engineers, scientists, innovators, and technology leaders capable of competing in an increasingly knowledge-driven global economy.</w:t>
      </w:r>
    </w:p>
    <w:p w14:paraId="04F33131" w14:textId="1ABB8ED9" w:rsidR="007313F1" w:rsidRPr="007313F1" w:rsidRDefault="007313F1" w:rsidP="007313F1">
      <w:pPr>
        <w:spacing w:line="240" w:lineRule="auto"/>
        <w:rPr>
          <w:rFonts w:ascii="Times New Roman" w:hAnsi="Times New Roman" w:cs="Times New Roman"/>
          <w:sz w:val="24"/>
          <w:szCs w:val="24"/>
        </w:rPr>
      </w:pPr>
    </w:p>
    <w:p w14:paraId="00B2D92E" w14:textId="18085D36" w:rsidR="007313F1" w:rsidRPr="00E047F1" w:rsidRDefault="007313F1" w:rsidP="007313F1">
      <w:pPr>
        <w:spacing w:line="240" w:lineRule="auto"/>
        <w:rPr>
          <w:rFonts w:ascii="Times New Roman" w:hAnsi="Times New Roman" w:cs="Times New Roman"/>
          <w:b/>
          <w:bCs/>
          <w:sz w:val="28"/>
          <w:szCs w:val="28"/>
        </w:rPr>
      </w:pPr>
      <w:r w:rsidRPr="00E047F1">
        <w:rPr>
          <w:rFonts w:ascii="Times New Roman" w:hAnsi="Times New Roman" w:cs="Times New Roman"/>
          <w:b/>
          <w:bCs/>
          <w:sz w:val="28"/>
          <w:szCs w:val="28"/>
        </w:rPr>
        <w:lastRenderedPageBreak/>
        <w:t xml:space="preserve">References </w:t>
      </w:r>
    </w:p>
    <w:p w14:paraId="0BDD75EB" w14:textId="77777777" w:rsidR="00E047F1" w:rsidRPr="00E047F1" w:rsidRDefault="00E047F1" w:rsidP="00E047F1">
      <w:pPr>
        <w:pStyle w:val="ListParagraph"/>
        <w:numPr>
          <w:ilvl w:val="0"/>
          <w:numId w:val="23"/>
        </w:numPr>
        <w:spacing w:line="240" w:lineRule="auto"/>
        <w:jc w:val="both"/>
        <w:rPr>
          <w:rFonts w:ascii="Times New Roman" w:hAnsi="Times New Roman" w:cs="Times New Roman"/>
          <w:sz w:val="24"/>
          <w:szCs w:val="24"/>
        </w:rPr>
      </w:pPr>
      <w:r w:rsidRPr="00E047F1">
        <w:rPr>
          <w:rFonts w:ascii="Times New Roman" w:hAnsi="Times New Roman" w:cs="Times New Roman"/>
          <w:sz w:val="24"/>
          <w:szCs w:val="24"/>
        </w:rPr>
        <w:t xml:space="preserve">Board of Investments. (2024, August 6). </w:t>
      </w:r>
      <w:r w:rsidRPr="00E047F1">
        <w:rPr>
          <w:rFonts w:ascii="Times New Roman" w:hAnsi="Times New Roman" w:cs="Times New Roman"/>
          <w:i/>
          <w:iCs/>
          <w:sz w:val="24"/>
          <w:szCs w:val="24"/>
        </w:rPr>
        <w:t>DTI-BOI, NGAs eye 128K workers in PH's semiconductor industry by 2028; vow to upskill Filipino workforce</w:t>
      </w:r>
      <w:r w:rsidRPr="00E047F1">
        <w:rPr>
          <w:rFonts w:ascii="Times New Roman" w:hAnsi="Times New Roman" w:cs="Times New Roman"/>
          <w:sz w:val="24"/>
          <w:szCs w:val="24"/>
        </w:rPr>
        <w:t xml:space="preserve">. Department of Trade and Industry. </w:t>
      </w:r>
    </w:p>
    <w:p w14:paraId="4A0168ED" w14:textId="77777777" w:rsidR="00E047F1" w:rsidRPr="00E047F1" w:rsidRDefault="00E047F1" w:rsidP="00E047F1">
      <w:pPr>
        <w:pStyle w:val="ListParagraph"/>
        <w:numPr>
          <w:ilvl w:val="0"/>
          <w:numId w:val="23"/>
        </w:numPr>
        <w:spacing w:line="240" w:lineRule="auto"/>
        <w:jc w:val="both"/>
        <w:rPr>
          <w:rFonts w:ascii="Times New Roman" w:hAnsi="Times New Roman" w:cs="Times New Roman"/>
          <w:sz w:val="24"/>
          <w:szCs w:val="24"/>
        </w:rPr>
      </w:pPr>
      <w:r w:rsidRPr="00E047F1">
        <w:rPr>
          <w:rFonts w:ascii="Times New Roman" w:hAnsi="Times New Roman" w:cs="Times New Roman"/>
          <w:sz w:val="24"/>
          <w:szCs w:val="24"/>
        </w:rPr>
        <w:t xml:space="preserve">Commission on Higher Education. (2024). </w:t>
      </w:r>
      <w:r w:rsidRPr="00E047F1">
        <w:rPr>
          <w:rFonts w:ascii="Times New Roman" w:hAnsi="Times New Roman" w:cs="Times New Roman"/>
          <w:i/>
          <w:iCs/>
          <w:sz w:val="24"/>
          <w:szCs w:val="24"/>
        </w:rPr>
        <w:t>Higher Education Development Plan 2024–2028</w:t>
      </w:r>
      <w:r w:rsidRPr="00E047F1">
        <w:rPr>
          <w:rFonts w:ascii="Times New Roman" w:hAnsi="Times New Roman" w:cs="Times New Roman"/>
          <w:sz w:val="24"/>
          <w:szCs w:val="24"/>
        </w:rPr>
        <w:t>. Quezon City, Philippines.</w:t>
      </w:r>
    </w:p>
    <w:p w14:paraId="3323260D" w14:textId="77777777" w:rsidR="00E047F1" w:rsidRPr="00E047F1" w:rsidRDefault="00E047F1" w:rsidP="00E047F1">
      <w:pPr>
        <w:pStyle w:val="ListParagraph"/>
        <w:numPr>
          <w:ilvl w:val="0"/>
          <w:numId w:val="23"/>
        </w:numPr>
        <w:spacing w:line="240" w:lineRule="auto"/>
        <w:jc w:val="both"/>
        <w:rPr>
          <w:rFonts w:ascii="Times New Roman" w:hAnsi="Times New Roman" w:cs="Times New Roman"/>
          <w:sz w:val="24"/>
          <w:szCs w:val="24"/>
        </w:rPr>
      </w:pPr>
      <w:proofErr w:type="spellStart"/>
      <w:r w:rsidRPr="00E047F1">
        <w:rPr>
          <w:rFonts w:ascii="Times New Roman" w:hAnsi="Times New Roman" w:cs="Times New Roman"/>
          <w:sz w:val="24"/>
          <w:szCs w:val="24"/>
        </w:rPr>
        <w:t>Etzkowitz</w:t>
      </w:r>
      <w:proofErr w:type="spellEnd"/>
      <w:r w:rsidRPr="00E047F1">
        <w:rPr>
          <w:rFonts w:ascii="Times New Roman" w:hAnsi="Times New Roman" w:cs="Times New Roman"/>
          <w:sz w:val="24"/>
          <w:szCs w:val="24"/>
        </w:rPr>
        <w:t xml:space="preserve">, H., &amp; </w:t>
      </w:r>
      <w:proofErr w:type="spellStart"/>
      <w:r w:rsidRPr="00E047F1">
        <w:rPr>
          <w:rFonts w:ascii="Times New Roman" w:hAnsi="Times New Roman" w:cs="Times New Roman"/>
          <w:sz w:val="24"/>
          <w:szCs w:val="24"/>
        </w:rPr>
        <w:t>Leydesdorff</w:t>
      </w:r>
      <w:proofErr w:type="spellEnd"/>
      <w:r w:rsidRPr="00E047F1">
        <w:rPr>
          <w:rFonts w:ascii="Times New Roman" w:hAnsi="Times New Roman" w:cs="Times New Roman"/>
          <w:sz w:val="24"/>
          <w:szCs w:val="24"/>
        </w:rPr>
        <w:t xml:space="preserve">, L. (2000). The dynamics of innovation: From national systems and Mode 2 to a Triple Helix of university-industry-government relations. </w:t>
      </w:r>
      <w:r w:rsidRPr="00E047F1">
        <w:rPr>
          <w:rFonts w:ascii="Times New Roman" w:hAnsi="Times New Roman" w:cs="Times New Roman"/>
          <w:i/>
          <w:iCs/>
          <w:sz w:val="24"/>
          <w:szCs w:val="24"/>
        </w:rPr>
        <w:t>Research Policy, 29</w:t>
      </w:r>
      <w:r w:rsidRPr="00E047F1">
        <w:rPr>
          <w:rFonts w:ascii="Times New Roman" w:hAnsi="Times New Roman" w:cs="Times New Roman"/>
          <w:sz w:val="24"/>
          <w:szCs w:val="24"/>
        </w:rPr>
        <w:t>(2), 109–123.</w:t>
      </w:r>
    </w:p>
    <w:p w14:paraId="667789B3" w14:textId="77777777" w:rsidR="00E047F1" w:rsidRPr="00E047F1" w:rsidRDefault="00E047F1" w:rsidP="00E047F1">
      <w:pPr>
        <w:pStyle w:val="ListParagraph"/>
        <w:numPr>
          <w:ilvl w:val="0"/>
          <w:numId w:val="23"/>
        </w:numPr>
        <w:spacing w:line="240" w:lineRule="auto"/>
        <w:jc w:val="both"/>
        <w:rPr>
          <w:rFonts w:ascii="Times New Roman" w:hAnsi="Times New Roman" w:cs="Times New Roman"/>
          <w:sz w:val="24"/>
          <w:szCs w:val="24"/>
        </w:rPr>
      </w:pPr>
      <w:proofErr w:type="spellStart"/>
      <w:r w:rsidRPr="00E047F1">
        <w:rPr>
          <w:rFonts w:ascii="Times New Roman" w:hAnsi="Times New Roman" w:cs="Times New Roman"/>
          <w:sz w:val="24"/>
          <w:szCs w:val="24"/>
        </w:rPr>
        <w:t>Organisation</w:t>
      </w:r>
      <w:proofErr w:type="spellEnd"/>
      <w:r w:rsidRPr="00E047F1">
        <w:rPr>
          <w:rFonts w:ascii="Times New Roman" w:hAnsi="Times New Roman" w:cs="Times New Roman"/>
          <w:sz w:val="24"/>
          <w:szCs w:val="24"/>
        </w:rPr>
        <w:t xml:space="preserve"> for Economic Co-operation and Development. (2023). </w:t>
      </w:r>
      <w:r w:rsidRPr="00E047F1">
        <w:rPr>
          <w:rFonts w:ascii="Times New Roman" w:hAnsi="Times New Roman" w:cs="Times New Roman"/>
          <w:i/>
          <w:iCs/>
          <w:sz w:val="24"/>
          <w:szCs w:val="24"/>
        </w:rPr>
        <w:t>Semiconductor supply chains and workforce development</w:t>
      </w:r>
      <w:r w:rsidRPr="00E047F1">
        <w:rPr>
          <w:rFonts w:ascii="Times New Roman" w:hAnsi="Times New Roman" w:cs="Times New Roman"/>
          <w:sz w:val="24"/>
          <w:szCs w:val="24"/>
        </w:rPr>
        <w:t>. OECD Publishing.</w:t>
      </w:r>
    </w:p>
    <w:p w14:paraId="12EA9516" w14:textId="77777777" w:rsidR="00E047F1" w:rsidRPr="00E047F1" w:rsidRDefault="00E047F1" w:rsidP="00E047F1">
      <w:pPr>
        <w:pStyle w:val="ListParagraph"/>
        <w:numPr>
          <w:ilvl w:val="0"/>
          <w:numId w:val="23"/>
        </w:numPr>
        <w:spacing w:line="240" w:lineRule="auto"/>
        <w:jc w:val="both"/>
        <w:rPr>
          <w:rFonts w:ascii="Times New Roman" w:hAnsi="Times New Roman" w:cs="Times New Roman"/>
          <w:sz w:val="24"/>
          <w:szCs w:val="24"/>
        </w:rPr>
      </w:pPr>
      <w:r w:rsidRPr="00E047F1">
        <w:rPr>
          <w:rFonts w:ascii="Times New Roman" w:hAnsi="Times New Roman" w:cs="Times New Roman"/>
          <w:sz w:val="24"/>
          <w:szCs w:val="24"/>
        </w:rPr>
        <w:t xml:space="preserve">Schultz, T. W. (1961). Investment in human capital. </w:t>
      </w:r>
      <w:r w:rsidRPr="00E047F1">
        <w:rPr>
          <w:rFonts w:ascii="Times New Roman" w:hAnsi="Times New Roman" w:cs="Times New Roman"/>
          <w:i/>
          <w:iCs/>
          <w:sz w:val="24"/>
          <w:szCs w:val="24"/>
        </w:rPr>
        <w:t>American Economic Review, 51</w:t>
      </w:r>
      <w:r w:rsidRPr="00E047F1">
        <w:rPr>
          <w:rFonts w:ascii="Times New Roman" w:hAnsi="Times New Roman" w:cs="Times New Roman"/>
          <w:sz w:val="24"/>
          <w:szCs w:val="24"/>
        </w:rPr>
        <w:t>(1), 1–17.</w:t>
      </w:r>
    </w:p>
    <w:p w14:paraId="4C662689" w14:textId="77777777" w:rsidR="00E047F1" w:rsidRPr="00E047F1" w:rsidRDefault="00E047F1" w:rsidP="00E047F1">
      <w:pPr>
        <w:pStyle w:val="ListParagraph"/>
        <w:numPr>
          <w:ilvl w:val="0"/>
          <w:numId w:val="23"/>
        </w:numPr>
        <w:spacing w:line="240" w:lineRule="auto"/>
        <w:jc w:val="both"/>
        <w:rPr>
          <w:rFonts w:ascii="Times New Roman" w:hAnsi="Times New Roman" w:cs="Times New Roman"/>
          <w:sz w:val="24"/>
          <w:szCs w:val="24"/>
        </w:rPr>
      </w:pPr>
      <w:hyperlink r:id="rId5" w:tgtFrame="_blank" w:history="1">
        <w:r w:rsidRPr="00E047F1">
          <w:rPr>
            <w:rStyle w:val="Hyperlink"/>
            <w:rFonts w:ascii="Times New Roman" w:hAnsi="Times New Roman" w:cs="Times New Roman"/>
            <w:sz w:val="24"/>
            <w:szCs w:val="24"/>
          </w:rPr>
          <w:t>Semiconductor and Electronics Industries in the Philippines Foundation (SEIPI)</w:t>
        </w:r>
      </w:hyperlink>
    </w:p>
    <w:p w14:paraId="05E142CB" w14:textId="77777777" w:rsidR="00E047F1" w:rsidRPr="00E047F1" w:rsidRDefault="00E047F1" w:rsidP="00E047F1">
      <w:pPr>
        <w:pStyle w:val="ListParagraph"/>
        <w:numPr>
          <w:ilvl w:val="0"/>
          <w:numId w:val="23"/>
        </w:numPr>
        <w:spacing w:line="240" w:lineRule="auto"/>
        <w:jc w:val="both"/>
        <w:rPr>
          <w:rFonts w:ascii="Times New Roman" w:hAnsi="Times New Roman" w:cs="Times New Roman"/>
          <w:sz w:val="24"/>
          <w:szCs w:val="24"/>
        </w:rPr>
      </w:pPr>
      <w:r w:rsidRPr="00E047F1">
        <w:rPr>
          <w:rFonts w:ascii="Times New Roman" w:hAnsi="Times New Roman" w:cs="Times New Roman"/>
          <w:sz w:val="24"/>
          <w:szCs w:val="24"/>
        </w:rPr>
        <w:t xml:space="preserve">Semiconductor and Electronics Industries in the Philippines Foundation, Inc. (2025). </w:t>
      </w:r>
      <w:r w:rsidRPr="00E047F1">
        <w:rPr>
          <w:rFonts w:ascii="Times New Roman" w:hAnsi="Times New Roman" w:cs="Times New Roman"/>
          <w:i/>
          <w:iCs/>
          <w:sz w:val="24"/>
          <w:szCs w:val="24"/>
        </w:rPr>
        <w:t>About SEIPI and the Philippine electronics industry</w:t>
      </w:r>
      <w:r w:rsidRPr="00E047F1">
        <w:rPr>
          <w:rFonts w:ascii="Times New Roman" w:hAnsi="Times New Roman" w:cs="Times New Roman"/>
          <w:sz w:val="24"/>
          <w:szCs w:val="24"/>
        </w:rPr>
        <w:t xml:space="preserve">. </w:t>
      </w:r>
    </w:p>
    <w:p w14:paraId="2DCC243D" w14:textId="77777777" w:rsidR="00E047F1" w:rsidRPr="00E047F1" w:rsidRDefault="00E047F1" w:rsidP="00E047F1">
      <w:pPr>
        <w:pStyle w:val="ListParagraph"/>
        <w:numPr>
          <w:ilvl w:val="0"/>
          <w:numId w:val="23"/>
        </w:numPr>
        <w:spacing w:line="240" w:lineRule="auto"/>
        <w:jc w:val="both"/>
        <w:rPr>
          <w:rFonts w:ascii="Times New Roman" w:hAnsi="Times New Roman" w:cs="Times New Roman"/>
          <w:sz w:val="24"/>
          <w:szCs w:val="24"/>
        </w:rPr>
      </w:pPr>
      <w:r w:rsidRPr="00E047F1">
        <w:rPr>
          <w:rFonts w:ascii="Times New Roman" w:hAnsi="Times New Roman" w:cs="Times New Roman"/>
          <w:sz w:val="24"/>
          <w:szCs w:val="24"/>
        </w:rPr>
        <w:t xml:space="preserve">Technical Education and Skills Development Authority. (2025). </w:t>
      </w:r>
      <w:r w:rsidRPr="00E047F1">
        <w:rPr>
          <w:rFonts w:ascii="Times New Roman" w:hAnsi="Times New Roman" w:cs="Times New Roman"/>
          <w:i/>
          <w:iCs/>
          <w:sz w:val="24"/>
          <w:szCs w:val="24"/>
        </w:rPr>
        <w:t>Philippine Skills Framework for the Semiconductor and Electronics Sector</w:t>
      </w:r>
      <w:r w:rsidRPr="00E047F1">
        <w:rPr>
          <w:rFonts w:ascii="Times New Roman" w:hAnsi="Times New Roman" w:cs="Times New Roman"/>
          <w:sz w:val="24"/>
          <w:szCs w:val="24"/>
        </w:rPr>
        <w:t xml:space="preserve">. Taguig City, Philippines. </w:t>
      </w:r>
    </w:p>
    <w:p w14:paraId="0B96FE5F" w14:textId="77777777" w:rsidR="00E047F1" w:rsidRPr="00E047F1" w:rsidRDefault="00E047F1" w:rsidP="00E047F1">
      <w:pPr>
        <w:pStyle w:val="ListParagraph"/>
        <w:numPr>
          <w:ilvl w:val="0"/>
          <w:numId w:val="23"/>
        </w:numPr>
        <w:spacing w:line="240" w:lineRule="auto"/>
        <w:jc w:val="both"/>
        <w:rPr>
          <w:rFonts w:ascii="Times New Roman" w:hAnsi="Times New Roman" w:cs="Times New Roman"/>
          <w:sz w:val="24"/>
          <w:szCs w:val="24"/>
        </w:rPr>
      </w:pPr>
      <w:r w:rsidRPr="00E047F1">
        <w:rPr>
          <w:rFonts w:ascii="Times New Roman" w:hAnsi="Times New Roman" w:cs="Times New Roman"/>
          <w:sz w:val="24"/>
          <w:szCs w:val="24"/>
        </w:rPr>
        <w:t xml:space="preserve">World Economic Forum. (2025). </w:t>
      </w:r>
      <w:r w:rsidRPr="00E047F1">
        <w:rPr>
          <w:rFonts w:ascii="Times New Roman" w:hAnsi="Times New Roman" w:cs="Times New Roman"/>
          <w:i/>
          <w:iCs/>
          <w:sz w:val="24"/>
          <w:szCs w:val="24"/>
        </w:rPr>
        <w:t>The future of jobs report</w:t>
      </w:r>
      <w:r w:rsidRPr="00E047F1">
        <w:rPr>
          <w:rFonts w:ascii="Times New Roman" w:hAnsi="Times New Roman" w:cs="Times New Roman"/>
          <w:sz w:val="24"/>
          <w:szCs w:val="24"/>
        </w:rPr>
        <w:t>. Geneva, Switzerland.</w:t>
      </w:r>
    </w:p>
    <w:p w14:paraId="0F07FDD6" w14:textId="77777777" w:rsidR="00F23BC1" w:rsidRPr="007313F1" w:rsidRDefault="00F23BC1" w:rsidP="007313F1">
      <w:pPr>
        <w:spacing w:line="240" w:lineRule="auto"/>
        <w:rPr>
          <w:rFonts w:ascii="Times New Roman" w:hAnsi="Times New Roman" w:cs="Times New Roman"/>
          <w:sz w:val="24"/>
          <w:szCs w:val="24"/>
        </w:rPr>
      </w:pPr>
    </w:p>
    <w:sectPr w:rsidR="00F23BC1" w:rsidRPr="007313F1" w:rsidSect="007313F1">
      <w:pgSz w:w="11906" w:h="16838" w:code="9"/>
      <w:pgMar w:top="1094" w:right="805" w:bottom="601" w:left="601" w:header="340" w:footer="405"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22DBE"/>
    <w:multiLevelType w:val="multilevel"/>
    <w:tmpl w:val="2242A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B1930"/>
    <w:multiLevelType w:val="multilevel"/>
    <w:tmpl w:val="109A5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F063D"/>
    <w:multiLevelType w:val="multilevel"/>
    <w:tmpl w:val="0376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063D83"/>
    <w:multiLevelType w:val="multilevel"/>
    <w:tmpl w:val="1DEC4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403AB1"/>
    <w:multiLevelType w:val="multilevel"/>
    <w:tmpl w:val="D13A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111CAB"/>
    <w:multiLevelType w:val="multilevel"/>
    <w:tmpl w:val="18AE5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0C427B"/>
    <w:multiLevelType w:val="multilevel"/>
    <w:tmpl w:val="3510F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122ACE"/>
    <w:multiLevelType w:val="multilevel"/>
    <w:tmpl w:val="C2C20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3D4A04"/>
    <w:multiLevelType w:val="multilevel"/>
    <w:tmpl w:val="7D8E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0F536C"/>
    <w:multiLevelType w:val="multilevel"/>
    <w:tmpl w:val="4490B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85297E"/>
    <w:multiLevelType w:val="multilevel"/>
    <w:tmpl w:val="19DC7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9C1A80"/>
    <w:multiLevelType w:val="multilevel"/>
    <w:tmpl w:val="B2248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340097"/>
    <w:multiLevelType w:val="multilevel"/>
    <w:tmpl w:val="A7726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BF5F1D"/>
    <w:multiLevelType w:val="multilevel"/>
    <w:tmpl w:val="3788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A6833"/>
    <w:multiLevelType w:val="multilevel"/>
    <w:tmpl w:val="601A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5F3FEF"/>
    <w:multiLevelType w:val="multilevel"/>
    <w:tmpl w:val="C6845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DA4B67"/>
    <w:multiLevelType w:val="multilevel"/>
    <w:tmpl w:val="09E61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7A1C76"/>
    <w:multiLevelType w:val="multilevel"/>
    <w:tmpl w:val="46D2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2A69CC"/>
    <w:multiLevelType w:val="multilevel"/>
    <w:tmpl w:val="F4EC8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AF5E24"/>
    <w:multiLevelType w:val="multilevel"/>
    <w:tmpl w:val="AA20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067921"/>
    <w:multiLevelType w:val="multilevel"/>
    <w:tmpl w:val="67861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BB0E6C"/>
    <w:multiLevelType w:val="multilevel"/>
    <w:tmpl w:val="0E761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55411E"/>
    <w:multiLevelType w:val="hybridMultilevel"/>
    <w:tmpl w:val="9CBA180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299851237">
    <w:abstractNumId w:val="20"/>
  </w:num>
  <w:num w:numId="2" w16cid:durableId="64227268">
    <w:abstractNumId w:val="17"/>
  </w:num>
  <w:num w:numId="3" w16cid:durableId="697392641">
    <w:abstractNumId w:val="2"/>
  </w:num>
  <w:num w:numId="4" w16cid:durableId="1807969107">
    <w:abstractNumId w:val="4"/>
  </w:num>
  <w:num w:numId="5" w16cid:durableId="1124807667">
    <w:abstractNumId w:val="3"/>
  </w:num>
  <w:num w:numId="6" w16cid:durableId="257635977">
    <w:abstractNumId w:val="8"/>
  </w:num>
  <w:num w:numId="7" w16cid:durableId="1470515216">
    <w:abstractNumId w:val="12"/>
  </w:num>
  <w:num w:numId="8" w16cid:durableId="415250255">
    <w:abstractNumId w:val="10"/>
  </w:num>
  <w:num w:numId="9" w16cid:durableId="130557733">
    <w:abstractNumId w:val="0"/>
  </w:num>
  <w:num w:numId="10" w16cid:durableId="1117529698">
    <w:abstractNumId w:val="15"/>
  </w:num>
  <w:num w:numId="11" w16cid:durableId="419713969">
    <w:abstractNumId w:val="7"/>
  </w:num>
  <w:num w:numId="12" w16cid:durableId="2071807120">
    <w:abstractNumId w:val="16"/>
  </w:num>
  <w:num w:numId="13" w16cid:durableId="1508053912">
    <w:abstractNumId w:val="21"/>
  </w:num>
  <w:num w:numId="14" w16cid:durableId="638462401">
    <w:abstractNumId w:val="18"/>
  </w:num>
  <w:num w:numId="15" w16cid:durableId="1355770335">
    <w:abstractNumId w:val="1"/>
  </w:num>
  <w:num w:numId="16" w16cid:durableId="2078631454">
    <w:abstractNumId w:val="14"/>
  </w:num>
  <w:num w:numId="17" w16cid:durableId="57635522">
    <w:abstractNumId w:val="13"/>
  </w:num>
  <w:num w:numId="18" w16cid:durableId="263852131">
    <w:abstractNumId w:val="11"/>
  </w:num>
  <w:num w:numId="19" w16cid:durableId="176581731">
    <w:abstractNumId w:val="9"/>
  </w:num>
  <w:num w:numId="20" w16cid:durableId="401870652">
    <w:abstractNumId w:val="19"/>
  </w:num>
  <w:num w:numId="21" w16cid:durableId="1119106979">
    <w:abstractNumId w:val="5"/>
  </w:num>
  <w:num w:numId="22" w16cid:durableId="153766379">
    <w:abstractNumId w:val="6"/>
  </w:num>
  <w:num w:numId="23" w16cid:durableId="72098010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3F1"/>
    <w:rsid w:val="00145120"/>
    <w:rsid w:val="00380893"/>
    <w:rsid w:val="007313F1"/>
    <w:rsid w:val="00875B8C"/>
    <w:rsid w:val="00942DC5"/>
    <w:rsid w:val="009E126E"/>
    <w:rsid w:val="00A442C6"/>
    <w:rsid w:val="00AD427F"/>
    <w:rsid w:val="00E047F1"/>
    <w:rsid w:val="00F23BC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2898E"/>
  <w15:chartTrackingRefBased/>
  <w15:docId w15:val="{72C63465-FB3B-43A0-AF58-2081A6929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13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13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13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13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13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13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3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3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3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3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13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13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13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13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13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3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3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3F1"/>
    <w:rPr>
      <w:rFonts w:eastAsiaTheme="majorEastAsia" w:cstheme="majorBidi"/>
      <w:color w:val="272727" w:themeColor="text1" w:themeTint="D8"/>
    </w:rPr>
  </w:style>
  <w:style w:type="paragraph" w:styleId="Title">
    <w:name w:val="Title"/>
    <w:basedOn w:val="Normal"/>
    <w:next w:val="Normal"/>
    <w:link w:val="TitleChar"/>
    <w:uiPriority w:val="10"/>
    <w:qFormat/>
    <w:rsid w:val="007313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3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3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3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3F1"/>
    <w:pPr>
      <w:spacing w:before="160"/>
      <w:jc w:val="center"/>
    </w:pPr>
    <w:rPr>
      <w:i/>
      <w:iCs/>
      <w:color w:val="404040" w:themeColor="text1" w:themeTint="BF"/>
    </w:rPr>
  </w:style>
  <w:style w:type="character" w:customStyle="1" w:styleId="QuoteChar">
    <w:name w:val="Quote Char"/>
    <w:basedOn w:val="DefaultParagraphFont"/>
    <w:link w:val="Quote"/>
    <w:uiPriority w:val="29"/>
    <w:rsid w:val="007313F1"/>
    <w:rPr>
      <w:i/>
      <w:iCs/>
      <w:color w:val="404040" w:themeColor="text1" w:themeTint="BF"/>
    </w:rPr>
  </w:style>
  <w:style w:type="paragraph" w:styleId="ListParagraph">
    <w:name w:val="List Paragraph"/>
    <w:basedOn w:val="Normal"/>
    <w:uiPriority w:val="34"/>
    <w:qFormat/>
    <w:rsid w:val="007313F1"/>
    <w:pPr>
      <w:ind w:left="720"/>
      <w:contextualSpacing/>
    </w:pPr>
  </w:style>
  <w:style w:type="character" w:styleId="IntenseEmphasis">
    <w:name w:val="Intense Emphasis"/>
    <w:basedOn w:val="DefaultParagraphFont"/>
    <w:uiPriority w:val="21"/>
    <w:qFormat/>
    <w:rsid w:val="007313F1"/>
    <w:rPr>
      <w:i/>
      <w:iCs/>
      <w:color w:val="2F5496" w:themeColor="accent1" w:themeShade="BF"/>
    </w:rPr>
  </w:style>
  <w:style w:type="paragraph" w:styleId="IntenseQuote">
    <w:name w:val="Intense Quote"/>
    <w:basedOn w:val="Normal"/>
    <w:next w:val="Normal"/>
    <w:link w:val="IntenseQuoteChar"/>
    <w:uiPriority w:val="30"/>
    <w:qFormat/>
    <w:rsid w:val="007313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13F1"/>
    <w:rPr>
      <w:i/>
      <w:iCs/>
      <w:color w:val="2F5496" w:themeColor="accent1" w:themeShade="BF"/>
    </w:rPr>
  </w:style>
  <w:style w:type="character" w:styleId="IntenseReference">
    <w:name w:val="Intense Reference"/>
    <w:basedOn w:val="DefaultParagraphFont"/>
    <w:uiPriority w:val="32"/>
    <w:qFormat/>
    <w:rsid w:val="007313F1"/>
    <w:rPr>
      <w:b/>
      <w:bCs/>
      <w:smallCaps/>
      <w:color w:val="2F5496" w:themeColor="accent1" w:themeShade="BF"/>
      <w:spacing w:val="5"/>
    </w:rPr>
  </w:style>
  <w:style w:type="character" w:styleId="Hyperlink">
    <w:name w:val="Hyperlink"/>
    <w:basedOn w:val="DefaultParagraphFont"/>
    <w:uiPriority w:val="99"/>
    <w:unhideWhenUsed/>
    <w:rsid w:val="007313F1"/>
    <w:rPr>
      <w:color w:val="0563C1" w:themeColor="hyperlink"/>
      <w:u w:val="single"/>
    </w:rPr>
  </w:style>
  <w:style w:type="character" w:styleId="UnresolvedMention">
    <w:name w:val="Unresolved Mention"/>
    <w:basedOn w:val="DefaultParagraphFont"/>
    <w:uiPriority w:val="99"/>
    <w:semiHidden/>
    <w:unhideWhenUsed/>
    <w:rsid w:val="00731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eipi.org.ph/?utm_source=chatgp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2276</Words>
  <Characters>12977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Jane Nadonga</dc:creator>
  <cp:keywords/>
  <dc:description/>
  <cp:lastModifiedBy>Erica Jane Nadonga</cp:lastModifiedBy>
  <cp:revision>2</cp:revision>
  <dcterms:created xsi:type="dcterms:W3CDTF">2026-06-23T06:28:00Z</dcterms:created>
  <dcterms:modified xsi:type="dcterms:W3CDTF">2026-06-23T06:28:00Z</dcterms:modified>
</cp:coreProperties>
</file>