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CF7" w:rsidRPr="007D349D" w:rsidRDefault="007D349D" w:rsidP="006507DC">
      <w:pPr>
        <w:pStyle w:val="NoSpacing"/>
        <w:jc w:val="center"/>
        <w:rPr>
          <w:rFonts w:ascii="Times New Roman" w:hAnsi="Times New Roman" w:cs="Times New Roman"/>
          <w:b/>
          <w:sz w:val="24"/>
        </w:rPr>
      </w:pPr>
      <w:r>
        <w:rPr>
          <w:rFonts w:ascii="Times New Roman" w:hAnsi="Times New Roman" w:cs="Times New Roman"/>
          <w:b/>
          <w:sz w:val="24"/>
        </w:rPr>
        <w:t xml:space="preserve"> </w:t>
      </w:r>
      <w:r w:rsidRPr="007D349D">
        <w:rPr>
          <w:rFonts w:ascii="Times New Roman" w:hAnsi="Times New Roman" w:cs="Times New Roman"/>
          <w:b/>
          <w:sz w:val="24"/>
        </w:rPr>
        <w:t>HOUSEHOLD ENERGY TRANSITION AND ENVIRONMENTAL SECURITY: STRATEGIES FOR SCALING UP LIQUEFIED PETROLEUM GAS (LPG) ADOPTION IN DAR ES SALAAM, TANZANIA</w:t>
      </w:r>
    </w:p>
    <w:p w:rsidR="00A0248B" w:rsidRDefault="00A0248B" w:rsidP="00405AF5">
      <w:pPr>
        <w:pStyle w:val="NoSpacing"/>
        <w:rPr>
          <w:rFonts w:ascii="Times New Roman" w:hAnsi="Times New Roman" w:cs="Times New Roman"/>
          <w:b/>
          <w:color w:val="000000" w:themeColor="text1"/>
          <w:sz w:val="24"/>
          <w:szCs w:val="24"/>
        </w:rPr>
      </w:pPr>
      <w:bookmarkStart w:id="0" w:name="_GoBack"/>
      <w:bookmarkEnd w:id="0"/>
    </w:p>
    <w:p w:rsidR="00D44528" w:rsidRDefault="00D44528" w:rsidP="00D44528">
      <w:pPr>
        <w:spacing w:line="360" w:lineRule="auto"/>
        <w:ind w:right="241"/>
        <w:jc w:val="center"/>
        <w:rPr>
          <w:rFonts w:ascii="Times New Roman" w:hAnsi="Times New Roman" w:cs="Times New Roman"/>
          <w:b/>
          <w:color w:val="000000" w:themeColor="text1"/>
          <w:sz w:val="24"/>
          <w:szCs w:val="24"/>
        </w:rPr>
      </w:pPr>
    </w:p>
    <w:p w:rsidR="00D44528" w:rsidRPr="00E55D13" w:rsidRDefault="00D44528" w:rsidP="00E55D13">
      <w:pPr>
        <w:spacing w:line="360" w:lineRule="auto"/>
        <w:ind w:right="241"/>
        <w:jc w:val="center"/>
        <w:rPr>
          <w:rFonts w:ascii="Times New Roman" w:hAnsi="Times New Roman" w:cs="Times New Roman"/>
          <w:b/>
          <w:sz w:val="24"/>
          <w:szCs w:val="24"/>
        </w:rPr>
      </w:pPr>
      <w:r w:rsidRPr="00E55D13">
        <w:rPr>
          <w:rFonts w:ascii="Times New Roman" w:hAnsi="Times New Roman" w:cs="Times New Roman"/>
          <w:b/>
          <w:color w:val="000000" w:themeColor="text1"/>
          <w:sz w:val="24"/>
          <w:szCs w:val="24"/>
        </w:rPr>
        <w:t xml:space="preserve"/>
      </w:r>
      <w:r w:rsidR="00654B25" w:rsidRPr="00E55D13">
        <w:rPr>
          <w:rFonts w:ascii="Times New Roman" w:hAnsi="Times New Roman" w:cs="Times New Roman"/>
          <w:b/>
          <w:color w:val="000000" w:themeColor="text1"/>
          <w:sz w:val="24"/>
          <w:szCs w:val="24"/>
          <w:vertAlign w:val="superscript"/>
        </w:rPr>
        <w:t/>
      </w:r>
      <w:r w:rsidR="00E55D13" w:rsidRPr="00E55D13">
        <w:rPr>
          <w:rFonts w:ascii="Times New Roman" w:hAnsi="Times New Roman" w:cs="Times New Roman"/>
          <w:b/>
          <w:color w:val="000000" w:themeColor="text1"/>
          <w:sz w:val="24"/>
          <w:szCs w:val="24"/>
          <w:vertAlign w:val="superscript"/>
        </w:rPr>
        <w:t xml:space="preserve"/>
      </w:r>
      <w:r w:rsidR="00E55D13" w:rsidRPr="00E55D13">
        <w:rPr>
          <w:rFonts w:ascii="Times New Roman" w:hAnsi="Times New Roman" w:cs="Times New Roman"/>
          <w:b/>
          <w:sz w:val="24"/>
          <w:szCs w:val="24"/>
        </w:rPr>
        <w:t xml:space="preserve"/>
      </w:r>
      <w:r w:rsidR="00654B25" w:rsidRPr="00E55D13">
        <w:rPr>
          <w:rFonts w:ascii="Times New Roman" w:hAnsi="Times New Roman" w:cs="Times New Roman"/>
          <w:b/>
          <w:sz w:val="24"/>
          <w:szCs w:val="24"/>
        </w:rPr>
        <w:t/>
      </w:r>
      <w:r w:rsidR="00E55D13" w:rsidRPr="00E55D13">
        <w:rPr>
          <w:rFonts w:ascii="Times New Roman" w:hAnsi="Times New Roman" w:cs="Times New Roman"/>
          <w:b/>
          <w:sz w:val="24"/>
          <w:szCs w:val="24"/>
        </w:rPr>
        <w:t xml:space="preserve"/>
      </w:r>
      <w:r w:rsidR="00E55D13" w:rsidRPr="00E55D13">
        <w:rPr>
          <w:rFonts w:ascii="Times New Roman" w:hAnsi="Times New Roman" w:cs="Times New Roman"/>
          <w:b/>
          <w:sz w:val="24"/>
          <w:szCs w:val="24"/>
          <w:vertAlign w:val="superscript"/>
        </w:rPr>
        <w:t/>
      </w:r>
      <w:r w:rsidR="00E55D13" w:rsidRPr="00E55D13">
        <w:rPr>
          <w:rFonts w:ascii="Times New Roman" w:hAnsi="Times New Roman" w:cs="Times New Roman"/>
          <w:b/>
          <w:sz w:val="24"/>
          <w:szCs w:val="24"/>
        </w:rPr>
        <w:t xml:space="preserve"/>
      </w:r>
      <w:r w:rsidR="00E55D13" w:rsidRPr="00E55D13">
        <w:rPr>
          <w:rFonts w:ascii="Times New Roman" w:hAnsi="Times New Roman" w:cs="Times New Roman"/>
          <w:b/>
          <w:sz w:val="24"/>
          <w:szCs w:val="24"/>
          <w:vertAlign w:val="superscript"/>
        </w:rPr>
        <w:t/>
      </w:r>
      <w:r w:rsidR="00E55D13" w:rsidRPr="00E55D13">
        <w:rPr>
          <w:rFonts w:ascii="Times New Roman" w:hAnsi="Times New Roman" w:cs="Times New Roman"/>
          <w:b/>
          <w:sz w:val="24"/>
          <w:szCs w:val="24"/>
        </w:rPr>
        <w:t/>
      </w:r>
    </w:p>
    <w:p w:rsidR="00A0248B" w:rsidRDefault="00A0248B" w:rsidP="006A6128">
      <w:pPr>
        <w:pStyle w:val="NoSpacing"/>
        <w:rPr>
          <w:rFonts w:ascii="Times New Roman" w:hAnsi="Times New Roman" w:cs="Times New Roman"/>
          <w:b/>
          <w:color w:val="000000" w:themeColor="text1"/>
          <w:sz w:val="24"/>
          <w:szCs w:val="24"/>
        </w:rPr>
      </w:pPr>
    </w:p>
    <w:p w:rsidR="00A0248B" w:rsidRDefault="00A0248B" w:rsidP="00A0248B">
      <w:pPr>
        <w:pStyle w:val="NoSpacing"/>
        <w:jc w:val="center"/>
        <w:rPr>
          <w:rFonts w:ascii="Times New Roman" w:hAnsi="Times New Roman" w:cs="Times New Roman"/>
          <w:b/>
          <w:color w:val="000000" w:themeColor="text1"/>
          <w:sz w:val="24"/>
          <w:szCs w:val="24"/>
        </w:rPr>
      </w:pPr>
    </w:p>
    <w:p w:rsidR="00A0248B" w:rsidRPr="00AC7121" w:rsidRDefault="00A0248B" w:rsidP="00A0248B">
      <w:pPr>
        <w:spacing w:after="0" w:line="360" w:lineRule="auto"/>
        <w:jc w:val="center"/>
        <w:rPr>
          <w:rFonts w:ascii="Times New Roman" w:hAnsi="Times New Roman"/>
          <w:b/>
          <w:sz w:val="24"/>
          <w:szCs w:val="24"/>
          <w:lang w:val="en-GB"/>
        </w:rPr>
      </w:pPr>
      <w:r w:rsidRPr="00451BA4">
        <w:rPr>
          <w:rFonts w:ascii="Times New Roman" w:hAnsi="Times New Roman"/>
          <w:b/>
          <w:sz w:val="24"/>
          <w:szCs w:val="24"/>
          <w:lang w:val="en-GB"/>
        </w:rPr>
        <w:t/>
      </w:r>
      <w:r>
        <w:rPr>
          <w:rFonts w:ascii="Times New Roman" w:hAnsi="Times New Roman"/>
          <w:b/>
          <w:sz w:val="24"/>
          <w:szCs w:val="24"/>
          <w:lang w:val="en-GB"/>
        </w:rPr>
        <w:t/>
      </w:r>
    </w:p>
    <w:p w:rsidR="004978DB" w:rsidRDefault="004978DB" w:rsidP="006507DC">
      <w:pPr>
        <w:pStyle w:val="NoSpacing"/>
        <w:jc w:val="center"/>
        <w:rPr>
          <w:rFonts w:ascii="Times New Roman" w:hAnsi="Times New Roman" w:cs="Times New Roman"/>
          <w:b/>
          <w:sz w:val="24"/>
        </w:rPr>
      </w:pPr>
    </w:p>
    <w:p w:rsidR="00776A96" w:rsidRDefault="008431E6" w:rsidP="00177C4A">
      <w:pPr>
        <w:pStyle w:val="Heading1"/>
      </w:pPr>
      <w:bookmarkStart w:id="1" w:name="_Toc230681673"/>
      <w:r>
        <w:t>ABSTRACT</w:t>
      </w:r>
      <w:bookmarkEnd w:id="1"/>
      <w:r>
        <w:t xml:space="preserve"> </w:t>
      </w:r>
    </w:p>
    <w:p w:rsidR="001B3084" w:rsidRPr="002E2CCF" w:rsidRDefault="00454E08" w:rsidP="007A1CA4">
      <w:pPr>
        <w:pStyle w:val="NoSpacing"/>
        <w:jc w:val="both"/>
        <w:rPr>
          <w:rFonts w:ascii="Times New Roman" w:hAnsi="Times New Roman" w:cs="Times New Roman"/>
        </w:rPr>
      </w:pPr>
      <w:r w:rsidRPr="002E2CCF">
        <w:rPr>
          <w:rFonts w:ascii="Times New Roman" w:hAnsi="Times New Roman" w:cs="Times New Roman"/>
        </w:rPr>
        <w:t xml:space="preserve">The high reliance on charcoal and firewood, as biomass fuels, still poses significant environmental and health problems especially in the fast-growing urban areas of Dar es Salaam, Tanzania. Although the government has taken steps to encourage the use of clean cooking technologies, the adoption of Liquefied Petroleum Gas (LPG) among households is still low and is leading to deforestation, indoor air pollution, greenhouse gas emissions and environmental degradation. The study tried to look at strategies of improving the use of Liquefied Petroleum Gas (LPG) within the households for the purpose of environmental security in Dar es Salaam Region, Tanzania. Specifically, the study uncovered awareness on government policies that encourage the use of LPG, gauged the impact of access and proximity to LPG refilling stations, and reviewed institutional, infrastructural, and policy approaches to boosting LPG adoption by households. The study used a mixed-methods research design of both quantitative and qualitative. Structured questionnaires were used in the Dar es Salaam area to collect the quantitative data that were distributed to a randomly selected sample of 400 households obtained through stratified sampling processes, and semi-structured questionnaires were used to gather qualitative data distributed to a sample of 18 key informants who were purposively selected from the five districts in Dar es Salaam with Ministry of Energy officers, LPG distributors and community leaders. Data analysis was carried out by descriptive quantitative statistics and thematic analysis by the help of the statistical software package (SPSS) version 29. Results showed that 60.4% of the respondents knew about the government policy to encourage LPG and living far from refill stations was a significant factor that prevented a household in adopting LPG. The study also found various factors to be influential for enhancing LPG adoption – namely, extension of LPG infrastructure, public awareness promotion, cooperation between Public and Private sectors, LPG subsidy, and policy enforcement efforts. However, sustainability of use remained to be restricted by affordability problems, refill costs and problematic distribution systems especially for low income households. A combination of </w:t>
      </w:r>
      <w:r w:rsidR="003625B3" w:rsidRPr="002E2CCF">
        <w:rPr>
          <w:rFonts w:ascii="Times New Roman" w:hAnsi="Times New Roman" w:cs="Times New Roman"/>
        </w:rPr>
        <w:t>behavioral</w:t>
      </w:r>
      <w:r w:rsidRPr="002E2CCF">
        <w:rPr>
          <w:rFonts w:ascii="Times New Roman" w:hAnsi="Times New Roman" w:cs="Times New Roman"/>
        </w:rPr>
        <w:t>, institutional, financial and infrastructural measures is required for sustainable LPG use and enhancing the environmental security in the Dar es Salaam Region, Tanzania, concludes the study.</w:t>
      </w:r>
    </w:p>
    <w:p w:rsidR="00177C4A" w:rsidRPr="00177C4A" w:rsidRDefault="00520BF6" w:rsidP="003625B3">
      <w:pPr>
        <w:pStyle w:val="NormalWeb"/>
      </w:pPr>
      <w:r>
        <w:rPr>
          <w:rStyle w:val="Strong"/>
        </w:rPr>
        <w:t>Keywords:</w:t>
      </w:r>
      <w:r>
        <w:t xml:space="preserve"> Liquefied Petroleum Gas (LPG), Household Energy Adoption, Environmental Security, Clean Cooking Technologies, Biomass Fuels, Environmental Sustainability</w:t>
      </w:r>
    </w:p>
    <w:p w:rsidR="00194870" w:rsidRPr="00BA3F74" w:rsidRDefault="008431E6" w:rsidP="00BA3F74">
      <w:pPr>
        <w:pStyle w:val="Heading1"/>
        <w:spacing w:line="360" w:lineRule="auto"/>
        <w:rPr>
          <w:rFonts w:cs="Times New Roman"/>
          <w:szCs w:val="24"/>
        </w:rPr>
      </w:pPr>
      <w:bookmarkStart w:id="2" w:name="_Toc230681674"/>
      <w:r w:rsidRPr="00BA3F74">
        <w:rPr>
          <w:rFonts w:cs="Times New Roman"/>
          <w:szCs w:val="24"/>
        </w:rPr>
        <w:lastRenderedPageBreak/>
        <w:t xml:space="preserve">1.0 </w:t>
      </w:r>
      <w:r w:rsidR="00194870" w:rsidRPr="00BA3F74">
        <w:rPr>
          <w:rFonts w:cs="Times New Roman"/>
          <w:szCs w:val="24"/>
        </w:rPr>
        <w:t>INTRODUCTION</w:t>
      </w:r>
      <w:bookmarkEnd w:id="2"/>
      <w:r w:rsidR="00194870" w:rsidRPr="00BA3F74">
        <w:rPr>
          <w:rFonts w:cs="Times New Roman"/>
          <w:szCs w:val="24"/>
        </w:rPr>
        <w:t xml:space="preserve"> </w:t>
      </w:r>
    </w:p>
    <w:p w:rsidR="00B36296" w:rsidRPr="00BA3F74" w:rsidRDefault="00B36296" w:rsidP="00085654">
      <w:pPr>
        <w:pStyle w:val="NoSpacing"/>
        <w:spacing w:before="240" w:after="240" w:line="360" w:lineRule="auto"/>
        <w:jc w:val="both"/>
        <w:rPr>
          <w:rFonts w:ascii="Times New Roman" w:hAnsi="Times New Roman" w:cs="Times New Roman"/>
          <w:sz w:val="24"/>
          <w:szCs w:val="24"/>
        </w:rPr>
      </w:pPr>
      <w:r w:rsidRPr="00BA3F74">
        <w:rPr>
          <w:rFonts w:ascii="Times New Roman" w:hAnsi="Times New Roman" w:cs="Times New Roman"/>
          <w:sz w:val="24"/>
          <w:szCs w:val="24"/>
        </w:rPr>
        <w:t>Environmental security has increasingly become a global concern due to rapid urbanization, population growth, and unsustainable household energy practices that threaten ecological systems and human health. Traditional biomass fuels, like charcoal and firewood, are still very much a part of the lives of households in many developing nations, particularly for household cooking and heating, despite their increasing availability in some areas. Household air pollution caused by solid fuel use is responsible for around 3.2 million premature deaths every year globally, especially for women and children who are often held closest to the fire during cooking, and therefore most likely to be exposed to the smoke (WHO 2023). Likewise, in the case of urban areas, the dependence on biomass contributes to deforestation and to the emission of greenhouse gases in these places (UNEP, 2022). These issues bring to the fore the centrality of clean household energy and its relevance to environmental sustainability and public health protection.</w:t>
      </w:r>
    </w:p>
    <w:p w:rsidR="00B36296" w:rsidRPr="00BA3F74" w:rsidRDefault="00B36296" w:rsidP="00085654">
      <w:pPr>
        <w:pStyle w:val="NoSpacing"/>
        <w:spacing w:before="240" w:after="240" w:line="360" w:lineRule="auto"/>
        <w:jc w:val="both"/>
        <w:rPr>
          <w:rFonts w:ascii="Times New Roman" w:hAnsi="Times New Roman" w:cs="Times New Roman"/>
          <w:sz w:val="24"/>
          <w:szCs w:val="24"/>
        </w:rPr>
      </w:pPr>
      <w:r w:rsidRPr="00BA3F74">
        <w:rPr>
          <w:rFonts w:ascii="Times New Roman" w:hAnsi="Times New Roman" w:cs="Times New Roman"/>
          <w:sz w:val="24"/>
          <w:szCs w:val="24"/>
        </w:rPr>
        <w:t>The drive to promote clean cooking technologies has been a global phenomenon where governments and international development organizations have been pushing for the shift.The switch to clean cooking technologies has been a worldwide activity, driven by the need to combat environmental degradation and enhance the welfare of households. Liquefied Petroleum Gas (LPG) is considered as one of the most widely used clean kitchen energy sources as it is efficient, less polluting and does not require wood as a source. Energy efficiency and massive usage of modern cooking fuels have decreased indoor air pollution and energy-use in developed nations like U.K and U.S. (International Energy Agency, 2022; U.S. Energy Information Administration, 2023). In addition, Smith et al. (2021) found a reduction in exposure to harmful particles amongst LPG users versus charcoal and firewood users. Therefore, there is an increasing recognition of clean cooking transitions as a critical path towards achieving sustainable cities and cities adapted to climate change.</w:t>
      </w:r>
    </w:p>
    <w:p w:rsidR="00B36296" w:rsidRPr="00BA3F74" w:rsidRDefault="00B36296" w:rsidP="00085654">
      <w:pPr>
        <w:pStyle w:val="NoSpacing"/>
        <w:spacing w:before="240" w:after="240" w:line="360" w:lineRule="auto"/>
        <w:jc w:val="both"/>
        <w:rPr>
          <w:rFonts w:ascii="Times New Roman" w:hAnsi="Times New Roman" w:cs="Times New Roman"/>
          <w:sz w:val="24"/>
          <w:szCs w:val="24"/>
        </w:rPr>
      </w:pPr>
      <w:r w:rsidRPr="00BA3F74">
        <w:rPr>
          <w:rFonts w:ascii="Times New Roman" w:hAnsi="Times New Roman" w:cs="Times New Roman"/>
          <w:sz w:val="24"/>
          <w:szCs w:val="24"/>
        </w:rPr>
        <w:t xml:space="preserve">In Asia, there are examples of wide-scale clean cooking initiatives, for example, China and India which has imposed massive initiatives to curb environmental and health hazards caused by biomass fuel usage. Both LPG policy and technology progress, such as subsidization, infrastructure building, and public awareness campaigns, have helped increase LPG access for the benefit of millions of urban households, away from coal, and biomass fuels (Li et al., 2023; World </w:t>
      </w:r>
      <w:r w:rsidRPr="00BA3F74">
        <w:rPr>
          <w:rFonts w:ascii="Times New Roman" w:hAnsi="Times New Roman" w:cs="Times New Roman"/>
          <w:sz w:val="24"/>
          <w:szCs w:val="24"/>
        </w:rPr>
        <w:lastRenderedPageBreak/>
        <w:t xml:space="preserve">Bank, 2022). </w:t>
      </w:r>
      <w:r w:rsidR="003E4D56">
        <w:rPr>
          <w:rFonts w:ascii="Times New Roman" w:hAnsi="Times New Roman" w:cs="Times New Roman"/>
          <w:sz w:val="24"/>
          <w:szCs w:val="24"/>
        </w:rPr>
        <w:t>On the same not</w:t>
      </w:r>
      <w:r w:rsidRPr="00BA3F74">
        <w:rPr>
          <w:rFonts w:ascii="Times New Roman" w:hAnsi="Times New Roman" w:cs="Times New Roman"/>
          <w:sz w:val="24"/>
          <w:szCs w:val="24"/>
        </w:rPr>
        <w:t>e, India's Pradhan Mantri Ujjwala Yojana has ensured that subsidized LPG connections reach vulnerable groups and boosted access to LPG connections for low-income families of rural households (Government of India, 2022; IEA, 2022). These interventions helped curb indoor air pollution, deforestation, and carbon emissions, and enhance household health results. In fact, international experiences show that supportive policies at the government level and the availability of energy infrastructure at low costs is essential to facilitate the transition to clean cooking.</w:t>
      </w:r>
    </w:p>
    <w:p w:rsidR="00B36296" w:rsidRPr="00BA3F74" w:rsidRDefault="00B36296" w:rsidP="00085654">
      <w:pPr>
        <w:pStyle w:val="NoSpacing"/>
        <w:spacing w:before="240" w:after="240" w:line="360" w:lineRule="auto"/>
        <w:jc w:val="both"/>
        <w:rPr>
          <w:rFonts w:ascii="Times New Roman" w:hAnsi="Times New Roman" w:cs="Times New Roman"/>
          <w:sz w:val="24"/>
          <w:szCs w:val="24"/>
        </w:rPr>
      </w:pPr>
      <w:r w:rsidRPr="00BA3F74">
        <w:rPr>
          <w:rFonts w:ascii="Times New Roman" w:hAnsi="Times New Roman" w:cs="Times New Roman"/>
          <w:sz w:val="24"/>
          <w:szCs w:val="24"/>
        </w:rPr>
        <w:t>In spite of growing awareness among the citizens in Sub Saharan Africa on the climate and health risks from biomass fuels, most households are still using charcoal and firewood for cooking. Over 900 million people in Africa still rely on traditional biomass for cooking purposes (IEA 2023). This reliance plays a major role in the continent's deforestation, biodiversity depletion and air pollution. To promote LPGs in urban areas, governments in Kenya implemented tax reductions and subsidy programmes to boost domestic LPG consumption in the nation in the last ten years (Kenya Ministry of Energy, 2022; Kenya Forest Service, 2023). In the same way, Uganda facilitated roll out of LPG infrastructure and distribution systems to enhance access for urban households (Uganda Bureau of Statistics, 2022; Uganda National LPG Project, 2023). Regional activities are reflective of an increasing understanding of clean cooking energy as an environmental security concern.</w:t>
      </w:r>
    </w:p>
    <w:p w:rsidR="00B36296" w:rsidRPr="00BA3F74" w:rsidRDefault="00B36296" w:rsidP="00085654">
      <w:pPr>
        <w:pStyle w:val="NoSpacing"/>
        <w:spacing w:before="240" w:after="240" w:line="360" w:lineRule="auto"/>
        <w:jc w:val="both"/>
        <w:rPr>
          <w:rFonts w:ascii="Times New Roman" w:hAnsi="Times New Roman" w:cs="Times New Roman"/>
          <w:sz w:val="24"/>
          <w:szCs w:val="24"/>
        </w:rPr>
      </w:pPr>
      <w:r w:rsidRPr="00BA3F74">
        <w:rPr>
          <w:rFonts w:ascii="Times New Roman" w:hAnsi="Times New Roman" w:cs="Times New Roman"/>
          <w:sz w:val="24"/>
          <w:szCs w:val="24"/>
        </w:rPr>
        <w:t xml:space="preserve">The situation around spreading use of biomass fuels and the various consequent environmental and public health problems are still serious in Tanzania. About 90% of Tanzanians use charcoal and firewood for cooking, only a few households use modern clean energy solutions, like LPG, and electricity (Ministry of Energy Tanzania, 2024; World Bank, 2023). Such continued reliance leads to deforestation, soil erosion, biodiversity loss and greenhouse gas emissions, posing a risk to environmental sustainability. Biomass fuels </w:t>
      </w:r>
      <w:r w:rsidR="00264A32">
        <w:rPr>
          <w:rFonts w:ascii="Times New Roman" w:hAnsi="Times New Roman" w:cs="Times New Roman"/>
          <w:sz w:val="24"/>
          <w:szCs w:val="24"/>
        </w:rPr>
        <w:t>are</w:t>
      </w:r>
      <w:r w:rsidRPr="00BA3F74">
        <w:rPr>
          <w:rFonts w:ascii="Times New Roman" w:hAnsi="Times New Roman" w:cs="Times New Roman"/>
          <w:sz w:val="24"/>
          <w:szCs w:val="24"/>
        </w:rPr>
        <w:t xml:space="preserve"> the major contributor of indoor air pollution that causes over 30,000 premature deaths each year in Tanzania (WHO, 2021). Furthermore, the report on National Forest Resources Monitoring and Assessment shows that Tanzania is losing forest land of thousands of hectares every year because of charcoal burning (URT, 2022). These are worrisome circumstances that underline the urgent need for cleaner household energy alternatives in the country.</w:t>
      </w:r>
    </w:p>
    <w:p w:rsidR="00B36296" w:rsidRPr="00BA3F74" w:rsidRDefault="00B36296" w:rsidP="00085654">
      <w:pPr>
        <w:pStyle w:val="NoSpacing"/>
        <w:spacing w:before="240" w:after="240" w:line="360" w:lineRule="auto"/>
        <w:jc w:val="both"/>
        <w:rPr>
          <w:rFonts w:ascii="Times New Roman" w:hAnsi="Times New Roman" w:cs="Times New Roman"/>
          <w:sz w:val="24"/>
          <w:szCs w:val="24"/>
        </w:rPr>
      </w:pPr>
      <w:r w:rsidRPr="00BA3F74">
        <w:rPr>
          <w:rFonts w:ascii="Times New Roman" w:hAnsi="Times New Roman" w:cs="Times New Roman"/>
          <w:sz w:val="24"/>
          <w:szCs w:val="24"/>
        </w:rPr>
        <w:lastRenderedPageBreak/>
        <w:t>The government of Tanzania is aware of the environmental and health risks of biomass fuels and has released the National Clean Cooking Strategy (2024 – 2034) to work towards speeding up the uptake of modern cooking technologies in Tanzania. The goal of the strategy is to expand the LPG infrastructure and financial incentives, while promoting awareness campaigns, to achieve 80% clean cooking coverage for Tanzanians by 2034 (Ministry of Energy Tanzania, 2024; World Bank, 2023). The government has also been offering tax break on LPG cylinders and LPG cooking stove to make it affordable for poor people. Given all these efforts, household LPG use is in a relatively low state caused by problems including high initial cost of the LPG, inconsistent LPG supply chain, and lack of awareness and cultural preference for traditional cooking methods (Annelise et al., 2022; Jamilaldin, 2025). This shows that challenges in implementing policy still impact the effectiveness of clean cooking programme in Tanzania.</w:t>
      </w:r>
    </w:p>
    <w:p w:rsidR="00B36296" w:rsidRPr="00BA3F74" w:rsidRDefault="00B36296" w:rsidP="00085654">
      <w:pPr>
        <w:pStyle w:val="NoSpacing"/>
        <w:spacing w:before="240" w:after="240" w:line="360" w:lineRule="auto"/>
        <w:jc w:val="both"/>
        <w:rPr>
          <w:rFonts w:ascii="Times New Roman" w:hAnsi="Times New Roman" w:cs="Times New Roman"/>
          <w:sz w:val="24"/>
          <w:szCs w:val="24"/>
        </w:rPr>
      </w:pPr>
      <w:r w:rsidRPr="00BA3F74">
        <w:rPr>
          <w:rFonts w:ascii="Times New Roman" w:hAnsi="Times New Roman" w:cs="Times New Roman"/>
          <w:sz w:val="24"/>
          <w:szCs w:val="24"/>
        </w:rPr>
        <w:t>Dar Es Salaam, the biggest commercial city and the fastest growing cities in Tanzania are under growing environmental stress with increased urbanization and also the rising need for household energy needs. National Bureau of Statistics (2022), UN-Habitat (2022) indicated that the city has a population of over 5 million people and still has an essential population growth rate, and there are informal settlements in the city that are growing. Despite being increasingly recognized as more expensive and/or less available options than LPG most homes in the city continue to use charcoal for their cooking needs.Although LPG is recognized as a cleaner fuel, the use of charcoal in most homes of the city is still looked down on as being cheaper and more readily available than LPG. However, as urban Africans adopt charcoal consumption, it has also been found to be a major contributor of the environmental degradation and generation of greenhouse gas which affects health and urban air quality (World Bank, 2023; Ministry of Energy Tanzania (MET), 2024). As a result, cooking fuel use in Dar es Salaam has increasingly become a critical security issue for the environment that needs immediate policy deliberations and long- and medium-term action strategies.</w:t>
      </w:r>
    </w:p>
    <w:p w:rsidR="00B36296" w:rsidRPr="00BA3F74" w:rsidRDefault="00B36296" w:rsidP="00085654">
      <w:pPr>
        <w:pStyle w:val="NoSpacing"/>
        <w:spacing w:before="240" w:after="240" w:line="360" w:lineRule="auto"/>
        <w:jc w:val="both"/>
        <w:rPr>
          <w:rFonts w:ascii="Times New Roman" w:hAnsi="Times New Roman" w:cs="Times New Roman"/>
          <w:sz w:val="24"/>
          <w:szCs w:val="24"/>
        </w:rPr>
      </w:pPr>
      <w:r w:rsidRPr="00BA3F74">
        <w:rPr>
          <w:rFonts w:ascii="Times New Roman" w:hAnsi="Times New Roman" w:cs="Times New Roman"/>
          <w:sz w:val="24"/>
          <w:szCs w:val="24"/>
        </w:rPr>
        <w:t xml:space="preserve">The use of LPG in Dar es Salaam has enormous environmental and health benefits as it replaces use of charcoal and firewood within households. LPG emits less smoke, less CO and less PM2.5 which is harmful to the environment and human health, when compared to biomass fuels emiting when burned. Aamaas and Grimsby (2024) studied the potential impact of increased use of LPG in urban Tanzania and concluded that this had some positive effect on the reduction of indoor air </w:t>
      </w:r>
      <w:r w:rsidRPr="00BA3F74">
        <w:rPr>
          <w:rFonts w:ascii="Times New Roman" w:hAnsi="Times New Roman" w:cs="Times New Roman"/>
          <w:sz w:val="24"/>
          <w:szCs w:val="24"/>
        </w:rPr>
        <w:lastRenderedPageBreak/>
        <w:t>pollution and pressure on forest ecosystems. Likewise, Shayo and Bintabara (2022) found that exposure to biomass fuels among children living in biomass fuel households more likely to experience respiratory infections as compared to biomass free fuel households. Moreover, LPG use helps to cut down carbon emissions and enhance urban environmental conditions. Thus, expanding LPG's use in households could assist with the protection of the environment as well as the health of the people.</w:t>
      </w:r>
    </w:p>
    <w:p w:rsidR="00B36296" w:rsidRPr="00BA3F74" w:rsidRDefault="00B36296" w:rsidP="00085654">
      <w:pPr>
        <w:pStyle w:val="NoSpacing"/>
        <w:spacing w:before="240" w:after="240" w:line="360" w:lineRule="auto"/>
        <w:jc w:val="both"/>
        <w:rPr>
          <w:rFonts w:ascii="Times New Roman" w:hAnsi="Times New Roman" w:cs="Times New Roman"/>
          <w:sz w:val="24"/>
          <w:szCs w:val="24"/>
        </w:rPr>
      </w:pPr>
      <w:r w:rsidRPr="00BA3F74">
        <w:rPr>
          <w:rFonts w:ascii="Times New Roman" w:hAnsi="Times New Roman" w:cs="Times New Roman"/>
          <w:sz w:val="24"/>
          <w:szCs w:val="24"/>
        </w:rPr>
        <w:t>In spite of the known advantages of LPG, a number of socio-economic and demographic factors are still important in explaining household adaption in Dar es Salaam. Household readiness and readiness for changing to clean cooking technologies is influenced by their level of income, education, ease with which LPGs can be obtained, gender divisions, cultural attitudes and affordability of fuel for the household. (Lasisi, 2021; Azuwike et al., 2023). Even after knowing the harmful environmental and health effects of charcoal, there are many households, especially those living in poverty, who can't afford LPG cylinders, stoves and refilling costs or simply choose to have charcoal as fuel. However, some households opted not to use LPG extensively due to concerns about reliability and safety of LPG supplies (Mainimo et al., 2022; Biririza, 2024; IEA, 2023). Household energy choices are both a response to economic situations and shaped by socio-cultural attitudes towards clean cooking technologies.</w:t>
      </w:r>
    </w:p>
    <w:p w:rsidR="00C54E21" w:rsidRPr="00D440AB" w:rsidRDefault="00F61774" w:rsidP="005E52F5">
      <w:pPr>
        <w:pStyle w:val="NoSpacing"/>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aimed </w:t>
      </w:r>
      <w:r w:rsidR="00CF78DC">
        <w:rPr>
          <w:rFonts w:ascii="Times New Roman" w:hAnsi="Times New Roman" w:cs="Times New Roman"/>
          <w:sz w:val="24"/>
          <w:szCs w:val="24"/>
        </w:rPr>
        <w:t>to examine</w:t>
      </w:r>
      <w:r w:rsidR="00B36296" w:rsidRPr="00BA3F74">
        <w:rPr>
          <w:rFonts w:ascii="Times New Roman" w:hAnsi="Times New Roman" w:cs="Times New Roman"/>
          <w:sz w:val="24"/>
          <w:szCs w:val="24"/>
        </w:rPr>
        <w:t xml:space="preserve"> the use of Liquefied Petroleum Gas (LPG) in households and the implications for environmental security in the City of Dar es Salaam in Tanzania. The study specifically aims at identifying the socio-economic and demographic determinants of LPG adoption, surfacing the connection between LPG use and environmental security, and exploring how ways to make the shift from biomass to clean cooking technology better in households' future. The results will be useful for policy formulation, Environment sustainability, and planning of clean energy in the urban context of Tanzania (Ministry of Energy Tanzania, 2024). The study will also offer actionable solutions that can aid the effective implementation of Tanzania's National Clean Cooking Strategy and promotes Sustainable Household Energy Transitions in Dar es Salaam.</w:t>
      </w:r>
    </w:p>
    <w:p w:rsidR="003D427D" w:rsidRPr="00E07494" w:rsidRDefault="00A10B15" w:rsidP="00E07494">
      <w:pPr>
        <w:pStyle w:val="Heading1"/>
        <w:spacing w:line="360" w:lineRule="auto"/>
        <w:rPr>
          <w:rFonts w:cs="Times New Roman"/>
          <w:szCs w:val="24"/>
        </w:rPr>
      </w:pPr>
      <w:bookmarkStart w:id="3" w:name="_Toc230681676"/>
      <w:r>
        <w:rPr>
          <w:rFonts w:cs="Times New Roman"/>
          <w:szCs w:val="24"/>
        </w:rPr>
        <w:t>2</w:t>
      </w:r>
      <w:r w:rsidR="003D427D" w:rsidRPr="00E07494">
        <w:rPr>
          <w:rFonts w:cs="Times New Roman"/>
          <w:szCs w:val="24"/>
        </w:rPr>
        <w:t>.0 METHODOLOGY</w:t>
      </w:r>
      <w:bookmarkEnd w:id="3"/>
    </w:p>
    <w:p w:rsidR="001A6DFC" w:rsidRPr="00E07494" w:rsidRDefault="001A6DFC" w:rsidP="00E07494">
      <w:pPr>
        <w:spacing w:line="360" w:lineRule="auto"/>
        <w:jc w:val="both"/>
        <w:rPr>
          <w:rFonts w:ascii="Times New Roman" w:hAnsi="Times New Roman" w:cs="Times New Roman"/>
          <w:sz w:val="24"/>
          <w:szCs w:val="24"/>
        </w:rPr>
      </w:pPr>
      <w:r w:rsidRPr="00E07494">
        <w:rPr>
          <w:rFonts w:ascii="Times New Roman" w:hAnsi="Times New Roman" w:cs="Times New Roman"/>
          <w:sz w:val="24"/>
          <w:szCs w:val="24"/>
        </w:rPr>
        <w:t xml:space="preserve">The adopted research design was mixed-method research design that incorporated quantitative and qualitative data collection methods in this study which was aimed at examining household </w:t>
      </w:r>
      <w:r w:rsidRPr="00E07494">
        <w:rPr>
          <w:rFonts w:ascii="Times New Roman" w:hAnsi="Times New Roman" w:cs="Times New Roman"/>
          <w:sz w:val="24"/>
          <w:szCs w:val="24"/>
        </w:rPr>
        <w:lastRenderedPageBreak/>
        <w:t>adoption of Liquefied Petroleum Gas (LPG) and implications on environmental security in Dar es Salaam city, Tanzania. Quantitative component used descriptive cross-sectional survey design, collecting statistical data on household energy use, affordability, accessibility and perceptions on LPG adoption. At the same time, a phenomenological approach was used in collecting the qualitative data, to get in-depth information from key informants such as energy officials, LPG distributors, and community leaders. Ilala, Kinondoni, Temeke, Ubungo and Kigamboni districts were selected for the study due to their high levels of rapid urbanization and high biomass fuel dependency (NBS, 2022; Ministry of Energy Tanzania, 2024). Thus Methodological triangulation helped achieve a level of reliability, validity and contextual understanding.</w:t>
      </w:r>
    </w:p>
    <w:p w:rsidR="00825F53" w:rsidRPr="00813339" w:rsidRDefault="001A6DFC" w:rsidP="00813339">
      <w:pPr>
        <w:spacing w:before="240" w:after="240" w:line="360" w:lineRule="auto"/>
        <w:jc w:val="both"/>
        <w:rPr>
          <w:rFonts w:ascii="Times New Roman" w:hAnsi="Times New Roman" w:cs="Times New Roman"/>
          <w:sz w:val="24"/>
          <w:szCs w:val="24"/>
        </w:rPr>
      </w:pPr>
      <w:r w:rsidRPr="00E07494">
        <w:rPr>
          <w:rFonts w:ascii="Times New Roman" w:hAnsi="Times New Roman" w:cs="Times New Roman"/>
          <w:sz w:val="24"/>
          <w:szCs w:val="24"/>
        </w:rPr>
        <w:t xml:space="preserve">The districts of interest were located in the five districts of Dar es Salaam, as identified by the National Bureau of Statistics (2022) and the target population consisted of 1,549,051 households. The sample included 18 key informants (purposive sampling) and 270 household respondents (strategically random sampling) according to the required sample </w:t>
      </w:r>
      <w:r w:rsidR="00E07494" w:rsidRPr="00E07494">
        <w:rPr>
          <w:rFonts w:ascii="Times New Roman" w:hAnsi="Times New Roman" w:cs="Times New Roman"/>
          <w:sz w:val="24"/>
          <w:szCs w:val="24"/>
        </w:rPr>
        <w:t>size. The</w:t>
      </w:r>
      <w:r w:rsidRPr="00E07494">
        <w:rPr>
          <w:rFonts w:ascii="Times New Roman" w:hAnsi="Times New Roman" w:cs="Times New Roman"/>
          <w:sz w:val="24"/>
          <w:szCs w:val="24"/>
        </w:rPr>
        <w:t xml:space="preserve"> sample included 18 key informants and 270 </w:t>
      </w:r>
      <w:r w:rsidRPr="00813339">
        <w:rPr>
          <w:rFonts w:ascii="Times New Roman" w:hAnsi="Times New Roman" w:cs="Times New Roman"/>
          <w:sz w:val="24"/>
          <w:szCs w:val="24"/>
        </w:rPr>
        <w:t>household respondents which was stratified random sampling on the basis of the required sample size.</w:t>
      </w:r>
      <w:r w:rsidR="000668E9" w:rsidRPr="00813339">
        <w:rPr>
          <w:rFonts w:ascii="Times New Roman" w:hAnsi="Times New Roman" w:cs="Times New Roman"/>
          <w:sz w:val="24"/>
          <w:szCs w:val="24"/>
        </w:rPr>
        <w:t xml:space="preserve"> The sample size was determined using Yamane’s (1967) formula:</w:t>
      </w:r>
    </w:p>
    <w:p w:rsidR="00825F53" w:rsidRPr="00813339" w:rsidRDefault="00825F53" w:rsidP="00813339">
      <w:pPr>
        <w:pStyle w:val="NoSpacing"/>
        <w:spacing w:before="240" w:after="24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m:oMathPara>
    </w:p>
    <w:p w:rsidR="00825F53" w:rsidRPr="00813339" w:rsidRDefault="00825F53" w:rsidP="00813339">
      <w:pPr>
        <w:spacing w:before="240" w:after="240" w:line="360" w:lineRule="auto"/>
        <w:rPr>
          <w:rFonts w:ascii="Times New Roman" w:eastAsia="Times New Roman" w:hAnsi="Times New Roman" w:cs="Times New Roman"/>
          <w:sz w:val="24"/>
          <w:szCs w:val="24"/>
        </w:rPr>
      </w:pPr>
      <w:r w:rsidRPr="00813339">
        <w:rPr>
          <w:rFonts w:ascii="Times New Roman" w:eastAsia="Times New Roman" w:hAnsi="Times New Roman" w:cs="Times New Roman"/>
          <w:sz w:val="24"/>
          <w:szCs w:val="24"/>
        </w:rPr>
        <w:t>Where:</w:t>
      </w:r>
    </w:p>
    <w:p w:rsidR="00825F53" w:rsidRPr="00813339" w:rsidRDefault="00825F53" w:rsidP="00813339">
      <w:pPr>
        <w:pStyle w:val="NoSpacing"/>
        <w:numPr>
          <w:ilvl w:val="0"/>
          <w:numId w:val="3"/>
        </w:numPr>
        <w:spacing w:before="240" w:after="240" w:line="360" w:lineRule="auto"/>
        <w:rPr>
          <w:rFonts w:ascii="Times New Roman" w:hAnsi="Times New Roman" w:cs="Times New Roman"/>
          <w:sz w:val="24"/>
          <w:szCs w:val="24"/>
        </w:rPr>
      </w:pPr>
      <w:r w:rsidRPr="00813339">
        <w:rPr>
          <w:rFonts w:ascii="Times New Roman" w:hAnsi="Times New Roman" w:cs="Times New Roman"/>
          <w:sz w:val="24"/>
          <w:szCs w:val="24"/>
        </w:rPr>
        <w:t>n</w:t>
      </w:r>
      <w:r w:rsidRPr="00813339">
        <w:rPr>
          <w:rFonts w:ascii="Times New Roman" w:hAnsi="Times New Roman" w:cs="Times New Roman"/>
          <w:sz w:val="24"/>
          <w:szCs w:val="24"/>
          <w:vertAlign w:val="subscript"/>
        </w:rPr>
        <w:t>0</w:t>
      </w:r>
      <w:r w:rsidRPr="00813339">
        <w:rPr>
          <w:rFonts w:ascii="Times New Roman" w:hAnsi="Times New Roman" w:cs="Times New Roman"/>
          <w:sz w:val="24"/>
          <w:szCs w:val="24"/>
        </w:rPr>
        <w:t>​ = required sample size</w:t>
      </w:r>
    </w:p>
    <w:p w:rsidR="00825F53" w:rsidRPr="00813339" w:rsidRDefault="00825F53" w:rsidP="00813339">
      <w:pPr>
        <w:pStyle w:val="NoSpacing"/>
        <w:numPr>
          <w:ilvl w:val="0"/>
          <w:numId w:val="3"/>
        </w:numPr>
        <w:spacing w:before="240" w:after="240" w:line="360" w:lineRule="auto"/>
        <w:rPr>
          <w:rFonts w:ascii="Times New Roman" w:hAnsi="Times New Roman" w:cs="Times New Roman"/>
          <w:sz w:val="24"/>
          <w:szCs w:val="24"/>
        </w:rPr>
      </w:pPr>
      <w:r w:rsidRPr="00813339">
        <w:rPr>
          <w:rFonts w:ascii="Times New Roman" w:hAnsi="Times New Roman" w:cs="Times New Roman"/>
          <w:sz w:val="24"/>
          <w:szCs w:val="24"/>
        </w:rPr>
        <w:t>N = population size (total number of households in Dar es Salaam)</w:t>
      </w:r>
    </w:p>
    <w:p w:rsidR="00825F53" w:rsidRPr="00813339" w:rsidRDefault="00825F53" w:rsidP="00813339">
      <w:pPr>
        <w:pStyle w:val="NoSpacing"/>
        <w:numPr>
          <w:ilvl w:val="0"/>
          <w:numId w:val="3"/>
        </w:numPr>
        <w:spacing w:before="240" w:after="240" w:line="360" w:lineRule="auto"/>
        <w:rPr>
          <w:rFonts w:ascii="Times New Roman" w:hAnsi="Times New Roman" w:cs="Times New Roman"/>
          <w:sz w:val="24"/>
          <w:szCs w:val="24"/>
        </w:rPr>
      </w:pPr>
      <w:r w:rsidRPr="00813339">
        <w:rPr>
          <w:rFonts w:ascii="Times New Roman" w:hAnsi="Times New Roman" w:cs="Times New Roman"/>
          <w:sz w:val="24"/>
          <w:szCs w:val="24"/>
        </w:rPr>
        <w:t>e= margin of error (5% or 0.05)</w:t>
      </w:r>
    </w:p>
    <w:p w:rsidR="009310A1" w:rsidRPr="00813339" w:rsidRDefault="00297BF1" w:rsidP="00813339">
      <w:pPr>
        <w:pStyle w:val="NoSpacing"/>
        <w:spacing w:before="240" w:after="240" w:line="360" w:lineRule="auto"/>
        <w:rPr>
          <w:rFonts w:ascii="Times New Roman" w:hAnsi="Times New Roman" w:cs="Times New Roman"/>
          <w:sz w:val="24"/>
          <w:szCs w:val="24"/>
        </w:rPr>
      </w:pPr>
      <w:r w:rsidRPr="00813339">
        <w:rPr>
          <w:rStyle w:val="NoSpacingChar"/>
          <w:rFonts w:ascii="Times New Roman" w:hAnsi="Times New Roman" w:cs="Times New Roman"/>
          <w:b/>
          <w:sz w:val="24"/>
          <w:szCs w:val="24"/>
        </w:rPr>
        <w:t xml:space="preserve"> </w:t>
      </w:r>
      <w:r w:rsidR="00FA28A4" w:rsidRPr="00813339">
        <w:rPr>
          <w:rStyle w:val="NoSpacingChar"/>
          <w:rFonts w:ascii="Times New Roman" w:hAnsi="Times New Roman" w:cs="Times New Roman"/>
          <w:b/>
          <w:sz w:val="24"/>
          <w:szCs w:val="24"/>
        </w:rPr>
        <w:t>W</w:t>
      </w:r>
      <w:r w:rsidRPr="00813339">
        <w:rPr>
          <w:rFonts w:ascii="Times New Roman" w:hAnsi="Times New Roman" w:cs="Times New Roman"/>
          <w:sz w:val="24"/>
          <w:szCs w:val="24"/>
        </w:rPr>
        <w:t xml:space="preserve">here: </w:t>
      </w:r>
      <w:r w:rsidRPr="00813339">
        <w:rPr>
          <w:rStyle w:val="Emphasis"/>
          <w:rFonts w:ascii="Times New Roman" w:hAnsi="Times New Roman" w:cs="Times New Roman"/>
          <w:sz w:val="24"/>
          <w:szCs w:val="24"/>
        </w:rPr>
        <w:t>n</w:t>
      </w:r>
      <w:r w:rsidRPr="00813339">
        <w:rPr>
          <w:rFonts w:ascii="Times New Roman" w:hAnsi="Times New Roman" w:cs="Times New Roman"/>
          <w:sz w:val="24"/>
          <w:szCs w:val="24"/>
        </w:rPr>
        <w:t xml:space="preserve"> = sample size, </w:t>
      </w:r>
      <w:r w:rsidRPr="00813339">
        <w:rPr>
          <w:rStyle w:val="Emphasis"/>
          <w:rFonts w:ascii="Times New Roman" w:hAnsi="Times New Roman" w:cs="Times New Roman"/>
          <w:sz w:val="24"/>
          <w:szCs w:val="24"/>
        </w:rPr>
        <w:t>N</w:t>
      </w:r>
      <w:r w:rsidRPr="00813339">
        <w:rPr>
          <w:rFonts w:ascii="Times New Roman" w:hAnsi="Times New Roman" w:cs="Times New Roman"/>
          <w:sz w:val="24"/>
          <w:szCs w:val="24"/>
        </w:rPr>
        <w:t xml:space="preserve"> = target population, and </w:t>
      </w:r>
      <w:r w:rsidRPr="00813339">
        <w:rPr>
          <w:rStyle w:val="Emphasis"/>
          <w:rFonts w:ascii="Times New Roman" w:hAnsi="Times New Roman" w:cs="Times New Roman"/>
          <w:sz w:val="24"/>
          <w:szCs w:val="24"/>
        </w:rPr>
        <w:t>e</w:t>
      </w:r>
      <w:r w:rsidRPr="00813339">
        <w:rPr>
          <w:rFonts w:ascii="Times New Roman" w:hAnsi="Times New Roman" w:cs="Times New Roman"/>
          <w:sz w:val="24"/>
          <w:szCs w:val="24"/>
        </w:rPr>
        <w:t xml:space="preserve"> = margin of error.</w:t>
      </w:r>
    </w:p>
    <w:p w:rsidR="009310A1" w:rsidRPr="00813339" w:rsidRDefault="00667B79" w:rsidP="00813339">
      <w:pPr>
        <w:pStyle w:val="NoSpacing"/>
        <w:spacing w:before="240" w:after="24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eastAsia="Times New Roman" w:hAnsi="Cambria Math" w:cs="Times New Roman"/>
                  <w:sz w:val="24"/>
                  <w:szCs w:val="24"/>
                </w:rPr>
                <m:t>1,549,051</m:t>
              </m:r>
            </m:num>
            <m:den>
              <m:r>
                <w:rPr>
                  <w:rFonts w:ascii="Cambria Math" w:hAnsi="Cambria Math" w:cs="Times New Roman"/>
                  <w:sz w:val="24"/>
                  <w:szCs w:val="24"/>
                </w:rPr>
                <m:t>1+</m:t>
              </m:r>
              <m:r>
                <m:rPr>
                  <m:sty m:val="p"/>
                </m:rPr>
                <w:rPr>
                  <w:rFonts w:ascii="Cambria Math" w:eastAsia="Times New Roman" w:hAnsi="Cambria Math" w:cs="Times New Roman"/>
                  <w:sz w:val="24"/>
                  <w:szCs w:val="24"/>
                </w:rPr>
                <m:t>1,549,051</m:t>
              </m:r>
              <m:sSup>
                <m:sSupPr>
                  <m:ctrlPr>
                    <w:rPr>
                      <w:rFonts w:ascii="Cambria Math" w:hAnsi="Cambria Math" w:cs="Times New Roman"/>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den>
          </m:f>
        </m:oMath>
      </m:oMathPara>
    </w:p>
    <w:p w:rsidR="009310A1" w:rsidRPr="00813339" w:rsidRDefault="00667B79" w:rsidP="00813339">
      <w:pPr>
        <w:pStyle w:val="NoSpacing"/>
        <w:spacing w:before="240" w:after="24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 </m:t>
              </m:r>
              <m:r>
                <m:rPr>
                  <m:sty m:val="p"/>
                </m:rPr>
                <w:rPr>
                  <w:rFonts w:ascii="Cambria Math" w:eastAsia="Times New Roman" w:hAnsi="Cambria Math" w:cs="Times New Roman"/>
                  <w:sz w:val="24"/>
                  <w:szCs w:val="24"/>
                </w:rPr>
                <m:t>1,549,051</m:t>
              </m:r>
            </m:num>
            <m:den>
              <m:r>
                <w:rPr>
                  <w:rFonts w:ascii="Cambria Math" w:hAnsi="Cambria Math" w:cs="Times New Roman"/>
                  <w:sz w:val="24"/>
                  <w:szCs w:val="24"/>
                </w:rPr>
                <m:t>3,080.91</m:t>
              </m:r>
            </m:den>
          </m:f>
        </m:oMath>
      </m:oMathPara>
    </w:p>
    <w:p w:rsidR="009310A1" w:rsidRPr="00813339" w:rsidRDefault="00667B79" w:rsidP="00813339">
      <w:pPr>
        <w:pStyle w:val="NoSpacing"/>
        <w:spacing w:before="240" w:after="24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sub>
          </m:sSub>
          <m:r>
            <w:rPr>
              <w:rFonts w:ascii="Cambria Math" w:hAnsi="Cambria Math" w:cs="Times New Roman"/>
              <w:sz w:val="24"/>
              <w:szCs w:val="24"/>
            </w:rPr>
            <m:t>≈400</m:t>
          </m:r>
        </m:oMath>
      </m:oMathPara>
    </w:p>
    <w:p w:rsidR="009310A1" w:rsidRPr="00813339" w:rsidRDefault="009310A1" w:rsidP="00813339">
      <w:pPr>
        <w:pStyle w:val="NoSpacing"/>
        <w:spacing w:before="240" w:after="240" w:line="360" w:lineRule="auto"/>
        <w:jc w:val="both"/>
        <w:rPr>
          <w:rFonts w:ascii="Times New Roman" w:hAnsi="Times New Roman" w:cs="Times New Roman"/>
          <w:sz w:val="24"/>
          <w:szCs w:val="24"/>
        </w:rPr>
      </w:pPr>
      <w:r w:rsidRPr="00813339">
        <w:rPr>
          <w:rFonts w:ascii="Times New Roman" w:hAnsi="Times New Roman" w:cs="Times New Roman"/>
          <w:sz w:val="24"/>
          <w:szCs w:val="24"/>
        </w:rPr>
        <w:t xml:space="preserve">Therefore, the required sample size is </w:t>
      </w:r>
      <w:r w:rsidRPr="00813339">
        <w:rPr>
          <w:rStyle w:val="Strong"/>
          <w:rFonts w:ascii="Times New Roman" w:hAnsi="Times New Roman" w:cs="Times New Roman"/>
          <w:b w:val="0"/>
          <w:sz w:val="24"/>
          <w:szCs w:val="24"/>
        </w:rPr>
        <w:t>400 households</w:t>
      </w:r>
      <w:r w:rsidRPr="00813339">
        <w:rPr>
          <w:rFonts w:ascii="Times New Roman" w:hAnsi="Times New Roman" w:cs="Times New Roman"/>
          <w:sz w:val="24"/>
          <w:szCs w:val="24"/>
        </w:rPr>
        <w:t>.</w:t>
      </w:r>
      <w:r w:rsidR="00162575" w:rsidRPr="00813339">
        <w:rPr>
          <w:rFonts w:ascii="Times New Roman" w:hAnsi="Times New Roman" w:cs="Times New Roman"/>
          <w:b/>
          <w:sz w:val="24"/>
          <w:szCs w:val="24"/>
        </w:rPr>
        <w:t xml:space="preserve"> </w:t>
      </w:r>
      <w:r w:rsidR="00162575" w:rsidRPr="00813339">
        <w:rPr>
          <w:rFonts w:ascii="Times New Roman" w:hAnsi="Times New Roman" w:cs="Times New Roman"/>
          <w:sz w:val="24"/>
          <w:szCs w:val="24"/>
        </w:rPr>
        <w:t>Quantitative data were analyzed using SPSS version 29 through descriptive statistics and regression analysis, while qualitative data were analyzed thematically</w:t>
      </w:r>
      <w:r w:rsidR="00FA28A4" w:rsidRPr="00813339">
        <w:rPr>
          <w:rFonts w:ascii="Times New Roman" w:hAnsi="Times New Roman" w:cs="Times New Roman"/>
          <w:sz w:val="24"/>
          <w:szCs w:val="24"/>
        </w:rPr>
        <w:t>.</w:t>
      </w:r>
    </w:p>
    <w:p w:rsidR="00E451ED" w:rsidRPr="002529EB" w:rsidRDefault="00FD165E" w:rsidP="00E451ED">
      <w:pPr>
        <w:pStyle w:val="Heading1"/>
        <w:spacing w:after="240" w:line="360" w:lineRule="auto"/>
        <w:jc w:val="both"/>
        <w:rPr>
          <w:rFonts w:cs="Times New Roman"/>
          <w:color w:val="000000" w:themeColor="text1"/>
          <w:szCs w:val="24"/>
        </w:rPr>
      </w:pPr>
      <w:bookmarkStart w:id="4" w:name="_Toc230681677"/>
      <w:r>
        <w:rPr>
          <w:rFonts w:cs="Times New Roman"/>
          <w:color w:val="000000" w:themeColor="text1"/>
          <w:szCs w:val="24"/>
        </w:rPr>
        <w:t>3</w:t>
      </w:r>
      <w:r w:rsidR="00E451ED" w:rsidRPr="002529EB">
        <w:rPr>
          <w:rFonts w:cs="Times New Roman"/>
          <w:color w:val="000000" w:themeColor="text1"/>
          <w:szCs w:val="24"/>
        </w:rPr>
        <w:t>.0 FINDINGS</w:t>
      </w:r>
      <w:bookmarkEnd w:id="4"/>
    </w:p>
    <w:p w:rsidR="00A64929" w:rsidRPr="00695C59" w:rsidRDefault="00A64929" w:rsidP="00A64929">
      <w:pPr>
        <w:pStyle w:val="NoSpacing"/>
        <w:spacing w:before="240" w:after="240" w:line="360" w:lineRule="auto"/>
        <w:jc w:val="both"/>
        <w:rPr>
          <w:rFonts w:ascii="Times New Roman" w:hAnsi="Times New Roman"/>
          <w:sz w:val="24"/>
          <w:szCs w:val="24"/>
        </w:rPr>
      </w:pPr>
      <w:r w:rsidRPr="00606333">
        <w:rPr>
          <w:rFonts w:ascii="Times New Roman" w:hAnsi="Times New Roman"/>
          <w:sz w:val="24"/>
          <w:szCs w:val="24"/>
        </w:rPr>
        <w:t xml:space="preserve">The </w:t>
      </w:r>
      <w:r w:rsidR="00EC2AEE">
        <w:rPr>
          <w:rFonts w:ascii="Times New Roman" w:hAnsi="Times New Roman"/>
          <w:sz w:val="24"/>
          <w:szCs w:val="24"/>
        </w:rPr>
        <w:t>primary aim of this</w:t>
      </w:r>
      <w:r w:rsidRPr="00606333">
        <w:rPr>
          <w:rFonts w:ascii="Times New Roman" w:hAnsi="Times New Roman"/>
          <w:sz w:val="24"/>
          <w:szCs w:val="24"/>
        </w:rPr>
        <w:t xml:space="preserve"> study was to</w:t>
      </w:r>
      <w:r w:rsidRPr="00606333">
        <w:rPr>
          <w:rFonts w:ascii="Times New Roman" w:hAnsi="Times New Roman"/>
          <w:sz w:val="24"/>
          <w:szCs w:val="24"/>
          <w:lang w:val="en-GB"/>
        </w:rPr>
        <w:t xml:space="preserve"> evaluate strategies for enhancing household LPG adoption to strengthen environmental security in the </w:t>
      </w:r>
      <w:r w:rsidRPr="00606333">
        <w:rPr>
          <w:rFonts w:ascii="Times New Roman" w:hAnsi="Times New Roman"/>
          <w:sz w:val="24"/>
          <w:szCs w:val="24"/>
        </w:rPr>
        <w:t xml:space="preserve">Dar es Salaam Region. To address this objective, </w:t>
      </w:r>
      <w:r w:rsidRPr="00695C59">
        <w:rPr>
          <w:rFonts w:ascii="Times New Roman" w:hAnsi="Times New Roman"/>
          <w:sz w:val="24"/>
          <w:szCs w:val="24"/>
        </w:rPr>
        <w:t>structured questions were asked and results were as demonstrated in the following subsections;</w:t>
      </w:r>
    </w:p>
    <w:p w:rsidR="00A64929" w:rsidRPr="00E90CE0" w:rsidRDefault="00A64929" w:rsidP="00E90CE0">
      <w:pPr>
        <w:pStyle w:val="NoSpacing"/>
        <w:rPr>
          <w:rFonts w:ascii="Times New Roman" w:hAnsi="Times New Roman" w:cs="Times New Roman"/>
          <w:b/>
        </w:rPr>
      </w:pPr>
      <w:bookmarkStart w:id="5" w:name="_Toc225336619"/>
      <w:r w:rsidRPr="00E90CE0">
        <w:rPr>
          <w:rFonts w:ascii="Times New Roman" w:hAnsi="Times New Roman" w:cs="Times New Roman"/>
          <w:b/>
        </w:rPr>
        <w:t>Awareness of Government or Local Policies Promoting LPG Use</w:t>
      </w:r>
      <w:bookmarkEnd w:id="5"/>
    </w:p>
    <w:p w:rsidR="00A64929" w:rsidRPr="00E90CE0" w:rsidRDefault="00A64929" w:rsidP="00A64929">
      <w:pPr>
        <w:spacing w:before="240" w:after="240" w:line="360" w:lineRule="auto"/>
        <w:jc w:val="both"/>
        <w:rPr>
          <w:rFonts w:ascii="Times New Roman" w:hAnsi="Times New Roman" w:cs="Times New Roman"/>
          <w:sz w:val="24"/>
          <w:szCs w:val="24"/>
        </w:rPr>
      </w:pPr>
      <w:r w:rsidRPr="00E90CE0">
        <w:rPr>
          <w:rFonts w:ascii="Times New Roman" w:hAnsi="Times New Roman" w:cs="Times New Roman"/>
          <w:sz w:val="24"/>
          <w:szCs w:val="24"/>
        </w:rPr>
        <w:t>Respondents were asked to indicate if they are awareness of government or local policies promoting LPG use. Results were as presented in the Figure;</w:t>
      </w:r>
    </w:p>
    <w:p w:rsidR="00EC0A03" w:rsidRDefault="00A64929" w:rsidP="00EC0A03">
      <w:pPr>
        <w:pStyle w:val="NoSpacing"/>
        <w:keepNext/>
      </w:pPr>
      <w:r>
        <w:rPr>
          <w:noProof/>
        </w:rPr>
        <w:t xml:space="preserve"> </w:t>
      </w:r>
      <w:r w:rsidRPr="00736BAB">
        <w:rPr>
          <w:rFonts w:ascii="Times New Roman" w:hAnsi="Times New Roman"/>
          <w:b/>
          <w:noProof/>
          <w:sz w:val="24"/>
        </w:rPr>
        <w:drawing>
          <wp:inline distT="0" distB="0" distL="0" distR="0" wp14:anchorId="3D302044" wp14:editId="7A52A85E">
            <wp:extent cx="5486400" cy="234958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602" t="12727" r="1602" b="8889"/>
                    <a:stretch/>
                  </pic:blipFill>
                  <pic:spPr bwMode="auto">
                    <a:xfrm>
                      <a:off x="0" y="0"/>
                      <a:ext cx="5489536" cy="2350927"/>
                    </a:xfrm>
                    <a:prstGeom prst="rect">
                      <a:avLst/>
                    </a:prstGeom>
                    <a:noFill/>
                    <a:ln>
                      <a:noFill/>
                    </a:ln>
                    <a:extLst>
                      <a:ext uri="{53640926-AAD7-44D8-BBD7-CCE9431645EC}">
                        <a14:shadowObscured xmlns:a14="http://schemas.microsoft.com/office/drawing/2010/main"/>
                      </a:ext>
                    </a:extLst>
                  </pic:spPr>
                </pic:pic>
              </a:graphicData>
            </a:graphic>
          </wp:inline>
        </w:drawing>
      </w:r>
    </w:p>
    <w:p w:rsidR="00A64929" w:rsidRPr="007873CE" w:rsidRDefault="00EC0A03" w:rsidP="007873CE">
      <w:pPr>
        <w:pStyle w:val="NoSpacing"/>
        <w:rPr>
          <w:rFonts w:ascii="Times New Roman" w:hAnsi="Times New Roman" w:cs="Times New Roman"/>
          <w:b/>
          <w:sz w:val="24"/>
        </w:rPr>
      </w:pPr>
      <w:r w:rsidRPr="007873CE">
        <w:rPr>
          <w:rFonts w:ascii="Times New Roman" w:hAnsi="Times New Roman" w:cs="Times New Roman"/>
          <w:b/>
          <w:sz w:val="24"/>
        </w:rPr>
        <w:t xml:space="preserve">Figure </w:t>
      </w:r>
      <w:r w:rsidRPr="007873CE">
        <w:rPr>
          <w:rFonts w:ascii="Times New Roman" w:hAnsi="Times New Roman" w:cs="Times New Roman"/>
          <w:b/>
          <w:sz w:val="24"/>
        </w:rPr>
        <w:fldChar w:fldCharType="begin"/>
      </w:r>
      <w:r w:rsidRPr="007873CE">
        <w:rPr>
          <w:rFonts w:ascii="Times New Roman" w:hAnsi="Times New Roman" w:cs="Times New Roman"/>
          <w:b/>
          <w:sz w:val="24"/>
        </w:rPr>
        <w:instrText xml:space="preserve"> SEQ Figure \* ARABIC </w:instrText>
      </w:r>
      <w:r w:rsidRPr="007873CE">
        <w:rPr>
          <w:rFonts w:ascii="Times New Roman" w:hAnsi="Times New Roman" w:cs="Times New Roman"/>
          <w:b/>
          <w:sz w:val="24"/>
        </w:rPr>
        <w:fldChar w:fldCharType="separate"/>
      </w:r>
      <w:r w:rsidRPr="007873CE">
        <w:rPr>
          <w:rFonts w:ascii="Times New Roman" w:hAnsi="Times New Roman" w:cs="Times New Roman"/>
          <w:b/>
          <w:noProof/>
          <w:sz w:val="24"/>
        </w:rPr>
        <w:t>1</w:t>
      </w:r>
      <w:r w:rsidRPr="007873CE">
        <w:rPr>
          <w:rFonts w:ascii="Times New Roman" w:hAnsi="Times New Roman" w:cs="Times New Roman"/>
          <w:b/>
          <w:sz w:val="24"/>
        </w:rPr>
        <w:fldChar w:fldCharType="end"/>
      </w:r>
      <w:bookmarkStart w:id="6" w:name="_Toc225336672"/>
      <w:r w:rsidRPr="007873CE">
        <w:rPr>
          <w:rFonts w:ascii="Times New Roman" w:hAnsi="Times New Roman" w:cs="Times New Roman"/>
          <w:b/>
          <w:sz w:val="24"/>
        </w:rPr>
        <w:t xml:space="preserve">: </w:t>
      </w:r>
      <w:r w:rsidR="00A64929" w:rsidRPr="007873CE">
        <w:rPr>
          <w:rFonts w:ascii="Times New Roman" w:hAnsi="Times New Roman" w:cs="Times New Roman"/>
          <w:b/>
          <w:i/>
          <w:sz w:val="24"/>
        </w:rPr>
        <w:t>Awareness of Government or Local Policies Promoting LPG Use</w:t>
      </w:r>
      <w:bookmarkEnd w:id="6"/>
    </w:p>
    <w:p w:rsidR="00A64929" w:rsidRDefault="00A64929" w:rsidP="00A64929">
      <w:pPr>
        <w:pStyle w:val="NoSpacing"/>
        <w:spacing w:before="240" w:after="240" w:line="360" w:lineRule="auto"/>
        <w:ind w:left="6480"/>
        <w:jc w:val="both"/>
        <w:rPr>
          <w:rFonts w:ascii="Times New Roman" w:hAnsi="Times New Roman"/>
          <w:sz w:val="24"/>
          <w:szCs w:val="24"/>
        </w:rPr>
      </w:pPr>
      <w:r w:rsidRPr="009A0C6B">
        <w:rPr>
          <w:rFonts w:ascii="Times New Roman" w:hAnsi="Times New Roman"/>
          <w:sz w:val="24"/>
          <w:szCs w:val="24"/>
        </w:rPr>
        <w:t>(Source: Researcher, 2026)</w:t>
      </w:r>
    </w:p>
    <w:p w:rsidR="00A64929" w:rsidRPr="0015016C" w:rsidRDefault="00A64929" w:rsidP="00A64929">
      <w:pPr>
        <w:pStyle w:val="NoSpacing"/>
        <w:spacing w:before="240" w:after="240" w:line="360" w:lineRule="auto"/>
        <w:jc w:val="both"/>
        <w:rPr>
          <w:rFonts w:ascii="Times New Roman" w:hAnsi="Times New Roman"/>
          <w:sz w:val="24"/>
          <w:szCs w:val="24"/>
        </w:rPr>
      </w:pPr>
      <w:r w:rsidRPr="0015016C">
        <w:rPr>
          <w:rFonts w:ascii="Times New Roman" w:hAnsi="Times New Roman"/>
          <w:sz w:val="24"/>
          <w:szCs w:val="24"/>
        </w:rPr>
        <w:t>Figure</w:t>
      </w:r>
      <w:r w:rsidR="007873CE">
        <w:rPr>
          <w:rFonts w:ascii="Times New Roman" w:hAnsi="Times New Roman"/>
          <w:sz w:val="24"/>
          <w:szCs w:val="24"/>
        </w:rPr>
        <w:t xml:space="preserve"> 1</w:t>
      </w:r>
      <w:r w:rsidRPr="0015016C">
        <w:rPr>
          <w:rFonts w:ascii="Times New Roman" w:hAnsi="Times New Roman"/>
          <w:sz w:val="24"/>
          <w:szCs w:val="24"/>
        </w:rPr>
        <w:t xml:space="preserve"> </w:t>
      </w:r>
      <w:r>
        <w:rPr>
          <w:rFonts w:ascii="Times New Roman" w:hAnsi="Times New Roman"/>
          <w:sz w:val="24"/>
          <w:szCs w:val="24"/>
        </w:rPr>
        <w:t xml:space="preserve">demonstrate that majority </w:t>
      </w:r>
      <w:r w:rsidRPr="0015016C">
        <w:rPr>
          <w:rFonts w:ascii="Times New Roman" w:hAnsi="Times New Roman"/>
          <w:sz w:val="24"/>
          <w:szCs w:val="24"/>
        </w:rPr>
        <w:t>(60.4</w:t>
      </w:r>
      <w:r>
        <w:rPr>
          <w:rFonts w:ascii="Times New Roman" w:hAnsi="Times New Roman"/>
          <w:sz w:val="24"/>
          <w:szCs w:val="24"/>
        </w:rPr>
        <w:t>%</w:t>
      </w:r>
      <w:r w:rsidRPr="0015016C">
        <w:rPr>
          <w:rFonts w:ascii="Times New Roman" w:hAnsi="Times New Roman"/>
          <w:sz w:val="24"/>
          <w:szCs w:val="24"/>
        </w:rPr>
        <w:t>)</w:t>
      </w:r>
      <w:r>
        <w:rPr>
          <w:rFonts w:ascii="Times New Roman" w:hAnsi="Times New Roman"/>
          <w:sz w:val="24"/>
          <w:szCs w:val="24"/>
        </w:rPr>
        <w:t xml:space="preserve"> of respondents</w:t>
      </w:r>
      <w:r w:rsidRPr="0015016C">
        <w:rPr>
          <w:rFonts w:ascii="Times New Roman" w:hAnsi="Times New Roman"/>
          <w:sz w:val="24"/>
          <w:szCs w:val="24"/>
        </w:rPr>
        <w:t xml:space="preserve"> did know that there are also government or local policies that encourage the use of LPG and have enjoyed them. Moreover, 28.4</w:t>
      </w:r>
      <w:r>
        <w:rPr>
          <w:rFonts w:ascii="Times New Roman" w:hAnsi="Times New Roman"/>
          <w:sz w:val="24"/>
          <w:szCs w:val="24"/>
        </w:rPr>
        <w:t>%</w:t>
      </w:r>
      <w:r w:rsidRPr="0015016C">
        <w:rPr>
          <w:rFonts w:ascii="Times New Roman" w:hAnsi="Times New Roman"/>
          <w:sz w:val="24"/>
          <w:szCs w:val="24"/>
        </w:rPr>
        <w:t xml:space="preserve"> had heard of such policies but had not personally received the benefit, and 11.2</w:t>
      </w:r>
      <w:r>
        <w:rPr>
          <w:rFonts w:ascii="Times New Roman" w:hAnsi="Times New Roman"/>
          <w:sz w:val="24"/>
          <w:szCs w:val="24"/>
        </w:rPr>
        <w:t xml:space="preserve">% </w:t>
      </w:r>
      <w:r w:rsidRPr="0015016C">
        <w:rPr>
          <w:rFonts w:ascii="Times New Roman" w:hAnsi="Times New Roman"/>
          <w:sz w:val="24"/>
          <w:szCs w:val="24"/>
        </w:rPr>
        <w:t>had never heard of such policies. These</w:t>
      </w:r>
      <w:r>
        <w:rPr>
          <w:rFonts w:ascii="Times New Roman" w:hAnsi="Times New Roman"/>
          <w:sz w:val="24"/>
          <w:szCs w:val="24"/>
        </w:rPr>
        <w:t xml:space="preserve"> findings</w:t>
      </w:r>
      <w:r w:rsidRPr="0015016C">
        <w:rPr>
          <w:rFonts w:ascii="Times New Roman" w:hAnsi="Times New Roman"/>
          <w:sz w:val="24"/>
          <w:szCs w:val="24"/>
        </w:rPr>
        <w:t xml:space="preserve"> indicate that there is a relatively high policy consciousness among metropolitan households.</w:t>
      </w:r>
      <w:r>
        <w:rPr>
          <w:rFonts w:ascii="Times New Roman" w:hAnsi="Times New Roman"/>
          <w:sz w:val="24"/>
          <w:szCs w:val="24"/>
        </w:rPr>
        <w:t xml:space="preserve"> </w:t>
      </w:r>
      <w:r w:rsidRPr="007E6B8B">
        <w:rPr>
          <w:rFonts w:ascii="Times New Roman" w:hAnsi="Times New Roman"/>
          <w:sz w:val="24"/>
          <w:szCs w:val="24"/>
        </w:rPr>
        <w:t xml:space="preserve">However, there is still a disconnect between the awareness level and </w:t>
      </w:r>
      <w:r w:rsidRPr="007E6B8B">
        <w:rPr>
          <w:rFonts w:ascii="Times New Roman" w:hAnsi="Times New Roman"/>
          <w:sz w:val="24"/>
          <w:szCs w:val="24"/>
        </w:rPr>
        <w:lastRenderedPageBreak/>
        <w:t>practical benefits, meaning that dissemination of information is successful, although the access to political incentives including subsidies is still limited.</w:t>
      </w:r>
    </w:p>
    <w:p w:rsidR="00A64929" w:rsidRPr="0014126E" w:rsidRDefault="00A64929" w:rsidP="00A64929">
      <w:pPr>
        <w:pStyle w:val="NoSpacing"/>
        <w:spacing w:before="240" w:after="240" w:line="360" w:lineRule="auto"/>
        <w:jc w:val="both"/>
        <w:rPr>
          <w:rFonts w:ascii="Times New Roman" w:hAnsi="Times New Roman"/>
          <w:sz w:val="24"/>
          <w:szCs w:val="24"/>
        </w:rPr>
      </w:pPr>
      <w:r w:rsidRPr="0015016C">
        <w:rPr>
          <w:rFonts w:ascii="Times New Roman" w:hAnsi="Times New Roman"/>
          <w:sz w:val="24"/>
          <w:szCs w:val="24"/>
        </w:rPr>
        <w:t xml:space="preserve">Qualitative and secondary </w:t>
      </w:r>
      <w:r>
        <w:rPr>
          <w:rFonts w:ascii="Times New Roman" w:hAnsi="Times New Roman"/>
          <w:sz w:val="24"/>
          <w:szCs w:val="24"/>
        </w:rPr>
        <w:t>data</w:t>
      </w:r>
      <w:r w:rsidRPr="0015016C">
        <w:rPr>
          <w:rFonts w:ascii="Times New Roman" w:hAnsi="Times New Roman"/>
          <w:sz w:val="24"/>
          <w:szCs w:val="24"/>
        </w:rPr>
        <w:t xml:space="preserve"> agrees with this state of awareness-impact. The government has put in place some priority programs such as the elimination of VAT on LPG cylinders, stoves, and other accessories in 2015, the National LPG Master Plan (2016-2025) to deal with the lack of reliance on biomass fuels (Africa Energy Portal, 2024). Such initiatives are consistent with the National Clean Cooking Strategy (2024-2034) that is aiming at the 80</w:t>
      </w:r>
      <w:r>
        <w:rPr>
          <w:rFonts w:ascii="Times New Roman" w:hAnsi="Times New Roman"/>
          <w:sz w:val="24"/>
          <w:szCs w:val="24"/>
        </w:rPr>
        <w:t>%</w:t>
      </w:r>
      <w:r w:rsidRPr="0015016C">
        <w:rPr>
          <w:rFonts w:ascii="Times New Roman" w:hAnsi="Times New Roman"/>
          <w:sz w:val="24"/>
          <w:szCs w:val="24"/>
        </w:rPr>
        <w:t xml:space="preserve"> adoption of clean cooking by 2034. In spite of these efforts, the LPG consumption rate is still fairly low, with an adoption level in Dar es Salaam calculated at less than 20</w:t>
      </w:r>
      <w:r>
        <w:rPr>
          <w:rFonts w:ascii="Times New Roman" w:hAnsi="Times New Roman"/>
          <w:sz w:val="24"/>
          <w:szCs w:val="24"/>
        </w:rPr>
        <w:t>%</w:t>
      </w:r>
      <w:r w:rsidRPr="0015016C">
        <w:rPr>
          <w:rFonts w:ascii="Times New Roman" w:hAnsi="Times New Roman"/>
          <w:sz w:val="24"/>
          <w:szCs w:val="24"/>
        </w:rPr>
        <w:t xml:space="preserve"> (MECS, 2022). The continued use of charcoal that supplies more than half of the household cooking energy in Dar es Salaem (Ministry of Energy, 2024) is another indicator of chronic socio-economic and cultural obstacles that restrict the successful implementation of policy actions.</w:t>
      </w:r>
      <w:r w:rsidRPr="0014126E">
        <w:rPr>
          <w:rFonts w:ascii="Times New Roman" w:hAnsi="Times New Roman"/>
          <w:sz w:val="24"/>
          <w:szCs w:val="24"/>
        </w:rPr>
        <w:t xml:space="preserve"> One of the key informants described it in the following way:</w:t>
      </w:r>
    </w:p>
    <w:p w:rsidR="00A64929" w:rsidRPr="0014126E" w:rsidRDefault="00A64929" w:rsidP="00A64929">
      <w:pPr>
        <w:pStyle w:val="NoSpacing"/>
        <w:spacing w:before="240" w:after="240" w:line="360" w:lineRule="auto"/>
        <w:ind w:left="1440"/>
        <w:jc w:val="both"/>
        <w:rPr>
          <w:rFonts w:ascii="Times New Roman" w:hAnsi="Times New Roman"/>
          <w:sz w:val="24"/>
          <w:szCs w:val="24"/>
        </w:rPr>
      </w:pPr>
      <w:r w:rsidRPr="0014126E">
        <w:rPr>
          <w:rFonts w:ascii="Times New Roman" w:hAnsi="Times New Roman"/>
          <w:sz w:val="24"/>
          <w:szCs w:val="24"/>
        </w:rPr>
        <w:t xml:space="preserve"> “</w:t>
      </w:r>
      <w:r w:rsidRPr="0014126E">
        <w:rPr>
          <w:rFonts w:ascii="Times New Roman" w:hAnsi="Times New Roman"/>
          <w:i/>
          <w:sz w:val="24"/>
          <w:szCs w:val="24"/>
        </w:rPr>
        <w:t>The government subsidy scheme gives households a 50 percent discount on the 6kg LPG cylinder kit though not all eligible households are yet covered by the distribution</w:t>
      </w:r>
      <w:r w:rsidRPr="0014126E">
        <w:rPr>
          <w:rFonts w:ascii="Times New Roman" w:hAnsi="Times New Roman"/>
          <w:sz w:val="24"/>
          <w:szCs w:val="24"/>
        </w:rPr>
        <w:t xml:space="preserve">.” </w:t>
      </w:r>
      <w:r w:rsidRPr="0014126E">
        <w:rPr>
          <w:rFonts w:ascii="Times New Roman" w:hAnsi="Times New Roman"/>
          <w:i/>
          <w:iCs/>
          <w:sz w:val="24"/>
          <w:szCs w:val="24"/>
        </w:rPr>
        <w:t>(KII-MOE, 2026)</w:t>
      </w:r>
    </w:p>
    <w:p w:rsidR="00A64929" w:rsidRPr="00135557" w:rsidRDefault="00A64929" w:rsidP="00A64929">
      <w:pPr>
        <w:spacing w:before="240" w:after="240" w:line="360" w:lineRule="auto"/>
        <w:jc w:val="both"/>
        <w:rPr>
          <w:rFonts w:ascii="Times New Roman" w:eastAsia="Times New Roman" w:hAnsi="Times New Roman" w:cs="Times New Roman"/>
          <w:sz w:val="24"/>
          <w:szCs w:val="24"/>
        </w:rPr>
      </w:pPr>
      <w:r w:rsidRPr="0014126E">
        <w:rPr>
          <w:rFonts w:ascii="Times New Roman" w:eastAsia="Times New Roman" w:hAnsi="Times New Roman" w:cs="Times New Roman"/>
          <w:sz w:val="24"/>
          <w:szCs w:val="24"/>
        </w:rPr>
        <w:t>Also</w:t>
      </w:r>
      <w:r w:rsidRPr="00135557">
        <w:rPr>
          <w:rFonts w:ascii="Times New Roman" w:eastAsia="Times New Roman" w:hAnsi="Times New Roman" w:cs="Times New Roman"/>
          <w:sz w:val="24"/>
          <w:szCs w:val="24"/>
        </w:rPr>
        <w:t>, a distributor emphasized implementation challenges:</w:t>
      </w:r>
    </w:p>
    <w:p w:rsidR="00A64929" w:rsidRPr="0014126E" w:rsidRDefault="00A64929" w:rsidP="00A64929">
      <w:pPr>
        <w:pStyle w:val="NoSpacing"/>
        <w:spacing w:before="240" w:after="240" w:line="360" w:lineRule="auto"/>
        <w:ind w:left="1440"/>
        <w:jc w:val="both"/>
        <w:rPr>
          <w:rFonts w:ascii="Times New Roman" w:hAnsi="Times New Roman"/>
          <w:sz w:val="24"/>
          <w:szCs w:val="24"/>
        </w:rPr>
      </w:pPr>
      <w:r w:rsidRPr="0014126E">
        <w:rPr>
          <w:rFonts w:ascii="Times New Roman" w:hAnsi="Times New Roman"/>
          <w:sz w:val="24"/>
          <w:szCs w:val="24"/>
        </w:rPr>
        <w:t>“The</w:t>
      </w:r>
      <w:r w:rsidRPr="0014126E">
        <w:rPr>
          <w:rFonts w:ascii="Times New Roman" w:hAnsi="Times New Roman"/>
          <w:i/>
          <w:sz w:val="24"/>
          <w:szCs w:val="24"/>
        </w:rPr>
        <w:t xml:space="preserve"> 6kg cylinder is priced at 36,000 TZS, with the government contributing half, although other low-income families are still finding it difficult to dispose of their 18,000 TZS</w:t>
      </w:r>
      <w:r w:rsidRPr="0014126E">
        <w:rPr>
          <w:rFonts w:ascii="Times New Roman" w:hAnsi="Times New Roman"/>
          <w:sz w:val="24"/>
          <w:szCs w:val="24"/>
        </w:rPr>
        <w:t xml:space="preserve">.” </w:t>
      </w:r>
      <w:r w:rsidRPr="0014126E">
        <w:rPr>
          <w:rFonts w:ascii="Times New Roman" w:hAnsi="Times New Roman"/>
          <w:i/>
          <w:iCs/>
          <w:sz w:val="24"/>
          <w:szCs w:val="24"/>
        </w:rPr>
        <w:t>(KII-DIS, 2026)</w:t>
      </w:r>
    </w:p>
    <w:p w:rsidR="00A64929" w:rsidRPr="00D453A1" w:rsidRDefault="00A64929" w:rsidP="00A64929">
      <w:pPr>
        <w:pStyle w:val="NoSpacing"/>
        <w:spacing w:before="240" w:after="240" w:line="360" w:lineRule="auto"/>
        <w:jc w:val="both"/>
        <w:rPr>
          <w:rFonts w:ascii="Times New Roman" w:hAnsi="Times New Roman"/>
          <w:sz w:val="24"/>
          <w:szCs w:val="24"/>
        </w:rPr>
      </w:pPr>
      <w:r w:rsidRPr="0014126E">
        <w:rPr>
          <w:rFonts w:ascii="Times New Roman" w:hAnsi="Times New Roman"/>
          <w:sz w:val="24"/>
          <w:szCs w:val="24"/>
        </w:rPr>
        <w:t xml:space="preserve">These understandings imply that policy awareness may not necessarily be measured as universal access or benefit. The results are in line with previous research that showed that policy solutions like subsidies and promotional activities raise awareness, but obstacles to structural barriers may restrain successful adoption (Mainimo </w:t>
      </w:r>
      <w:r w:rsidRPr="0014126E">
        <w:rPr>
          <w:rFonts w:ascii="Times New Roman" w:hAnsi="Times New Roman"/>
          <w:i/>
          <w:sz w:val="24"/>
          <w:szCs w:val="24"/>
        </w:rPr>
        <w:t>et al.,</w:t>
      </w:r>
      <w:r w:rsidRPr="0014126E">
        <w:rPr>
          <w:rFonts w:ascii="Times New Roman" w:hAnsi="Times New Roman"/>
          <w:sz w:val="24"/>
          <w:szCs w:val="24"/>
        </w:rPr>
        <w:t xml:space="preserve">2022; Oduka </w:t>
      </w:r>
      <w:r w:rsidRPr="0014126E">
        <w:rPr>
          <w:rFonts w:ascii="Times New Roman" w:hAnsi="Times New Roman"/>
          <w:i/>
          <w:sz w:val="24"/>
          <w:szCs w:val="24"/>
        </w:rPr>
        <w:t>et al.,</w:t>
      </w:r>
      <w:r w:rsidRPr="0014126E">
        <w:rPr>
          <w:rFonts w:ascii="Times New Roman" w:hAnsi="Times New Roman"/>
          <w:sz w:val="24"/>
          <w:szCs w:val="24"/>
        </w:rPr>
        <w:t xml:space="preserve">2025). The studies on clean cooking transitions indicate that awareness is a contingent prerequisite to long-term adoption, yet it is not a sufficient factor; the affordability, availability, and efficiency in implementing clean cooking are also determinants. Based on a perspective of Innovation Diffusion (Rogers, 2003) information distribution through communication channels might be effective, but will not be </w:t>
      </w:r>
      <w:r w:rsidRPr="0014126E">
        <w:rPr>
          <w:rFonts w:ascii="Times New Roman" w:hAnsi="Times New Roman"/>
          <w:sz w:val="24"/>
          <w:szCs w:val="24"/>
        </w:rPr>
        <w:lastRenderedPageBreak/>
        <w:t>adopted unless there is perceived relative advantage and practical access. Consequently, the development of useful policy agendas and inclusive implementation systems is imperative in order to achieve maximum environmental and social advantages of reforms on LPG promotion.</w:t>
      </w:r>
    </w:p>
    <w:p w:rsidR="00A64929" w:rsidRPr="00E372FB" w:rsidRDefault="00A64929" w:rsidP="00E372FB">
      <w:pPr>
        <w:pStyle w:val="NoSpacing"/>
        <w:rPr>
          <w:rFonts w:cs="Times New Roman"/>
          <w:b/>
        </w:rPr>
      </w:pPr>
      <w:bookmarkStart w:id="7" w:name="_Toc225336620"/>
      <w:r w:rsidRPr="00E372FB">
        <w:rPr>
          <w:b/>
        </w:rPr>
        <w:t>Proximity to the Nearest LPG Refill or Exchange Station</w:t>
      </w:r>
      <w:bookmarkEnd w:id="7"/>
    </w:p>
    <w:p w:rsidR="00A64929" w:rsidRPr="00E372FB" w:rsidRDefault="00A64929" w:rsidP="00E372FB">
      <w:pPr>
        <w:pStyle w:val="NoSpacing"/>
        <w:spacing w:before="240" w:after="240" w:line="360" w:lineRule="auto"/>
        <w:rPr>
          <w:rFonts w:ascii="Times New Roman" w:hAnsi="Times New Roman" w:cs="Times New Roman"/>
          <w:sz w:val="24"/>
        </w:rPr>
      </w:pPr>
      <w:r w:rsidRPr="00377ADB">
        <w:rPr>
          <w:rFonts w:ascii="Times New Roman" w:hAnsi="Times New Roman" w:cs="Times New Roman"/>
          <w:sz w:val="24"/>
        </w:rPr>
        <w:t>Respondents were asked to indicate the nearest LPG refill or exchange station from their home and their responses were as demonstrated below;</w:t>
      </w:r>
    </w:p>
    <w:p w:rsidR="00A64929" w:rsidRPr="007F2AD0" w:rsidRDefault="00E372FB" w:rsidP="00A64929">
      <w:pPr>
        <w:pStyle w:val="NoSpacing"/>
        <w:rPr>
          <w:rFonts w:ascii="Times New Roman" w:hAnsi="Times New Roman"/>
          <w:b/>
          <w:sz w:val="24"/>
        </w:rPr>
      </w:pPr>
      <w:bookmarkStart w:id="8" w:name="_Toc225336656"/>
      <w:r>
        <w:rPr>
          <w:rFonts w:ascii="Times New Roman" w:hAnsi="Times New Roman"/>
          <w:b/>
          <w:sz w:val="24"/>
        </w:rPr>
        <w:t xml:space="preserve"> </w:t>
      </w:r>
      <w:r w:rsidR="00A64929" w:rsidRPr="007F2AD0">
        <w:rPr>
          <w:rFonts w:ascii="Times New Roman" w:hAnsi="Times New Roman"/>
          <w:b/>
          <w:sz w:val="24"/>
        </w:rPr>
        <w:t xml:space="preserve"> </w:t>
      </w:r>
      <w:bookmarkEnd w:id="8"/>
    </w:p>
    <w:p w:rsidR="003C7807" w:rsidRDefault="003C7807">
      <w:pPr>
        <w:rPr>
          <w:rFonts w:ascii="Times New Roman" w:hAnsi="Times New Roman" w:cs="Times New Roman"/>
          <w:b/>
          <w:sz w:val="24"/>
        </w:rPr>
      </w:pPr>
      <w:r>
        <w:rPr>
          <w:rFonts w:ascii="Times New Roman" w:hAnsi="Times New Roman" w:cs="Times New Roman"/>
          <w:b/>
          <w:sz w:val="24"/>
        </w:rPr>
        <w:br w:type="page"/>
      </w:r>
    </w:p>
    <w:p w:rsidR="00145C74" w:rsidRPr="003C7807" w:rsidRDefault="00145C74" w:rsidP="003C7807">
      <w:pPr>
        <w:pStyle w:val="NoSpacing"/>
        <w:rPr>
          <w:rFonts w:ascii="Times New Roman" w:hAnsi="Times New Roman" w:cs="Times New Roman"/>
          <w:b/>
          <w:sz w:val="24"/>
        </w:rPr>
      </w:pPr>
      <w:r w:rsidRPr="003C7807">
        <w:rPr>
          <w:rFonts w:ascii="Times New Roman" w:hAnsi="Times New Roman" w:cs="Times New Roman"/>
          <w:b/>
          <w:sz w:val="24"/>
        </w:rPr>
        <w:lastRenderedPageBreak/>
        <w:t xml:space="preserve">Table </w:t>
      </w:r>
      <w:r w:rsidRPr="003C7807">
        <w:rPr>
          <w:rFonts w:ascii="Times New Roman" w:hAnsi="Times New Roman" w:cs="Times New Roman"/>
          <w:b/>
          <w:sz w:val="24"/>
        </w:rPr>
        <w:fldChar w:fldCharType="begin"/>
      </w:r>
      <w:r w:rsidRPr="003C7807">
        <w:rPr>
          <w:rFonts w:ascii="Times New Roman" w:hAnsi="Times New Roman" w:cs="Times New Roman"/>
          <w:b/>
          <w:sz w:val="24"/>
        </w:rPr>
        <w:instrText xml:space="preserve"> SEQ Table \* ARABIC </w:instrText>
      </w:r>
      <w:r w:rsidRPr="003C7807">
        <w:rPr>
          <w:rFonts w:ascii="Times New Roman" w:hAnsi="Times New Roman" w:cs="Times New Roman"/>
          <w:b/>
          <w:sz w:val="24"/>
        </w:rPr>
        <w:fldChar w:fldCharType="separate"/>
      </w:r>
      <w:r w:rsidRPr="003C7807">
        <w:rPr>
          <w:rFonts w:ascii="Times New Roman" w:hAnsi="Times New Roman" w:cs="Times New Roman"/>
          <w:b/>
          <w:noProof/>
          <w:sz w:val="24"/>
        </w:rPr>
        <w:t>1</w:t>
      </w:r>
      <w:r w:rsidRPr="003C7807">
        <w:rPr>
          <w:rFonts w:ascii="Times New Roman" w:hAnsi="Times New Roman" w:cs="Times New Roman"/>
          <w:b/>
          <w:sz w:val="24"/>
        </w:rPr>
        <w:fldChar w:fldCharType="end"/>
      </w:r>
      <w:r w:rsidRPr="003C7807">
        <w:rPr>
          <w:rFonts w:ascii="Times New Roman" w:hAnsi="Times New Roman" w:cs="Times New Roman"/>
          <w:b/>
          <w:sz w:val="24"/>
        </w:rPr>
        <w:t xml:space="preserve">: </w:t>
      </w:r>
      <w:r w:rsidRPr="003C7807">
        <w:rPr>
          <w:rFonts w:ascii="Times New Roman" w:hAnsi="Times New Roman" w:cs="Times New Roman"/>
          <w:b/>
          <w:i/>
          <w:sz w:val="24"/>
        </w:rPr>
        <w:t>Proximity to the Nearest LPG Refill or Exchange Station</w:t>
      </w:r>
    </w:p>
    <w:tbl>
      <w:tblPr>
        <w:tblStyle w:val="PlainTable4"/>
        <w:tblW w:w="7765" w:type="dxa"/>
        <w:tblBorders>
          <w:top w:val="single" w:sz="12" w:space="0" w:color="auto"/>
          <w:bottom w:val="single" w:sz="12" w:space="0" w:color="auto"/>
        </w:tblBorders>
        <w:tblLayout w:type="fixed"/>
        <w:tblLook w:val="0000" w:firstRow="0" w:lastRow="0" w:firstColumn="0" w:lastColumn="0" w:noHBand="0" w:noVBand="0"/>
      </w:tblPr>
      <w:tblGrid>
        <w:gridCol w:w="397"/>
        <w:gridCol w:w="3607"/>
        <w:gridCol w:w="1711"/>
        <w:gridCol w:w="2050"/>
      </w:tblGrid>
      <w:tr w:rsidR="00A64929" w:rsidRPr="007F2AD0" w:rsidTr="00575F28">
        <w:trPr>
          <w:cnfStyle w:val="000000100000" w:firstRow="0" w:lastRow="0" w:firstColumn="0" w:lastColumn="0" w:oddVBand="0" w:evenVBand="0" w:oddHBand="1" w:evenHBand="0" w:firstRowFirstColumn="0" w:firstRowLastColumn="0" w:lastRowFirstColumn="0" w:lastRowLastColumn="0"/>
          <w:trHeight w:val="438"/>
        </w:trPr>
        <w:tc>
          <w:tcPr>
            <w:cnfStyle w:val="000010000000" w:firstRow="0" w:lastRow="0" w:firstColumn="0" w:lastColumn="0" w:oddVBand="1" w:evenVBand="0" w:oddHBand="0" w:evenHBand="0" w:firstRowFirstColumn="0" w:firstRowLastColumn="0" w:lastRowFirstColumn="0" w:lastRowLastColumn="0"/>
            <w:tcW w:w="4004" w:type="dxa"/>
            <w:gridSpan w:val="2"/>
            <w:tcBorders>
              <w:bottom w:val="single" w:sz="12" w:space="0" w:color="auto"/>
            </w:tcBorders>
          </w:tcPr>
          <w:p w:rsidR="00A64929" w:rsidRPr="007F23EE" w:rsidRDefault="00A64929" w:rsidP="00575F28">
            <w:pPr>
              <w:autoSpaceDE w:val="0"/>
              <w:autoSpaceDN w:val="0"/>
              <w:adjustRightInd w:val="0"/>
              <w:rPr>
                <w:rFonts w:ascii="Times New Roman" w:hAnsi="Times New Roman" w:cs="Times New Roman"/>
                <w:sz w:val="24"/>
                <w:szCs w:val="24"/>
              </w:rPr>
            </w:pPr>
          </w:p>
        </w:tc>
        <w:tc>
          <w:tcPr>
            <w:tcW w:w="1711" w:type="dxa"/>
            <w:tcBorders>
              <w:bottom w:val="single" w:sz="12" w:space="0" w:color="auto"/>
            </w:tcBorders>
          </w:tcPr>
          <w:p w:rsidR="00A64929" w:rsidRPr="007F23EE" w:rsidRDefault="00A64929" w:rsidP="00575F28">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18"/>
              </w:rPr>
            </w:pPr>
            <w:r w:rsidRPr="007F23EE">
              <w:rPr>
                <w:rFonts w:ascii="Times New Roman" w:hAnsi="Times New Roman" w:cs="Times New Roman"/>
                <w:sz w:val="24"/>
                <w:szCs w:val="18"/>
              </w:rPr>
              <w:t>Frequency</w:t>
            </w:r>
          </w:p>
        </w:tc>
        <w:tc>
          <w:tcPr>
            <w:cnfStyle w:val="000010000000" w:firstRow="0" w:lastRow="0" w:firstColumn="0" w:lastColumn="0" w:oddVBand="1" w:evenVBand="0" w:oddHBand="0" w:evenHBand="0" w:firstRowFirstColumn="0" w:firstRowLastColumn="0" w:lastRowFirstColumn="0" w:lastRowLastColumn="0"/>
            <w:tcW w:w="2050" w:type="dxa"/>
            <w:tcBorders>
              <w:bottom w:val="single" w:sz="12" w:space="0" w:color="auto"/>
            </w:tcBorders>
          </w:tcPr>
          <w:p w:rsidR="00A64929" w:rsidRPr="007F23EE" w:rsidRDefault="00A64929" w:rsidP="00575F28">
            <w:pPr>
              <w:autoSpaceDE w:val="0"/>
              <w:autoSpaceDN w:val="0"/>
              <w:adjustRightInd w:val="0"/>
              <w:spacing w:line="320" w:lineRule="atLeast"/>
              <w:ind w:left="60" w:right="60"/>
              <w:jc w:val="center"/>
              <w:rPr>
                <w:rFonts w:ascii="Times New Roman" w:hAnsi="Times New Roman" w:cs="Times New Roman"/>
                <w:sz w:val="24"/>
                <w:szCs w:val="18"/>
              </w:rPr>
            </w:pPr>
            <w:r w:rsidRPr="007F23EE">
              <w:rPr>
                <w:rFonts w:ascii="Times New Roman" w:hAnsi="Times New Roman" w:cs="Times New Roman"/>
                <w:sz w:val="24"/>
                <w:szCs w:val="18"/>
              </w:rPr>
              <w:t>Percent</w:t>
            </w:r>
          </w:p>
        </w:tc>
      </w:tr>
      <w:tr w:rsidR="00A64929" w:rsidRPr="007F2AD0" w:rsidTr="00575F28">
        <w:trPr>
          <w:trHeight w:val="219"/>
        </w:trPr>
        <w:tc>
          <w:tcPr>
            <w:cnfStyle w:val="000010000000" w:firstRow="0" w:lastRow="0" w:firstColumn="0" w:lastColumn="0" w:oddVBand="1" w:evenVBand="0" w:oddHBand="0" w:evenHBand="0" w:firstRowFirstColumn="0" w:firstRowLastColumn="0" w:lastRowFirstColumn="0" w:lastRowLastColumn="0"/>
            <w:tcW w:w="397" w:type="dxa"/>
            <w:vMerge w:val="restart"/>
            <w:tcBorders>
              <w:top w:val="single" w:sz="12" w:space="0" w:color="auto"/>
            </w:tcBorders>
          </w:tcPr>
          <w:p w:rsidR="00A64929" w:rsidRPr="007F23EE" w:rsidRDefault="00A64929" w:rsidP="00575F28">
            <w:pPr>
              <w:autoSpaceDE w:val="0"/>
              <w:autoSpaceDN w:val="0"/>
              <w:adjustRightInd w:val="0"/>
              <w:spacing w:line="320" w:lineRule="atLeast"/>
              <w:ind w:left="60" w:right="60"/>
              <w:rPr>
                <w:rFonts w:ascii="Times New Roman" w:hAnsi="Times New Roman" w:cs="Times New Roman"/>
                <w:sz w:val="24"/>
                <w:szCs w:val="18"/>
              </w:rPr>
            </w:pPr>
          </w:p>
        </w:tc>
        <w:tc>
          <w:tcPr>
            <w:tcW w:w="3607" w:type="dxa"/>
            <w:tcBorders>
              <w:top w:val="single" w:sz="12" w:space="0" w:color="auto"/>
            </w:tcBorders>
          </w:tcPr>
          <w:p w:rsidR="00A64929" w:rsidRPr="007F23EE" w:rsidRDefault="00A64929" w:rsidP="00575F28">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18"/>
              </w:rPr>
            </w:pPr>
            <w:r w:rsidRPr="007F23EE">
              <w:rPr>
                <w:rFonts w:ascii="Times New Roman" w:hAnsi="Times New Roman" w:cs="Times New Roman"/>
                <w:sz w:val="24"/>
                <w:szCs w:val="18"/>
              </w:rPr>
              <w:t>Less than 500 meters</w:t>
            </w:r>
          </w:p>
        </w:tc>
        <w:tc>
          <w:tcPr>
            <w:cnfStyle w:val="000010000000" w:firstRow="0" w:lastRow="0" w:firstColumn="0" w:lastColumn="0" w:oddVBand="1" w:evenVBand="0" w:oddHBand="0" w:evenHBand="0" w:firstRowFirstColumn="0" w:firstRowLastColumn="0" w:lastRowFirstColumn="0" w:lastRowLastColumn="0"/>
            <w:tcW w:w="1711" w:type="dxa"/>
            <w:tcBorders>
              <w:top w:val="single" w:sz="12" w:space="0" w:color="auto"/>
            </w:tcBorders>
          </w:tcPr>
          <w:p w:rsidR="00A64929" w:rsidRPr="007F23EE" w:rsidRDefault="00A64929" w:rsidP="00575F28">
            <w:pPr>
              <w:autoSpaceDE w:val="0"/>
              <w:autoSpaceDN w:val="0"/>
              <w:adjustRightInd w:val="0"/>
              <w:spacing w:line="320" w:lineRule="atLeast"/>
              <w:ind w:left="60" w:right="60"/>
              <w:jc w:val="center"/>
              <w:rPr>
                <w:rFonts w:ascii="Times New Roman" w:hAnsi="Times New Roman" w:cs="Times New Roman"/>
                <w:sz w:val="24"/>
                <w:szCs w:val="18"/>
              </w:rPr>
            </w:pPr>
            <w:r w:rsidRPr="007F23EE">
              <w:rPr>
                <w:rFonts w:ascii="Times New Roman" w:hAnsi="Times New Roman" w:cs="Times New Roman"/>
                <w:sz w:val="24"/>
                <w:szCs w:val="18"/>
              </w:rPr>
              <w:t>113</w:t>
            </w:r>
          </w:p>
        </w:tc>
        <w:tc>
          <w:tcPr>
            <w:tcW w:w="2050" w:type="dxa"/>
            <w:tcBorders>
              <w:top w:val="single" w:sz="12" w:space="0" w:color="auto"/>
            </w:tcBorders>
          </w:tcPr>
          <w:p w:rsidR="00A64929" w:rsidRPr="007F23EE" w:rsidRDefault="00A64929" w:rsidP="00575F28">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18"/>
              </w:rPr>
            </w:pPr>
            <w:r w:rsidRPr="007F23EE">
              <w:rPr>
                <w:rFonts w:ascii="Times New Roman" w:hAnsi="Times New Roman" w:cs="Times New Roman"/>
                <w:sz w:val="24"/>
                <w:szCs w:val="18"/>
              </w:rPr>
              <w:t>39.0</w:t>
            </w:r>
            <w:r>
              <w:rPr>
                <w:rFonts w:ascii="Times New Roman" w:hAnsi="Times New Roman" w:cs="Times New Roman"/>
                <w:sz w:val="24"/>
                <w:szCs w:val="18"/>
              </w:rPr>
              <w:t>%</w:t>
            </w:r>
          </w:p>
        </w:tc>
      </w:tr>
      <w:tr w:rsidR="00A64929" w:rsidRPr="007F2AD0" w:rsidTr="00575F28">
        <w:trPr>
          <w:cnfStyle w:val="000000100000" w:firstRow="0" w:lastRow="0" w:firstColumn="0" w:lastColumn="0" w:oddVBand="0" w:evenVBand="0" w:oddHBand="1" w:evenHBand="0" w:firstRowFirstColumn="0" w:firstRowLastColumn="0" w:lastRowFirstColumn="0" w:lastRowLastColumn="0"/>
          <w:trHeight w:val="438"/>
        </w:trPr>
        <w:tc>
          <w:tcPr>
            <w:cnfStyle w:val="000010000000" w:firstRow="0" w:lastRow="0" w:firstColumn="0" w:lastColumn="0" w:oddVBand="1" w:evenVBand="0" w:oddHBand="0" w:evenHBand="0" w:firstRowFirstColumn="0" w:firstRowLastColumn="0" w:lastRowFirstColumn="0" w:lastRowLastColumn="0"/>
            <w:tcW w:w="397" w:type="dxa"/>
            <w:vMerge/>
          </w:tcPr>
          <w:p w:rsidR="00A64929" w:rsidRPr="007F23EE" w:rsidRDefault="00A64929" w:rsidP="00575F28">
            <w:pPr>
              <w:autoSpaceDE w:val="0"/>
              <w:autoSpaceDN w:val="0"/>
              <w:adjustRightInd w:val="0"/>
              <w:rPr>
                <w:rFonts w:ascii="Times New Roman" w:hAnsi="Times New Roman" w:cs="Times New Roman"/>
                <w:sz w:val="24"/>
                <w:szCs w:val="18"/>
              </w:rPr>
            </w:pPr>
          </w:p>
        </w:tc>
        <w:tc>
          <w:tcPr>
            <w:tcW w:w="3607" w:type="dxa"/>
          </w:tcPr>
          <w:p w:rsidR="00A64929" w:rsidRPr="007F23EE" w:rsidRDefault="00A64929" w:rsidP="00575F28">
            <w:pPr>
              <w:autoSpaceDE w:val="0"/>
              <w:autoSpaceDN w:val="0"/>
              <w:adjustRightInd w:val="0"/>
              <w:spacing w:line="320" w:lineRule="atLeast"/>
              <w:ind w:left="-320" w:right="60" w:firstLine="3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18"/>
              </w:rPr>
            </w:pPr>
            <w:r w:rsidRPr="007F23EE">
              <w:rPr>
                <w:rFonts w:ascii="Times New Roman" w:hAnsi="Times New Roman" w:cs="Times New Roman"/>
                <w:sz w:val="24"/>
                <w:szCs w:val="18"/>
              </w:rPr>
              <w:t>500 meters – 2 kilometers</w:t>
            </w:r>
          </w:p>
        </w:tc>
        <w:tc>
          <w:tcPr>
            <w:cnfStyle w:val="000010000000" w:firstRow="0" w:lastRow="0" w:firstColumn="0" w:lastColumn="0" w:oddVBand="1" w:evenVBand="0" w:oddHBand="0" w:evenHBand="0" w:firstRowFirstColumn="0" w:firstRowLastColumn="0" w:lastRowFirstColumn="0" w:lastRowLastColumn="0"/>
            <w:tcW w:w="1711" w:type="dxa"/>
          </w:tcPr>
          <w:p w:rsidR="00A64929" w:rsidRPr="007F23EE" w:rsidRDefault="00A64929" w:rsidP="00575F28">
            <w:pPr>
              <w:autoSpaceDE w:val="0"/>
              <w:autoSpaceDN w:val="0"/>
              <w:adjustRightInd w:val="0"/>
              <w:spacing w:line="320" w:lineRule="atLeast"/>
              <w:ind w:left="60" w:right="60"/>
              <w:jc w:val="center"/>
              <w:rPr>
                <w:rFonts w:ascii="Times New Roman" w:hAnsi="Times New Roman" w:cs="Times New Roman"/>
                <w:sz w:val="24"/>
                <w:szCs w:val="18"/>
              </w:rPr>
            </w:pPr>
            <w:r w:rsidRPr="007F23EE">
              <w:rPr>
                <w:rFonts w:ascii="Times New Roman" w:hAnsi="Times New Roman" w:cs="Times New Roman"/>
                <w:sz w:val="24"/>
                <w:szCs w:val="18"/>
              </w:rPr>
              <w:t>65</w:t>
            </w:r>
          </w:p>
        </w:tc>
        <w:tc>
          <w:tcPr>
            <w:tcW w:w="2050" w:type="dxa"/>
          </w:tcPr>
          <w:p w:rsidR="00A64929" w:rsidRPr="007F23EE" w:rsidRDefault="00A64929" w:rsidP="00575F28">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18"/>
              </w:rPr>
            </w:pPr>
            <w:r w:rsidRPr="007F23EE">
              <w:rPr>
                <w:rFonts w:ascii="Times New Roman" w:hAnsi="Times New Roman" w:cs="Times New Roman"/>
                <w:sz w:val="24"/>
                <w:szCs w:val="18"/>
              </w:rPr>
              <w:t>22.4</w:t>
            </w:r>
            <w:r>
              <w:rPr>
                <w:rFonts w:ascii="Times New Roman" w:hAnsi="Times New Roman" w:cs="Times New Roman"/>
                <w:sz w:val="24"/>
                <w:szCs w:val="18"/>
              </w:rPr>
              <w:t>%</w:t>
            </w:r>
          </w:p>
        </w:tc>
      </w:tr>
      <w:tr w:rsidR="00A64929" w:rsidRPr="007F2AD0" w:rsidTr="00575F28">
        <w:trPr>
          <w:trHeight w:val="438"/>
        </w:trPr>
        <w:tc>
          <w:tcPr>
            <w:cnfStyle w:val="000010000000" w:firstRow="0" w:lastRow="0" w:firstColumn="0" w:lastColumn="0" w:oddVBand="1" w:evenVBand="0" w:oddHBand="0" w:evenHBand="0" w:firstRowFirstColumn="0" w:firstRowLastColumn="0" w:lastRowFirstColumn="0" w:lastRowLastColumn="0"/>
            <w:tcW w:w="397" w:type="dxa"/>
            <w:vMerge/>
          </w:tcPr>
          <w:p w:rsidR="00A64929" w:rsidRPr="007F23EE" w:rsidRDefault="00A64929" w:rsidP="00575F28">
            <w:pPr>
              <w:autoSpaceDE w:val="0"/>
              <w:autoSpaceDN w:val="0"/>
              <w:adjustRightInd w:val="0"/>
              <w:rPr>
                <w:rFonts w:ascii="Times New Roman" w:hAnsi="Times New Roman" w:cs="Times New Roman"/>
                <w:sz w:val="24"/>
                <w:szCs w:val="18"/>
              </w:rPr>
            </w:pPr>
          </w:p>
        </w:tc>
        <w:tc>
          <w:tcPr>
            <w:tcW w:w="3607" w:type="dxa"/>
          </w:tcPr>
          <w:p w:rsidR="00A64929" w:rsidRPr="007F23EE" w:rsidRDefault="00A64929" w:rsidP="00575F28">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18"/>
              </w:rPr>
            </w:pPr>
            <w:r w:rsidRPr="007F23EE">
              <w:rPr>
                <w:rFonts w:ascii="Times New Roman" w:hAnsi="Times New Roman" w:cs="Times New Roman"/>
                <w:sz w:val="24"/>
                <w:szCs w:val="18"/>
              </w:rPr>
              <w:t>More than 2 kilometers</w:t>
            </w:r>
          </w:p>
        </w:tc>
        <w:tc>
          <w:tcPr>
            <w:cnfStyle w:val="000010000000" w:firstRow="0" w:lastRow="0" w:firstColumn="0" w:lastColumn="0" w:oddVBand="1" w:evenVBand="0" w:oddHBand="0" w:evenHBand="0" w:firstRowFirstColumn="0" w:firstRowLastColumn="0" w:lastRowFirstColumn="0" w:lastRowLastColumn="0"/>
            <w:tcW w:w="1711" w:type="dxa"/>
          </w:tcPr>
          <w:p w:rsidR="00A64929" w:rsidRPr="007F23EE" w:rsidRDefault="00A64929" w:rsidP="00575F28">
            <w:pPr>
              <w:autoSpaceDE w:val="0"/>
              <w:autoSpaceDN w:val="0"/>
              <w:adjustRightInd w:val="0"/>
              <w:spacing w:line="320" w:lineRule="atLeast"/>
              <w:ind w:left="60" w:right="60"/>
              <w:jc w:val="center"/>
              <w:rPr>
                <w:rFonts w:ascii="Times New Roman" w:hAnsi="Times New Roman" w:cs="Times New Roman"/>
                <w:sz w:val="24"/>
                <w:szCs w:val="18"/>
              </w:rPr>
            </w:pPr>
            <w:r w:rsidRPr="007F23EE">
              <w:rPr>
                <w:rFonts w:ascii="Times New Roman" w:hAnsi="Times New Roman" w:cs="Times New Roman"/>
                <w:sz w:val="24"/>
                <w:szCs w:val="18"/>
              </w:rPr>
              <w:t>56</w:t>
            </w:r>
          </w:p>
        </w:tc>
        <w:tc>
          <w:tcPr>
            <w:tcW w:w="2050" w:type="dxa"/>
          </w:tcPr>
          <w:p w:rsidR="00A64929" w:rsidRPr="007F23EE" w:rsidRDefault="00A64929" w:rsidP="00575F28">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18"/>
              </w:rPr>
            </w:pPr>
            <w:r w:rsidRPr="007F23EE">
              <w:rPr>
                <w:rFonts w:ascii="Times New Roman" w:hAnsi="Times New Roman" w:cs="Times New Roman"/>
                <w:sz w:val="24"/>
                <w:szCs w:val="18"/>
              </w:rPr>
              <w:t>19.3</w:t>
            </w:r>
            <w:r>
              <w:rPr>
                <w:rFonts w:ascii="Times New Roman" w:hAnsi="Times New Roman" w:cs="Times New Roman"/>
                <w:sz w:val="24"/>
                <w:szCs w:val="18"/>
              </w:rPr>
              <w:t>%</w:t>
            </w:r>
          </w:p>
        </w:tc>
      </w:tr>
      <w:tr w:rsidR="00A64929" w:rsidRPr="007F2AD0" w:rsidTr="00575F28">
        <w:trPr>
          <w:cnfStyle w:val="000000100000" w:firstRow="0" w:lastRow="0" w:firstColumn="0" w:lastColumn="0" w:oddVBand="0" w:evenVBand="0" w:oddHBand="1" w:evenHBand="0" w:firstRowFirstColumn="0" w:firstRowLastColumn="0" w:lastRowFirstColumn="0" w:lastRowLastColumn="0"/>
          <w:trHeight w:val="438"/>
        </w:trPr>
        <w:tc>
          <w:tcPr>
            <w:cnfStyle w:val="000010000000" w:firstRow="0" w:lastRow="0" w:firstColumn="0" w:lastColumn="0" w:oddVBand="1" w:evenVBand="0" w:oddHBand="0" w:evenHBand="0" w:firstRowFirstColumn="0" w:firstRowLastColumn="0" w:lastRowFirstColumn="0" w:lastRowLastColumn="0"/>
            <w:tcW w:w="397" w:type="dxa"/>
            <w:vMerge/>
          </w:tcPr>
          <w:p w:rsidR="00A64929" w:rsidRPr="007F23EE" w:rsidRDefault="00A64929" w:rsidP="00575F28">
            <w:pPr>
              <w:autoSpaceDE w:val="0"/>
              <w:autoSpaceDN w:val="0"/>
              <w:adjustRightInd w:val="0"/>
              <w:rPr>
                <w:rFonts w:ascii="Times New Roman" w:hAnsi="Times New Roman" w:cs="Times New Roman"/>
                <w:sz w:val="24"/>
                <w:szCs w:val="18"/>
              </w:rPr>
            </w:pPr>
          </w:p>
        </w:tc>
        <w:tc>
          <w:tcPr>
            <w:tcW w:w="3607" w:type="dxa"/>
            <w:tcBorders>
              <w:bottom w:val="single" w:sz="12" w:space="0" w:color="auto"/>
            </w:tcBorders>
          </w:tcPr>
          <w:p w:rsidR="00A64929" w:rsidRPr="007F23EE" w:rsidRDefault="00A64929" w:rsidP="00575F28">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18"/>
              </w:rPr>
            </w:pPr>
            <w:r w:rsidRPr="007F23EE">
              <w:rPr>
                <w:rFonts w:ascii="Times New Roman" w:hAnsi="Times New Roman" w:cs="Times New Roman"/>
                <w:sz w:val="24"/>
                <w:szCs w:val="18"/>
              </w:rPr>
              <w:t>No refill station in my area</w:t>
            </w:r>
          </w:p>
        </w:tc>
        <w:tc>
          <w:tcPr>
            <w:cnfStyle w:val="000010000000" w:firstRow="0" w:lastRow="0" w:firstColumn="0" w:lastColumn="0" w:oddVBand="1" w:evenVBand="0" w:oddHBand="0" w:evenHBand="0" w:firstRowFirstColumn="0" w:firstRowLastColumn="0" w:lastRowFirstColumn="0" w:lastRowLastColumn="0"/>
            <w:tcW w:w="1711" w:type="dxa"/>
            <w:tcBorders>
              <w:bottom w:val="single" w:sz="12" w:space="0" w:color="auto"/>
            </w:tcBorders>
          </w:tcPr>
          <w:p w:rsidR="00A64929" w:rsidRPr="007F23EE" w:rsidRDefault="00A64929" w:rsidP="00575F28">
            <w:pPr>
              <w:autoSpaceDE w:val="0"/>
              <w:autoSpaceDN w:val="0"/>
              <w:adjustRightInd w:val="0"/>
              <w:spacing w:line="320" w:lineRule="atLeast"/>
              <w:ind w:left="60" w:right="60"/>
              <w:jc w:val="center"/>
              <w:rPr>
                <w:rFonts w:ascii="Times New Roman" w:hAnsi="Times New Roman" w:cs="Times New Roman"/>
                <w:sz w:val="24"/>
                <w:szCs w:val="18"/>
              </w:rPr>
            </w:pPr>
            <w:r w:rsidRPr="007F23EE">
              <w:rPr>
                <w:rFonts w:ascii="Times New Roman" w:hAnsi="Times New Roman" w:cs="Times New Roman"/>
                <w:sz w:val="24"/>
                <w:szCs w:val="18"/>
              </w:rPr>
              <w:t>56</w:t>
            </w:r>
          </w:p>
        </w:tc>
        <w:tc>
          <w:tcPr>
            <w:tcW w:w="2050" w:type="dxa"/>
            <w:tcBorders>
              <w:bottom w:val="single" w:sz="12" w:space="0" w:color="auto"/>
            </w:tcBorders>
          </w:tcPr>
          <w:p w:rsidR="00A64929" w:rsidRPr="007F23EE" w:rsidRDefault="00A64929" w:rsidP="00575F28">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18"/>
              </w:rPr>
            </w:pPr>
            <w:r w:rsidRPr="007F23EE">
              <w:rPr>
                <w:rFonts w:ascii="Times New Roman" w:hAnsi="Times New Roman" w:cs="Times New Roman"/>
                <w:sz w:val="24"/>
                <w:szCs w:val="18"/>
              </w:rPr>
              <w:t>19.3</w:t>
            </w:r>
            <w:r>
              <w:rPr>
                <w:rFonts w:ascii="Times New Roman" w:hAnsi="Times New Roman" w:cs="Times New Roman"/>
                <w:sz w:val="24"/>
                <w:szCs w:val="18"/>
              </w:rPr>
              <w:t>%</w:t>
            </w:r>
          </w:p>
        </w:tc>
      </w:tr>
      <w:tr w:rsidR="00A64929" w:rsidRPr="007F2AD0" w:rsidTr="00575F28">
        <w:trPr>
          <w:trHeight w:val="240"/>
        </w:trPr>
        <w:tc>
          <w:tcPr>
            <w:cnfStyle w:val="000010000000" w:firstRow="0" w:lastRow="0" w:firstColumn="0" w:lastColumn="0" w:oddVBand="1" w:evenVBand="0" w:oddHBand="0" w:evenHBand="0" w:firstRowFirstColumn="0" w:firstRowLastColumn="0" w:lastRowFirstColumn="0" w:lastRowLastColumn="0"/>
            <w:tcW w:w="397" w:type="dxa"/>
            <w:vMerge/>
          </w:tcPr>
          <w:p w:rsidR="00A64929" w:rsidRPr="007F23EE" w:rsidRDefault="00A64929" w:rsidP="00575F28">
            <w:pPr>
              <w:autoSpaceDE w:val="0"/>
              <w:autoSpaceDN w:val="0"/>
              <w:adjustRightInd w:val="0"/>
              <w:rPr>
                <w:rFonts w:ascii="Times New Roman" w:hAnsi="Times New Roman" w:cs="Times New Roman"/>
                <w:sz w:val="24"/>
                <w:szCs w:val="18"/>
              </w:rPr>
            </w:pPr>
          </w:p>
        </w:tc>
        <w:tc>
          <w:tcPr>
            <w:tcW w:w="3607" w:type="dxa"/>
            <w:tcBorders>
              <w:top w:val="single" w:sz="12" w:space="0" w:color="auto"/>
            </w:tcBorders>
          </w:tcPr>
          <w:p w:rsidR="00A64929" w:rsidRPr="007F23EE" w:rsidRDefault="00A64929" w:rsidP="00575F28">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18"/>
              </w:rPr>
            </w:pPr>
            <w:r w:rsidRPr="007F23EE">
              <w:rPr>
                <w:rFonts w:ascii="Times New Roman" w:hAnsi="Times New Roman" w:cs="Times New Roman"/>
                <w:sz w:val="24"/>
                <w:szCs w:val="18"/>
              </w:rPr>
              <w:t>Total</w:t>
            </w:r>
          </w:p>
        </w:tc>
        <w:tc>
          <w:tcPr>
            <w:cnfStyle w:val="000010000000" w:firstRow="0" w:lastRow="0" w:firstColumn="0" w:lastColumn="0" w:oddVBand="1" w:evenVBand="0" w:oddHBand="0" w:evenHBand="0" w:firstRowFirstColumn="0" w:firstRowLastColumn="0" w:lastRowFirstColumn="0" w:lastRowLastColumn="0"/>
            <w:tcW w:w="1711" w:type="dxa"/>
            <w:tcBorders>
              <w:top w:val="single" w:sz="12" w:space="0" w:color="auto"/>
            </w:tcBorders>
          </w:tcPr>
          <w:p w:rsidR="00A64929" w:rsidRPr="007F23EE" w:rsidRDefault="00A64929" w:rsidP="00575F28">
            <w:pPr>
              <w:autoSpaceDE w:val="0"/>
              <w:autoSpaceDN w:val="0"/>
              <w:adjustRightInd w:val="0"/>
              <w:spacing w:line="320" w:lineRule="atLeast"/>
              <w:ind w:left="60" w:right="60"/>
              <w:jc w:val="center"/>
              <w:rPr>
                <w:rFonts w:ascii="Times New Roman" w:hAnsi="Times New Roman" w:cs="Times New Roman"/>
                <w:sz w:val="24"/>
                <w:szCs w:val="18"/>
              </w:rPr>
            </w:pPr>
            <w:r w:rsidRPr="007F23EE">
              <w:rPr>
                <w:rFonts w:ascii="Times New Roman" w:hAnsi="Times New Roman" w:cs="Times New Roman"/>
                <w:sz w:val="24"/>
                <w:szCs w:val="18"/>
              </w:rPr>
              <w:t>290</w:t>
            </w:r>
          </w:p>
        </w:tc>
        <w:tc>
          <w:tcPr>
            <w:tcW w:w="2050" w:type="dxa"/>
            <w:tcBorders>
              <w:top w:val="single" w:sz="12" w:space="0" w:color="auto"/>
            </w:tcBorders>
          </w:tcPr>
          <w:p w:rsidR="00A64929" w:rsidRPr="007F23EE" w:rsidRDefault="00A64929" w:rsidP="00575F28">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18"/>
              </w:rPr>
            </w:pPr>
            <w:r w:rsidRPr="007F23EE">
              <w:rPr>
                <w:rFonts w:ascii="Times New Roman" w:hAnsi="Times New Roman" w:cs="Times New Roman"/>
                <w:sz w:val="24"/>
                <w:szCs w:val="18"/>
              </w:rPr>
              <w:t>100.0</w:t>
            </w:r>
            <w:r>
              <w:rPr>
                <w:rFonts w:ascii="Times New Roman" w:hAnsi="Times New Roman" w:cs="Times New Roman"/>
                <w:sz w:val="24"/>
                <w:szCs w:val="18"/>
              </w:rPr>
              <w:t>%</w:t>
            </w:r>
          </w:p>
        </w:tc>
      </w:tr>
    </w:tbl>
    <w:p w:rsidR="00A64929" w:rsidRPr="007F23EE" w:rsidRDefault="00A64929" w:rsidP="00A64929">
      <w:pPr>
        <w:pStyle w:val="NoSpacing"/>
        <w:spacing w:before="240" w:after="240" w:line="360" w:lineRule="auto"/>
        <w:ind w:left="6480"/>
        <w:jc w:val="both"/>
        <w:rPr>
          <w:rFonts w:ascii="Times New Roman" w:hAnsi="Times New Roman"/>
          <w:sz w:val="24"/>
          <w:szCs w:val="24"/>
        </w:rPr>
      </w:pPr>
      <w:r w:rsidRPr="009A0C6B">
        <w:rPr>
          <w:rFonts w:ascii="Times New Roman" w:hAnsi="Times New Roman"/>
          <w:sz w:val="24"/>
          <w:szCs w:val="24"/>
        </w:rPr>
        <w:t>(Source: Researcher, 2026)</w:t>
      </w:r>
    </w:p>
    <w:p w:rsidR="00A64929" w:rsidRPr="00D02A85" w:rsidRDefault="00A64929" w:rsidP="00A64929">
      <w:pPr>
        <w:pStyle w:val="NoSpacing"/>
        <w:spacing w:line="360" w:lineRule="auto"/>
        <w:jc w:val="both"/>
        <w:rPr>
          <w:rFonts w:ascii="Times New Roman" w:hAnsi="Times New Roman"/>
          <w:sz w:val="24"/>
          <w:szCs w:val="24"/>
        </w:rPr>
      </w:pPr>
      <w:r>
        <w:rPr>
          <w:rFonts w:ascii="Times New Roman" w:hAnsi="Times New Roman"/>
          <w:sz w:val="24"/>
          <w:szCs w:val="24"/>
        </w:rPr>
        <w:t xml:space="preserve">Table </w:t>
      </w:r>
      <w:r w:rsidR="00E30712">
        <w:rPr>
          <w:rFonts w:ascii="Times New Roman" w:hAnsi="Times New Roman"/>
          <w:sz w:val="24"/>
          <w:szCs w:val="24"/>
        </w:rPr>
        <w:t>1</w:t>
      </w:r>
      <w:r w:rsidRPr="00D02A85">
        <w:rPr>
          <w:rFonts w:ascii="Times New Roman" w:hAnsi="Times New Roman"/>
          <w:sz w:val="24"/>
          <w:szCs w:val="24"/>
        </w:rPr>
        <w:t xml:space="preserve"> reveals that 39.0% of the households are less than 500 meters away to an LPG refill or exchange station suggesting that the physical access of a sizeable portion of respondents remains relatively good. Nonetheless, 22.4% moved 500 meters to 2 kilometers and 19.3% moved over 2 kilometers. It is worth noting that 19.3% of them stated that there was no refill station in their locality. These results indicate that even with sufficient accessibility of many urban households, the existence of spatial inequalities in the distribution systems could imply inability to fully depend on LPG in some regions.</w:t>
      </w:r>
    </w:p>
    <w:p w:rsidR="00A64929" w:rsidRPr="00D02A85" w:rsidRDefault="00A64929" w:rsidP="00A64929">
      <w:pPr>
        <w:pStyle w:val="NoSpacing"/>
        <w:spacing w:line="360" w:lineRule="auto"/>
        <w:jc w:val="both"/>
        <w:rPr>
          <w:rFonts w:ascii="Times New Roman" w:hAnsi="Times New Roman"/>
          <w:sz w:val="24"/>
          <w:szCs w:val="24"/>
        </w:rPr>
      </w:pPr>
      <w:r w:rsidRPr="00D02A85">
        <w:rPr>
          <w:rFonts w:ascii="Times New Roman" w:hAnsi="Times New Roman"/>
          <w:sz w:val="24"/>
          <w:szCs w:val="24"/>
        </w:rPr>
        <w:t xml:space="preserve">The qualitative results support the value of proximity. </w:t>
      </w:r>
      <w:r>
        <w:rPr>
          <w:rFonts w:ascii="Times New Roman" w:hAnsi="Times New Roman"/>
          <w:sz w:val="24"/>
          <w:szCs w:val="24"/>
        </w:rPr>
        <w:t>O</w:t>
      </w:r>
      <w:r w:rsidRPr="00D02A85">
        <w:rPr>
          <w:rFonts w:ascii="Times New Roman" w:hAnsi="Times New Roman"/>
          <w:sz w:val="24"/>
          <w:szCs w:val="24"/>
        </w:rPr>
        <w:t>ne distributor noted:</w:t>
      </w:r>
    </w:p>
    <w:p w:rsidR="00A64929" w:rsidRPr="00D02A85" w:rsidRDefault="00A64929" w:rsidP="00A64929">
      <w:pPr>
        <w:pStyle w:val="NoSpacing"/>
        <w:spacing w:line="360" w:lineRule="auto"/>
        <w:ind w:left="1440"/>
        <w:jc w:val="both"/>
        <w:rPr>
          <w:rFonts w:ascii="Times New Roman" w:hAnsi="Times New Roman"/>
          <w:sz w:val="24"/>
          <w:szCs w:val="24"/>
        </w:rPr>
      </w:pPr>
      <w:r w:rsidRPr="00D02A85">
        <w:rPr>
          <w:rFonts w:ascii="Times New Roman" w:hAnsi="Times New Roman"/>
          <w:sz w:val="24"/>
          <w:szCs w:val="24"/>
        </w:rPr>
        <w:t>“</w:t>
      </w:r>
      <w:r w:rsidRPr="00D02A85">
        <w:rPr>
          <w:rFonts w:ascii="Times New Roman" w:hAnsi="Times New Roman"/>
          <w:i/>
          <w:sz w:val="24"/>
          <w:szCs w:val="24"/>
        </w:rPr>
        <w:t>We are establishing additional refill points to facilitate the distance yet all the neighborhoods are not equipped with a nearby location of regular LPG change.</w:t>
      </w:r>
      <w:r w:rsidRPr="00D02A85">
        <w:rPr>
          <w:rFonts w:ascii="Times New Roman" w:hAnsi="Times New Roman"/>
          <w:sz w:val="24"/>
          <w:szCs w:val="24"/>
        </w:rPr>
        <w:t xml:space="preserve">” </w:t>
      </w:r>
      <w:r w:rsidRPr="00D02A85">
        <w:rPr>
          <w:rFonts w:ascii="Times New Roman" w:hAnsi="Times New Roman"/>
          <w:i/>
          <w:iCs/>
          <w:sz w:val="24"/>
          <w:szCs w:val="24"/>
        </w:rPr>
        <w:t>(KII-DIS, 2026)</w:t>
      </w:r>
    </w:p>
    <w:p w:rsidR="00A64929" w:rsidRPr="00B355EA" w:rsidRDefault="00A64929" w:rsidP="00A64929">
      <w:pPr>
        <w:spacing w:before="100" w:beforeAutospacing="1" w:after="100" w:afterAutospacing="1" w:line="360" w:lineRule="auto"/>
        <w:jc w:val="both"/>
        <w:rPr>
          <w:rFonts w:ascii="Times New Roman" w:eastAsia="Times New Roman" w:hAnsi="Times New Roman" w:cs="Times New Roman"/>
          <w:sz w:val="24"/>
          <w:szCs w:val="24"/>
        </w:rPr>
      </w:pPr>
      <w:r w:rsidRPr="00D02A85">
        <w:rPr>
          <w:rFonts w:ascii="Times New Roman" w:eastAsia="Times New Roman" w:hAnsi="Times New Roman" w:cs="Times New Roman"/>
          <w:sz w:val="24"/>
          <w:szCs w:val="24"/>
        </w:rPr>
        <w:t>On the same note</w:t>
      </w:r>
      <w:r w:rsidRPr="00B355EA">
        <w:rPr>
          <w:rFonts w:ascii="Times New Roman" w:eastAsia="Times New Roman" w:hAnsi="Times New Roman" w:cs="Times New Roman"/>
          <w:sz w:val="24"/>
          <w:szCs w:val="24"/>
        </w:rPr>
        <w:t>, a ministry official noted:</w:t>
      </w:r>
    </w:p>
    <w:p w:rsidR="00A64929" w:rsidRPr="00D02A85" w:rsidRDefault="00A64929" w:rsidP="00A64929">
      <w:pPr>
        <w:pStyle w:val="NoSpacing"/>
        <w:spacing w:line="360" w:lineRule="auto"/>
        <w:ind w:left="1440"/>
        <w:jc w:val="both"/>
        <w:rPr>
          <w:rFonts w:ascii="Times New Roman" w:hAnsi="Times New Roman"/>
          <w:sz w:val="24"/>
          <w:szCs w:val="24"/>
        </w:rPr>
      </w:pPr>
      <w:r w:rsidRPr="00D02A85">
        <w:rPr>
          <w:rFonts w:ascii="Times New Roman" w:hAnsi="Times New Roman"/>
          <w:sz w:val="24"/>
          <w:szCs w:val="24"/>
        </w:rPr>
        <w:t>“</w:t>
      </w:r>
      <w:r w:rsidRPr="00D02A85">
        <w:rPr>
          <w:rFonts w:ascii="Times New Roman" w:hAnsi="Times New Roman"/>
          <w:i/>
          <w:sz w:val="24"/>
          <w:szCs w:val="24"/>
        </w:rPr>
        <w:t>Distribution coverage is also to be enhanced, as more households are likely to be reliant on LPG in case refill services are easily accessible in their communities</w:t>
      </w:r>
      <w:r w:rsidRPr="00D02A85">
        <w:rPr>
          <w:rFonts w:ascii="Times New Roman" w:hAnsi="Times New Roman"/>
          <w:sz w:val="24"/>
          <w:szCs w:val="24"/>
        </w:rPr>
        <w:t xml:space="preserve">.” </w:t>
      </w:r>
      <w:r w:rsidRPr="00D02A85">
        <w:rPr>
          <w:rFonts w:ascii="Times New Roman" w:hAnsi="Times New Roman"/>
          <w:i/>
          <w:iCs/>
          <w:sz w:val="24"/>
          <w:szCs w:val="24"/>
        </w:rPr>
        <w:t>(KII-MOE, 2026)</w:t>
      </w:r>
    </w:p>
    <w:p w:rsidR="00A64929" w:rsidRPr="00D02A85" w:rsidRDefault="00A64929" w:rsidP="00A64929">
      <w:pPr>
        <w:pStyle w:val="NoSpacing"/>
        <w:spacing w:before="240" w:after="240" w:line="360" w:lineRule="auto"/>
        <w:jc w:val="both"/>
        <w:rPr>
          <w:rFonts w:ascii="Times New Roman" w:hAnsi="Times New Roman"/>
          <w:sz w:val="24"/>
          <w:szCs w:val="24"/>
        </w:rPr>
      </w:pPr>
      <w:r w:rsidRPr="00D02A85">
        <w:rPr>
          <w:rFonts w:ascii="Times New Roman" w:hAnsi="Times New Roman"/>
          <w:sz w:val="24"/>
          <w:szCs w:val="24"/>
        </w:rPr>
        <w:t xml:space="preserve">These findings demonstrate that physical access is a highly significant factor in establishing long-term LPG use. The findings coincide with the earlier researches that demonstrated that the distance to refill stations is an important variable that predetermines the exclusive use of LPG (Kowsari and Zerriffi, 2011; Grimsby </w:t>
      </w:r>
      <w:r w:rsidRPr="00D02A85">
        <w:rPr>
          <w:rFonts w:ascii="Times New Roman" w:hAnsi="Times New Roman"/>
          <w:i/>
          <w:sz w:val="24"/>
          <w:szCs w:val="24"/>
        </w:rPr>
        <w:t>et al.,</w:t>
      </w:r>
      <w:r w:rsidRPr="00D02A85">
        <w:rPr>
          <w:rFonts w:ascii="Times New Roman" w:hAnsi="Times New Roman"/>
          <w:sz w:val="24"/>
          <w:szCs w:val="24"/>
        </w:rPr>
        <w:t xml:space="preserve"> 2024). The study on urban Africa has shown that distance to shop increases the cost of transactions and is an incentive to fuel stacking, particularly between </w:t>
      </w:r>
      <w:r w:rsidRPr="00D02A85">
        <w:rPr>
          <w:rFonts w:ascii="Times New Roman" w:hAnsi="Times New Roman"/>
          <w:sz w:val="24"/>
          <w:szCs w:val="24"/>
        </w:rPr>
        <w:lastRenderedPageBreak/>
        <w:t>the households with low income. Both distribution infrastructure and market density are considered to be significant aspects of clean cooking changes, in terms of the energy access. Therefore, the introduction of the refill networks and the fair spatial coverage is a significant contribution to the strengthening of the LPG sustainability and environmental safety in Tanzania.</w:t>
      </w:r>
    </w:p>
    <w:p w:rsidR="00A64929" w:rsidRPr="00E30712" w:rsidRDefault="00A64929" w:rsidP="00E30712">
      <w:pPr>
        <w:pStyle w:val="NoSpacing"/>
        <w:rPr>
          <w:rFonts w:ascii="Times New Roman" w:hAnsi="Times New Roman" w:cs="Times New Roman"/>
          <w:b/>
          <w:sz w:val="24"/>
        </w:rPr>
      </w:pPr>
      <w:bookmarkStart w:id="9" w:name="_Toc225336621"/>
      <w:r w:rsidRPr="00E30712">
        <w:rPr>
          <w:rFonts w:ascii="Times New Roman" w:hAnsi="Times New Roman" w:cs="Times New Roman"/>
          <w:b/>
          <w:sz w:val="24"/>
        </w:rPr>
        <w:t>Policies and Initiatives that Promote LPG use</w:t>
      </w:r>
      <w:bookmarkEnd w:id="9"/>
    </w:p>
    <w:p w:rsidR="00A64929" w:rsidRDefault="00A64929" w:rsidP="00A64929">
      <w:pPr>
        <w:pStyle w:val="NoSpacing"/>
        <w:spacing w:before="240" w:after="240" w:line="360" w:lineRule="auto"/>
        <w:jc w:val="both"/>
        <w:rPr>
          <w:rFonts w:ascii="Times New Roman" w:hAnsi="Times New Roman"/>
          <w:sz w:val="24"/>
        </w:rPr>
      </w:pPr>
      <w:r w:rsidRPr="00B951B2">
        <w:rPr>
          <w:rFonts w:ascii="Times New Roman" w:hAnsi="Times New Roman"/>
          <w:sz w:val="24"/>
        </w:rPr>
        <w:t>This sub-section aimed at assessing respondent’s perception on policies and initiatives that promote LPG use. Respondents were asked to rate their level of agreement whereby 1 = Strongly Disagree, 2 = Disagree, 3 = Neutral, 4 = Agree and 5 = Strongly Agree. Res</w:t>
      </w:r>
      <w:r>
        <w:rPr>
          <w:rFonts w:ascii="Times New Roman" w:hAnsi="Times New Roman"/>
          <w:sz w:val="24"/>
        </w:rPr>
        <w:t>ults were as presented below;</w:t>
      </w:r>
    </w:p>
    <w:p w:rsidR="00A64929" w:rsidRPr="00DC081D" w:rsidRDefault="00E30712" w:rsidP="00A64929">
      <w:pPr>
        <w:pStyle w:val="NoSpacing"/>
        <w:rPr>
          <w:rFonts w:ascii="Times New Roman" w:hAnsi="Times New Roman"/>
          <w:b/>
          <w:i/>
          <w:sz w:val="24"/>
        </w:rPr>
      </w:pPr>
      <w:bookmarkStart w:id="10" w:name="_Toc225336657"/>
      <w:r>
        <w:rPr>
          <w:rFonts w:ascii="Times New Roman" w:hAnsi="Times New Roman"/>
          <w:b/>
          <w:sz w:val="24"/>
        </w:rPr>
        <w:t xml:space="preserve">Table </w:t>
      </w:r>
      <w:r w:rsidR="00A64929" w:rsidRPr="00DC081D">
        <w:rPr>
          <w:rFonts w:ascii="Times New Roman" w:hAnsi="Times New Roman"/>
          <w:b/>
          <w:sz w:val="24"/>
        </w:rPr>
        <w:fldChar w:fldCharType="begin"/>
      </w:r>
      <w:r w:rsidR="00A64929" w:rsidRPr="00DC081D">
        <w:rPr>
          <w:rFonts w:ascii="Times New Roman" w:hAnsi="Times New Roman"/>
          <w:b/>
          <w:sz w:val="24"/>
        </w:rPr>
        <w:instrText xml:space="preserve"> SEQ Table \* ARABIC </w:instrText>
      </w:r>
      <w:r w:rsidR="00A64929" w:rsidRPr="00DC081D">
        <w:rPr>
          <w:rFonts w:ascii="Times New Roman" w:hAnsi="Times New Roman"/>
          <w:b/>
          <w:sz w:val="24"/>
        </w:rPr>
        <w:fldChar w:fldCharType="separate"/>
      </w:r>
      <w:r w:rsidR="00145C74">
        <w:rPr>
          <w:rFonts w:ascii="Times New Roman" w:hAnsi="Times New Roman"/>
          <w:b/>
          <w:noProof/>
          <w:sz w:val="24"/>
        </w:rPr>
        <w:t>2</w:t>
      </w:r>
      <w:r w:rsidR="00A64929" w:rsidRPr="00DC081D">
        <w:rPr>
          <w:rFonts w:ascii="Times New Roman" w:hAnsi="Times New Roman"/>
          <w:b/>
          <w:sz w:val="24"/>
        </w:rPr>
        <w:fldChar w:fldCharType="end"/>
      </w:r>
      <w:r w:rsidR="00A64929" w:rsidRPr="00DC081D">
        <w:rPr>
          <w:rFonts w:ascii="Times New Roman" w:hAnsi="Times New Roman"/>
          <w:b/>
          <w:sz w:val="24"/>
        </w:rPr>
        <w:t xml:space="preserve">: </w:t>
      </w:r>
      <w:r w:rsidR="00A64929" w:rsidRPr="00DC081D">
        <w:rPr>
          <w:rFonts w:ascii="Times New Roman" w:hAnsi="Times New Roman"/>
          <w:b/>
          <w:i/>
          <w:sz w:val="24"/>
        </w:rPr>
        <w:t>Enhancement Strategies for Promoting LPG Adoption and Environmental Security</w:t>
      </w:r>
      <w:bookmarkEnd w:id="10"/>
    </w:p>
    <w:tbl>
      <w:tblPr>
        <w:tblStyle w:val="PlainTable2"/>
        <w:tblW w:w="10890" w:type="dxa"/>
        <w:tblLook w:val="04A0" w:firstRow="1" w:lastRow="0" w:firstColumn="1" w:lastColumn="0" w:noHBand="0" w:noVBand="1"/>
      </w:tblPr>
      <w:tblGrid>
        <w:gridCol w:w="2700"/>
        <w:gridCol w:w="1350"/>
        <w:gridCol w:w="1170"/>
        <w:gridCol w:w="1350"/>
        <w:gridCol w:w="1440"/>
        <w:gridCol w:w="1426"/>
        <w:gridCol w:w="1454"/>
      </w:tblGrid>
      <w:tr w:rsidR="00A64929" w:rsidRPr="00E30712" w:rsidTr="00E307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64929" w:rsidRPr="00E30712" w:rsidRDefault="00A64929" w:rsidP="00E30712">
            <w:pPr>
              <w:spacing w:line="360" w:lineRule="auto"/>
              <w:rPr>
                <w:rFonts w:ascii="Times New Roman" w:eastAsia="Times New Roman" w:hAnsi="Times New Roman" w:cs="Times New Roman"/>
              </w:rPr>
            </w:pPr>
            <w:r w:rsidRPr="00E30712">
              <w:rPr>
                <w:rFonts w:ascii="Times New Roman" w:eastAsia="Times New Roman" w:hAnsi="Times New Roman" w:cs="Times New Roman"/>
              </w:rPr>
              <w:t>Statement</w:t>
            </w:r>
          </w:p>
        </w:tc>
        <w:tc>
          <w:tcPr>
            <w:tcW w:w="1350" w:type="dxa"/>
            <w:hideMark/>
          </w:tcPr>
          <w:p w:rsidR="00A64929" w:rsidRPr="00E30712" w:rsidRDefault="00A64929" w:rsidP="00E3071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Strongly Disagree</w:t>
            </w:r>
          </w:p>
        </w:tc>
        <w:tc>
          <w:tcPr>
            <w:tcW w:w="1170" w:type="dxa"/>
            <w:hideMark/>
          </w:tcPr>
          <w:p w:rsidR="00A64929" w:rsidRPr="00E30712" w:rsidRDefault="00A64929" w:rsidP="00E3071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Disagree</w:t>
            </w:r>
          </w:p>
        </w:tc>
        <w:tc>
          <w:tcPr>
            <w:tcW w:w="1350" w:type="dxa"/>
            <w:hideMark/>
          </w:tcPr>
          <w:p w:rsidR="00A64929" w:rsidRPr="00E30712" w:rsidRDefault="00A64929" w:rsidP="00E3071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Neutral</w:t>
            </w:r>
          </w:p>
        </w:tc>
        <w:tc>
          <w:tcPr>
            <w:tcW w:w="1440" w:type="dxa"/>
            <w:hideMark/>
          </w:tcPr>
          <w:p w:rsidR="00A64929" w:rsidRPr="00E30712" w:rsidRDefault="00A64929" w:rsidP="00E3071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Agree</w:t>
            </w:r>
          </w:p>
        </w:tc>
        <w:tc>
          <w:tcPr>
            <w:tcW w:w="1426" w:type="dxa"/>
            <w:hideMark/>
          </w:tcPr>
          <w:p w:rsidR="00A64929" w:rsidRPr="00E30712" w:rsidRDefault="00A64929" w:rsidP="00E3071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Strongly Agree</w:t>
            </w:r>
          </w:p>
        </w:tc>
        <w:tc>
          <w:tcPr>
            <w:tcW w:w="1454" w:type="dxa"/>
            <w:hideMark/>
          </w:tcPr>
          <w:p w:rsidR="00A64929" w:rsidRPr="00E30712" w:rsidRDefault="00A64929" w:rsidP="00E3071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Mean ± SD</w:t>
            </w:r>
          </w:p>
        </w:tc>
      </w:tr>
      <w:tr w:rsidR="00A64929" w:rsidRPr="00E30712" w:rsidTr="00E30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64929" w:rsidRPr="00E30712" w:rsidRDefault="00A64929" w:rsidP="00E30712">
            <w:pPr>
              <w:spacing w:line="360" w:lineRule="auto"/>
              <w:rPr>
                <w:rFonts w:ascii="Times New Roman" w:eastAsia="Times New Roman" w:hAnsi="Times New Roman" w:cs="Times New Roman"/>
                <w:b w:val="0"/>
              </w:rPr>
            </w:pPr>
            <w:r w:rsidRPr="00E30712">
              <w:rPr>
                <w:rFonts w:ascii="Times New Roman" w:eastAsia="Times New Roman" w:hAnsi="Times New Roman" w:cs="Times New Roman"/>
                <w:b w:val="0"/>
              </w:rPr>
              <w:t>Government subsidies or tax exemptions make LPG more affordable</w:t>
            </w:r>
          </w:p>
        </w:tc>
        <w:tc>
          <w:tcPr>
            <w:tcW w:w="1350"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11.4% (35)</w:t>
            </w:r>
          </w:p>
        </w:tc>
        <w:tc>
          <w:tcPr>
            <w:tcW w:w="1170"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14.0% (43)</w:t>
            </w:r>
          </w:p>
        </w:tc>
        <w:tc>
          <w:tcPr>
            <w:tcW w:w="1350"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12.4% (38)</w:t>
            </w:r>
          </w:p>
        </w:tc>
        <w:tc>
          <w:tcPr>
            <w:tcW w:w="1440"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35.2% (108)</w:t>
            </w:r>
          </w:p>
        </w:tc>
        <w:tc>
          <w:tcPr>
            <w:tcW w:w="1426"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27.0% (83)</w:t>
            </w:r>
          </w:p>
        </w:tc>
        <w:tc>
          <w:tcPr>
            <w:tcW w:w="1454"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3.52 ± 1.33</w:t>
            </w:r>
          </w:p>
        </w:tc>
      </w:tr>
      <w:tr w:rsidR="00A64929" w:rsidRPr="00E30712" w:rsidTr="00E30712">
        <w:tc>
          <w:tcPr>
            <w:cnfStyle w:val="001000000000" w:firstRow="0" w:lastRow="0" w:firstColumn="1" w:lastColumn="0" w:oddVBand="0" w:evenVBand="0" w:oddHBand="0" w:evenHBand="0" w:firstRowFirstColumn="0" w:firstRowLastColumn="0" w:lastRowFirstColumn="0" w:lastRowLastColumn="0"/>
            <w:tcW w:w="0" w:type="auto"/>
            <w:hideMark/>
          </w:tcPr>
          <w:p w:rsidR="00A64929" w:rsidRPr="00E30712" w:rsidRDefault="00A64929" w:rsidP="00E30712">
            <w:pPr>
              <w:spacing w:line="360" w:lineRule="auto"/>
              <w:rPr>
                <w:rFonts w:ascii="Times New Roman" w:eastAsia="Times New Roman" w:hAnsi="Times New Roman" w:cs="Times New Roman"/>
                <w:b w:val="0"/>
              </w:rPr>
            </w:pPr>
            <w:r w:rsidRPr="00E30712">
              <w:rPr>
                <w:rFonts w:ascii="Times New Roman" w:eastAsia="Times New Roman" w:hAnsi="Times New Roman" w:cs="Times New Roman"/>
                <w:b w:val="0"/>
              </w:rPr>
              <w:t>Expanding LPG refill stations would increase adoption</w:t>
            </w:r>
          </w:p>
        </w:tc>
        <w:tc>
          <w:tcPr>
            <w:tcW w:w="1350"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2.7% (8)</w:t>
            </w:r>
          </w:p>
        </w:tc>
        <w:tc>
          <w:tcPr>
            <w:tcW w:w="1170"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6.4% (19)</w:t>
            </w:r>
          </w:p>
        </w:tc>
        <w:tc>
          <w:tcPr>
            <w:tcW w:w="1350"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17.6% (52)</w:t>
            </w:r>
          </w:p>
        </w:tc>
        <w:tc>
          <w:tcPr>
            <w:tcW w:w="1440"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43.9% (130)</w:t>
            </w:r>
          </w:p>
        </w:tc>
        <w:tc>
          <w:tcPr>
            <w:tcW w:w="1426"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29.4% (87)</w:t>
            </w:r>
          </w:p>
        </w:tc>
        <w:tc>
          <w:tcPr>
            <w:tcW w:w="1454"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3.91 ± 0.98</w:t>
            </w:r>
          </w:p>
        </w:tc>
      </w:tr>
      <w:tr w:rsidR="00A64929" w:rsidRPr="00E30712" w:rsidTr="00E30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64929" w:rsidRPr="00E30712" w:rsidRDefault="00A64929" w:rsidP="00E30712">
            <w:pPr>
              <w:spacing w:line="360" w:lineRule="auto"/>
              <w:rPr>
                <w:rFonts w:ascii="Times New Roman" w:eastAsia="Times New Roman" w:hAnsi="Times New Roman" w:cs="Times New Roman"/>
                <w:b w:val="0"/>
              </w:rPr>
            </w:pPr>
            <w:r w:rsidRPr="00E30712">
              <w:rPr>
                <w:rFonts w:ascii="Times New Roman" w:eastAsia="Times New Roman" w:hAnsi="Times New Roman" w:cs="Times New Roman"/>
                <w:b w:val="0"/>
              </w:rPr>
              <w:t>Public awareness campaigns improved knowledge</w:t>
            </w:r>
          </w:p>
        </w:tc>
        <w:tc>
          <w:tcPr>
            <w:tcW w:w="1350"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6.8% (20)</w:t>
            </w:r>
          </w:p>
        </w:tc>
        <w:tc>
          <w:tcPr>
            <w:tcW w:w="1170"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10.9% (32)</w:t>
            </w:r>
          </w:p>
        </w:tc>
        <w:tc>
          <w:tcPr>
            <w:tcW w:w="1350"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13.9% (41)</w:t>
            </w:r>
          </w:p>
        </w:tc>
        <w:tc>
          <w:tcPr>
            <w:tcW w:w="1440"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28.6% (84)</w:t>
            </w:r>
          </w:p>
        </w:tc>
        <w:tc>
          <w:tcPr>
            <w:tcW w:w="1426"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39.8% (117)</w:t>
            </w:r>
          </w:p>
        </w:tc>
        <w:tc>
          <w:tcPr>
            <w:tcW w:w="1454"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3.84 ± 1.25</w:t>
            </w:r>
          </w:p>
        </w:tc>
      </w:tr>
      <w:tr w:rsidR="00A64929" w:rsidRPr="00E30712" w:rsidTr="00E30712">
        <w:tc>
          <w:tcPr>
            <w:cnfStyle w:val="001000000000" w:firstRow="0" w:lastRow="0" w:firstColumn="1" w:lastColumn="0" w:oddVBand="0" w:evenVBand="0" w:oddHBand="0" w:evenHBand="0" w:firstRowFirstColumn="0" w:firstRowLastColumn="0" w:lastRowFirstColumn="0" w:lastRowLastColumn="0"/>
            <w:tcW w:w="0" w:type="auto"/>
            <w:hideMark/>
          </w:tcPr>
          <w:p w:rsidR="00A64929" w:rsidRPr="00E30712" w:rsidRDefault="00A64929" w:rsidP="00E30712">
            <w:pPr>
              <w:spacing w:line="360" w:lineRule="auto"/>
              <w:rPr>
                <w:rFonts w:ascii="Times New Roman" w:eastAsia="Times New Roman" w:hAnsi="Times New Roman" w:cs="Times New Roman"/>
                <w:b w:val="0"/>
              </w:rPr>
            </w:pPr>
            <w:r w:rsidRPr="00E30712">
              <w:rPr>
                <w:rFonts w:ascii="Times New Roman" w:eastAsia="Times New Roman" w:hAnsi="Times New Roman" w:cs="Times New Roman"/>
                <w:b w:val="0"/>
              </w:rPr>
              <w:t>Private sector incentives encourage LPG use</w:t>
            </w:r>
          </w:p>
        </w:tc>
        <w:tc>
          <w:tcPr>
            <w:tcW w:w="1350"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4.5% (13)</w:t>
            </w:r>
          </w:p>
        </w:tc>
        <w:tc>
          <w:tcPr>
            <w:tcW w:w="1170"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5.9% (17)</w:t>
            </w:r>
          </w:p>
        </w:tc>
        <w:tc>
          <w:tcPr>
            <w:tcW w:w="1350"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14.8% (43)</w:t>
            </w:r>
          </w:p>
        </w:tc>
        <w:tc>
          <w:tcPr>
            <w:tcW w:w="1440"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39.7% (115)</w:t>
            </w:r>
          </w:p>
        </w:tc>
        <w:tc>
          <w:tcPr>
            <w:tcW w:w="1426"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35.2% (102)</w:t>
            </w:r>
          </w:p>
        </w:tc>
        <w:tc>
          <w:tcPr>
            <w:tcW w:w="1454"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3.95 ± 1.07</w:t>
            </w:r>
          </w:p>
        </w:tc>
      </w:tr>
      <w:tr w:rsidR="00A64929" w:rsidRPr="00E30712" w:rsidTr="00E30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64929" w:rsidRPr="00E30712" w:rsidRDefault="00A64929" w:rsidP="00E30712">
            <w:pPr>
              <w:spacing w:line="360" w:lineRule="auto"/>
              <w:rPr>
                <w:rFonts w:ascii="Times New Roman" w:eastAsia="Times New Roman" w:hAnsi="Times New Roman" w:cs="Times New Roman"/>
                <w:b w:val="0"/>
              </w:rPr>
            </w:pPr>
            <w:r w:rsidRPr="00E30712">
              <w:rPr>
                <w:rFonts w:ascii="Times New Roman" w:eastAsia="Times New Roman" w:hAnsi="Times New Roman" w:cs="Times New Roman"/>
                <w:b w:val="0"/>
              </w:rPr>
              <w:t>Government–private collaboration is essential</w:t>
            </w:r>
          </w:p>
        </w:tc>
        <w:tc>
          <w:tcPr>
            <w:tcW w:w="1350"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5.5% (16)</w:t>
            </w:r>
          </w:p>
        </w:tc>
        <w:tc>
          <w:tcPr>
            <w:tcW w:w="1170"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7.3% (21)</w:t>
            </w:r>
          </w:p>
        </w:tc>
        <w:tc>
          <w:tcPr>
            <w:tcW w:w="1350"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18.0% (52)</w:t>
            </w:r>
          </w:p>
        </w:tc>
        <w:tc>
          <w:tcPr>
            <w:tcW w:w="1440"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35.3% (102)</w:t>
            </w:r>
          </w:p>
        </w:tc>
        <w:tc>
          <w:tcPr>
            <w:tcW w:w="1426"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33.9% (98)</w:t>
            </w:r>
          </w:p>
        </w:tc>
        <w:tc>
          <w:tcPr>
            <w:tcW w:w="1454"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3.85 ± 1.14</w:t>
            </w:r>
          </w:p>
        </w:tc>
      </w:tr>
      <w:tr w:rsidR="00A64929" w:rsidRPr="00E30712" w:rsidTr="00E30712">
        <w:tc>
          <w:tcPr>
            <w:cnfStyle w:val="001000000000" w:firstRow="0" w:lastRow="0" w:firstColumn="1" w:lastColumn="0" w:oddVBand="0" w:evenVBand="0" w:oddHBand="0" w:evenHBand="0" w:firstRowFirstColumn="0" w:firstRowLastColumn="0" w:lastRowFirstColumn="0" w:lastRowLastColumn="0"/>
            <w:tcW w:w="0" w:type="auto"/>
            <w:hideMark/>
          </w:tcPr>
          <w:p w:rsidR="00A64929" w:rsidRPr="00E30712" w:rsidRDefault="00A64929" w:rsidP="00E30712">
            <w:pPr>
              <w:spacing w:line="360" w:lineRule="auto"/>
              <w:rPr>
                <w:rFonts w:ascii="Times New Roman" w:eastAsia="Times New Roman" w:hAnsi="Times New Roman" w:cs="Times New Roman"/>
                <w:b w:val="0"/>
              </w:rPr>
            </w:pPr>
            <w:r w:rsidRPr="00E30712">
              <w:rPr>
                <w:rFonts w:ascii="Times New Roman" w:eastAsia="Times New Roman" w:hAnsi="Times New Roman" w:cs="Times New Roman"/>
                <w:b w:val="0"/>
              </w:rPr>
              <w:t>Policy enforcement ensures safe and sustainable use</w:t>
            </w:r>
          </w:p>
        </w:tc>
        <w:tc>
          <w:tcPr>
            <w:tcW w:w="1350"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6.5% (19)</w:t>
            </w:r>
          </w:p>
        </w:tc>
        <w:tc>
          <w:tcPr>
            <w:tcW w:w="1170"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9.5% (28)</w:t>
            </w:r>
          </w:p>
        </w:tc>
        <w:tc>
          <w:tcPr>
            <w:tcW w:w="1350"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13.3% (39)</w:t>
            </w:r>
          </w:p>
        </w:tc>
        <w:tc>
          <w:tcPr>
            <w:tcW w:w="1440"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38.1% (112)</w:t>
            </w:r>
          </w:p>
        </w:tc>
        <w:tc>
          <w:tcPr>
            <w:tcW w:w="1426"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32.7% (96)</w:t>
            </w:r>
          </w:p>
        </w:tc>
        <w:tc>
          <w:tcPr>
            <w:tcW w:w="1454"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3.81 ± 1.18</w:t>
            </w:r>
          </w:p>
        </w:tc>
      </w:tr>
      <w:tr w:rsidR="00A64929" w:rsidRPr="00E30712" w:rsidTr="00E30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A64929" w:rsidRPr="00E30712" w:rsidRDefault="00A64929" w:rsidP="00E30712">
            <w:pPr>
              <w:spacing w:line="360" w:lineRule="auto"/>
              <w:rPr>
                <w:rFonts w:ascii="Times New Roman" w:eastAsia="Times New Roman" w:hAnsi="Times New Roman" w:cs="Times New Roman"/>
                <w:b w:val="0"/>
              </w:rPr>
            </w:pPr>
            <w:r w:rsidRPr="00E30712">
              <w:rPr>
                <w:rFonts w:ascii="Times New Roman" w:eastAsia="Times New Roman" w:hAnsi="Times New Roman" w:cs="Times New Roman"/>
                <w:b w:val="0"/>
              </w:rPr>
              <w:t>Promoting LPG reduces deforestation and improves environmental security</w:t>
            </w:r>
          </w:p>
        </w:tc>
        <w:tc>
          <w:tcPr>
            <w:tcW w:w="1350"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7.1% (21)</w:t>
            </w:r>
          </w:p>
        </w:tc>
        <w:tc>
          <w:tcPr>
            <w:tcW w:w="1170"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5.4% (16)</w:t>
            </w:r>
          </w:p>
        </w:tc>
        <w:tc>
          <w:tcPr>
            <w:tcW w:w="1350"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11.9% (35)</w:t>
            </w:r>
          </w:p>
        </w:tc>
        <w:tc>
          <w:tcPr>
            <w:tcW w:w="1440"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36.4% (107)</w:t>
            </w:r>
          </w:p>
        </w:tc>
        <w:tc>
          <w:tcPr>
            <w:tcW w:w="1426"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39.1% (115)</w:t>
            </w:r>
          </w:p>
        </w:tc>
        <w:tc>
          <w:tcPr>
            <w:tcW w:w="1454" w:type="dxa"/>
            <w:hideMark/>
          </w:tcPr>
          <w:p w:rsidR="00A64929" w:rsidRPr="00E30712" w:rsidRDefault="00A64929" w:rsidP="00E3071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rPr>
              <w:t>3.95 ± 1.17</w:t>
            </w:r>
          </w:p>
        </w:tc>
      </w:tr>
      <w:tr w:rsidR="00A64929" w:rsidRPr="00E30712" w:rsidTr="00E30712">
        <w:tc>
          <w:tcPr>
            <w:cnfStyle w:val="001000000000" w:firstRow="0" w:lastRow="0" w:firstColumn="1" w:lastColumn="0" w:oddVBand="0" w:evenVBand="0" w:oddHBand="0" w:evenHBand="0" w:firstRowFirstColumn="0" w:firstRowLastColumn="0" w:lastRowFirstColumn="0" w:lastRowLastColumn="0"/>
            <w:tcW w:w="0" w:type="auto"/>
            <w:hideMark/>
          </w:tcPr>
          <w:p w:rsidR="00A64929" w:rsidRPr="00E30712" w:rsidRDefault="00A64929" w:rsidP="00E30712">
            <w:pPr>
              <w:spacing w:line="360" w:lineRule="auto"/>
              <w:rPr>
                <w:rFonts w:ascii="Times New Roman" w:eastAsia="Times New Roman" w:hAnsi="Times New Roman" w:cs="Times New Roman"/>
              </w:rPr>
            </w:pPr>
            <w:r w:rsidRPr="00E30712">
              <w:rPr>
                <w:rFonts w:ascii="Times New Roman" w:eastAsia="Times New Roman" w:hAnsi="Times New Roman" w:cs="Times New Roman"/>
              </w:rPr>
              <w:lastRenderedPageBreak/>
              <w:t>Average (Enhancement Strategy Index)</w:t>
            </w:r>
          </w:p>
        </w:tc>
        <w:tc>
          <w:tcPr>
            <w:tcW w:w="1350"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70"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350"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440"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426"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454" w:type="dxa"/>
            <w:hideMark/>
          </w:tcPr>
          <w:p w:rsidR="00A64929" w:rsidRPr="00E30712" w:rsidRDefault="00A64929" w:rsidP="00E30712">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E30712">
              <w:rPr>
                <w:rFonts w:ascii="Times New Roman" w:eastAsia="Times New Roman" w:hAnsi="Times New Roman" w:cs="Times New Roman"/>
                <w:b/>
                <w:bCs/>
              </w:rPr>
              <w:t>3.83 ± 1.16</w:t>
            </w:r>
          </w:p>
        </w:tc>
      </w:tr>
    </w:tbl>
    <w:p w:rsidR="00A64929" w:rsidRPr="007F23EE" w:rsidRDefault="00A64929" w:rsidP="00A64929">
      <w:pPr>
        <w:pStyle w:val="NoSpacing"/>
        <w:spacing w:before="240" w:after="240" w:line="360" w:lineRule="auto"/>
        <w:ind w:left="6480"/>
        <w:jc w:val="both"/>
        <w:rPr>
          <w:rFonts w:ascii="Times New Roman" w:hAnsi="Times New Roman"/>
          <w:sz w:val="24"/>
          <w:szCs w:val="24"/>
        </w:rPr>
      </w:pPr>
      <w:r w:rsidRPr="009A0C6B">
        <w:rPr>
          <w:rFonts w:ascii="Times New Roman" w:hAnsi="Times New Roman"/>
          <w:sz w:val="24"/>
          <w:szCs w:val="24"/>
        </w:rPr>
        <w:t>(Source: Researcher, 2026)</w:t>
      </w:r>
    </w:p>
    <w:p w:rsidR="00A64929" w:rsidRPr="0070378C" w:rsidRDefault="00A64929" w:rsidP="00EC2AEE">
      <w:pPr>
        <w:pStyle w:val="NoSpacing"/>
        <w:spacing w:before="240" w:after="240" w:line="360" w:lineRule="auto"/>
        <w:jc w:val="both"/>
        <w:rPr>
          <w:rFonts w:ascii="Times New Roman" w:hAnsi="Times New Roman"/>
          <w:sz w:val="24"/>
        </w:rPr>
      </w:pPr>
      <w:r>
        <w:rPr>
          <w:rFonts w:ascii="Times New Roman" w:hAnsi="Times New Roman"/>
          <w:sz w:val="24"/>
        </w:rPr>
        <w:t xml:space="preserve">According to Table </w:t>
      </w:r>
      <w:r w:rsidR="00E30712">
        <w:rPr>
          <w:rFonts w:ascii="Times New Roman" w:hAnsi="Times New Roman"/>
          <w:sz w:val="24"/>
        </w:rPr>
        <w:t>2</w:t>
      </w:r>
      <w:r w:rsidRPr="0070378C">
        <w:rPr>
          <w:rFonts w:ascii="Times New Roman" w:hAnsi="Times New Roman"/>
          <w:sz w:val="24"/>
        </w:rPr>
        <w:t>, the household members believe in institutional, infrastructural, and regulatory interventions that enhance the adoption of LPG and the environment security. Indicatively, 74.9% (Agree + Strongly Agree) respondents believed that incentives in the private sector stimulate LPG, and 75.5% said increasing LPG encourages deforestation and enhances environmental security. On the same note, 73.3 percent favored the expansion of LPG refill stations to promote its adoption. The 68.4% agreed that there should be public awareness and 69.2% agreed that there should be government-private collaboration. The majority of 70.8% of the respondents supported policy enforcement. Despite the time that 62.2% respondents supported subsidies and tax exemptions, this was relatively low, which implied that interventions such as financial ones are not enough by themselves. The Enhancement Strategy Index (Mean = 3.83 +- 1.16) has an overall picture of support of multi-sectoral approach.</w:t>
      </w:r>
    </w:p>
    <w:p w:rsidR="00A64929" w:rsidRPr="0070378C" w:rsidRDefault="00A64929" w:rsidP="00EC2AEE">
      <w:pPr>
        <w:pStyle w:val="NoSpacing"/>
        <w:spacing w:before="240" w:after="240" w:line="360" w:lineRule="auto"/>
        <w:ind w:left="1440"/>
        <w:jc w:val="both"/>
        <w:rPr>
          <w:rFonts w:ascii="Times New Roman" w:hAnsi="Times New Roman"/>
          <w:sz w:val="24"/>
        </w:rPr>
      </w:pPr>
      <w:r w:rsidRPr="0070378C">
        <w:rPr>
          <w:rFonts w:ascii="Times New Roman" w:hAnsi="Times New Roman"/>
          <w:sz w:val="24"/>
        </w:rPr>
        <w:t xml:space="preserve">“The government is now underway to implement the National Clean Cooking Strategy (2024-2034), VAT workload on LPG devices as well as design-specific subsidies on 6kg cylinders to enhance urban household access.” </w:t>
      </w:r>
      <w:r w:rsidRPr="0070378C">
        <w:rPr>
          <w:rStyle w:val="Emphasis"/>
          <w:rFonts w:ascii="Times New Roman" w:hAnsi="Times New Roman"/>
          <w:sz w:val="24"/>
        </w:rPr>
        <w:t>(KII-MOE, 2026)</w:t>
      </w:r>
    </w:p>
    <w:p w:rsidR="00A64929" w:rsidRPr="0070378C" w:rsidRDefault="00A64929" w:rsidP="00EC2AEE">
      <w:pPr>
        <w:pStyle w:val="NoSpacing"/>
        <w:spacing w:before="240" w:after="240" w:line="360" w:lineRule="auto"/>
        <w:jc w:val="both"/>
        <w:rPr>
          <w:rFonts w:ascii="Times New Roman" w:hAnsi="Times New Roman"/>
          <w:sz w:val="24"/>
        </w:rPr>
      </w:pPr>
      <w:r w:rsidRPr="0070378C">
        <w:rPr>
          <w:rFonts w:ascii="Times New Roman" w:hAnsi="Times New Roman"/>
          <w:sz w:val="24"/>
        </w:rPr>
        <w:t xml:space="preserve">This case complies with the National Clean Cooking Strategy (2024-2034), initiated by the Ministry of Energy in 2024, and in which 80% clean cooking access is set by 2034. The Tanzania Ministry of Energy (2024) notes that the LPG penetration is less than 40% in the country, and higher in the urban cities like Dar es </w:t>
      </w:r>
      <w:r>
        <w:rPr>
          <w:rFonts w:ascii="Times New Roman" w:hAnsi="Times New Roman"/>
          <w:sz w:val="24"/>
        </w:rPr>
        <w:t>Salaam</w:t>
      </w:r>
      <w:r w:rsidRPr="0070378C">
        <w:rPr>
          <w:rFonts w:ascii="Times New Roman" w:hAnsi="Times New Roman"/>
          <w:sz w:val="24"/>
        </w:rPr>
        <w:t>. The policy framework also entails VAT exemptions on LPG cylinders and burners, partial subsidies on starter kits, and regulatory reform to be used in attracting the private investment. The high level of survey support of subsidy and policy implementation indicates that the community is informed about these programs, though moderate scores indicate insufficient implementation in the program of equal benefits to the public.</w:t>
      </w:r>
    </w:p>
    <w:p w:rsidR="00A64929" w:rsidRPr="0070378C" w:rsidRDefault="00A64929" w:rsidP="00EC2AEE">
      <w:pPr>
        <w:pStyle w:val="NoSpacing"/>
        <w:spacing w:before="240" w:after="240" w:line="360" w:lineRule="auto"/>
        <w:ind w:left="1440"/>
        <w:jc w:val="both"/>
        <w:rPr>
          <w:rFonts w:ascii="Times New Roman" w:hAnsi="Times New Roman"/>
          <w:sz w:val="24"/>
        </w:rPr>
      </w:pPr>
      <w:r w:rsidRPr="0070378C">
        <w:rPr>
          <w:rFonts w:ascii="Times New Roman" w:hAnsi="Times New Roman"/>
          <w:sz w:val="24"/>
        </w:rPr>
        <w:t>“</w:t>
      </w:r>
      <w:r w:rsidRPr="0070378C">
        <w:rPr>
          <w:rFonts w:ascii="Times New Roman" w:hAnsi="Times New Roman"/>
          <w:i/>
          <w:sz w:val="24"/>
        </w:rPr>
        <w:t>The 50 percent subsidy on the 6kg cylinder package has made first time adoption higher, however the long term usage remains on whether refill costs can be reasonably allocated, and whether there is a stable supply</w:t>
      </w:r>
      <w:r w:rsidRPr="0070378C">
        <w:rPr>
          <w:rFonts w:ascii="Times New Roman" w:hAnsi="Times New Roman"/>
          <w:sz w:val="24"/>
        </w:rPr>
        <w:t xml:space="preserve">.” </w:t>
      </w:r>
      <w:r w:rsidRPr="0070378C">
        <w:rPr>
          <w:rStyle w:val="Emphasis"/>
          <w:rFonts w:ascii="Times New Roman" w:hAnsi="Times New Roman"/>
          <w:sz w:val="24"/>
        </w:rPr>
        <w:t>(KII-MOE, 2026)</w:t>
      </w:r>
    </w:p>
    <w:p w:rsidR="00A64929" w:rsidRPr="0070378C" w:rsidRDefault="00A64929" w:rsidP="00EC2AEE">
      <w:pPr>
        <w:pStyle w:val="NoSpacing"/>
        <w:spacing w:before="240" w:after="240" w:line="360" w:lineRule="auto"/>
        <w:jc w:val="both"/>
        <w:rPr>
          <w:rFonts w:ascii="Times New Roman" w:hAnsi="Times New Roman"/>
          <w:sz w:val="24"/>
        </w:rPr>
      </w:pPr>
      <w:r>
        <w:rPr>
          <w:rFonts w:ascii="Times New Roman" w:hAnsi="Times New Roman"/>
          <w:sz w:val="24"/>
        </w:rPr>
        <w:lastRenderedPageBreak/>
        <w:t>The findings</w:t>
      </w:r>
      <w:r w:rsidRPr="0070378C">
        <w:rPr>
          <w:rFonts w:ascii="Times New Roman" w:hAnsi="Times New Roman"/>
          <w:sz w:val="24"/>
        </w:rPr>
        <w:t xml:space="preserve"> illustrate a destructive policy-performance chasm. Although the Ministry of energy (2024) has reported introduction of subsidized 6kg cylinders to reduce barriers of entry, it is a challenge to afford refills. Government statistics show that more than 1.2 million improved cook stoves and LPG packages have been allocated under clean cooking programs but constant usage requires the repetition of refill expenditure. This helps to reinforce the regression data in which improvement measures proved effective and ineffective at the same time. The findings indicate that subsidy programs can raise the initial uptake, but the additional steps, like price stabilization and payment model contingent on income are required to achieve long-term environmental security benefits.</w:t>
      </w:r>
    </w:p>
    <w:p w:rsidR="00A64929" w:rsidRPr="0070378C" w:rsidRDefault="00A64929" w:rsidP="00EC2AEE">
      <w:pPr>
        <w:pStyle w:val="NoSpacing"/>
        <w:spacing w:before="240" w:after="240" w:line="360" w:lineRule="auto"/>
        <w:ind w:left="1440"/>
        <w:jc w:val="both"/>
        <w:rPr>
          <w:rFonts w:ascii="Times New Roman" w:hAnsi="Times New Roman"/>
          <w:sz w:val="24"/>
        </w:rPr>
      </w:pPr>
      <w:r w:rsidRPr="0070378C">
        <w:rPr>
          <w:rFonts w:ascii="Times New Roman" w:hAnsi="Times New Roman"/>
          <w:sz w:val="24"/>
        </w:rPr>
        <w:t>“</w:t>
      </w:r>
      <w:r w:rsidRPr="0070378C">
        <w:rPr>
          <w:rFonts w:ascii="Times New Roman" w:hAnsi="Times New Roman"/>
          <w:i/>
          <w:sz w:val="24"/>
        </w:rPr>
        <w:t>The increase in refill stations, enhanced storage, and the security of supply chains is necessary to make households rely on LPG anytime</w:t>
      </w:r>
      <w:r w:rsidRPr="0070378C">
        <w:rPr>
          <w:rFonts w:ascii="Times New Roman" w:hAnsi="Times New Roman"/>
          <w:sz w:val="24"/>
        </w:rPr>
        <w:t xml:space="preserve">.” </w:t>
      </w:r>
      <w:r w:rsidRPr="0070378C">
        <w:rPr>
          <w:rStyle w:val="Emphasis"/>
          <w:rFonts w:ascii="Times New Roman" w:hAnsi="Times New Roman"/>
          <w:sz w:val="24"/>
        </w:rPr>
        <w:t>(KII-DIS, 2026)</w:t>
      </w:r>
    </w:p>
    <w:p w:rsidR="00A64929" w:rsidRPr="0028133F" w:rsidRDefault="00A64929" w:rsidP="0028133F">
      <w:pPr>
        <w:pStyle w:val="NoSpacing"/>
        <w:spacing w:before="240" w:after="240" w:line="360" w:lineRule="auto"/>
        <w:jc w:val="both"/>
        <w:rPr>
          <w:rFonts w:ascii="Times New Roman" w:hAnsi="Times New Roman" w:cs="Times New Roman"/>
          <w:sz w:val="24"/>
          <w:szCs w:val="24"/>
        </w:rPr>
      </w:pPr>
      <w:r w:rsidRPr="0028133F">
        <w:rPr>
          <w:rFonts w:ascii="Times New Roman" w:hAnsi="Times New Roman" w:cs="Times New Roman"/>
          <w:sz w:val="24"/>
          <w:szCs w:val="24"/>
        </w:rPr>
        <w:t xml:space="preserve">The Clean Cooking Strategy focuses on the infrastructure development; its emphasis is on strengthening the distribution network and the storage investment led by the private sector (Tanzania Ministry of Energy, 2024). Governmental accounts reveal that the number of LPG distribution points in urban centers has significantly risen over the last five years, but still there are spatial inequalities. Table </w:t>
      </w:r>
      <w:r w:rsidR="001A4F47">
        <w:rPr>
          <w:rFonts w:ascii="Times New Roman" w:hAnsi="Times New Roman" w:cs="Times New Roman"/>
          <w:sz w:val="24"/>
          <w:szCs w:val="24"/>
        </w:rPr>
        <w:t>2</w:t>
      </w:r>
      <w:r w:rsidRPr="0028133F">
        <w:rPr>
          <w:rFonts w:ascii="Times New Roman" w:hAnsi="Times New Roman" w:cs="Times New Roman"/>
          <w:sz w:val="24"/>
          <w:szCs w:val="24"/>
        </w:rPr>
        <w:t xml:space="preserve"> shows that the refill station expansion had a high mean score (3.91), indicating that physical accessibility is regarded as very important by households. The literature available before also indicates that insufficient supply infrastructure compromises sole use of LPG even in places where affordability interventions are in place (Kowsari and Zerriffi, 2011). Thus, infrastructure growth has a direct contribution to adoption as well as environmental results.</w:t>
      </w:r>
    </w:p>
    <w:p w:rsidR="00A64929" w:rsidRPr="0028133F" w:rsidRDefault="00A64929" w:rsidP="0028133F">
      <w:pPr>
        <w:pStyle w:val="NoSpacing"/>
        <w:spacing w:before="240" w:after="240" w:line="360" w:lineRule="auto"/>
        <w:ind w:left="1440"/>
        <w:jc w:val="both"/>
        <w:rPr>
          <w:rFonts w:ascii="Times New Roman" w:hAnsi="Times New Roman" w:cs="Times New Roman"/>
          <w:sz w:val="24"/>
          <w:szCs w:val="24"/>
        </w:rPr>
      </w:pPr>
      <w:r w:rsidRPr="0028133F">
        <w:rPr>
          <w:rFonts w:ascii="Times New Roman" w:hAnsi="Times New Roman" w:cs="Times New Roman"/>
          <w:sz w:val="24"/>
          <w:szCs w:val="24"/>
        </w:rPr>
        <w:t>“</w:t>
      </w:r>
      <w:r w:rsidRPr="0028133F">
        <w:rPr>
          <w:rFonts w:ascii="Times New Roman" w:hAnsi="Times New Roman" w:cs="Times New Roman"/>
          <w:i/>
          <w:sz w:val="24"/>
          <w:szCs w:val="24"/>
        </w:rPr>
        <w:t>Home delivery services, flexible payment methods, and programs to replace the cylinders, which minimize inconvenience to the household can be adopted by private companies.</w:t>
      </w:r>
      <w:r w:rsidRPr="0028133F">
        <w:rPr>
          <w:rFonts w:ascii="Times New Roman" w:hAnsi="Times New Roman" w:cs="Times New Roman"/>
          <w:sz w:val="24"/>
          <w:szCs w:val="24"/>
        </w:rPr>
        <w:t xml:space="preserve">” </w:t>
      </w:r>
      <w:r w:rsidRPr="0028133F">
        <w:rPr>
          <w:rStyle w:val="Emphasis"/>
          <w:rFonts w:ascii="Times New Roman" w:hAnsi="Times New Roman" w:cs="Times New Roman"/>
          <w:sz w:val="24"/>
          <w:szCs w:val="24"/>
        </w:rPr>
        <w:t>(KII-DIS, 2026)</w:t>
      </w:r>
    </w:p>
    <w:p w:rsidR="00A64929" w:rsidRPr="0028133F" w:rsidRDefault="00A64929" w:rsidP="0028133F">
      <w:pPr>
        <w:pStyle w:val="NoSpacing"/>
        <w:spacing w:before="240" w:after="240" w:line="360" w:lineRule="auto"/>
        <w:jc w:val="both"/>
        <w:rPr>
          <w:rFonts w:ascii="Times New Roman" w:hAnsi="Times New Roman" w:cs="Times New Roman"/>
          <w:sz w:val="24"/>
          <w:szCs w:val="24"/>
        </w:rPr>
      </w:pPr>
      <w:r w:rsidRPr="0028133F">
        <w:rPr>
          <w:rFonts w:ascii="Times New Roman" w:hAnsi="Times New Roman" w:cs="Times New Roman"/>
          <w:sz w:val="24"/>
          <w:szCs w:val="24"/>
        </w:rPr>
        <w:t xml:space="preserve">According to the Ministry of Energy (2024), one of the fundamental blocks of transition to clean cooking is considered to be public-private partnerships. The policy promotes the proliferation of home delivery systems, the provision of micro-finance facilities as well as cylinder replacement plans by the suppliers of LPG to make them more affordable and convenient. The high scoring of Table </w:t>
      </w:r>
      <w:r w:rsidR="00302784">
        <w:rPr>
          <w:rFonts w:ascii="Times New Roman" w:hAnsi="Times New Roman" w:cs="Times New Roman"/>
          <w:sz w:val="24"/>
          <w:szCs w:val="24"/>
        </w:rPr>
        <w:t>2</w:t>
      </w:r>
      <w:r w:rsidRPr="0028133F">
        <w:rPr>
          <w:rFonts w:ascii="Times New Roman" w:hAnsi="Times New Roman" w:cs="Times New Roman"/>
          <w:sz w:val="24"/>
          <w:szCs w:val="24"/>
        </w:rPr>
        <w:t xml:space="preserve"> (Mean = 3.95) in respect of incentives in the private sector portrays confidence in the market-driven techniques. This model is empirically justified, and it shows that both the efficiency </w:t>
      </w:r>
      <w:r w:rsidRPr="0028133F">
        <w:rPr>
          <w:rFonts w:ascii="Times New Roman" w:hAnsi="Times New Roman" w:cs="Times New Roman"/>
          <w:sz w:val="24"/>
          <w:szCs w:val="24"/>
        </w:rPr>
        <w:lastRenderedPageBreak/>
        <w:t xml:space="preserve">in privately distributing the springs of clean cooking and financial innovation increase the rate of clean cooking transition (Grimsby </w:t>
      </w:r>
      <w:r w:rsidRPr="0028133F">
        <w:rPr>
          <w:rFonts w:ascii="Times New Roman" w:hAnsi="Times New Roman" w:cs="Times New Roman"/>
          <w:i/>
          <w:sz w:val="24"/>
          <w:szCs w:val="24"/>
        </w:rPr>
        <w:t>et al.,</w:t>
      </w:r>
      <w:r w:rsidRPr="0028133F">
        <w:rPr>
          <w:rFonts w:ascii="Times New Roman" w:hAnsi="Times New Roman" w:cs="Times New Roman"/>
          <w:sz w:val="24"/>
          <w:szCs w:val="24"/>
        </w:rPr>
        <w:t xml:space="preserve"> 2024). Therefore, joint governance between the government and industry seems the key to scaling adoption and enhancing environmental security goals.</w:t>
      </w:r>
    </w:p>
    <w:p w:rsidR="00A64929" w:rsidRPr="0028133F" w:rsidRDefault="00E30712" w:rsidP="0028133F">
      <w:pPr>
        <w:pStyle w:val="NoSpacing"/>
        <w:spacing w:before="240" w:after="240" w:line="360" w:lineRule="auto"/>
        <w:jc w:val="both"/>
        <w:rPr>
          <w:rFonts w:ascii="Times New Roman" w:hAnsi="Times New Roman" w:cs="Times New Roman"/>
          <w:sz w:val="24"/>
          <w:szCs w:val="24"/>
        </w:rPr>
      </w:pPr>
      <w:r w:rsidRPr="0028133F">
        <w:rPr>
          <w:rFonts w:ascii="Times New Roman" w:hAnsi="Times New Roman" w:cs="Times New Roman"/>
          <w:sz w:val="24"/>
          <w:szCs w:val="24"/>
        </w:rPr>
        <w:t xml:space="preserve">The results of Table 2 </w:t>
      </w:r>
      <w:r w:rsidR="00872119" w:rsidRPr="0028133F">
        <w:rPr>
          <w:rFonts w:ascii="Times New Roman" w:hAnsi="Times New Roman" w:cs="Times New Roman"/>
          <w:sz w:val="24"/>
          <w:szCs w:val="24"/>
        </w:rPr>
        <w:t>is in line</w:t>
      </w:r>
      <w:r w:rsidR="00A64929" w:rsidRPr="0028133F">
        <w:rPr>
          <w:rFonts w:ascii="Times New Roman" w:hAnsi="Times New Roman" w:cs="Times New Roman"/>
          <w:sz w:val="24"/>
          <w:szCs w:val="24"/>
        </w:rPr>
        <w:t xml:space="preserve"> with the National Clean Cooking Strategy (2024-2034) of the Tanzania Ministry of Energy, which identifies five pillars of the work such as affordability mechanisms, system expansion, enforcement of regulations, involvement of the private sector, and communication of behavior change (Tanzania Ministry of Energy, 2024). Government statistics show that over 60% of cooking energy use in urban areas is charcoal consumption that has led to deforestation and carbon emissions. The policy lower</w:t>
      </w:r>
      <w:r w:rsidR="00352FFB" w:rsidRPr="0028133F">
        <w:rPr>
          <w:rFonts w:ascii="Times New Roman" w:hAnsi="Times New Roman" w:cs="Times New Roman"/>
          <w:sz w:val="24"/>
          <w:szCs w:val="24"/>
        </w:rPr>
        <w:t>s</w:t>
      </w:r>
      <w:r w:rsidR="00A64929" w:rsidRPr="0028133F">
        <w:rPr>
          <w:rFonts w:ascii="Times New Roman" w:hAnsi="Times New Roman" w:cs="Times New Roman"/>
          <w:sz w:val="24"/>
          <w:szCs w:val="24"/>
        </w:rPr>
        <w:t xml:space="preserve"> the reliance of biomass and state the adoption of LPG as a clean fuel transitioning to LPG. The alignment between household perceptions, interview evidence, regression findings, and national policy targets indicate that there is need to enhance the strategies multi-dimensionally. The private-sector innovation, regulation enforcement, and financial incentives, and infrastructure investment would have to act in tandem to result in sustainable LPG adoption and sustainable environmental security in the long term in Dar es Salaam.</w:t>
      </w:r>
    </w:p>
    <w:p w:rsidR="004C7622" w:rsidRPr="0028133F" w:rsidRDefault="001B4AA9" w:rsidP="0028133F">
      <w:pPr>
        <w:pStyle w:val="Heading1"/>
        <w:spacing w:after="240" w:line="360" w:lineRule="auto"/>
        <w:jc w:val="both"/>
        <w:rPr>
          <w:rFonts w:cs="Times New Roman"/>
          <w:color w:val="000000" w:themeColor="text1"/>
          <w:szCs w:val="24"/>
        </w:rPr>
      </w:pPr>
      <w:bookmarkStart w:id="11" w:name="_Toc230681678"/>
      <w:r>
        <w:rPr>
          <w:rFonts w:cs="Times New Roman"/>
          <w:color w:val="000000" w:themeColor="text1"/>
          <w:szCs w:val="24"/>
        </w:rPr>
        <w:t>4</w:t>
      </w:r>
      <w:r w:rsidR="004C7622" w:rsidRPr="0028133F">
        <w:rPr>
          <w:rFonts w:cs="Times New Roman"/>
          <w:color w:val="000000" w:themeColor="text1"/>
          <w:szCs w:val="24"/>
        </w:rPr>
        <w:t>.0 DISCUSSIONS</w:t>
      </w:r>
      <w:bookmarkEnd w:id="11"/>
      <w:r w:rsidR="004C7622" w:rsidRPr="0028133F">
        <w:rPr>
          <w:rFonts w:cs="Times New Roman"/>
          <w:color w:val="000000" w:themeColor="text1"/>
          <w:szCs w:val="24"/>
        </w:rPr>
        <w:t xml:space="preserve">  </w:t>
      </w:r>
    </w:p>
    <w:p w:rsidR="00114973" w:rsidRPr="0028133F" w:rsidRDefault="00114973" w:rsidP="0028133F">
      <w:pPr>
        <w:pStyle w:val="NoSpacing"/>
        <w:spacing w:before="240" w:after="240" w:line="360" w:lineRule="auto"/>
        <w:jc w:val="both"/>
        <w:rPr>
          <w:rFonts w:ascii="Times New Roman" w:hAnsi="Times New Roman" w:cs="Times New Roman"/>
          <w:sz w:val="24"/>
          <w:szCs w:val="24"/>
        </w:rPr>
      </w:pPr>
      <w:r w:rsidRPr="0028133F">
        <w:rPr>
          <w:rFonts w:ascii="Times New Roman" w:hAnsi="Times New Roman" w:cs="Times New Roman"/>
          <w:sz w:val="24"/>
          <w:szCs w:val="24"/>
        </w:rPr>
        <w:t>The results of the study showed that policy awareness has an important influence in the adoption of Liquefied Petroleum Gas (LPG) among the households in Dar es Salaam. While the majority of respondents were aware of government and local policy messages encouraging LPG use, many of the rural households were not directly affected by LPG subsidy programmes and policy incentives. The results are consistent with those of Mainimo et al. (2022), who concluded that raising household awareness has a positive effect on increasing their knowledge and attitudes regarding clean household energy sources; however, it did not always ensure their adoption, the results of which largely depended on economic and infrastructural constraints. Likewise, Rogers (2003), based on the Diffusion of Innovation Theory, says that awareness is just the first phase in the innovation adoption process and needs to be complemented by accessibility and noticeable benefits. So it is too early to communicate policy without access to policy mechanisms and inclusive to LPG support programmes.</w:t>
      </w:r>
    </w:p>
    <w:p w:rsidR="00114973" w:rsidRPr="0028133F" w:rsidRDefault="00114973" w:rsidP="0028133F">
      <w:pPr>
        <w:pStyle w:val="NoSpacing"/>
        <w:spacing w:before="240" w:after="240" w:line="360" w:lineRule="auto"/>
        <w:jc w:val="both"/>
        <w:rPr>
          <w:rFonts w:ascii="Times New Roman" w:hAnsi="Times New Roman" w:cs="Times New Roman"/>
          <w:sz w:val="24"/>
          <w:szCs w:val="24"/>
        </w:rPr>
      </w:pPr>
      <w:r w:rsidRPr="0028133F">
        <w:rPr>
          <w:rFonts w:ascii="Times New Roman" w:hAnsi="Times New Roman" w:cs="Times New Roman"/>
          <w:sz w:val="24"/>
          <w:szCs w:val="24"/>
        </w:rPr>
        <w:lastRenderedPageBreak/>
        <w:t>The study also found that nearness to LPG refill stations has a significant impact upon the willingness of household to keep LPG, and use it consistently as a major cooking fuel. The tendency to use LPG was greater in households nearby refill stations than in those far from distribution centers or without LPG refill stations in their neighbourhoods.Households living close to refill stations were more likely to use LPG than those living further away from refill centres or where there were no LPG refill stations. This study is consistent with that of Kowsari and Zerriffi (2011) who concluded that long distance leads to high transaction cost, which helps fuel stacking if low-income households. Similarly, Grimsby, et at. (2024) noted that poor supply chain capacity is one of the many challenges to the exclusive use of LPGs in Africa's urban centres. The qualitative results of this study also revealed that low accessibility of LPG hinders sustained household reliance on LPG even though they have an awareness of the advantages of use of LPG related to environmental and health conditions. To support sustainable transitions towards clean cooking, thus, increasing refill infrastructure and coverage are key.</w:t>
      </w:r>
    </w:p>
    <w:p w:rsidR="00114973" w:rsidRPr="0028133F" w:rsidRDefault="00114973" w:rsidP="0028133F">
      <w:pPr>
        <w:pStyle w:val="NoSpacing"/>
        <w:spacing w:before="240" w:after="240" w:line="360" w:lineRule="auto"/>
        <w:jc w:val="both"/>
        <w:rPr>
          <w:rFonts w:ascii="Times New Roman" w:hAnsi="Times New Roman" w:cs="Times New Roman"/>
          <w:sz w:val="24"/>
          <w:szCs w:val="24"/>
        </w:rPr>
      </w:pPr>
      <w:r w:rsidRPr="0028133F">
        <w:rPr>
          <w:rFonts w:ascii="Times New Roman" w:hAnsi="Times New Roman" w:cs="Times New Roman"/>
          <w:sz w:val="24"/>
          <w:szCs w:val="24"/>
        </w:rPr>
        <w:t>The results also concluded that institutional and multi-sectoral measures to increase LPG use and improve environmental security are supported well by the households. The development of refill stations, collaboration with the government and social awareness creating campaigns, strengthening policy and enforcing it, were recognized by most of the respondents as key measures in promoting LPG. The results closely align with Biririza (2024) who suggested a need for “triple interventions” in the area of institutions, infrastructure, and finances to effectively achieve clean energy transitions in developing countries. At the same time, the Tanzania National Clean Cooking Strategy (2024-2034) calls for investing more in subsidy, supporting infrastructure, and engaging the private sector in promoting CC access. In addition, attitudes, social influence, and perceived behavioral control are important factors in the adoption of behavior according to Ajzen's (1991) Theory of Planned Behavior. Therefore, institutional partnership and supportive policies are crucial for a fast pace in household energy transitions in Dar es Salaam.</w:t>
      </w:r>
    </w:p>
    <w:p w:rsidR="00E06AED" w:rsidRPr="0028133F" w:rsidRDefault="00114973" w:rsidP="006B5D83">
      <w:pPr>
        <w:pStyle w:val="NoSpacing"/>
        <w:spacing w:before="240" w:after="240" w:line="360" w:lineRule="auto"/>
        <w:jc w:val="both"/>
        <w:rPr>
          <w:rFonts w:ascii="Times New Roman" w:hAnsi="Times New Roman" w:cs="Times New Roman"/>
          <w:sz w:val="24"/>
          <w:szCs w:val="24"/>
        </w:rPr>
      </w:pPr>
      <w:r w:rsidRPr="0028133F">
        <w:rPr>
          <w:rFonts w:ascii="Times New Roman" w:hAnsi="Times New Roman" w:cs="Times New Roman"/>
          <w:sz w:val="24"/>
          <w:szCs w:val="24"/>
        </w:rPr>
        <w:t xml:space="preserve">The study has also defined that despite the presence of the subsidy programmes, the affordability of LPG is a big challenge affecting the sustained use of LPG among low income groups. The government's subsidized 6kg LPG cylinder packages have worked well in providing initial access to clean cooking technologies but high cost of cylinder refilling and lack of income stability are still issues in the household context. The results confirm the findings of Energy Ladder Model </w:t>
      </w:r>
      <w:r w:rsidRPr="0028133F">
        <w:rPr>
          <w:rFonts w:ascii="Times New Roman" w:hAnsi="Times New Roman" w:cs="Times New Roman"/>
          <w:sz w:val="24"/>
          <w:szCs w:val="24"/>
        </w:rPr>
        <w:lastRenderedPageBreak/>
        <w:t>developed by Hosier and Dowd (1987), which indicates that the energy-efficient transition of the households rely to a large extent on the increase in the household income and economic stability. Azuwike et al. (2023) reported that financial constraints negatively affect the capacity of households to sustain the use of LPG in urban Africa in the long-term. Accordingly, long-term affordability mechanisms, secure supply chains, and income sensitive financing of low-income urban residents in the context of LPG is required in order to ensure sustainable environmental security.</w:t>
      </w:r>
    </w:p>
    <w:p w:rsidR="00D04C51" w:rsidRPr="0028133F" w:rsidRDefault="003942BF" w:rsidP="006B5D83">
      <w:pPr>
        <w:pStyle w:val="Heading1"/>
        <w:spacing w:after="240" w:line="360" w:lineRule="auto"/>
        <w:rPr>
          <w:rFonts w:cs="Times New Roman"/>
          <w:szCs w:val="24"/>
        </w:rPr>
      </w:pPr>
      <w:bookmarkStart w:id="12" w:name="_Toc230681679"/>
      <w:r>
        <w:rPr>
          <w:rStyle w:val="Strong"/>
          <w:rFonts w:cs="Times New Roman"/>
          <w:b/>
          <w:bCs w:val="0"/>
          <w:szCs w:val="24"/>
        </w:rPr>
        <w:t>5</w:t>
      </w:r>
      <w:r w:rsidR="00D04C51" w:rsidRPr="0028133F">
        <w:rPr>
          <w:rStyle w:val="Strong"/>
          <w:rFonts w:cs="Times New Roman"/>
          <w:b/>
          <w:bCs w:val="0"/>
          <w:szCs w:val="24"/>
        </w:rPr>
        <w:t>.0 CONCLUSION</w:t>
      </w:r>
      <w:bookmarkEnd w:id="12"/>
    </w:p>
    <w:p w:rsidR="00E06AED" w:rsidRPr="0028133F" w:rsidRDefault="00DC0A0D" w:rsidP="006B5D83">
      <w:pPr>
        <w:pStyle w:val="NoSpacing"/>
        <w:spacing w:before="240" w:after="240" w:line="360" w:lineRule="auto"/>
        <w:jc w:val="both"/>
        <w:rPr>
          <w:rFonts w:ascii="Times New Roman" w:hAnsi="Times New Roman" w:cs="Times New Roman"/>
          <w:sz w:val="24"/>
          <w:szCs w:val="24"/>
        </w:rPr>
      </w:pPr>
      <w:r w:rsidRPr="0028133F">
        <w:rPr>
          <w:rFonts w:ascii="Times New Roman" w:hAnsi="Times New Roman" w:cs="Times New Roman"/>
          <w:sz w:val="24"/>
          <w:szCs w:val="24"/>
        </w:rPr>
        <w:t>This study has found that, improving household adoption of Liquefied Petroleum Gas (LPG) is crucial to improve environment security in Dar es Salaam Region in Tanzania. The results identified, policy awareness and access to LPG refill stations, LPG affordability mechanisms, private sector/public collaboration, and awareness campaigns as the key strategies that affect intuitive household LPG use. While the push to increase LPG access and awareness only started through government programs, including subsidies, VAT exemptions and the National Clean Cooking Strategy, national LPG migration is hindered by socio-economic inequities, fragmented access and distribution networks and high LPG cost. The study also reveals that the higher the rate at which LPG is brought in, the more biomass fuels will be reduced, deforestation will be reduced, indoor air quality will be improved, and the better the environment will be. Thus, ensure the successful exploitation of integrated financial, institutional, infrastructural and behavioural measures is crucial to realize sustainable clean cooking transitions and long-term environmental security in Dar es Salaam Region.</w:t>
      </w:r>
    </w:p>
    <w:p w:rsidR="00FF6184" w:rsidRPr="0028133F" w:rsidRDefault="003942BF" w:rsidP="006B5D83">
      <w:pPr>
        <w:pStyle w:val="Heading1"/>
        <w:spacing w:after="240" w:line="360" w:lineRule="auto"/>
        <w:rPr>
          <w:rFonts w:cs="Times New Roman"/>
          <w:szCs w:val="24"/>
        </w:rPr>
      </w:pPr>
      <w:bookmarkStart w:id="13" w:name="_Toc230681680"/>
      <w:r>
        <w:rPr>
          <w:rStyle w:val="Strong"/>
          <w:rFonts w:cs="Times New Roman"/>
          <w:b/>
          <w:bCs w:val="0"/>
          <w:szCs w:val="24"/>
        </w:rPr>
        <w:t>6</w:t>
      </w:r>
      <w:r w:rsidR="00FF6184" w:rsidRPr="0028133F">
        <w:rPr>
          <w:rStyle w:val="Strong"/>
          <w:rFonts w:cs="Times New Roman"/>
          <w:b/>
          <w:bCs w:val="0"/>
          <w:szCs w:val="24"/>
        </w:rPr>
        <w:t>.0 RECOMMENDATIONS</w:t>
      </w:r>
      <w:bookmarkEnd w:id="13"/>
    </w:p>
    <w:p w:rsidR="001A64B0" w:rsidRPr="0028133F" w:rsidRDefault="001A64B0" w:rsidP="006B5D83">
      <w:pPr>
        <w:pStyle w:val="NoSpacing"/>
        <w:spacing w:before="240" w:after="240" w:line="360" w:lineRule="auto"/>
        <w:jc w:val="both"/>
        <w:rPr>
          <w:rFonts w:ascii="Times New Roman" w:hAnsi="Times New Roman" w:cs="Times New Roman"/>
          <w:sz w:val="24"/>
          <w:szCs w:val="24"/>
        </w:rPr>
      </w:pPr>
      <w:r w:rsidRPr="0028133F">
        <w:rPr>
          <w:rFonts w:ascii="Times New Roman" w:hAnsi="Times New Roman" w:cs="Times New Roman"/>
          <w:sz w:val="24"/>
          <w:szCs w:val="24"/>
        </w:rPr>
        <w:t xml:space="preserve"> The Government of Tanzania should scale up the use of subsidy programmes covering LPG starter kits, as well as create income-sensitive financing alternatives addressing the low-income groups in urban and peri-urban population to implement the ‘National Clean Cooking Strategy (2024-2034)'. This would lower financial costs of acquiring LPG equipment and LPG refill services and make adoption of clean cooking technologies easier and less costly from a financial perspective, which would encourage the sustained uptake of clean cooking technologies by households. </w:t>
      </w:r>
      <w:r w:rsidRPr="0028133F">
        <w:rPr>
          <w:rFonts w:ascii="Times New Roman" w:hAnsi="Times New Roman" w:cs="Times New Roman"/>
          <w:sz w:val="24"/>
          <w:szCs w:val="24"/>
        </w:rPr>
        <w:lastRenderedPageBreak/>
        <w:t>Furthermore, the government should also step up monitoring and policy enforcement to guarantee equal access to subsidies and accountability in the implementation of clean cooking programmes.</w:t>
      </w:r>
    </w:p>
    <w:p w:rsidR="001A64B0" w:rsidRPr="0028133F" w:rsidRDefault="001A64B0" w:rsidP="006B5D83">
      <w:pPr>
        <w:pStyle w:val="NoSpacing"/>
        <w:spacing w:before="240" w:after="240" w:line="360" w:lineRule="auto"/>
        <w:jc w:val="both"/>
        <w:rPr>
          <w:rFonts w:ascii="Times New Roman" w:hAnsi="Times New Roman" w:cs="Times New Roman"/>
          <w:sz w:val="24"/>
          <w:szCs w:val="24"/>
        </w:rPr>
      </w:pPr>
      <w:r w:rsidRPr="0028133F">
        <w:rPr>
          <w:rFonts w:ascii="Times New Roman" w:hAnsi="Times New Roman" w:cs="Times New Roman"/>
          <w:sz w:val="24"/>
          <w:szCs w:val="24"/>
        </w:rPr>
        <w:t>The Ministry of Energy is required to scale up LPG distribution network infrastructure, and create more refill and exchange stations in poorly-serviced areas of Dar es Salaam with the active participation of its private sector partners. Ease of access and access proximity to LPG would decrease transportation costs, enhance convenience and decrease dependence on charcoal and firewood across the households. In addition, investment in local sites and the storage and transport infrastructure must be focused to guarantee a reliable and continuous provision of LPG all over the region.</w:t>
      </w:r>
    </w:p>
    <w:p w:rsidR="001A64B0" w:rsidRPr="0028133F" w:rsidRDefault="001A64B0" w:rsidP="006B5D83">
      <w:pPr>
        <w:pStyle w:val="NoSpacing"/>
        <w:spacing w:before="240" w:after="240" w:line="360" w:lineRule="auto"/>
        <w:jc w:val="both"/>
        <w:rPr>
          <w:rFonts w:ascii="Times New Roman" w:hAnsi="Times New Roman" w:cs="Times New Roman"/>
          <w:sz w:val="24"/>
          <w:szCs w:val="24"/>
        </w:rPr>
      </w:pPr>
      <w:r w:rsidRPr="0028133F">
        <w:rPr>
          <w:rFonts w:ascii="Times New Roman" w:hAnsi="Times New Roman" w:cs="Times New Roman"/>
          <w:sz w:val="24"/>
          <w:szCs w:val="24"/>
        </w:rPr>
        <w:t>Society education and awareness programmes of LPG should be strengthened in houses, mass media, radio, television, social media and other mediums highlighting LPG's environmental, economical and health benefits. Special attention should be given to the communities where smoking of biomass fuel is prevalent such as low-income community and informal settlement. Second, LPG-related education and awareness-raising initiatives should be bolstered to reflect the anxieties and misconceptions related to using and handling LPG which persist and continue to deter some households from using clean cooking technologies.</w:t>
      </w:r>
    </w:p>
    <w:p w:rsidR="008E2778" w:rsidRPr="0028133F" w:rsidRDefault="001A64B0" w:rsidP="006B5D83">
      <w:pPr>
        <w:pStyle w:val="NoSpacing"/>
        <w:spacing w:before="240" w:after="240" w:line="360" w:lineRule="auto"/>
        <w:jc w:val="both"/>
        <w:rPr>
          <w:rFonts w:ascii="Times New Roman" w:hAnsi="Times New Roman" w:cs="Times New Roman"/>
          <w:sz w:val="24"/>
          <w:szCs w:val="24"/>
        </w:rPr>
      </w:pPr>
      <w:r w:rsidRPr="0028133F">
        <w:rPr>
          <w:rFonts w:ascii="Times New Roman" w:hAnsi="Times New Roman" w:cs="Times New Roman"/>
          <w:sz w:val="24"/>
          <w:szCs w:val="24"/>
        </w:rPr>
        <w:t>The government needs to be more pro-active in strengthening the public-private partnerships for greater innovation and better services to households for accessing LPG services. There is a need to adopt some flexible policies and flexible payment mechanisms in the private sector to provide affordable and convenient services to consumers by introducing home delivery and cylinder exchange systems. Such integrated initiatives may facilitate the long-term transition of households to clean energy and help mitigate deforestation as well as operating level air quality and environmental security situation in Dar es Salaam Region.</w:t>
      </w:r>
    </w:p>
    <w:p w:rsidR="00DC61C3" w:rsidRPr="0028133F" w:rsidRDefault="00DC61C3" w:rsidP="006B5D83">
      <w:pPr>
        <w:spacing w:before="240" w:after="240" w:line="360" w:lineRule="auto"/>
        <w:rPr>
          <w:rFonts w:ascii="Times New Roman" w:hAnsi="Times New Roman" w:cs="Times New Roman"/>
          <w:sz w:val="24"/>
          <w:szCs w:val="24"/>
        </w:rPr>
      </w:pPr>
      <w:r w:rsidRPr="0028133F">
        <w:rPr>
          <w:rFonts w:ascii="Times New Roman" w:hAnsi="Times New Roman" w:cs="Times New Roman"/>
          <w:sz w:val="24"/>
          <w:szCs w:val="24"/>
        </w:rPr>
        <w:br w:type="page"/>
      </w:r>
    </w:p>
    <w:p w:rsidR="00DC61C3" w:rsidRDefault="003942BF" w:rsidP="006B5D83">
      <w:pPr>
        <w:pStyle w:val="Heading1"/>
        <w:spacing w:after="240" w:line="360" w:lineRule="auto"/>
      </w:pPr>
      <w:bookmarkStart w:id="14" w:name="_Toc230681681"/>
      <w:r>
        <w:lastRenderedPageBreak/>
        <w:t>7</w:t>
      </w:r>
      <w:r w:rsidR="007B2C28">
        <w:t xml:space="preserve">.0 </w:t>
      </w:r>
      <w:r w:rsidR="00DC61C3">
        <w:t>REFERENCES</w:t>
      </w:r>
      <w:bookmarkEnd w:id="14"/>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Aamaas, B., &amp; Grimsby, L. K. (2024). </w:t>
      </w:r>
      <w:r w:rsidRPr="00644E20">
        <w:rPr>
          <w:rStyle w:val="Emphasis"/>
          <w:rFonts w:ascii="Times New Roman" w:hAnsi="Times New Roman" w:cs="Times New Roman"/>
          <w:sz w:val="24"/>
        </w:rPr>
        <w:t>Clean cooking transitions and environmental sustainability in urban Africa</w:t>
      </w:r>
      <w:r w:rsidRPr="00644E20">
        <w:rPr>
          <w:rFonts w:ascii="Times New Roman" w:hAnsi="Times New Roman" w:cs="Times New Roman"/>
          <w:sz w:val="24"/>
        </w:rPr>
        <w:t>. Energy for Sustainable Development, 78(2), 115–128.</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Africa Energy Portal. (2024). </w:t>
      </w:r>
      <w:r w:rsidRPr="00644E20">
        <w:rPr>
          <w:rStyle w:val="Emphasis"/>
          <w:rFonts w:ascii="Times New Roman" w:hAnsi="Times New Roman" w:cs="Times New Roman"/>
          <w:sz w:val="24"/>
        </w:rPr>
        <w:t>Tanzania clean cooking and LPG policy reforms</w:t>
      </w:r>
      <w:r w:rsidRPr="00644E20">
        <w:rPr>
          <w:rFonts w:ascii="Times New Roman" w:hAnsi="Times New Roman" w:cs="Times New Roman"/>
          <w:sz w:val="24"/>
        </w:rPr>
        <w:t xml:space="preserve">. </w:t>
      </w:r>
      <w:hyperlink r:id="rId9" w:tgtFrame="_new" w:history="1">
        <w:r w:rsidRPr="00644E20">
          <w:rPr>
            <w:rStyle w:val="Hyperlink"/>
            <w:rFonts w:ascii="Times New Roman" w:hAnsi="Times New Roman" w:cs="Times New Roman"/>
            <w:sz w:val="24"/>
          </w:rPr>
          <w:t>https://africa-energy-portal.org</w:t>
        </w:r>
      </w:hyperlink>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Ajzen, I. (1991). The theory of planned behavior. </w:t>
      </w:r>
      <w:r w:rsidRPr="00644E20">
        <w:rPr>
          <w:rStyle w:val="Emphasis"/>
          <w:rFonts w:ascii="Times New Roman" w:hAnsi="Times New Roman" w:cs="Times New Roman"/>
          <w:sz w:val="24"/>
        </w:rPr>
        <w:t>Organizational Behavior and Human Decision Processes, 50</w:t>
      </w:r>
      <w:r w:rsidRPr="00644E20">
        <w:rPr>
          <w:rFonts w:ascii="Times New Roman" w:hAnsi="Times New Roman" w:cs="Times New Roman"/>
          <w:sz w:val="24"/>
        </w:rPr>
        <w:t>(2), 179–211. https://doi.org/10.1016/0749-5978(91)90020-T</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Annelise, G., Mushi, P., &amp; Temu, A. (2022). Household energy transitions and barriers to LPG adoption in Tanzania. </w:t>
      </w:r>
      <w:r w:rsidRPr="00644E20">
        <w:rPr>
          <w:rStyle w:val="Emphasis"/>
          <w:rFonts w:ascii="Times New Roman" w:hAnsi="Times New Roman" w:cs="Times New Roman"/>
          <w:sz w:val="24"/>
        </w:rPr>
        <w:t>Journal of Energy in Southern Africa, 33</w:t>
      </w:r>
      <w:r w:rsidRPr="00644E20">
        <w:rPr>
          <w:rFonts w:ascii="Times New Roman" w:hAnsi="Times New Roman" w:cs="Times New Roman"/>
          <w:sz w:val="24"/>
        </w:rPr>
        <w:t>(4), 45–59.</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Azuwike, D. O., Chikowore, T., &amp; Mbewe, S. (2023). Socio-economic determinants of clean cooking fuel adoption in urban Africa. </w:t>
      </w:r>
      <w:r w:rsidRPr="00644E20">
        <w:rPr>
          <w:rStyle w:val="Emphasis"/>
          <w:rFonts w:ascii="Times New Roman" w:hAnsi="Times New Roman" w:cs="Times New Roman"/>
          <w:sz w:val="24"/>
        </w:rPr>
        <w:t>Energy Policy, 174</w:t>
      </w:r>
      <w:r w:rsidRPr="00644E20">
        <w:rPr>
          <w:rFonts w:ascii="Times New Roman" w:hAnsi="Times New Roman" w:cs="Times New Roman"/>
          <w:sz w:val="24"/>
        </w:rPr>
        <w:t>, 113–126. https://doi.org/10.1016/j.enpol.2023.113126</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Biririza, J. (2024). Institutional interventions and clean energy transitions in developing countries. </w:t>
      </w:r>
      <w:r w:rsidRPr="00644E20">
        <w:rPr>
          <w:rStyle w:val="Emphasis"/>
          <w:rFonts w:ascii="Times New Roman" w:hAnsi="Times New Roman" w:cs="Times New Roman"/>
          <w:sz w:val="24"/>
        </w:rPr>
        <w:t>Renewable Energy Journal, 12</w:t>
      </w:r>
      <w:r w:rsidRPr="00644E20">
        <w:rPr>
          <w:rFonts w:ascii="Times New Roman" w:hAnsi="Times New Roman" w:cs="Times New Roman"/>
          <w:sz w:val="24"/>
        </w:rPr>
        <w:t>(1), 66–81.</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Government of India. (2022). </w:t>
      </w:r>
      <w:r w:rsidRPr="00644E20">
        <w:rPr>
          <w:rStyle w:val="Emphasis"/>
          <w:rFonts w:ascii="Times New Roman" w:hAnsi="Times New Roman" w:cs="Times New Roman"/>
          <w:sz w:val="24"/>
        </w:rPr>
        <w:t>Pradhan Mantri Ujjwala Yojana annual implementation report</w:t>
      </w:r>
      <w:r w:rsidRPr="00644E20">
        <w:rPr>
          <w:rFonts w:ascii="Times New Roman" w:hAnsi="Times New Roman" w:cs="Times New Roman"/>
          <w:sz w:val="24"/>
        </w:rPr>
        <w:t>. Ministry of Petroleum and Natural Gas.</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Grimsby, L. K., Aamaas, B., &amp; Zerriffi, H. (2024). LPG accessibility and household fuel transitions in urban Africa. </w:t>
      </w:r>
      <w:r w:rsidRPr="00644E20">
        <w:rPr>
          <w:rStyle w:val="Emphasis"/>
          <w:rFonts w:ascii="Times New Roman" w:hAnsi="Times New Roman" w:cs="Times New Roman"/>
          <w:sz w:val="24"/>
        </w:rPr>
        <w:t>Energy Research &amp; Social Science, 109</w:t>
      </w:r>
      <w:r w:rsidRPr="00644E20">
        <w:rPr>
          <w:rFonts w:ascii="Times New Roman" w:hAnsi="Times New Roman" w:cs="Times New Roman"/>
          <w:sz w:val="24"/>
        </w:rPr>
        <w:t>, 103425. https://doi.org/10.1016/j.erss.2024.103425</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Hosier, R. H., &amp; Dowd, J. (1987). Household fuel choice in Zimbabwe: An empirical test of the energy ladder hypothesis. </w:t>
      </w:r>
      <w:r w:rsidRPr="00644E20">
        <w:rPr>
          <w:rStyle w:val="Emphasis"/>
          <w:rFonts w:ascii="Times New Roman" w:hAnsi="Times New Roman" w:cs="Times New Roman"/>
          <w:sz w:val="24"/>
        </w:rPr>
        <w:t>Resources and Energy, 9</w:t>
      </w:r>
      <w:r w:rsidRPr="00644E20">
        <w:rPr>
          <w:rFonts w:ascii="Times New Roman" w:hAnsi="Times New Roman" w:cs="Times New Roman"/>
          <w:sz w:val="24"/>
        </w:rPr>
        <w:t>(4), 347–361. https://doi.org/10.1016/0165-0572(87)90003-X</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International Energy Agency. (2022). </w:t>
      </w:r>
      <w:r w:rsidRPr="00644E20">
        <w:rPr>
          <w:rStyle w:val="Emphasis"/>
          <w:rFonts w:ascii="Times New Roman" w:hAnsi="Times New Roman" w:cs="Times New Roman"/>
          <w:sz w:val="24"/>
        </w:rPr>
        <w:t>World energy outlook 2022</w:t>
      </w:r>
      <w:r w:rsidRPr="00644E20">
        <w:rPr>
          <w:rFonts w:ascii="Times New Roman" w:hAnsi="Times New Roman" w:cs="Times New Roman"/>
          <w:sz w:val="24"/>
        </w:rPr>
        <w:t xml:space="preserve">. </w:t>
      </w:r>
      <w:hyperlink r:id="rId10" w:tgtFrame="_new" w:history="1">
        <w:r w:rsidRPr="00644E20">
          <w:rPr>
            <w:rStyle w:val="Hyperlink"/>
            <w:rFonts w:ascii="Times New Roman" w:hAnsi="Times New Roman" w:cs="Times New Roman"/>
            <w:sz w:val="24"/>
          </w:rPr>
          <w:t>https://www.iea.org</w:t>
        </w:r>
      </w:hyperlink>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International Energy Agency. (2023). </w:t>
      </w:r>
      <w:r w:rsidRPr="00644E20">
        <w:rPr>
          <w:rStyle w:val="Emphasis"/>
          <w:rFonts w:ascii="Times New Roman" w:hAnsi="Times New Roman" w:cs="Times New Roman"/>
          <w:sz w:val="24"/>
        </w:rPr>
        <w:t>Africa energy outlook 2023</w:t>
      </w:r>
      <w:r w:rsidRPr="00644E20">
        <w:rPr>
          <w:rFonts w:ascii="Times New Roman" w:hAnsi="Times New Roman" w:cs="Times New Roman"/>
          <w:sz w:val="24"/>
        </w:rPr>
        <w:t xml:space="preserve">. </w:t>
      </w:r>
      <w:hyperlink r:id="rId11" w:tgtFrame="_new" w:history="1">
        <w:r w:rsidRPr="00644E20">
          <w:rPr>
            <w:rStyle w:val="Hyperlink"/>
            <w:rFonts w:ascii="Times New Roman" w:hAnsi="Times New Roman" w:cs="Times New Roman"/>
            <w:sz w:val="24"/>
          </w:rPr>
          <w:t>https://www.iea.org</w:t>
        </w:r>
      </w:hyperlink>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lastRenderedPageBreak/>
        <w:t xml:space="preserve">Jamilaldin, M. (2025). Challenges affecting household adoption of clean cooking technologies in Tanzania. </w:t>
      </w:r>
      <w:r w:rsidRPr="00644E20">
        <w:rPr>
          <w:rStyle w:val="Emphasis"/>
          <w:rFonts w:ascii="Times New Roman" w:hAnsi="Times New Roman" w:cs="Times New Roman"/>
          <w:sz w:val="24"/>
        </w:rPr>
        <w:t>East African Journal of Environmental Studies, 9</w:t>
      </w:r>
      <w:r w:rsidRPr="00644E20">
        <w:rPr>
          <w:rFonts w:ascii="Times New Roman" w:hAnsi="Times New Roman" w:cs="Times New Roman"/>
          <w:sz w:val="24"/>
        </w:rPr>
        <w:t>(1), 88–101.</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Kenya Forest Service. (2023). </w:t>
      </w:r>
      <w:r w:rsidRPr="00644E20">
        <w:rPr>
          <w:rStyle w:val="Emphasis"/>
          <w:rFonts w:ascii="Times New Roman" w:hAnsi="Times New Roman" w:cs="Times New Roman"/>
          <w:sz w:val="24"/>
        </w:rPr>
        <w:t>Annual forest conservation and biomass energy report</w:t>
      </w:r>
      <w:r w:rsidRPr="00644E20">
        <w:rPr>
          <w:rFonts w:ascii="Times New Roman" w:hAnsi="Times New Roman" w:cs="Times New Roman"/>
          <w:sz w:val="24"/>
        </w:rPr>
        <w:t>. Government Printer.</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Kenya Ministry of Energy. (2022). </w:t>
      </w:r>
      <w:r w:rsidRPr="00644E20">
        <w:rPr>
          <w:rStyle w:val="Emphasis"/>
          <w:rFonts w:ascii="Times New Roman" w:hAnsi="Times New Roman" w:cs="Times New Roman"/>
          <w:sz w:val="24"/>
        </w:rPr>
        <w:t>Kenya clean cooking strategy 2022–2028</w:t>
      </w:r>
      <w:r w:rsidRPr="00644E20">
        <w:rPr>
          <w:rFonts w:ascii="Times New Roman" w:hAnsi="Times New Roman" w:cs="Times New Roman"/>
          <w:sz w:val="24"/>
        </w:rPr>
        <w:t>. Government Printer.</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Kowsari, R., &amp; Zerriffi, H. (2011). Three dimensional energy profile: A conceptual framework for assessing household energy use. </w:t>
      </w:r>
      <w:r w:rsidRPr="00644E20">
        <w:rPr>
          <w:rStyle w:val="Emphasis"/>
          <w:rFonts w:ascii="Times New Roman" w:hAnsi="Times New Roman" w:cs="Times New Roman"/>
          <w:sz w:val="24"/>
        </w:rPr>
        <w:t>Energy Policy, 39</w:t>
      </w:r>
      <w:r w:rsidRPr="00644E20">
        <w:rPr>
          <w:rFonts w:ascii="Times New Roman" w:hAnsi="Times New Roman" w:cs="Times New Roman"/>
          <w:sz w:val="24"/>
        </w:rPr>
        <w:t xml:space="preserve">(12), 7505–7517. </w:t>
      </w:r>
      <w:hyperlink r:id="rId12" w:tgtFrame="_new" w:history="1">
        <w:r w:rsidRPr="00644E20">
          <w:rPr>
            <w:rStyle w:val="Hyperlink"/>
            <w:rFonts w:ascii="Times New Roman" w:hAnsi="Times New Roman" w:cs="Times New Roman"/>
            <w:sz w:val="24"/>
          </w:rPr>
          <w:t>https://doi.org/10.1016/j.enpol.2011.06.030</w:t>
        </w:r>
      </w:hyperlink>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Lasisi, T. T. (2021). Behavioral determinants of household clean cooking fuel adoption in Sub-Saharan Africa. </w:t>
      </w:r>
      <w:r w:rsidRPr="00644E20">
        <w:rPr>
          <w:rStyle w:val="Emphasis"/>
          <w:rFonts w:ascii="Times New Roman" w:hAnsi="Times New Roman" w:cs="Times New Roman"/>
          <w:sz w:val="24"/>
        </w:rPr>
        <w:t>Energy Policy, 156</w:t>
      </w:r>
      <w:r w:rsidRPr="00644E20">
        <w:rPr>
          <w:rFonts w:ascii="Times New Roman" w:hAnsi="Times New Roman" w:cs="Times New Roman"/>
          <w:sz w:val="24"/>
        </w:rPr>
        <w:t>, 112–124. https://doi.org/10.1016/j.enpol.2021.112124</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Li, X., Zhang, Y., &amp; Chen, H. (2023). Urban clean cooking transitions and air pollution reduction in China. </w:t>
      </w:r>
      <w:r w:rsidRPr="00644E20">
        <w:rPr>
          <w:rStyle w:val="Emphasis"/>
          <w:rFonts w:ascii="Times New Roman" w:hAnsi="Times New Roman" w:cs="Times New Roman"/>
          <w:sz w:val="24"/>
        </w:rPr>
        <w:t>Environmental Science and Policy, 145</w:t>
      </w:r>
      <w:r w:rsidRPr="00644E20">
        <w:rPr>
          <w:rFonts w:ascii="Times New Roman" w:hAnsi="Times New Roman" w:cs="Times New Roman"/>
          <w:sz w:val="24"/>
        </w:rPr>
        <w:t>, 56–68. https://doi.org/10.1016/j.envsci.2023.03.011</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Mainimo, T., Ndlovu, S., &amp; Banda, K. (2022). Policy awareness and adoption of clean cooking technologies among urban households in Africa. </w:t>
      </w:r>
      <w:r w:rsidRPr="00644E20">
        <w:rPr>
          <w:rStyle w:val="Emphasis"/>
          <w:rFonts w:ascii="Times New Roman" w:hAnsi="Times New Roman" w:cs="Times New Roman"/>
          <w:sz w:val="24"/>
        </w:rPr>
        <w:t>Journal of Sustainable Energy, 14</w:t>
      </w:r>
      <w:r w:rsidRPr="00644E20">
        <w:rPr>
          <w:rFonts w:ascii="Times New Roman" w:hAnsi="Times New Roman" w:cs="Times New Roman"/>
          <w:sz w:val="24"/>
        </w:rPr>
        <w:t>(3), 201–219.</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Ministry of Energy Tanzania. (2024). </w:t>
      </w:r>
      <w:r w:rsidRPr="00644E20">
        <w:rPr>
          <w:rStyle w:val="Emphasis"/>
          <w:rFonts w:ascii="Times New Roman" w:hAnsi="Times New Roman" w:cs="Times New Roman"/>
          <w:sz w:val="24"/>
        </w:rPr>
        <w:t>National clean cooking strategy 2024–2034</w:t>
      </w:r>
      <w:r w:rsidRPr="00644E20">
        <w:rPr>
          <w:rFonts w:ascii="Times New Roman" w:hAnsi="Times New Roman" w:cs="Times New Roman"/>
          <w:sz w:val="24"/>
        </w:rPr>
        <w:t>. Government of Tanzania.</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Modern Energy Cooking Services (MECS). (2022). </w:t>
      </w:r>
      <w:r w:rsidRPr="00644E20">
        <w:rPr>
          <w:rStyle w:val="Emphasis"/>
          <w:rFonts w:ascii="Times New Roman" w:hAnsi="Times New Roman" w:cs="Times New Roman"/>
          <w:sz w:val="24"/>
        </w:rPr>
        <w:t>Tanzania clean cooking market assessment report</w:t>
      </w:r>
      <w:r w:rsidRPr="00644E20">
        <w:rPr>
          <w:rFonts w:ascii="Times New Roman" w:hAnsi="Times New Roman" w:cs="Times New Roman"/>
          <w:sz w:val="24"/>
        </w:rPr>
        <w:t xml:space="preserve">. </w:t>
      </w:r>
      <w:hyperlink r:id="rId13" w:tgtFrame="_new" w:history="1">
        <w:r w:rsidRPr="00644E20">
          <w:rPr>
            <w:rStyle w:val="Hyperlink"/>
            <w:rFonts w:ascii="Times New Roman" w:hAnsi="Times New Roman" w:cs="Times New Roman"/>
            <w:sz w:val="24"/>
          </w:rPr>
          <w:t>https://mecs.org.uk</w:t>
        </w:r>
      </w:hyperlink>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National Bureau of Statistics Tanzania. (2022). </w:t>
      </w:r>
      <w:r w:rsidRPr="00644E20">
        <w:rPr>
          <w:rStyle w:val="Emphasis"/>
          <w:rFonts w:ascii="Times New Roman" w:hAnsi="Times New Roman" w:cs="Times New Roman"/>
          <w:sz w:val="24"/>
        </w:rPr>
        <w:t>2022 population and housing census report</w:t>
      </w:r>
      <w:r w:rsidRPr="00644E20">
        <w:rPr>
          <w:rFonts w:ascii="Times New Roman" w:hAnsi="Times New Roman" w:cs="Times New Roman"/>
          <w:sz w:val="24"/>
        </w:rPr>
        <w:t>. Government Printer.</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Oduka, J., Mwangi, P., &amp; Mutesi, R. (2025). Policy incentives and household LPG adoption in East Africa. </w:t>
      </w:r>
      <w:r w:rsidRPr="00644E20">
        <w:rPr>
          <w:rStyle w:val="Emphasis"/>
          <w:rFonts w:ascii="Times New Roman" w:hAnsi="Times New Roman" w:cs="Times New Roman"/>
          <w:sz w:val="24"/>
        </w:rPr>
        <w:t>African Journal of Environmental Policy, 11</w:t>
      </w:r>
      <w:r w:rsidRPr="00644E20">
        <w:rPr>
          <w:rFonts w:ascii="Times New Roman" w:hAnsi="Times New Roman" w:cs="Times New Roman"/>
          <w:sz w:val="24"/>
        </w:rPr>
        <w:t>(2), 77–94.</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lastRenderedPageBreak/>
        <w:t xml:space="preserve">Rogers, E. M. (2003). </w:t>
      </w:r>
      <w:r w:rsidRPr="00644E20">
        <w:rPr>
          <w:rStyle w:val="Emphasis"/>
          <w:rFonts w:ascii="Times New Roman" w:hAnsi="Times New Roman" w:cs="Times New Roman"/>
          <w:sz w:val="24"/>
        </w:rPr>
        <w:t>Diffusion of innovations</w:t>
      </w:r>
      <w:r w:rsidRPr="00644E20">
        <w:rPr>
          <w:rFonts w:ascii="Times New Roman" w:hAnsi="Times New Roman" w:cs="Times New Roman"/>
          <w:sz w:val="24"/>
        </w:rPr>
        <w:t xml:space="preserve"> (5th ed.). Free Press.</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Shayo, E. H., &amp; Bintabara, D. (2022). Household air pollution and respiratory infections among children in Tanzania. </w:t>
      </w:r>
      <w:r w:rsidRPr="00644E20">
        <w:rPr>
          <w:rStyle w:val="Emphasis"/>
          <w:rFonts w:ascii="Times New Roman" w:hAnsi="Times New Roman" w:cs="Times New Roman"/>
          <w:sz w:val="24"/>
        </w:rPr>
        <w:t>Annals of Global Health, 88</w:t>
      </w:r>
      <w:r w:rsidRPr="00644E20">
        <w:rPr>
          <w:rFonts w:ascii="Times New Roman" w:hAnsi="Times New Roman" w:cs="Times New Roman"/>
          <w:sz w:val="24"/>
        </w:rPr>
        <w:t>(1), 1–12. https://doi.org/10.5334/aogh.3650</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Smith, K. R., Bruce, N., &amp; Balakrishnan, K. (2021). Clean household energy and health outcomes in developing countries. </w:t>
      </w:r>
      <w:r w:rsidRPr="00644E20">
        <w:rPr>
          <w:rStyle w:val="Emphasis"/>
          <w:rFonts w:ascii="Times New Roman" w:hAnsi="Times New Roman" w:cs="Times New Roman"/>
          <w:sz w:val="24"/>
        </w:rPr>
        <w:t>The Lancet Planetary Health, 5</w:t>
      </w:r>
      <w:r w:rsidRPr="00644E20">
        <w:rPr>
          <w:rFonts w:ascii="Times New Roman" w:hAnsi="Times New Roman" w:cs="Times New Roman"/>
          <w:sz w:val="24"/>
        </w:rPr>
        <w:t>(7), e452–e460. https://doi.org/10.1016/S2542-5196(21)00102-4</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Uganda Bureau of Statistics. (2022). </w:t>
      </w:r>
      <w:r w:rsidRPr="00644E20">
        <w:rPr>
          <w:rStyle w:val="Emphasis"/>
          <w:rFonts w:ascii="Times New Roman" w:hAnsi="Times New Roman" w:cs="Times New Roman"/>
          <w:sz w:val="24"/>
        </w:rPr>
        <w:t>Uganda energy access statistical report</w:t>
      </w:r>
      <w:r w:rsidRPr="00644E20">
        <w:rPr>
          <w:rFonts w:ascii="Times New Roman" w:hAnsi="Times New Roman" w:cs="Times New Roman"/>
          <w:sz w:val="24"/>
        </w:rPr>
        <w:t>. Government Printer.</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Uganda National LPG Project. (2023). </w:t>
      </w:r>
      <w:r w:rsidRPr="00644E20">
        <w:rPr>
          <w:rStyle w:val="Emphasis"/>
          <w:rFonts w:ascii="Times New Roman" w:hAnsi="Times New Roman" w:cs="Times New Roman"/>
          <w:sz w:val="24"/>
        </w:rPr>
        <w:t>Annual LPG infrastructure development report</w:t>
      </w:r>
      <w:r w:rsidRPr="00644E20">
        <w:rPr>
          <w:rFonts w:ascii="Times New Roman" w:hAnsi="Times New Roman" w:cs="Times New Roman"/>
          <w:sz w:val="24"/>
        </w:rPr>
        <w:t>. Ministry of Energy and Mineral Development.</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United Nations Environment Programme. (2022). </w:t>
      </w:r>
      <w:r w:rsidRPr="00644E20">
        <w:rPr>
          <w:rStyle w:val="Emphasis"/>
          <w:rFonts w:ascii="Times New Roman" w:hAnsi="Times New Roman" w:cs="Times New Roman"/>
          <w:sz w:val="24"/>
        </w:rPr>
        <w:t>Global environmental outlook report</w:t>
      </w:r>
      <w:r w:rsidRPr="00644E20">
        <w:rPr>
          <w:rFonts w:ascii="Times New Roman" w:hAnsi="Times New Roman" w:cs="Times New Roman"/>
          <w:sz w:val="24"/>
        </w:rPr>
        <w:t xml:space="preserve">. </w:t>
      </w:r>
      <w:hyperlink r:id="rId14" w:tgtFrame="_new" w:history="1">
        <w:r w:rsidRPr="00644E20">
          <w:rPr>
            <w:rStyle w:val="Hyperlink"/>
            <w:rFonts w:ascii="Times New Roman" w:hAnsi="Times New Roman" w:cs="Times New Roman"/>
            <w:sz w:val="24"/>
          </w:rPr>
          <w:t>https://www.unep.org</w:t>
        </w:r>
      </w:hyperlink>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United Nations Human Settlements Programme (UN-Habitat). (2022). </w:t>
      </w:r>
      <w:r w:rsidRPr="00644E20">
        <w:rPr>
          <w:rStyle w:val="Emphasis"/>
          <w:rFonts w:ascii="Times New Roman" w:hAnsi="Times New Roman" w:cs="Times New Roman"/>
          <w:sz w:val="24"/>
        </w:rPr>
        <w:t>World cities report 2022</w:t>
      </w:r>
      <w:r w:rsidRPr="00644E20">
        <w:rPr>
          <w:rFonts w:ascii="Times New Roman" w:hAnsi="Times New Roman" w:cs="Times New Roman"/>
          <w:sz w:val="24"/>
        </w:rPr>
        <w:t xml:space="preserve">. </w:t>
      </w:r>
      <w:hyperlink r:id="rId15" w:tgtFrame="_new" w:history="1">
        <w:r w:rsidRPr="00644E20">
          <w:rPr>
            <w:rStyle w:val="Hyperlink"/>
            <w:rFonts w:ascii="Times New Roman" w:hAnsi="Times New Roman" w:cs="Times New Roman"/>
            <w:sz w:val="24"/>
          </w:rPr>
          <w:t>https://unhabitat.org</w:t>
        </w:r>
      </w:hyperlink>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United Republic of Tanzania (URT). (2022). </w:t>
      </w:r>
      <w:r w:rsidRPr="00644E20">
        <w:rPr>
          <w:rStyle w:val="Emphasis"/>
          <w:rFonts w:ascii="Times New Roman" w:hAnsi="Times New Roman" w:cs="Times New Roman"/>
          <w:sz w:val="24"/>
        </w:rPr>
        <w:t>National forest resources monitoring and assessment report</w:t>
      </w:r>
      <w:r w:rsidRPr="00644E20">
        <w:rPr>
          <w:rFonts w:ascii="Times New Roman" w:hAnsi="Times New Roman" w:cs="Times New Roman"/>
          <w:sz w:val="24"/>
        </w:rPr>
        <w:t>. Ministry of Natural Resources and Tourism.</w:t>
      </w:r>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U.S. Energy Information Administration. (2023). </w:t>
      </w:r>
      <w:r w:rsidRPr="00644E20">
        <w:rPr>
          <w:rStyle w:val="Emphasis"/>
          <w:rFonts w:ascii="Times New Roman" w:hAnsi="Times New Roman" w:cs="Times New Roman"/>
          <w:sz w:val="24"/>
        </w:rPr>
        <w:t>International energy statistics report</w:t>
      </w:r>
      <w:r w:rsidRPr="00644E20">
        <w:rPr>
          <w:rFonts w:ascii="Times New Roman" w:hAnsi="Times New Roman" w:cs="Times New Roman"/>
          <w:sz w:val="24"/>
        </w:rPr>
        <w:t xml:space="preserve">. </w:t>
      </w:r>
      <w:hyperlink r:id="rId16" w:tgtFrame="_new" w:history="1">
        <w:r w:rsidRPr="00644E20">
          <w:rPr>
            <w:rStyle w:val="Hyperlink"/>
            <w:rFonts w:ascii="Times New Roman" w:hAnsi="Times New Roman" w:cs="Times New Roman"/>
            <w:sz w:val="24"/>
          </w:rPr>
          <w:t>https://www.eia.gov</w:t>
        </w:r>
      </w:hyperlink>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World Bank. (2022). </w:t>
      </w:r>
      <w:r w:rsidRPr="00644E20">
        <w:rPr>
          <w:rStyle w:val="Emphasis"/>
          <w:rFonts w:ascii="Times New Roman" w:hAnsi="Times New Roman" w:cs="Times New Roman"/>
          <w:sz w:val="24"/>
        </w:rPr>
        <w:t>Clean cooking transitions in developing economies</w:t>
      </w:r>
      <w:r w:rsidRPr="00644E20">
        <w:rPr>
          <w:rFonts w:ascii="Times New Roman" w:hAnsi="Times New Roman" w:cs="Times New Roman"/>
          <w:sz w:val="24"/>
        </w:rPr>
        <w:t xml:space="preserve">. </w:t>
      </w:r>
      <w:hyperlink r:id="rId17" w:tgtFrame="_new" w:history="1">
        <w:r w:rsidRPr="00644E20">
          <w:rPr>
            <w:rStyle w:val="Hyperlink"/>
            <w:rFonts w:ascii="Times New Roman" w:hAnsi="Times New Roman" w:cs="Times New Roman"/>
            <w:sz w:val="24"/>
          </w:rPr>
          <w:t>https://www.worldbank.org</w:t>
        </w:r>
      </w:hyperlink>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World Bank. (2023). </w:t>
      </w:r>
      <w:r w:rsidRPr="00644E20">
        <w:rPr>
          <w:rStyle w:val="Emphasis"/>
          <w:rFonts w:ascii="Times New Roman" w:hAnsi="Times New Roman" w:cs="Times New Roman"/>
          <w:sz w:val="24"/>
        </w:rPr>
        <w:t>Tanzania energy sector overview report</w:t>
      </w:r>
      <w:r w:rsidRPr="00644E20">
        <w:rPr>
          <w:rFonts w:ascii="Times New Roman" w:hAnsi="Times New Roman" w:cs="Times New Roman"/>
          <w:sz w:val="24"/>
        </w:rPr>
        <w:t xml:space="preserve">. </w:t>
      </w:r>
      <w:hyperlink r:id="rId18" w:tgtFrame="_new" w:history="1">
        <w:r w:rsidRPr="00644E20">
          <w:rPr>
            <w:rStyle w:val="Hyperlink"/>
            <w:rFonts w:ascii="Times New Roman" w:hAnsi="Times New Roman" w:cs="Times New Roman"/>
            <w:sz w:val="24"/>
          </w:rPr>
          <w:t>https://www.worldbank.org</w:t>
        </w:r>
      </w:hyperlink>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World Health Organization. (2021). </w:t>
      </w:r>
      <w:r w:rsidRPr="00644E20">
        <w:rPr>
          <w:rStyle w:val="Emphasis"/>
          <w:rFonts w:ascii="Times New Roman" w:hAnsi="Times New Roman" w:cs="Times New Roman"/>
          <w:sz w:val="24"/>
        </w:rPr>
        <w:t>Household air pollution and health in Tanzania</w:t>
      </w:r>
      <w:r w:rsidRPr="00644E20">
        <w:rPr>
          <w:rFonts w:ascii="Times New Roman" w:hAnsi="Times New Roman" w:cs="Times New Roman"/>
          <w:sz w:val="24"/>
        </w:rPr>
        <w:t xml:space="preserve">. </w:t>
      </w:r>
      <w:hyperlink r:id="rId19" w:tgtFrame="_new" w:history="1">
        <w:r w:rsidRPr="00644E20">
          <w:rPr>
            <w:rStyle w:val="Hyperlink"/>
            <w:rFonts w:ascii="Times New Roman" w:hAnsi="Times New Roman" w:cs="Times New Roman"/>
            <w:sz w:val="24"/>
          </w:rPr>
          <w:t>https://www.who.int</w:t>
        </w:r>
      </w:hyperlink>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t xml:space="preserve">World Health Organization. (2023). </w:t>
      </w:r>
      <w:r w:rsidRPr="00644E20">
        <w:rPr>
          <w:rStyle w:val="Emphasis"/>
          <w:rFonts w:ascii="Times New Roman" w:hAnsi="Times New Roman" w:cs="Times New Roman"/>
          <w:sz w:val="24"/>
        </w:rPr>
        <w:t>Household air pollution and health</w:t>
      </w:r>
      <w:r w:rsidRPr="00644E20">
        <w:rPr>
          <w:rFonts w:ascii="Times New Roman" w:hAnsi="Times New Roman" w:cs="Times New Roman"/>
          <w:sz w:val="24"/>
        </w:rPr>
        <w:t xml:space="preserve">. </w:t>
      </w:r>
      <w:hyperlink r:id="rId20" w:tgtFrame="_new" w:history="1">
        <w:r w:rsidRPr="00644E20">
          <w:rPr>
            <w:rStyle w:val="Hyperlink"/>
            <w:rFonts w:ascii="Times New Roman" w:hAnsi="Times New Roman" w:cs="Times New Roman"/>
            <w:sz w:val="24"/>
          </w:rPr>
          <w:t>https://www.who.int</w:t>
        </w:r>
      </w:hyperlink>
    </w:p>
    <w:p w:rsidR="00DC61C3" w:rsidRPr="00644E20" w:rsidRDefault="00DC61C3" w:rsidP="006B5D83">
      <w:pPr>
        <w:pStyle w:val="NoSpacing"/>
        <w:spacing w:before="240" w:after="240" w:line="360" w:lineRule="auto"/>
        <w:ind w:left="720" w:hanging="720"/>
        <w:jc w:val="both"/>
        <w:rPr>
          <w:rFonts w:ascii="Times New Roman" w:hAnsi="Times New Roman" w:cs="Times New Roman"/>
          <w:sz w:val="24"/>
        </w:rPr>
      </w:pPr>
      <w:r w:rsidRPr="00644E20">
        <w:rPr>
          <w:rFonts w:ascii="Times New Roman" w:hAnsi="Times New Roman" w:cs="Times New Roman"/>
          <w:sz w:val="24"/>
        </w:rPr>
        <w:lastRenderedPageBreak/>
        <w:t xml:space="preserve">Yamane, T. (1967). </w:t>
      </w:r>
      <w:r w:rsidRPr="00644E20">
        <w:rPr>
          <w:rStyle w:val="Emphasis"/>
          <w:rFonts w:ascii="Times New Roman" w:hAnsi="Times New Roman" w:cs="Times New Roman"/>
          <w:sz w:val="24"/>
        </w:rPr>
        <w:t>Statistics: An introductory analysis</w:t>
      </w:r>
      <w:r w:rsidRPr="00644E20">
        <w:rPr>
          <w:rFonts w:ascii="Times New Roman" w:hAnsi="Times New Roman" w:cs="Times New Roman"/>
          <w:sz w:val="24"/>
        </w:rPr>
        <w:t xml:space="preserve"> (2nd ed.). Harper and Row.</w:t>
      </w:r>
    </w:p>
    <w:p w:rsidR="00DC61C3" w:rsidRDefault="00DC61C3"/>
    <w:sectPr w:rsidR="00DC61C3">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B79" w:rsidRDefault="00667B79" w:rsidP="00D8658A">
      <w:pPr>
        <w:spacing w:after="0" w:line="240" w:lineRule="auto"/>
      </w:pPr>
      <w:r>
        <w:separator/>
      </w:r>
    </w:p>
  </w:endnote>
  <w:endnote w:type="continuationSeparator" w:id="0">
    <w:p w:rsidR="00667B79" w:rsidRDefault="00667B79" w:rsidP="00D8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29120"/>
      <w:docPartObj>
        <w:docPartGallery w:val="Page Numbers (Bottom of Page)"/>
        <w:docPartUnique/>
      </w:docPartObj>
    </w:sdtPr>
    <w:sdtEndPr>
      <w:rPr>
        <w:noProof/>
      </w:rPr>
    </w:sdtEndPr>
    <w:sdtContent>
      <w:p w:rsidR="00D8658A" w:rsidRDefault="00D8658A">
        <w:pPr>
          <w:pStyle w:val="Footer"/>
          <w:jc w:val="center"/>
        </w:pPr>
        <w:r>
          <w:fldChar w:fldCharType="begin"/>
        </w:r>
        <w:r>
          <w:instrText xml:space="preserve"> PAGE   \* MERGEFORMAT </w:instrText>
        </w:r>
        <w:r>
          <w:fldChar w:fldCharType="separate"/>
        </w:r>
        <w:r w:rsidR="00431A08">
          <w:rPr>
            <w:noProof/>
          </w:rPr>
          <w:t>2</w:t>
        </w:r>
        <w:r>
          <w:rPr>
            <w:noProof/>
          </w:rPr>
          <w:fldChar w:fldCharType="end"/>
        </w:r>
      </w:p>
    </w:sdtContent>
  </w:sdt>
  <w:p w:rsidR="00D8658A" w:rsidRDefault="00D865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B79" w:rsidRDefault="00667B79" w:rsidP="00D8658A">
      <w:pPr>
        <w:spacing w:after="0" w:line="240" w:lineRule="auto"/>
      </w:pPr>
      <w:r>
        <w:separator/>
      </w:r>
    </w:p>
  </w:footnote>
  <w:footnote w:type="continuationSeparator" w:id="0">
    <w:p w:rsidR="00667B79" w:rsidRDefault="00667B79" w:rsidP="00D86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82805"/>
      <w:docPartObj>
        <w:docPartGallery w:val="Page Numbers (Top of Page)"/>
        <w:docPartUnique/>
      </w:docPartObj>
    </w:sdtPr>
    <w:sdtEndPr>
      <w:rPr>
        <w:noProof/>
      </w:rPr>
    </w:sdtEndPr>
    <w:sdtContent>
      <w:p w:rsidR="00431A08" w:rsidRDefault="00431A0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31A08" w:rsidRDefault="00431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7D"/>
    <w:multiLevelType w:val="hybridMultilevel"/>
    <w:tmpl w:val="132E274E"/>
    <w:lvl w:ilvl="0" w:tplc="C2D62B52">
      <w:start w:val="1"/>
      <w:numFmt w:val="lowerRoman"/>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 w15:restartNumberingAfterBreak="0">
    <w:nsid w:val="5BFA5953"/>
    <w:multiLevelType w:val="multilevel"/>
    <w:tmpl w:val="05F611A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653E39EA"/>
    <w:multiLevelType w:val="hybridMultilevel"/>
    <w:tmpl w:val="FDA0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EA2630"/>
    <w:multiLevelType w:val="hybridMultilevel"/>
    <w:tmpl w:val="7A185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CF7"/>
    <w:rsid w:val="00021DC5"/>
    <w:rsid w:val="0005229F"/>
    <w:rsid w:val="000668E9"/>
    <w:rsid w:val="000729C7"/>
    <w:rsid w:val="00085654"/>
    <w:rsid w:val="000930FA"/>
    <w:rsid w:val="000B6D27"/>
    <w:rsid w:val="000C66D2"/>
    <w:rsid w:val="00114973"/>
    <w:rsid w:val="00126502"/>
    <w:rsid w:val="00145C74"/>
    <w:rsid w:val="00152B8D"/>
    <w:rsid w:val="00162575"/>
    <w:rsid w:val="00162FFD"/>
    <w:rsid w:val="00177C4A"/>
    <w:rsid w:val="00194870"/>
    <w:rsid w:val="001A4F47"/>
    <w:rsid w:val="001A64B0"/>
    <w:rsid w:val="001A6DFC"/>
    <w:rsid w:val="001B3084"/>
    <w:rsid w:val="001B4AA9"/>
    <w:rsid w:val="001C56CB"/>
    <w:rsid w:val="0020284E"/>
    <w:rsid w:val="002604B6"/>
    <w:rsid w:val="00263C91"/>
    <w:rsid w:val="00264A32"/>
    <w:rsid w:val="0028133F"/>
    <w:rsid w:val="00297BF1"/>
    <w:rsid w:val="002C5733"/>
    <w:rsid w:val="002C749F"/>
    <w:rsid w:val="002E2CCF"/>
    <w:rsid w:val="00302784"/>
    <w:rsid w:val="00352FFB"/>
    <w:rsid w:val="00355B41"/>
    <w:rsid w:val="003625B3"/>
    <w:rsid w:val="00366C4B"/>
    <w:rsid w:val="003942BF"/>
    <w:rsid w:val="003C7807"/>
    <w:rsid w:val="003D0EEA"/>
    <w:rsid w:val="003D427D"/>
    <w:rsid w:val="003E3CF2"/>
    <w:rsid w:val="003E4D56"/>
    <w:rsid w:val="00405AF5"/>
    <w:rsid w:val="00431A08"/>
    <w:rsid w:val="004331A4"/>
    <w:rsid w:val="00440A21"/>
    <w:rsid w:val="00447BB8"/>
    <w:rsid w:val="0045155E"/>
    <w:rsid w:val="00454E08"/>
    <w:rsid w:val="00476CD1"/>
    <w:rsid w:val="0048340A"/>
    <w:rsid w:val="004978DB"/>
    <w:rsid w:val="004A3BB7"/>
    <w:rsid w:val="004C7622"/>
    <w:rsid w:val="004D15DD"/>
    <w:rsid w:val="005024BB"/>
    <w:rsid w:val="00520BF6"/>
    <w:rsid w:val="00524AFC"/>
    <w:rsid w:val="005277CA"/>
    <w:rsid w:val="00532955"/>
    <w:rsid w:val="005543CE"/>
    <w:rsid w:val="005900A9"/>
    <w:rsid w:val="005B0BA7"/>
    <w:rsid w:val="005B71EF"/>
    <w:rsid w:val="005C3A60"/>
    <w:rsid w:val="005E52F5"/>
    <w:rsid w:val="0060114A"/>
    <w:rsid w:val="00644E20"/>
    <w:rsid w:val="006507DC"/>
    <w:rsid w:val="00654B25"/>
    <w:rsid w:val="00656093"/>
    <w:rsid w:val="00667B79"/>
    <w:rsid w:val="006A2239"/>
    <w:rsid w:val="006A6128"/>
    <w:rsid w:val="006B5D83"/>
    <w:rsid w:val="006F18C6"/>
    <w:rsid w:val="00702181"/>
    <w:rsid w:val="007079A2"/>
    <w:rsid w:val="00726E21"/>
    <w:rsid w:val="00732622"/>
    <w:rsid w:val="007535CF"/>
    <w:rsid w:val="00760814"/>
    <w:rsid w:val="00776A96"/>
    <w:rsid w:val="00786B99"/>
    <w:rsid w:val="007873CE"/>
    <w:rsid w:val="007A1CA4"/>
    <w:rsid w:val="007B2C28"/>
    <w:rsid w:val="007D349D"/>
    <w:rsid w:val="007E5C59"/>
    <w:rsid w:val="0080489D"/>
    <w:rsid w:val="00813339"/>
    <w:rsid w:val="00817296"/>
    <w:rsid w:val="00825F53"/>
    <w:rsid w:val="00837805"/>
    <w:rsid w:val="008431E6"/>
    <w:rsid w:val="00872119"/>
    <w:rsid w:val="00872E7F"/>
    <w:rsid w:val="0089557F"/>
    <w:rsid w:val="008A536E"/>
    <w:rsid w:val="008B18BF"/>
    <w:rsid w:val="008D6654"/>
    <w:rsid w:val="008E2778"/>
    <w:rsid w:val="009310A1"/>
    <w:rsid w:val="0094396D"/>
    <w:rsid w:val="00981E0C"/>
    <w:rsid w:val="009866E1"/>
    <w:rsid w:val="009A53D6"/>
    <w:rsid w:val="009E7205"/>
    <w:rsid w:val="009F0011"/>
    <w:rsid w:val="009F0BF4"/>
    <w:rsid w:val="00A012B4"/>
    <w:rsid w:val="00A0248B"/>
    <w:rsid w:val="00A10B15"/>
    <w:rsid w:val="00A44F9B"/>
    <w:rsid w:val="00A56C0A"/>
    <w:rsid w:val="00A64929"/>
    <w:rsid w:val="00A93C22"/>
    <w:rsid w:val="00AC25E1"/>
    <w:rsid w:val="00AE54E8"/>
    <w:rsid w:val="00B054A1"/>
    <w:rsid w:val="00B07146"/>
    <w:rsid w:val="00B265DA"/>
    <w:rsid w:val="00B36296"/>
    <w:rsid w:val="00BA3F74"/>
    <w:rsid w:val="00BD4645"/>
    <w:rsid w:val="00C051B7"/>
    <w:rsid w:val="00C54E21"/>
    <w:rsid w:val="00C5564C"/>
    <w:rsid w:val="00CE642B"/>
    <w:rsid w:val="00CF78DC"/>
    <w:rsid w:val="00D04C51"/>
    <w:rsid w:val="00D36A05"/>
    <w:rsid w:val="00D440AB"/>
    <w:rsid w:val="00D44528"/>
    <w:rsid w:val="00D8658A"/>
    <w:rsid w:val="00DB2843"/>
    <w:rsid w:val="00DC0A0D"/>
    <w:rsid w:val="00DC115F"/>
    <w:rsid w:val="00DC61C3"/>
    <w:rsid w:val="00DE2CF7"/>
    <w:rsid w:val="00DF6A08"/>
    <w:rsid w:val="00E06AED"/>
    <w:rsid w:val="00E07494"/>
    <w:rsid w:val="00E30712"/>
    <w:rsid w:val="00E372FB"/>
    <w:rsid w:val="00E451ED"/>
    <w:rsid w:val="00E455FF"/>
    <w:rsid w:val="00E4740D"/>
    <w:rsid w:val="00E55D13"/>
    <w:rsid w:val="00E74C61"/>
    <w:rsid w:val="00E90CE0"/>
    <w:rsid w:val="00EA750C"/>
    <w:rsid w:val="00EB27C8"/>
    <w:rsid w:val="00EB7258"/>
    <w:rsid w:val="00EC0A03"/>
    <w:rsid w:val="00EC2AEE"/>
    <w:rsid w:val="00F0287B"/>
    <w:rsid w:val="00F34C1D"/>
    <w:rsid w:val="00F61774"/>
    <w:rsid w:val="00F62867"/>
    <w:rsid w:val="00F64408"/>
    <w:rsid w:val="00F772DA"/>
    <w:rsid w:val="00FA28A4"/>
    <w:rsid w:val="00FC6C7A"/>
    <w:rsid w:val="00FD05C0"/>
    <w:rsid w:val="00FD060E"/>
    <w:rsid w:val="00FD165E"/>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C66A"/>
  <w15:chartTrackingRefBased/>
  <w15:docId w15:val="{CFCF850E-25AB-4404-8262-509DE187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4870"/>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3D0E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D0E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2CF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DE2CF7"/>
    <w:pPr>
      <w:spacing w:after="0" w:line="240" w:lineRule="auto"/>
    </w:pPr>
  </w:style>
  <w:style w:type="character" w:customStyle="1" w:styleId="Heading1Char">
    <w:name w:val="Heading 1 Char"/>
    <w:basedOn w:val="DefaultParagraphFont"/>
    <w:link w:val="Heading1"/>
    <w:uiPriority w:val="9"/>
    <w:rsid w:val="00194870"/>
    <w:rPr>
      <w:rFonts w:ascii="Times New Roman" w:eastAsiaTheme="majorEastAsia" w:hAnsi="Times New Roman" w:cstheme="majorBidi"/>
      <w:b/>
      <w:sz w:val="24"/>
      <w:szCs w:val="32"/>
    </w:rPr>
  </w:style>
  <w:style w:type="character" w:customStyle="1" w:styleId="NoSpacingChar">
    <w:name w:val="No Spacing Char"/>
    <w:basedOn w:val="DefaultParagraphFont"/>
    <w:link w:val="NoSpacing"/>
    <w:uiPriority w:val="1"/>
    <w:qFormat/>
    <w:rsid w:val="00825F53"/>
  </w:style>
  <w:style w:type="character" w:styleId="Strong">
    <w:name w:val="Strong"/>
    <w:basedOn w:val="DefaultParagraphFont"/>
    <w:uiPriority w:val="22"/>
    <w:qFormat/>
    <w:rsid w:val="009310A1"/>
    <w:rPr>
      <w:b/>
      <w:bCs/>
    </w:rPr>
  </w:style>
  <w:style w:type="character" w:styleId="Emphasis">
    <w:name w:val="Emphasis"/>
    <w:basedOn w:val="DefaultParagraphFont"/>
    <w:uiPriority w:val="20"/>
    <w:qFormat/>
    <w:rsid w:val="00297BF1"/>
    <w:rPr>
      <w:i/>
      <w:iCs/>
    </w:rPr>
  </w:style>
  <w:style w:type="character" w:customStyle="1" w:styleId="Heading2Char">
    <w:name w:val="Heading 2 Char"/>
    <w:basedOn w:val="DefaultParagraphFont"/>
    <w:link w:val="Heading2"/>
    <w:uiPriority w:val="9"/>
    <w:semiHidden/>
    <w:rsid w:val="003D0EE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D0EEA"/>
    <w:rPr>
      <w:rFonts w:asciiTheme="majorHAnsi" w:eastAsiaTheme="majorEastAsia" w:hAnsiTheme="majorHAnsi" w:cstheme="majorBidi"/>
      <w:color w:val="1F3763" w:themeColor="accent1" w:themeShade="7F"/>
      <w:sz w:val="24"/>
      <w:szCs w:val="24"/>
    </w:rPr>
  </w:style>
  <w:style w:type="table" w:styleId="PlainTable2">
    <w:name w:val="Plain Table 2"/>
    <w:basedOn w:val="TableNormal"/>
    <w:uiPriority w:val="42"/>
    <w:rsid w:val="00A649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A649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EC0A03"/>
    <w:pPr>
      <w:spacing w:after="200" w:line="240" w:lineRule="auto"/>
    </w:pPr>
    <w:rPr>
      <w:i/>
      <w:iCs/>
      <w:color w:val="44546A" w:themeColor="text2"/>
      <w:sz w:val="18"/>
      <w:szCs w:val="18"/>
    </w:rPr>
  </w:style>
  <w:style w:type="character" w:styleId="Hyperlink">
    <w:name w:val="Hyperlink"/>
    <w:basedOn w:val="DefaultParagraphFont"/>
    <w:uiPriority w:val="99"/>
    <w:unhideWhenUsed/>
    <w:rsid w:val="00DC61C3"/>
    <w:rPr>
      <w:color w:val="0000FF"/>
      <w:u w:val="single"/>
    </w:rPr>
  </w:style>
  <w:style w:type="paragraph" w:styleId="TOCHeading">
    <w:name w:val="TOC Heading"/>
    <w:basedOn w:val="Heading1"/>
    <w:next w:val="Normal"/>
    <w:uiPriority w:val="39"/>
    <w:unhideWhenUsed/>
    <w:qFormat/>
    <w:rsid w:val="005B0BA7"/>
    <w:p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5B0BA7"/>
    <w:pPr>
      <w:spacing w:after="100"/>
    </w:pPr>
  </w:style>
  <w:style w:type="paragraph" w:styleId="Header">
    <w:name w:val="header"/>
    <w:basedOn w:val="Normal"/>
    <w:link w:val="HeaderChar"/>
    <w:uiPriority w:val="99"/>
    <w:unhideWhenUsed/>
    <w:rsid w:val="00D86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58A"/>
  </w:style>
  <w:style w:type="paragraph" w:styleId="Footer">
    <w:name w:val="footer"/>
    <w:basedOn w:val="Normal"/>
    <w:link w:val="FooterChar"/>
    <w:uiPriority w:val="99"/>
    <w:unhideWhenUsed/>
    <w:rsid w:val="00D86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58A"/>
  </w:style>
  <w:style w:type="paragraph" w:styleId="FootnoteText">
    <w:name w:val="footnote text"/>
    <w:basedOn w:val="Normal"/>
    <w:link w:val="FootnoteTextChar"/>
    <w:uiPriority w:val="99"/>
    <w:semiHidden/>
    <w:unhideWhenUsed/>
    <w:rsid w:val="00654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B25"/>
    <w:rPr>
      <w:sz w:val="20"/>
      <w:szCs w:val="20"/>
    </w:rPr>
  </w:style>
  <w:style w:type="character" w:styleId="FootnoteReference">
    <w:name w:val="footnote reference"/>
    <w:basedOn w:val="DefaultParagraphFont"/>
    <w:uiPriority w:val="99"/>
    <w:semiHidden/>
    <w:unhideWhenUsed/>
    <w:rsid w:val="00654B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91570">
      <w:bodyDiv w:val="1"/>
      <w:marLeft w:val="0"/>
      <w:marRight w:val="0"/>
      <w:marTop w:val="0"/>
      <w:marBottom w:val="0"/>
      <w:divBdr>
        <w:top w:val="none" w:sz="0" w:space="0" w:color="auto"/>
        <w:left w:val="none" w:sz="0" w:space="0" w:color="auto"/>
        <w:bottom w:val="none" w:sz="0" w:space="0" w:color="auto"/>
        <w:right w:val="none" w:sz="0" w:space="0" w:color="auto"/>
      </w:divBdr>
      <w:divsChild>
        <w:div w:id="98988958">
          <w:marLeft w:val="0"/>
          <w:marRight w:val="0"/>
          <w:marTop w:val="0"/>
          <w:marBottom w:val="0"/>
          <w:divBdr>
            <w:top w:val="none" w:sz="0" w:space="0" w:color="auto"/>
            <w:left w:val="none" w:sz="0" w:space="0" w:color="auto"/>
            <w:bottom w:val="none" w:sz="0" w:space="0" w:color="auto"/>
            <w:right w:val="none" w:sz="0" w:space="0" w:color="auto"/>
          </w:divBdr>
          <w:divsChild>
            <w:div w:id="1097480957">
              <w:marLeft w:val="0"/>
              <w:marRight w:val="0"/>
              <w:marTop w:val="0"/>
              <w:marBottom w:val="0"/>
              <w:divBdr>
                <w:top w:val="none" w:sz="0" w:space="0" w:color="auto"/>
                <w:left w:val="none" w:sz="0" w:space="0" w:color="auto"/>
                <w:bottom w:val="none" w:sz="0" w:space="0" w:color="auto"/>
                <w:right w:val="none" w:sz="0" w:space="0" w:color="auto"/>
              </w:divBdr>
              <w:divsChild>
                <w:div w:id="923496764">
                  <w:marLeft w:val="0"/>
                  <w:marRight w:val="0"/>
                  <w:marTop w:val="0"/>
                  <w:marBottom w:val="0"/>
                  <w:divBdr>
                    <w:top w:val="none" w:sz="0" w:space="0" w:color="auto"/>
                    <w:left w:val="none" w:sz="0" w:space="0" w:color="auto"/>
                    <w:bottom w:val="none" w:sz="0" w:space="0" w:color="auto"/>
                    <w:right w:val="none" w:sz="0" w:space="0" w:color="auto"/>
                  </w:divBdr>
                  <w:divsChild>
                    <w:div w:id="906037503">
                      <w:marLeft w:val="0"/>
                      <w:marRight w:val="0"/>
                      <w:marTop w:val="0"/>
                      <w:marBottom w:val="0"/>
                      <w:divBdr>
                        <w:top w:val="none" w:sz="0" w:space="0" w:color="auto"/>
                        <w:left w:val="none" w:sz="0" w:space="0" w:color="auto"/>
                        <w:bottom w:val="none" w:sz="0" w:space="0" w:color="auto"/>
                        <w:right w:val="none" w:sz="0" w:space="0" w:color="auto"/>
                      </w:divBdr>
                      <w:divsChild>
                        <w:div w:id="39670664">
                          <w:marLeft w:val="0"/>
                          <w:marRight w:val="0"/>
                          <w:marTop w:val="0"/>
                          <w:marBottom w:val="0"/>
                          <w:divBdr>
                            <w:top w:val="none" w:sz="0" w:space="0" w:color="auto"/>
                            <w:left w:val="none" w:sz="0" w:space="0" w:color="auto"/>
                            <w:bottom w:val="none" w:sz="0" w:space="0" w:color="auto"/>
                            <w:right w:val="none" w:sz="0" w:space="0" w:color="auto"/>
                          </w:divBdr>
                          <w:divsChild>
                            <w:div w:id="367219241">
                              <w:marLeft w:val="0"/>
                              <w:marRight w:val="0"/>
                              <w:marTop w:val="0"/>
                              <w:marBottom w:val="0"/>
                              <w:divBdr>
                                <w:top w:val="none" w:sz="0" w:space="0" w:color="auto"/>
                                <w:left w:val="none" w:sz="0" w:space="0" w:color="auto"/>
                                <w:bottom w:val="none" w:sz="0" w:space="0" w:color="auto"/>
                                <w:right w:val="none" w:sz="0" w:space="0" w:color="auto"/>
                              </w:divBdr>
                              <w:divsChild>
                                <w:div w:id="1360619461">
                                  <w:marLeft w:val="0"/>
                                  <w:marRight w:val="0"/>
                                  <w:marTop w:val="0"/>
                                  <w:marBottom w:val="0"/>
                                  <w:divBdr>
                                    <w:top w:val="none" w:sz="0" w:space="0" w:color="auto"/>
                                    <w:left w:val="none" w:sz="0" w:space="0" w:color="auto"/>
                                    <w:bottom w:val="none" w:sz="0" w:space="0" w:color="auto"/>
                                    <w:right w:val="none" w:sz="0" w:space="0" w:color="auto"/>
                                  </w:divBdr>
                                  <w:divsChild>
                                    <w:div w:id="367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373844">
      <w:bodyDiv w:val="1"/>
      <w:marLeft w:val="0"/>
      <w:marRight w:val="0"/>
      <w:marTop w:val="0"/>
      <w:marBottom w:val="0"/>
      <w:divBdr>
        <w:top w:val="none" w:sz="0" w:space="0" w:color="auto"/>
        <w:left w:val="none" w:sz="0" w:space="0" w:color="auto"/>
        <w:bottom w:val="none" w:sz="0" w:space="0" w:color="auto"/>
        <w:right w:val="none" w:sz="0" w:space="0" w:color="auto"/>
      </w:divBdr>
      <w:divsChild>
        <w:div w:id="46144505">
          <w:marLeft w:val="0"/>
          <w:marRight w:val="0"/>
          <w:marTop w:val="0"/>
          <w:marBottom w:val="0"/>
          <w:divBdr>
            <w:top w:val="none" w:sz="0" w:space="0" w:color="auto"/>
            <w:left w:val="none" w:sz="0" w:space="0" w:color="auto"/>
            <w:bottom w:val="none" w:sz="0" w:space="0" w:color="auto"/>
            <w:right w:val="none" w:sz="0" w:space="0" w:color="auto"/>
          </w:divBdr>
          <w:divsChild>
            <w:div w:id="663320488">
              <w:marLeft w:val="0"/>
              <w:marRight w:val="0"/>
              <w:marTop w:val="0"/>
              <w:marBottom w:val="0"/>
              <w:divBdr>
                <w:top w:val="none" w:sz="0" w:space="0" w:color="auto"/>
                <w:left w:val="none" w:sz="0" w:space="0" w:color="auto"/>
                <w:bottom w:val="none" w:sz="0" w:space="0" w:color="auto"/>
                <w:right w:val="none" w:sz="0" w:space="0" w:color="auto"/>
              </w:divBdr>
              <w:divsChild>
                <w:div w:id="12267337">
                  <w:marLeft w:val="0"/>
                  <w:marRight w:val="0"/>
                  <w:marTop w:val="0"/>
                  <w:marBottom w:val="0"/>
                  <w:divBdr>
                    <w:top w:val="none" w:sz="0" w:space="0" w:color="auto"/>
                    <w:left w:val="none" w:sz="0" w:space="0" w:color="auto"/>
                    <w:bottom w:val="none" w:sz="0" w:space="0" w:color="auto"/>
                    <w:right w:val="none" w:sz="0" w:space="0" w:color="auto"/>
                  </w:divBdr>
                  <w:divsChild>
                    <w:div w:id="201287554">
                      <w:marLeft w:val="0"/>
                      <w:marRight w:val="0"/>
                      <w:marTop w:val="0"/>
                      <w:marBottom w:val="0"/>
                      <w:divBdr>
                        <w:top w:val="none" w:sz="0" w:space="0" w:color="auto"/>
                        <w:left w:val="none" w:sz="0" w:space="0" w:color="auto"/>
                        <w:bottom w:val="none" w:sz="0" w:space="0" w:color="auto"/>
                        <w:right w:val="none" w:sz="0" w:space="0" w:color="auto"/>
                      </w:divBdr>
                      <w:divsChild>
                        <w:div w:id="900823723">
                          <w:marLeft w:val="0"/>
                          <w:marRight w:val="0"/>
                          <w:marTop w:val="0"/>
                          <w:marBottom w:val="0"/>
                          <w:divBdr>
                            <w:top w:val="none" w:sz="0" w:space="0" w:color="auto"/>
                            <w:left w:val="none" w:sz="0" w:space="0" w:color="auto"/>
                            <w:bottom w:val="none" w:sz="0" w:space="0" w:color="auto"/>
                            <w:right w:val="none" w:sz="0" w:space="0" w:color="auto"/>
                          </w:divBdr>
                          <w:divsChild>
                            <w:div w:id="1099445583">
                              <w:marLeft w:val="0"/>
                              <w:marRight w:val="0"/>
                              <w:marTop w:val="0"/>
                              <w:marBottom w:val="0"/>
                              <w:divBdr>
                                <w:top w:val="none" w:sz="0" w:space="0" w:color="auto"/>
                                <w:left w:val="none" w:sz="0" w:space="0" w:color="auto"/>
                                <w:bottom w:val="none" w:sz="0" w:space="0" w:color="auto"/>
                                <w:right w:val="none" w:sz="0" w:space="0" w:color="auto"/>
                              </w:divBdr>
                              <w:divsChild>
                                <w:div w:id="509829472">
                                  <w:marLeft w:val="0"/>
                                  <w:marRight w:val="0"/>
                                  <w:marTop w:val="0"/>
                                  <w:marBottom w:val="0"/>
                                  <w:divBdr>
                                    <w:top w:val="none" w:sz="0" w:space="0" w:color="auto"/>
                                    <w:left w:val="none" w:sz="0" w:space="0" w:color="auto"/>
                                    <w:bottom w:val="none" w:sz="0" w:space="0" w:color="auto"/>
                                    <w:right w:val="none" w:sz="0" w:space="0" w:color="auto"/>
                                  </w:divBdr>
                                  <w:divsChild>
                                    <w:div w:id="7150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2133">
      <w:bodyDiv w:val="1"/>
      <w:marLeft w:val="0"/>
      <w:marRight w:val="0"/>
      <w:marTop w:val="0"/>
      <w:marBottom w:val="0"/>
      <w:divBdr>
        <w:top w:val="none" w:sz="0" w:space="0" w:color="auto"/>
        <w:left w:val="none" w:sz="0" w:space="0" w:color="auto"/>
        <w:bottom w:val="none" w:sz="0" w:space="0" w:color="auto"/>
        <w:right w:val="none" w:sz="0" w:space="0" w:color="auto"/>
      </w:divBdr>
    </w:div>
    <w:div w:id="1559172271">
      <w:bodyDiv w:val="1"/>
      <w:marLeft w:val="0"/>
      <w:marRight w:val="0"/>
      <w:marTop w:val="0"/>
      <w:marBottom w:val="0"/>
      <w:divBdr>
        <w:top w:val="none" w:sz="0" w:space="0" w:color="auto"/>
        <w:left w:val="none" w:sz="0" w:space="0" w:color="auto"/>
        <w:bottom w:val="none" w:sz="0" w:space="0" w:color="auto"/>
        <w:right w:val="none" w:sz="0" w:space="0" w:color="auto"/>
      </w:divBdr>
      <w:divsChild>
        <w:div w:id="1398357269">
          <w:marLeft w:val="0"/>
          <w:marRight w:val="0"/>
          <w:marTop w:val="0"/>
          <w:marBottom w:val="0"/>
          <w:divBdr>
            <w:top w:val="none" w:sz="0" w:space="0" w:color="auto"/>
            <w:left w:val="none" w:sz="0" w:space="0" w:color="auto"/>
            <w:bottom w:val="none" w:sz="0" w:space="0" w:color="auto"/>
            <w:right w:val="none" w:sz="0" w:space="0" w:color="auto"/>
          </w:divBdr>
          <w:divsChild>
            <w:div w:id="1851337346">
              <w:marLeft w:val="0"/>
              <w:marRight w:val="0"/>
              <w:marTop w:val="0"/>
              <w:marBottom w:val="0"/>
              <w:divBdr>
                <w:top w:val="none" w:sz="0" w:space="0" w:color="auto"/>
                <w:left w:val="none" w:sz="0" w:space="0" w:color="auto"/>
                <w:bottom w:val="none" w:sz="0" w:space="0" w:color="auto"/>
                <w:right w:val="none" w:sz="0" w:space="0" w:color="auto"/>
              </w:divBdr>
              <w:divsChild>
                <w:div w:id="1103964262">
                  <w:marLeft w:val="0"/>
                  <w:marRight w:val="0"/>
                  <w:marTop w:val="0"/>
                  <w:marBottom w:val="0"/>
                  <w:divBdr>
                    <w:top w:val="none" w:sz="0" w:space="0" w:color="auto"/>
                    <w:left w:val="none" w:sz="0" w:space="0" w:color="auto"/>
                    <w:bottom w:val="none" w:sz="0" w:space="0" w:color="auto"/>
                    <w:right w:val="none" w:sz="0" w:space="0" w:color="auto"/>
                  </w:divBdr>
                  <w:divsChild>
                    <w:div w:id="1038506899">
                      <w:marLeft w:val="0"/>
                      <w:marRight w:val="0"/>
                      <w:marTop w:val="0"/>
                      <w:marBottom w:val="0"/>
                      <w:divBdr>
                        <w:top w:val="none" w:sz="0" w:space="0" w:color="auto"/>
                        <w:left w:val="none" w:sz="0" w:space="0" w:color="auto"/>
                        <w:bottom w:val="none" w:sz="0" w:space="0" w:color="auto"/>
                        <w:right w:val="none" w:sz="0" w:space="0" w:color="auto"/>
                      </w:divBdr>
                      <w:divsChild>
                        <w:div w:id="1744184077">
                          <w:marLeft w:val="0"/>
                          <w:marRight w:val="0"/>
                          <w:marTop w:val="0"/>
                          <w:marBottom w:val="0"/>
                          <w:divBdr>
                            <w:top w:val="none" w:sz="0" w:space="0" w:color="auto"/>
                            <w:left w:val="none" w:sz="0" w:space="0" w:color="auto"/>
                            <w:bottom w:val="none" w:sz="0" w:space="0" w:color="auto"/>
                            <w:right w:val="none" w:sz="0" w:space="0" w:color="auto"/>
                          </w:divBdr>
                          <w:divsChild>
                            <w:div w:id="5789141">
                              <w:marLeft w:val="0"/>
                              <w:marRight w:val="0"/>
                              <w:marTop w:val="0"/>
                              <w:marBottom w:val="0"/>
                              <w:divBdr>
                                <w:top w:val="none" w:sz="0" w:space="0" w:color="auto"/>
                                <w:left w:val="none" w:sz="0" w:space="0" w:color="auto"/>
                                <w:bottom w:val="none" w:sz="0" w:space="0" w:color="auto"/>
                                <w:right w:val="none" w:sz="0" w:space="0" w:color="auto"/>
                              </w:divBdr>
                              <w:divsChild>
                                <w:div w:id="1664624773">
                                  <w:marLeft w:val="0"/>
                                  <w:marRight w:val="0"/>
                                  <w:marTop w:val="0"/>
                                  <w:marBottom w:val="0"/>
                                  <w:divBdr>
                                    <w:top w:val="none" w:sz="0" w:space="0" w:color="auto"/>
                                    <w:left w:val="none" w:sz="0" w:space="0" w:color="auto"/>
                                    <w:bottom w:val="none" w:sz="0" w:space="0" w:color="auto"/>
                                    <w:right w:val="none" w:sz="0" w:space="0" w:color="auto"/>
                                  </w:divBdr>
                                  <w:divsChild>
                                    <w:div w:id="6460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019556">
      <w:bodyDiv w:val="1"/>
      <w:marLeft w:val="0"/>
      <w:marRight w:val="0"/>
      <w:marTop w:val="0"/>
      <w:marBottom w:val="0"/>
      <w:divBdr>
        <w:top w:val="none" w:sz="0" w:space="0" w:color="auto"/>
        <w:left w:val="none" w:sz="0" w:space="0" w:color="auto"/>
        <w:bottom w:val="none" w:sz="0" w:space="0" w:color="auto"/>
        <w:right w:val="none" w:sz="0" w:space="0" w:color="auto"/>
      </w:divBdr>
    </w:div>
    <w:div w:id="1917981290">
      <w:bodyDiv w:val="1"/>
      <w:marLeft w:val="0"/>
      <w:marRight w:val="0"/>
      <w:marTop w:val="0"/>
      <w:marBottom w:val="0"/>
      <w:divBdr>
        <w:top w:val="none" w:sz="0" w:space="0" w:color="auto"/>
        <w:left w:val="none" w:sz="0" w:space="0" w:color="auto"/>
        <w:bottom w:val="none" w:sz="0" w:space="0" w:color="auto"/>
        <w:right w:val="none" w:sz="0" w:space="0" w:color="auto"/>
      </w:divBdr>
    </w:div>
    <w:div w:id="1979991104">
      <w:bodyDiv w:val="1"/>
      <w:marLeft w:val="0"/>
      <w:marRight w:val="0"/>
      <w:marTop w:val="0"/>
      <w:marBottom w:val="0"/>
      <w:divBdr>
        <w:top w:val="none" w:sz="0" w:space="0" w:color="auto"/>
        <w:left w:val="none" w:sz="0" w:space="0" w:color="auto"/>
        <w:bottom w:val="none" w:sz="0" w:space="0" w:color="auto"/>
        <w:right w:val="none" w:sz="0" w:space="0" w:color="auto"/>
      </w:divBdr>
    </w:div>
    <w:div w:id="208706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cs.org.uk" TargetMode="External"/><Relationship Id="rId18" Type="http://schemas.openxmlformats.org/officeDocument/2006/relationships/hyperlink" Target="https://www.worldbank.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16/j.enpol.2011.06.030" TargetMode="External"/><Relationship Id="rId17" Type="http://schemas.openxmlformats.org/officeDocument/2006/relationships/hyperlink" Target="https://www.worldbank.org" TargetMode="External"/><Relationship Id="rId2" Type="http://schemas.openxmlformats.org/officeDocument/2006/relationships/numbering" Target="numbering.xml"/><Relationship Id="rId16" Type="http://schemas.openxmlformats.org/officeDocument/2006/relationships/hyperlink" Target="https://www.eia.gov" TargetMode="External"/><Relationship Id="rId20" Type="http://schemas.openxmlformats.org/officeDocument/2006/relationships/hyperlink" Target="https://www.who.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a.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nhabitat.org" TargetMode="External"/><Relationship Id="rId23" Type="http://schemas.openxmlformats.org/officeDocument/2006/relationships/fontTable" Target="fontTable.xml"/><Relationship Id="rId10" Type="http://schemas.openxmlformats.org/officeDocument/2006/relationships/hyperlink" Target="https://www.iea.org" TargetMode="External"/><Relationship Id="rId19" Type="http://schemas.openxmlformats.org/officeDocument/2006/relationships/hyperlink" Target="https://www.who.int" TargetMode="External"/><Relationship Id="rId4" Type="http://schemas.openxmlformats.org/officeDocument/2006/relationships/settings" Target="settings.xml"/><Relationship Id="rId9" Type="http://schemas.openxmlformats.org/officeDocument/2006/relationships/hyperlink" Target="https://africa-energy-portal.org" TargetMode="External"/><Relationship Id="rId14" Type="http://schemas.openxmlformats.org/officeDocument/2006/relationships/hyperlink" Target="https://www.unep.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C8C16-ECF4-40E1-A2D0-EF1E113D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6400</Words>
  <Characters>36485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4</cp:revision>
  <dcterms:created xsi:type="dcterms:W3CDTF">2026-06-19T12:05:00Z</dcterms:created>
  <dcterms:modified xsi:type="dcterms:W3CDTF">2026-06-19T12:06:00Z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6b0e12bf-08e8-4508-aa2e-0c7fbc3fcf91</vt:lpwstr>
  </property>
</Properties>
</file>