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AB05A" w14:textId="394A3988" w:rsidR="003D2DC0" w:rsidRDefault="005C59E9" w:rsidP="00226CD4">
      <w:pPr>
        <w:pStyle w:val="BodyText"/>
        <w:spacing w:before="60"/>
        <w:jc w:val="center"/>
        <w:rPr>
          <w:rFonts w:ascii="Century Gothic" w:hAnsi="Century Gothic"/>
          <w:b/>
          <w:sz w:val="20"/>
          <w:szCs w:val="20"/>
        </w:rPr>
      </w:pPr>
      <w:r w:rsidRPr="005C59E9">
        <w:rPr>
          <w:rFonts w:ascii="Century Gothic" w:hAnsi="Century Gothic"/>
          <w:b/>
          <w:sz w:val="20"/>
          <w:szCs w:val="20"/>
        </w:rPr>
        <w:t>EPIDEMIOLOGICAL ANALYSIS OF DENGUE INCIDENCE IN DOROLUMAN AND GREENFIELD, ARAKAN, COTABATO: FOCUS ON PEAK OUTBREAK MONTHS (2021–2025)</w:t>
      </w:r>
    </w:p>
    <w:p w14:paraId="6F8DEF45" w14:textId="77777777" w:rsidR="005C59E9" w:rsidRPr="007C2586" w:rsidRDefault="005C59E9" w:rsidP="00226CD4">
      <w:pPr>
        <w:pStyle w:val="BodyText"/>
        <w:spacing w:before="60"/>
        <w:jc w:val="center"/>
        <w:rPr>
          <w:rFonts w:ascii="Century Gothic" w:hAnsi="Century Gothic"/>
          <w:b/>
          <w:sz w:val="20"/>
          <w:szCs w:val="20"/>
        </w:rPr>
      </w:pPr>
    </w:p>
    <w:p w14:paraId="769C16F5" w14:textId="77777777" w:rsidR="005C59E9" w:rsidRPr="005C59E9" w:rsidRDefault="005C59E9" w:rsidP="005C59E9">
      <w:pPr>
        <w:spacing w:before="2"/>
        <w:ind w:left="136" w:right="118"/>
        <w:jc w:val="center"/>
        <w:rPr>
          <w:rFonts w:ascii="Century Gothic" w:eastAsia="Times New Roman" w:hAnsi="Century Gothic"/>
          <w:b/>
          <w:sz w:val="20"/>
          <w:szCs w:val="20"/>
        </w:rPr>
      </w:pPr>
      <w:r w:rsidRPr="005C59E9">
        <w:rPr>
          <w:rFonts w:ascii="Century Gothic" w:eastAsia="Times New Roman" w:hAnsi="Century Gothic"/>
          <w:b/>
          <w:sz w:val="20"/>
          <w:szCs w:val="20"/>
        </w:rPr>
        <w:t/>
      </w:r>
    </w:p>
    <w:p w14:paraId="5D299FC6" w14:textId="77777777" w:rsidR="005C59E9" w:rsidRPr="005C59E9" w:rsidRDefault="005C59E9" w:rsidP="005C59E9">
      <w:pPr>
        <w:spacing w:before="2"/>
        <w:ind w:left="136" w:right="118"/>
        <w:jc w:val="center"/>
        <w:rPr>
          <w:rFonts w:ascii="Century Gothic" w:eastAsia="Times New Roman" w:hAnsi="Century Gothic"/>
          <w:b/>
          <w:sz w:val="20"/>
          <w:szCs w:val="20"/>
        </w:rPr>
      </w:pPr>
      <w:r w:rsidRPr="005C59E9">
        <w:rPr>
          <w:rFonts w:ascii="Century Gothic" w:eastAsia="Times New Roman" w:hAnsi="Century Gothic"/>
          <w:b/>
          <w:sz w:val="20"/>
          <w:szCs w:val="20"/>
        </w:rPr>
        <w:t/>
      </w:r>
    </w:p>
    <w:p w14:paraId="20E368FD" w14:textId="77777777" w:rsidR="005C59E9" w:rsidRPr="005C59E9" w:rsidRDefault="005C59E9" w:rsidP="005C59E9">
      <w:pPr>
        <w:spacing w:before="2"/>
        <w:ind w:left="136" w:right="118"/>
        <w:jc w:val="center"/>
        <w:rPr>
          <w:rFonts w:ascii="Century Gothic" w:eastAsia="Times New Roman" w:hAnsi="Century Gothic"/>
          <w:b/>
          <w:sz w:val="20"/>
          <w:szCs w:val="20"/>
        </w:rPr>
      </w:pPr>
      <w:r w:rsidRPr="005C59E9">
        <w:rPr>
          <w:rFonts w:ascii="Century Gothic" w:eastAsia="Times New Roman" w:hAnsi="Century Gothic"/>
          <w:b/>
          <w:sz w:val="20"/>
          <w:szCs w:val="20"/>
        </w:rPr>
        <w:t/>
      </w:r>
    </w:p>
    <w:p w14:paraId="4F3F87A1" w14:textId="77777777" w:rsidR="005C59E9" w:rsidRPr="005C59E9" w:rsidRDefault="005C59E9" w:rsidP="005C59E9">
      <w:pPr>
        <w:spacing w:before="2"/>
        <w:ind w:left="136" w:right="118"/>
        <w:jc w:val="center"/>
        <w:rPr>
          <w:rFonts w:ascii="Century Gothic" w:eastAsia="Times New Roman" w:hAnsi="Century Gothic"/>
          <w:b/>
          <w:sz w:val="20"/>
          <w:szCs w:val="20"/>
        </w:rPr>
      </w:pPr>
      <w:r w:rsidRPr="005C59E9">
        <w:rPr>
          <w:rFonts w:ascii="Century Gothic" w:eastAsia="Times New Roman" w:hAnsi="Century Gothic"/>
          <w:b/>
          <w:sz w:val="20"/>
          <w:szCs w:val="20"/>
        </w:rPr>
        <w:t/>
      </w:r>
    </w:p>
    <w:p w14:paraId="5342FD89" w14:textId="77777777" w:rsidR="005C59E9" w:rsidRPr="005C59E9" w:rsidRDefault="005C59E9" w:rsidP="005C59E9">
      <w:pPr>
        <w:spacing w:before="2"/>
        <w:ind w:left="136" w:right="118"/>
        <w:jc w:val="center"/>
        <w:rPr>
          <w:rFonts w:ascii="Century Gothic" w:eastAsia="Times New Roman" w:hAnsi="Century Gothic"/>
          <w:b/>
          <w:sz w:val="20"/>
          <w:szCs w:val="20"/>
        </w:rPr>
      </w:pPr>
      <w:r w:rsidRPr="005C59E9">
        <w:rPr>
          <w:rFonts w:ascii="Century Gothic" w:eastAsia="Times New Roman" w:hAnsi="Century Gothic"/>
          <w:b/>
          <w:sz w:val="20"/>
          <w:szCs w:val="20"/>
        </w:rPr>
        <w:t/>
      </w:r>
    </w:p>
    <w:p w14:paraId="4C0546A3" w14:textId="77777777" w:rsidR="005C59E9" w:rsidRPr="005C59E9" w:rsidRDefault="005C59E9" w:rsidP="005C59E9">
      <w:pPr>
        <w:spacing w:before="2"/>
        <w:ind w:left="136" w:right="118"/>
        <w:jc w:val="center"/>
        <w:rPr>
          <w:rFonts w:ascii="Century Gothic" w:eastAsia="Times New Roman" w:hAnsi="Century Gothic"/>
          <w:b/>
          <w:sz w:val="20"/>
          <w:szCs w:val="20"/>
        </w:rPr>
      </w:pPr>
      <w:r w:rsidRPr="005C59E9">
        <w:rPr>
          <w:rFonts w:ascii="Century Gothic" w:eastAsia="Times New Roman" w:hAnsi="Century Gothic"/>
          <w:b/>
          <w:sz w:val="20"/>
          <w:szCs w:val="20"/>
        </w:rPr>
        <w:t/>
      </w:r>
    </w:p>
    <w:p w14:paraId="0173BB34" w14:textId="77777777" w:rsidR="005C59E9" w:rsidRPr="005C59E9" w:rsidRDefault="005C59E9" w:rsidP="005C59E9">
      <w:pPr>
        <w:spacing w:before="2"/>
        <w:ind w:left="136" w:right="118"/>
        <w:jc w:val="center"/>
        <w:rPr>
          <w:rFonts w:ascii="Century Gothic" w:eastAsia="Times New Roman" w:hAnsi="Century Gothic"/>
          <w:b/>
          <w:sz w:val="20"/>
          <w:szCs w:val="20"/>
        </w:rPr>
      </w:pPr>
      <w:r w:rsidRPr="005C59E9">
        <w:rPr>
          <w:rFonts w:ascii="Century Gothic" w:eastAsia="Times New Roman" w:hAnsi="Century Gothic"/>
          <w:b/>
          <w:sz w:val="20"/>
          <w:szCs w:val="20"/>
        </w:rPr>
        <w:t/>
      </w:r>
    </w:p>
    <w:p w14:paraId="4FE16127" w14:textId="77777777" w:rsidR="005C59E9" w:rsidRPr="005C59E9" w:rsidRDefault="005C59E9" w:rsidP="005C59E9">
      <w:pPr>
        <w:spacing w:before="2"/>
        <w:ind w:left="136" w:right="118"/>
        <w:jc w:val="center"/>
        <w:rPr>
          <w:rFonts w:ascii="Century Gothic" w:eastAsia="Times New Roman" w:hAnsi="Century Gothic"/>
          <w:b/>
          <w:sz w:val="20"/>
          <w:szCs w:val="20"/>
        </w:rPr>
      </w:pPr>
      <w:r w:rsidRPr="005C59E9">
        <w:rPr>
          <w:rFonts w:ascii="Century Gothic" w:eastAsia="Times New Roman" w:hAnsi="Century Gothic"/>
          <w:b/>
          <w:sz w:val="20"/>
          <w:szCs w:val="20"/>
        </w:rPr>
        <w:t/>
      </w:r>
    </w:p>
    <w:p w14:paraId="77A08998" w14:textId="0B04FADB" w:rsidR="005C59E9" w:rsidRDefault="005C59E9" w:rsidP="005C59E9">
      <w:pPr>
        <w:spacing w:before="2"/>
        <w:ind w:left="136" w:right="118"/>
        <w:jc w:val="center"/>
        <w:rPr>
          <w:rFonts w:ascii="Century Gothic" w:eastAsia="Times New Roman" w:hAnsi="Century Gothic"/>
          <w:b/>
          <w:sz w:val="20"/>
          <w:szCs w:val="20"/>
        </w:rPr>
      </w:pPr>
      <w:r w:rsidRPr="005C59E9">
        <w:rPr>
          <w:rFonts w:ascii="Century Gothic" w:eastAsia="Times New Roman" w:hAnsi="Century Gothic"/>
          <w:b/>
          <w:sz w:val="20"/>
          <w:szCs w:val="20"/>
        </w:rPr>
        <w:t/>
      </w:r>
    </w:p>
    <w:p w14:paraId="5918596E" w14:textId="7D254A16" w:rsidR="00282464" w:rsidRDefault="00282464" w:rsidP="005C59E9">
      <w:pPr>
        <w:spacing w:before="2"/>
        <w:ind w:left="136" w:right="118"/>
        <w:jc w:val="center"/>
        <w:rPr>
          <w:rFonts w:ascii="Century Gothic" w:eastAsia="Times New Roman" w:hAnsi="Century Gothic"/>
          <w:b/>
          <w:sz w:val="20"/>
          <w:szCs w:val="20"/>
        </w:rPr>
      </w:pPr>
      <w:r>
        <w:rPr>
          <w:rFonts w:ascii="Century Gothic" w:eastAsia="Times New Roman" w:hAnsi="Century Gothic"/>
          <w:b/>
          <w:sz w:val="20"/>
          <w:szCs w:val="20"/>
        </w:rPr>
        <w:t/>
      </w:r>
    </w:p>
    <w:p w14:paraId="161D7276" w14:textId="33DE70F7" w:rsidR="00B83A00" w:rsidRPr="007C2586" w:rsidRDefault="005A7C66" w:rsidP="005C59E9">
      <w:pPr>
        <w:spacing w:before="2"/>
        <w:ind w:left="136" w:right="118"/>
        <w:jc w:val="center"/>
        <w:rPr>
          <w:rFonts w:ascii="Century Gothic" w:hAnsi="Century Gothic"/>
          <w:b/>
          <w:sz w:val="20"/>
          <w:szCs w:val="20"/>
        </w:rPr>
      </w:pPr>
      <w:r w:rsidRPr="007C2586">
        <w:rPr>
          <w:rFonts w:ascii="Century Gothic" w:hAnsi="Century Gothic"/>
          <w:b/>
          <w:spacing w:val="-2"/>
          <w:sz w:val="20"/>
          <w:szCs w:val="20"/>
        </w:rPr>
        <w:t/>
      </w:r>
      <w:r w:rsidR="005C59E9">
        <w:rPr>
          <w:rFonts w:ascii="Century Gothic" w:hAnsi="Century Gothic"/>
          <w:b/>
          <w:spacing w:val="-2"/>
          <w:sz w:val="20"/>
          <w:szCs w:val="20"/>
        </w:rPr>
        <w:t/>
      </w:r>
    </w:p>
    <w:p w14:paraId="4607DC32" w14:textId="47E75B9C" w:rsidR="00CE5249" w:rsidRPr="00CE5249" w:rsidRDefault="00CE5249" w:rsidP="00CE5249">
      <w:pPr>
        <w:pStyle w:val="NormalWeb"/>
        <w:spacing w:after="0"/>
        <w:jc w:val="both"/>
        <w:rPr>
          <w:rFonts w:ascii="Century Gothic" w:hAnsi="Century Gothic"/>
          <w:b/>
          <w:bCs/>
          <w:sz w:val="20"/>
          <w:szCs w:val="20"/>
        </w:rPr>
      </w:pPr>
      <w:r w:rsidRPr="00CE5249">
        <w:rPr>
          <w:rFonts w:ascii="Century Gothic" w:hAnsi="Century Gothic"/>
          <w:b/>
          <w:bCs/>
          <w:sz w:val="20"/>
          <w:szCs w:val="20"/>
        </w:rPr>
        <w:t>ABSTRACT</w:t>
      </w:r>
    </w:p>
    <w:p w14:paraId="3B65C92B" w14:textId="77777777" w:rsidR="005C59E9" w:rsidRPr="005C59E9" w:rsidRDefault="005C59E9" w:rsidP="005C59E9">
      <w:pPr>
        <w:pStyle w:val="BodyText"/>
        <w:spacing w:before="9"/>
        <w:rPr>
          <w:rFonts w:ascii="Century Gothic" w:eastAsia="Times New Roman" w:hAnsi="Century Gothic" w:cs="Times New Roman"/>
          <w:sz w:val="20"/>
          <w:szCs w:val="20"/>
        </w:rPr>
      </w:pPr>
      <w:r w:rsidRPr="005C59E9">
        <w:rPr>
          <w:rFonts w:ascii="Century Gothic" w:eastAsia="Times New Roman" w:hAnsi="Century Gothic" w:cs="Times New Roman"/>
          <w:sz w:val="20"/>
          <w:szCs w:val="20"/>
        </w:rPr>
        <w:t>This study analyzed the epidemiological patterns of dengue incidence in Barangay Greenfield and Doroluman, Arakan, Cotabato, from 2021 to 2025 using a retrospective descriptive epidemiological research design. Secondary data were obtained from the Municipal Health Office of Arakan and analyzed through frequency counts, percentage distributions, trend analysis, and comparative analysis. The study aimed to determine the annual distribution of dengue cases, identify the monthly distribution and peak outbreak months, examine seasonal trends, and compare dengue incidence between the two barangays. Findings revealed a total of 191 dengue cases during the five-year period, with Barangay Greenfield recording 127 cases (64.55%) and Barangay Doroluman recording 64 cases (35.45%). Dengue incidence increased from 2021 to 2024, reaching its highest level in 2024 before declining in 2025. Monthly distribution showed that cases occurred throughout the year but peaked during the rainy season, particularly in July and August. Comparative analysis indicated that Barangay Greenfield consistently experienced a higher dengue burden than Barangay Doroluman. The findings support the Epidemiologic Triad Theory and Disease Ecology Theory, emphasizing the influence of environmental conditions on dengue transmission. Continuous surveillance, timely vector control, environmental management, and community participation are recommended to reduce future dengue outbreaks.</w:t>
      </w:r>
    </w:p>
    <w:p w14:paraId="4AE34A2A" w14:textId="77777777" w:rsidR="005C59E9" w:rsidRPr="005C59E9" w:rsidRDefault="005C59E9" w:rsidP="005C59E9">
      <w:pPr>
        <w:pStyle w:val="BodyText"/>
        <w:spacing w:before="9"/>
        <w:rPr>
          <w:rFonts w:ascii="Century Gothic" w:eastAsia="Times New Roman" w:hAnsi="Century Gothic" w:cs="Times New Roman"/>
          <w:sz w:val="20"/>
          <w:szCs w:val="20"/>
        </w:rPr>
      </w:pPr>
    </w:p>
    <w:p w14:paraId="247A5FE6" w14:textId="026A6335" w:rsidR="00B83A00" w:rsidRDefault="005C59E9" w:rsidP="005C59E9">
      <w:pPr>
        <w:pStyle w:val="BodyText"/>
        <w:spacing w:before="9"/>
        <w:rPr>
          <w:rFonts w:ascii="Century Gothic" w:eastAsia="Times New Roman" w:hAnsi="Century Gothic" w:cs="Times New Roman"/>
          <w:sz w:val="20"/>
          <w:szCs w:val="20"/>
        </w:rPr>
      </w:pPr>
      <w:r w:rsidRPr="005C59E9">
        <w:rPr>
          <w:rFonts w:ascii="Century Gothic" w:eastAsia="Times New Roman" w:hAnsi="Century Gothic" w:cs="Times New Roman"/>
          <w:b/>
          <w:bCs/>
          <w:sz w:val="20"/>
          <w:szCs w:val="20"/>
        </w:rPr>
        <w:t>Keywords:</w:t>
      </w:r>
      <w:r w:rsidRPr="005C59E9">
        <w:rPr>
          <w:rFonts w:ascii="Century Gothic" w:eastAsia="Times New Roman" w:hAnsi="Century Gothic" w:cs="Times New Roman"/>
          <w:sz w:val="20"/>
          <w:szCs w:val="20"/>
        </w:rPr>
        <w:t xml:space="preserve">  Dengue incidence, Epidemiological analysis, Seasonal trends, Vector control, Barangay Greenfield &amp; Doroluman.</w:t>
      </w:r>
    </w:p>
    <w:p w14:paraId="27B1ACE0" w14:textId="386D6C7C" w:rsidR="005C59E9" w:rsidRDefault="005C59E9" w:rsidP="005C59E9">
      <w:pPr>
        <w:pStyle w:val="BodyText"/>
        <w:spacing w:before="9"/>
        <w:rPr>
          <w:rFonts w:ascii="Century Gothic" w:hAnsi="Century Gothic"/>
          <w:sz w:val="20"/>
          <w:szCs w:val="20"/>
        </w:rPr>
      </w:pPr>
    </w:p>
    <w:p w14:paraId="58E7A2B8" w14:textId="31A49020" w:rsidR="005C59E9" w:rsidRPr="005C59E9" w:rsidRDefault="005C59E9" w:rsidP="005C59E9">
      <w:pPr>
        <w:pStyle w:val="BodyText"/>
        <w:spacing w:before="9"/>
        <w:rPr>
          <w:rFonts w:ascii="Century Gothic" w:hAnsi="Century Gothic"/>
          <w:b/>
          <w:bCs/>
          <w:sz w:val="20"/>
          <w:szCs w:val="20"/>
        </w:rPr>
      </w:pPr>
      <w:r>
        <w:rPr>
          <w:rFonts w:ascii="Century Gothic" w:hAnsi="Century Gothic"/>
          <w:b/>
          <w:bCs/>
          <w:sz w:val="20"/>
          <w:szCs w:val="20"/>
        </w:rPr>
        <w:t>INTRODUCTION</w:t>
      </w:r>
    </w:p>
    <w:p w14:paraId="028ADDA7" w14:textId="77777777" w:rsidR="005C59E9" w:rsidRPr="005C59E9" w:rsidRDefault="005C59E9" w:rsidP="005C59E9">
      <w:pPr>
        <w:pStyle w:val="BodyText"/>
        <w:spacing w:before="161"/>
        <w:ind w:firstLine="720"/>
        <w:jc w:val="both"/>
        <w:rPr>
          <w:rFonts w:ascii="Century Gothic" w:hAnsi="Century Gothic"/>
          <w:spacing w:val="-2"/>
          <w:sz w:val="20"/>
          <w:szCs w:val="20"/>
        </w:rPr>
      </w:pPr>
      <w:r w:rsidRPr="005C59E9">
        <w:rPr>
          <w:rFonts w:ascii="Century Gothic" w:hAnsi="Century Gothic"/>
          <w:spacing w:val="-2"/>
          <w:sz w:val="20"/>
          <w:szCs w:val="20"/>
        </w:rPr>
        <w:t>Dengue is one of the most prevalent mosquito-borne viral diseases and remains a major public health concern worldwide, particularly in tropical and subtropical countries. The disease is caused by the dengue virus and is primarily transmitted through the bite of infected Aedes aegypti mosquitoes. According to the World Health Organization (WHO, 2024), nearly half of the world's population is at risk of dengue infection, with millions of cases reported annually. Factors such as climate change, rapid urbanization, population growth, and inadequate vector control have contributed to the increasing incidence and geographical spread of dengue, making it a persistent challenge for public health systems.</w:t>
      </w:r>
    </w:p>
    <w:p w14:paraId="24660FBC" w14:textId="77777777" w:rsidR="005C59E9" w:rsidRPr="005C59E9" w:rsidRDefault="005C59E9" w:rsidP="005C59E9">
      <w:pPr>
        <w:pStyle w:val="BodyText"/>
        <w:spacing w:before="161"/>
        <w:ind w:firstLine="720"/>
        <w:jc w:val="both"/>
        <w:rPr>
          <w:rFonts w:ascii="Century Gothic" w:hAnsi="Century Gothic"/>
          <w:spacing w:val="-2"/>
          <w:sz w:val="20"/>
          <w:szCs w:val="20"/>
        </w:rPr>
      </w:pPr>
      <w:r w:rsidRPr="005C59E9">
        <w:rPr>
          <w:rFonts w:ascii="Century Gothic" w:hAnsi="Century Gothic"/>
          <w:spacing w:val="-2"/>
          <w:sz w:val="20"/>
          <w:szCs w:val="20"/>
        </w:rPr>
        <w:t>Epidemiological analysis is an essential approach in understanding the occurrence and distribution of diseases within a population. By examining dengue incidence according to time and place, health authorities can identify seasonal trends, determine peak outbreak periods, and evaluate disease patterns.</w:t>
      </w:r>
    </w:p>
    <w:p w14:paraId="7A765E63" w14:textId="77777777" w:rsidR="005C59E9" w:rsidRPr="005C59E9" w:rsidRDefault="005C59E9" w:rsidP="005C59E9">
      <w:pPr>
        <w:pStyle w:val="BodyText"/>
        <w:spacing w:before="161"/>
        <w:ind w:firstLine="720"/>
        <w:jc w:val="both"/>
        <w:rPr>
          <w:rFonts w:ascii="Century Gothic" w:hAnsi="Century Gothic"/>
          <w:spacing w:val="-2"/>
          <w:sz w:val="20"/>
          <w:szCs w:val="20"/>
        </w:rPr>
      </w:pPr>
      <w:r w:rsidRPr="005C59E9">
        <w:rPr>
          <w:rFonts w:ascii="Century Gothic" w:hAnsi="Century Gothic"/>
          <w:spacing w:val="-2"/>
          <w:sz w:val="20"/>
          <w:szCs w:val="20"/>
        </w:rPr>
        <w:t xml:space="preserve">In the Philippines, dengue continues to be endemic and is among the leading causes of illness, particularly during the rainy season when mosquito breeding sites become more abundant. The Department of Health (DOH, 2025) reported over 62,000 dengue cases nationwide from January to March 2025, representing a 73% increase compared to the same period in 2024. In response, the DOH has strengthened its dengue prevention efforts through the implementation of the 4S Strategy: Search and destroy mosquito breeding sites, Self-protection measures, Seek early consultation, and Support targeted fogging in hotspot areas (Philippine News Agency, 2025). </w:t>
      </w:r>
      <w:r w:rsidRPr="005C59E9">
        <w:rPr>
          <w:rFonts w:ascii="Century Gothic" w:hAnsi="Century Gothic"/>
          <w:spacing w:val="-2"/>
          <w:sz w:val="20"/>
          <w:szCs w:val="20"/>
        </w:rPr>
        <w:lastRenderedPageBreak/>
        <w:t>Despite these initiatives, dengue outbreaks continue to occur, highlighting the need for continuous surveillance and effective community-based interventions.</w:t>
      </w:r>
    </w:p>
    <w:p w14:paraId="2A0FEA90" w14:textId="77777777" w:rsidR="005C59E9" w:rsidRPr="005C59E9" w:rsidRDefault="005C59E9" w:rsidP="005C59E9">
      <w:pPr>
        <w:pStyle w:val="BodyText"/>
        <w:spacing w:before="161"/>
        <w:ind w:firstLine="720"/>
        <w:jc w:val="both"/>
        <w:rPr>
          <w:rFonts w:ascii="Century Gothic" w:hAnsi="Century Gothic"/>
          <w:spacing w:val="-2"/>
          <w:sz w:val="20"/>
          <w:szCs w:val="20"/>
        </w:rPr>
      </w:pPr>
      <w:r w:rsidRPr="005C59E9">
        <w:rPr>
          <w:rFonts w:ascii="Century Gothic" w:hAnsi="Century Gothic"/>
          <w:spacing w:val="-2"/>
          <w:sz w:val="20"/>
          <w:szCs w:val="20"/>
        </w:rPr>
        <w:t>In the Municipality of Arakan, Cotabato, the barangays of Doroluman and Greenfield have experienced reported dengue cases in recent years. However, there is limited published information describing the temporal distribution of dengue incidence and identifying the peak outbreak months within these barangays. This lack of localized epidemiological data limits the ability of local health authorities to develop evidence-based interventions that are responsive to the specific disease trends within their communities.</w:t>
      </w:r>
    </w:p>
    <w:p w14:paraId="1FB3033D" w14:textId="3FA64DAF" w:rsidR="00FC6A82" w:rsidRPr="007C2586" w:rsidRDefault="005C59E9" w:rsidP="005C59E9">
      <w:pPr>
        <w:pStyle w:val="BodyText"/>
        <w:spacing w:before="161"/>
        <w:ind w:firstLine="720"/>
        <w:jc w:val="both"/>
        <w:rPr>
          <w:rFonts w:ascii="Century Gothic" w:hAnsi="Century Gothic"/>
          <w:spacing w:val="-2"/>
          <w:sz w:val="20"/>
          <w:szCs w:val="20"/>
        </w:rPr>
      </w:pPr>
      <w:r w:rsidRPr="005C59E9">
        <w:rPr>
          <w:rFonts w:ascii="Century Gothic" w:hAnsi="Century Gothic"/>
          <w:spacing w:val="-2"/>
          <w:sz w:val="20"/>
          <w:szCs w:val="20"/>
        </w:rPr>
        <w:t xml:space="preserve">     With emphasis on identifying the peak outbreak months in the two barangays. The findings of this study are expected to provide baseline epidemiological information that will support local health authorities in strengthening dengue surveillance, improving outbreak preparedness, and implementing more effective prevention and control strategies. Moreover, the study may serve as a valuable reference for future researchers and contribute to the development of evidence-based public health policies at the local level.</w:t>
      </w:r>
    </w:p>
    <w:p w14:paraId="0A899F40" w14:textId="39F399AF" w:rsidR="005A7C66" w:rsidRPr="007C2586" w:rsidRDefault="005C59E9" w:rsidP="003D2DC0">
      <w:pPr>
        <w:pStyle w:val="BodyText"/>
        <w:spacing w:before="161"/>
        <w:jc w:val="both"/>
        <w:rPr>
          <w:rFonts w:ascii="Century Gothic" w:hAnsi="Century Gothic"/>
          <w:spacing w:val="-2"/>
          <w:sz w:val="20"/>
          <w:szCs w:val="20"/>
        </w:rPr>
      </w:pPr>
      <w:r>
        <w:rPr>
          <w:rFonts w:ascii="Century Gothic" w:hAnsi="Century Gothic"/>
          <w:b/>
          <w:spacing w:val="-2"/>
          <w:sz w:val="20"/>
          <w:szCs w:val="20"/>
        </w:rPr>
        <w:t>OBJECTIVES</w:t>
      </w:r>
      <w:r w:rsidR="00226CD4" w:rsidRPr="007C2586">
        <w:rPr>
          <w:rFonts w:ascii="Century Gothic" w:hAnsi="Century Gothic"/>
          <w:b/>
          <w:spacing w:val="-2"/>
          <w:sz w:val="20"/>
          <w:szCs w:val="20"/>
        </w:rPr>
        <w:t xml:space="preserve"> OF THE STUDY</w:t>
      </w:r>
      <w:r w:rsidR="00226CD4" w:rsidRPr="007C2586">
        <w:rPr>
          <w:rFonts w:ascii="Century Gothic" w:hAnsi="Century Gothic"/>
          <w:b/>
          <w:spacing w:val="-2"/>
          <w:sz w:val="20"/>
          <w:szCs w:val="20"/>
        </w:rPr>
        <w:tab/>
      </w:r>
    </w:p>
    <w:p w14:paraId="4091E8E6" w14:textId="77777777" w:rsidR="005C59E9" w:rsidRPr="005C59E9" w:rsidRDefault="005C59E9" w:rsidP="005C59E9">
      <w:pPr>
        <w:pStyle w:val="Heading1"/>
        <w:ind w:firstLine="584"/>
        <w:jc w:val="both"/>
        <w:rPr>
          <w:rFonts w:ascii="Century Gothic" w:eastAsia="Verdana" w:hAnsi="Century Gothic" w:cs="Verdana"/>
          <w:b w:val="0"/>
          <w:bCs w:val="0"/>
          <w:spacing w:val="-2"/>
          <w:sz w:val="20"/>
          <w:szCs w:val="20"/>
        </w:rPr>
      </w:pPr>
      <w:r w:rsidRPr="005C59E9">
        <w:rPr>
          <w:rFonts w:ascii="Century Gothic" w:eastAsia="Verdana" w:hAnsi="Century Gothic" w:cs="Verdana"/>
          <w:b w:val="0"/>
          <w:bCs w:val="0"/>
          <w:spacing w:val="-2"/>
          <w:sz w:val="20"/>
          <w:szCs w:val="20"/>
        </w:rPr>
        <w:t xml:space="preserve">The primary purpose of this study was to conduct a comparative epidemiological analysis of dengue incidence in Barangay Doroluman and Greenfield, Arakan, Cotabato from year 2021 to 2025. Specifically, it aims to achieve the following: </w:t>
      </w:r>
    </w:p>
    <w:p w14:paraId="61213401" w14:textId="77777777" w:rsidR="005C59E9" w:rsidRDefault="005C59E9" w:rsidP="005C59E9">
      <w:pPr>
        <w:pStyle w:val="Heading1"/>
        <w:numPr>
          <w:ilvl w:val="0"/>
          <w:numId w:val="14"/>
        </w:numPr>
        <w:jc w:val="both"/>
        <w:rPr>
          <w:rFonts w:ascii="Century Gothic" w:eastAsia="Verdana" w:hAnsi="Century Gothic" w:cs="Verdana"/>
          <w:b w:val="0"/>
          <w:bCs w:val="0"/>
          <w:spacing w:val="-2"/>
          <w:sz w:val="20"/>
          <w:szCs w:val="20"/>
        </w:rPr>
      </w:pPr>
      <w:r w:rsidRPr="005C59E9">
        <w:rPr>
          <w:rFonts w:ascii="Century Gothic" w:eastAsia="Verdana" w:hAnsi="Century Gothic" w:cs="Verdana"/>
          <w:b w:val="0"/>
          <w:bCs w:val="0"/>
          <w:spacing w:val="-2"/>
          <w:sz w:val="20"/>
          <w:szCs w:val="20"/>
        </w:rPr>
        <w:t>Identify the specific peak outbreak months of dengue transmission within each calendar year to determine recurring seasonal patterns.</w:t>
      </w:r>
    </w:p>
    <w:p w14:paraId="194041AB" w14:textId="77777777" w:rsidR="005C59E9" w:rsidRDefault="005C59E9" w:rsidP="005C59E9">
      <w:pPr>
        <w:pStyle w:val="Heading1"/>
        <w:numPr>
          <w:ilvl w:val="0"/>
          <w:numId w:val="14"/>
        </w:numPr>
        <w:jc w:val="both"/>
        <w:rPr>
          <w:rFonts w:ascii="Century Gothic" w:eastAsia="Verdana" w:hAnsi="Century Gothic" w:cs="Verdana"/>
          <w:b w:val="0"/>
          <w:bCs w:val="0"/>
          <w:spacing w:val="-2"/>
          <w:sz w:val="20"/>
          <w:szCs w:val="20"/>
        </w:rPr>
      </w:pPr>
      <w:r w:rsidRPr="005C59E9">
        <w:rPr>
          <w:rFonts w:ascii="Century Gothic" w:eastAsia="Verdana" w:hAnsi="Century Gothic" w:cs="Verdana"/>
          <w:b w:val="0"/>
          <w:bCs w:val="0"/>
          <w:spacing w:val="-2"/>
          <w:sz w:val="20"/>
          <w:szCs w:val="20"/>
        </w:rPr>
        <w:t>Compare the annual distribution of dengue cases between Barangay Doroluman and Barangay Greenfield across the five-year period (2021–2025).</w:t>
      </w:r>
    </w:p>
    <w:p w14:paraId="41D4FA07" w14:textId="77777777" w:rsidR="005C59E9" w:rsidRDefault="005C59E9" w:rsidP="005C59E9">
      <w:pPr>
        <w:pStyle w:val="Heading1"/>
        <w:numPr>
          <w:ilvl w:val="0"/>
          <w:numId w:val="14"/>
        </w:numPr>
        <w:jc w:val="both"/>
        <w:rPr>
          <w:rFonts w:ascii="Century Gothic" w:eastAsia="Verdana" w:hAnsi="Century Gothic" w:cs="Verdana"/>
          <w:b w:val="0"/>
          <w:bCs w:val="0"/>
          <w:spacing w:val="-2"/>
          <w:sz w:val="20"/>
          <w:szCs w:val="20"/>
        </w:rPr>
      </w:pPr>
      <w:r w:rsidRPr="005C59E9">
        <w:rPr>
          <w:rFonts w:ascii="Century Gothic" w:eastAsia="Verdana" w:hAnsi="Century Gothic" w:cs="Verdana"/>
          <w:b w:val="0"/>
          <w:bCs w:val="0"/>
          <w:spacing w:val="-2"/>
          <w:sz w:val="20"/>
          <w:szCs w:val="20"/>
        </w:rPr>
        <w:t>Determine which barangay exhibits a significantly higher cumulative incidence rate (cases per 1,000 or 10,000 population) over the five-year span.</w:t>
      </w:r>
    </w:p>
    <w:p w14:paraId="16123ADF" w14:textId="2288A966" w:rsidR="005C59E9" w:rsidRDefault="005C59E9" w:rsidP="005C59E9">
      <w:pPr>
        <w:pStyle w:val="Heading1"/>
        <w:numPr>
          <w:ilvl w:val="0"/>
          <w:numId w:val="14"/>
        </w:numPr>
        <w:jc w:val="both"/>
        <w:rPr>
          <w:rFonts w:ascii="Century Gothic" w:eastAsia="Verdana" w:hAnsi="Century Gothic" w:cs="Verdana"/>
          <w:b w:val="0"/>
          <w:bCs w:val="0"/>
          <w:spacing w:val="-2"/>
          <w:sz w:val="20"/>
          <w:szCs w:val="20"/>
        </w:rPr>
      </w:pPr>
      <w:r w:rsidRPr="005C59E9">
        <w:rPr>
          <w:rFonts w:ascii="Century Gothic" w:eastAsia="Verdana" w:hAnsi="Century Gothic" w:cs="Verdana"/>
          <w:b w:val="0"/>
          <w:bCs w:val="0"/>
          <w:spacing w:val="-2"/>
          <w:sz w:val="20"/>
          <w:szCs w:val="20"/>
        </w:rPr>
        <w:t>Analyze the temporal trends and trajectories of dengue outbreaks from 2021 to 2025, noting shifts, surges, or declines across both areas.</w:t>
      </w:r>
    </w:p>
    <w:p w14:paraId="6FD77323" w14:textId="77777777" w:rsidR="005C59E9" w:rsidRPr="005C59E9" w:rsidRDefault="005C59E9" w:rsidP="005C59E9">
      <w:pPr>
        <w:pStyle w:val="Heading1"/>
        <w:ind w:left="856"/>
        <w:jc w:val="both"/>
        <w:rPr>
          <w:rFonts w:ascii="Century Gothic" w:eastAsia="Verdana" w:hAnsi="Century Gothic" w:cs="Verdana"/>
          <w:b w:val="0"/>
          <w:bCs w:val="0"/>
          <w:spacing w:val="-2"/>
          <w:sz w:val="20"/>
          <w:szCs w:val="20"/>
        </w:rPr>
      </w:pPr>
    </w:p>
    <w:p w14:paraId="4F6A7629" w14:textId="7B5B899B" w:rsidR="00B43F16" w:rsidRPr="007C2586" w:rsidRDefault="005A7C66" w:rsidP="00475A11">
      <w:pPr>
        <w:pStyle w:val="Heading1"/>
        <w:ind w:left="0"/>
        <w:jc w:val="left"/>
        <w:rPr>
          <w:rFonts w:ascii="Century Gothic" w:hAnsi="Century Gothic"/>
          <w:sz w:val="20"/>
          <w:szCs w:val="20"/>
        </w:rPr>
      </w:pPr>
      <w:r w:rsidRPr="007C2586">
        <w:rPr>
          <w:rFonts w:ascii="Century Gothic" w:hAnsi="Century Gothic"/>
          <w:spacing w:val="-2"/>
          <w:sz w:val="20"/>
          <w:szCs w:val="20"/>
        </w:rPr>
        <w:t>METHODOLOGY</w:t>
      </w:r>
    </w:p>
    <w:p w14:paraId="565D187E" w14:textId="7EB17989" w:rsidR="0071612E" w:rsidRDefault="005C59E9" w:rsidP="005C59E9">
      <w:pPr>
        <w:ind w:firstLine="720"/>
        <w:contextualSpacing/>
        <w:jc w:val="both"/>
        <w:rPr>
          <w:rFonts w:ascii="Century Gothic" w:hAnsi="Century Gothic"/>
          <w:sz w:val="20"/>
          <w:szCs w:val="20"/>
        </w:rPr>
      </w:pPr>
      <w:r w:rsidRPr="005C59E9">
        <w:rPr>
          <w:rFonts w:ascii="Century Gothic" w:hAnsi="Century Gothic"/>
          <w:sz w:val="20"/>
          <w:szCs w:val="20"/>
        </w:rPr>
        <w:t>This chapter presents the research methods and procedures employed in conducting the study. It describes the research design, study area, sources of data, data collection procedure, and data analysis techniques used to achieve the objectives of the study. It also discusses the ethical considerations observed in the collection and handling of dengue surveillance records. These methodological procedures ensured the validity, reliability, and systematic analysis of data on dengue incidence in Barangay Doroluman and Greenfield, Arakan, Cotabato, from 2021 to 2025.</w:t>
      </w:r>
    </w:p>
    <w:p w14:paraId="7990666B" w14:textId="77777777" w:rsidR="005C59E9" w:rsidRPr="007C2586" w:rsidRDefault="005C59E9" w:rsidP="00226CD4">
      <w:pPr>
        <w:contextualSpacing/>
        <w:jc w:val="both"/>
        <w:rPr>
          <w:rFonts w:ascii="Century Gothic" w:hAnsi="Century Gothic"/>
          <w:sz w:val="20"/>
          <w:szCs w:val="20"/>
        </w:rPr>
      </w:pPr>
    </w:p>
    <w:p w14:paraId="62432562" w14:textId="1F287596" w:rsidR="00B43F16" w:rsidRPr="007C2586" w:rsidRDefault="00B43F16" w:rsidP="00226CD4">
      <w:pPr>
        <w:contextualSpacing/>
        <w:jc w:val="both"/>
        <w:rPr>
          <w:rFonts w:ascii="Century Gothic" w:hAnsi="Century Gothic"/>
          <w:b/>
          <w:sz w:val="20"/>
          <w:szCs w:val="20"/>
        </w:rPr>
      </w:pPr>
      <w:r w:rsidRPr="007C2586">
        <w:rPr>
          <w:rFonts w:ascii="Century Gothic" w:hAnsi="Century Gothic"/>
          <w:b/>
          <w:sz w:val="20"/>
          <w:szCs w:val="20"/>
        </w:rPr>
        <w:t>Research Design</w:t>
      </w:r>
    </w:p>
    <w:p w14:paraId="043E5DDA" w14:textId="77777777" w:rsidR="005C59E9" w:rsidRDefault="00B43F16" w:rsidP="005C59E9">
      <w:pPr>
        <w:jc w:val="both"/>
        <w:rPr>
          <w:rFonts w:ascii="Century Gothic" w:hAnsi="Century Gothic"/>
          <w:sz w:val="20"/>
          <w:szCs w:val="20"/>
        </w:rPr>
      </w:pPr>
      <w:r w:rsidRPr="007C2586">
        <w:rPr>
          <w:rFonts w:ascii="Century Gothic" w:hAnsi="Century Gothic"/>
          <w:sz w:val="20"/>
          <w:szCs w:val="20"/>
        </w:rPr>
        <w:tab/>
      </w:r>
      <w:r w:rsidR="005C59E9" w:rsidRPr="005C59E9">
        <w:rPr>
          <w:rFonts w:ascii="Century Gothic" w:hAnsi="Century Gothic"/>
          <w:sz w:val="20"/>
          <w:szCs w:val="20"/>
        </w:rPr>
        <w:t>This study employed a retrospective descriptive epidemiological research design to analyze the incidence of dengue cases in Barangay Doroluman and Greenfield, Municipality of Arakan, Cotabato, from 2021 to 2025. A retrospective design was considered appropriate because the study utilized existing dengue surveillance records to examine disease occurrence over a specified period without manipulating any variables.</w:t>
      </w:r>
    </w:p>
    <w:p w14:paraId="15E4F894" w14:textId="67495B3F" w:rsidR="005C59E9" w:rsidRPr="005C59E9" w:rsidRDefault="005C59E9" w:rsidP="005C59E9">
      <w:pPr>
        <w:ind w:firstLine="720"/>
        <w:jc w:val="both"/>
        <w:rPr>
          <w:rFonts w:ascii="Century Gothic" w:hAnsi="Century Gothic"/>
          <w:sz w:val="20"/>
          <w:szCs w:val="20"/>
        </w:rPr>
      </w:pPr>
      <w:r w:rsidRPr="005C59E9">
        <w:rPr>
          <w:rFonts w:ascii="Century Gothic" w:hAnsi="Century Gothic"/>
          <w:sz w:val="20"/>
          <w:szCs w:val="20"/>
        </w:rPr>
        <w:t>Descriptive epidemiology focuses on describing the distribution of diseases according to person, place, and time, providing valuable information for identifying disease patterns, high-risk populations, seasonal trends, and potential public health concerns. According to Hallal and Tassitano (2026), descriptive epidemiological studies are essential in public health because they help identify the magnitude of health problems, monitor disease trends, determine populations at risk, allocate health resources efficiently, establish public health priorities, and support planning, implementation, and evaluation of disease prevention and control programs.</w:t>
      </w:r>
    </w:p>
    <w:p w14:paraId="4C16382B" w14:textId="68E6C71B" w:rsidR="0071612E" w:rsidRDefault="005C59E9" w:rsidP="005C59E9">
      <w:pPr>
        <w:ind w:firstLine="720"/>
        <w:jc w:val="both"/>
        <w:rPr>
          <w:rFonts w:ascii="Century Gothic" w:hAnsi="Century Gothic"/>
          <w:sz w:val="20"/>
          <w:szCs w:val="20"/>
        </w:rPr>
      </w:pPr>
      <w:r w:rsidRPr="005C59E9">
        <w:rPr>
          <w:rFonts w:ascii="Century Gothic" w:hAnsi="Century Gothic"/>
          <w:sz w:val="20"/>
          <w:szCs w:val="20"/>
        </w:rPr>
        <w:t>Using this research design, the study examined the temporal distribution of dengue cases by month and year and compared the incidence patterns between Barangay Doroluman and Greenfield. The study also identified the peak outbreak months during the five-year period to provide baseline information that may support local dengue prevention and control strategies.</w:t>
      </w:r>
    </w:p>
    <w:p w14:paraId="78714806" w14:textId="77777777" w:rsidR="005C59E9" w:rsidRPr="007C2586" w:rsidRDefault="005C59E9" w:rsidP="005C59E9">
      <w:pPr>
        <w:jc w:val="both"/>
        <w:rPr>
          <w:rFonts w:ascii="Century Gothic" w:hAnsi="Century Gothic"/>
          <w:b/>
          <w:bCs/>
          <w:sz w:val="20"/>
          <w:szCs w:val="20"/>
        </w:rPr>
      </w:pPr>
    </w:p>
    <w:p w14:paraId="4AC914C7" w14:textId="0F06312A" w:rsidR="00B43F16" w:rsidRPr="007C2586" w:rsidRDefault="00B43F16" w:rsidP="00226CD4">
      <w:pPr>
        <w:jc w:val="both"/>
        <w:rPr>
          <w:rFonts w:ascii="Century Gothic" w:hAnsi="Century Gothic"/>
          <w:b/>
          <w:bCs/>
          <w:sz w:val="20"/>
          <w:szCs w:val="20"/>
        </w:rPr>
      </w:pPr>
      <w:r w:rsidRPr="007C2586">
        <w:rPr>
          <w:rFonts w:ascii="Century Gothic" w:hAnsi="Century Gothic"/>
          <w:b/>
          <w:bCs/>
          <w:sz w:val="20"/>
          <w:szCs w:val="20"/>
        </w:rPr>
        <w:t>Locale of the Study</w:t>
      </w:r>
    </w:p>
    <w:p w14:paraId="69D28C0A" w14:textId="77777777" w:rsidR="005C59E9" w:rsidRPr="005C59E9" w:rsidRDefault="0071612E" w:rsidP="005C59E9">
      <w:pPr>
        <w:contextualSpacing/>
        <w:jc w:val="both"/>
        <w:rPr>
          <w:rFonts w:ascii="Century Gothic" w:hAnsi="Century Gothic"/>
          <w:sz w:val="20"/>
          <w:szCs w:val="20"/>
        </w:rPr>
      </w:pPr>
      <w:r w:rsidRPr="007C2586">
        <w:rPr>
          <w:rFonts w:ascii="Century Gothic" w:hAnsi="Century Gothic"/>
          <w:sz w:val="20"/>
          <w:szCs w:val="20"/>
        </w:rPr>
        <w:t xml:space="preserve"> </w:t>
      </w:r>
      <w:r w:rsidRPr="007C2586">
        <w:rPr>
          <w:rFonts w:ascii="Century Gothic" w:hAnsi="Century Gothic"/>
          <w:sz w:val="20"/>
          <w:szCs w:val="20"/>
        </w:rPr>
        <w:tab/>
      </w:r>
      <w:r w:rsidR="005C59E9" w:rsidRPr="005C59E9">
        <w:rPr>
          <w:rFonts w:ascii="Century Gothic" w:hAnsi="Century Gothic"/>
          <w:sz w:val="20"/>
          <w:szCs w:val="20"/>
        </w:rPr>
        <w:t>The study was conducted in Barangay Doroluman and Barangay Greenfield, both located in the Municipality of Arakan, Province of Cotabato, Philippines. These barangays were selected because they have consistently reported dengue cases and maintain available dengue surveillance records through the local health offices.</w:t>
      </w:r>
    </w:p>
    <w:p w14:paraId="091876EE" w14:textId="120271E6" w:rsidR="0071612E" w:rsidRDefault="005C59E9" w:rsidP="005C59E9">
      <w:pPr>
        <w:contextualSpacing/>
        <w:jc w:val="both"/>
        <w:rPr>
          <w:rFonts w:ascii="Century Gothic" w:hAnsi="Century Gothic"/>
          <w:sz w:val="20"/>
          <w:szCs w:val="20"/>
        </w:rPr>
      </w:pPr>
      <w:r w:rsidRPr="005C59E9">
        <w:rPr>
          <w:rFonts w:ascii="Century Gothic" w:hAnsi="Century Gothic"/>
          <w:sz w:val="20"/>
          <w:szCs w:val="20"/>
        </w:rPr>
        <w:lastRenderedPageBreak/>
        <w:t>The geographical location, climatic conditions, population distribution, and environmental characteristics of the two barangays may contribute to mosquito breeding and dengue transmission, making them appropriate settings for an epidemiological analysis of dengue incidence.</w:t>
      </w:r>
    </w:p>
    <w:p w14:paraId="02D84D77" w14:textId="77777777" w:rsidR="005C59E9" w:rsidRPr="007C2586" w:rsidRDefault="005C59E9" w:rsidP="005C59E9">
      <w:pPr>
        <w:contextualSpacing/>
        <w:jc w:val="both"/>
        <w:rPr>
          <w:rFonts w:ascii="Century Gothic" w:hAnsi="Century Gothic"/>
          <w:b/>
          <w:sz w:val="20"/>
          <w:szCs w:val="20"/>
        </w:rPr>
      </w:pPr>
    </w:p>
    <w:p w14:paraId="6769ACD0" w14:textId="77777777" w:rsidR="005C59E9" w:rsidRPr="005C59E9" w:rsidRDefault="005C59E9" w:rsidP="005C59E9">
      <w:pPr>
        <w:pStyle w:val="Heading3"/>
        <w:spacing w:before="0"/>
        <w:jc w:val="both"/>
        <w:rPr>
          <w:rFonts w:ascii="Century Gothic" w:hAnsi="Century Gothic" w:cs="Century Gothic"/>
          <w:b/>
          <w:bCs/>
          <w:color w:val="000000" w:themeColor="text1"/>
          <w:sz w:val="20"/>
          <w:szCs w:val="20"/>
        </w:rPr>
      </w:pPr>
      <w:r w:rsidRPr="005C59E9">
        <w:rPr>
          <w:rFonts w:ascii="Century Gothic" w:hAnsi="Century Gothic" w:cs="Century Gothic"/>
          <w:b/>
          <w:bCs/>
          <w:color w:val="000000" w:themeColor="text1"/>
          <w:sz w:val="20"/>
          <w:szCs w:val="20"/>
        </w:rPr>
        <w:t xml:space="preserve">Data Sources  </w:t>
      </w:r>
    </w:p>
    <w:p w14:paraId="5C17860C" w14:textId="77777777" w:rsidR="005C59E9" w:rsidRPr="005C59E9" w:rsidRDefault="005C59E9" w:rsidP="005C59E9">
      <w:pPr>
        <w:pStyle w:val="NormalWeb"/>
        <w:spacing w:before="0" w:beforeAutospacing="0"/>
        <w:ind w:firstLine="720"/>
        <w:jc w:val="both"/>
        <w:rPr>
          <w:rFonts w:ascii="Century Gothic" w:hAnsi="Century Gothic" w:cs="Century Gothic"/>
          <w:color w:val="000000" w:themeColor="text1"/>
          <w:sz w:val="20"/>
          <w:szCs w:val="20"/>
        </w:rPr>
      </w:pPr>
      <w:r w:rsidRPr="005C59E9">
        <w:rPr>
          <w:rFonts w:ascii="Century Gothic" w:hAnsi="Century Gothic" w:cs="Century Gothic"/>
          <w:color w:val="000000" w:themeColor="text1"/>
          <w:sz w:val="20"/>
          <w:szCs w:val="20"/>
        </w:rPr>
        <w:t>The study utilized secondary data obtained from official health records maintained by the Municipal Health Office (MHO) of Arakan, the Rural Health Unit (RHU), Barangay Health Stations (BHS), and other relevant health agencies. The data consisted of monthly reported dengue cases from January 2021 to December 2025. Information collected included the number of dengue cases recorded each month and the corresponding barangay where the cases were reported. Only officially documented dengue cases were included in the analysis to ensure the accuracy and reliability of the data.</w:t>
      </w:r>
    </w:p>
    <w:p w14:paraId="0D7E5613" w14:textId="77777777" w:rsidR="005C59E9" w:rsidRPr="005C59E9" w:rsidRDefault="005C59E9" w:rsidP="005C59E9">
      <w:pPr>
        <w:pStyle w:val="Heading3"/>
        <w:spacing w:before="0"/>
        <w:jc w:val="both"/>
        <w:rPr>
          <w:rFonts w:ascii="Century Gothic" w:hAnsi="Century Gothic" w:cs="Century Gothic"/>
          <w:b/>
          <w:bCs/>
          <w:color w:val="000000" w:themeColor="text1"/>
          <w:sz w:val="20"/>
          <w:szCs w:val="20"/>
        </w:rPr>
      </w:pPr>
      <w:r w:rsidRPr="005C59E9">
        <w:rPr>
          <w:rFonts w:ascii="Century Gothic" w:hAnsi="Century Gothic" w:cs="Century Gothic"/>
          <w:b/>
          <w:bCs/>
          <w:color w:val="000000" w:themeColor="text1"/>
          <w:sz w:val="20"/>
          <w:szCs w:val="20"/>
        </w:rPr>
        <w:t>Data Collection Procedure</w:t>
      </w:r>
    </w:p>
    <w:p w14:paraId="42B8D6F7" w14:textId="77777777" w:rsidR="005C59E9" w:rsidRPr="005C59E9" w:rsidRDefault="005C59E9" w:rsidP="005C59E9">
      <w:pPr>
        <w:pStyle w:val="NormalWeb"/>
        <w:spacing w:before="0" w:beforeAutospacing="0"/>
        <w:ind w:firstLine="720"/>
        <w:jc w:val="both"/>
        <w:rPr>
          <w:rFonts w:ascii="Century Gothic" w:hAnsi="Century Gothic" w:cs="Century Gothic"/>
          <w:color w:val="000000" w:themeColor="text1"/>
          <w:sz w:val="20"/>
          <w:szCs w:val="20"/>
        </w:rPr>
      </w:pPr>
      <w:r w:rsidRPr="005C59E9">
        <w:rPr>
          <w:rFonts w:ascii="Century Gothic" w:hAnsi="Century Gothic" w:cs="Century Gothic"/>
          <w:color w:val="000000" w:themeColor="text1"/>
          <w:sz w:val="20"/>
          <w:szCs w:val="20"/>
        </w:rPr>
        <w:t>Prior to data collection, a formal request letter was submitted to the appropriate health authorities seeking permission to access dengue surveillance records. Upon approval, relevant dengue incidence data covering the period from 2021 to 2025 were obtained. The collected records were carefully reviewed, verified, and organized according to year, month, and barangay. Data cleaning procedures were conducted to identify and address incomplete or duplicate records. After verification, the data were encoded into Microsoft Excel for systematic organization and analysis.</w:t>
      </w:r>
    </w:p>
    <w:p w14:paraId="481BA72F" w14:textId="77777777" w:rsidR="005C59E9" w:rsidRPr="005C59E9" w:rsidRDefault="005C59E9" w:rsidP="005C59E9">
      <w:pPr>
        <w:pStyle w:val="Heading3"/>
        <w:spacing w:before="0"/>
        <w:jc w:val="both"/>
        <w:rPr>
          <w:rFonts w:ascii="Century Gothic" w:hAnsi="Century Gothic" w:cs="Century Gothic"/>
          <w:b/>
          <w:bCs/>
          <w:color w:val="000000" w:themeColor="text1"/>
          <w:sz w:val="20"/>
          <w:szCs w:val="20"/>
        </w:rPr>
      </w:pPr>
      <w:r w:rsidRPr="005C59E9">
        <w:rPr>
          <w:rFonts w:ascii="Century Gothic" w:hAnsi="Century Gothic" w:cs="Century Gothic"/>
          <w:b/>
          <w:bCs/>
          <w:color w:val="000000" w:themeColor="text1"/>
          <w:sz w:val="20"/>
          <w:szCs w:val="20"/>
        </w:rPr>
        <w:t>Data Analysis</w:t>
      </w:r>
    </w:p>
    <w:p w14:paraId="30858E94" w14:textId="77777777" w:rsidR="005C59E9" w:rsidRDefault="005C59E9" w:rsidP="005C59E9">
      <w:pPr>
        <w:pStyle w:val="NormalWeb"/>
        <w:spacing w:before="0" w:beforeAutospacing="0" w:after="0" w:afterAutospacing="0"/>
        <w:ind w:firstLine="720"/>
        <w:jc w:val="both"/>
        <w:rPr>
          <w:rFonts w:ascii="Century Gothic" w:hAnsi="Century Gothic" w:cs="Century Gothic"/>
          <w:color w:val="000000" w:themeColor="text1"/>
          <w:sz w:val="20"/>
          <w:szCs w:val="20"/>
        </w:rPr>
      </w:pPr>
      <w:r w:rsidRPr="005C59E9">
        <w:rPr>
          <w:rFonts w:ascii="Century Gothic" w:hAnsi="Century Gothic" w:cs="Century Gothic"/>
          <w:color w:val="000000" w:themeColor="text1"/>
          <w:sz w:val="20"/>
          <w:szCs w:val="20"/>
        </w:rPr>
        <w:t xml:space="preserve">The collected data were analyzed using descriptive statistical methods. Frequency counts were used to determine the total number of dengue cases recorded per month and per year in each barangay. </w:t>
      </w:r>
      <w:r w:rsidRPr="005C59E9">
        <w:rPr>
          <w:rFonts w:ascii="Century Gothic" w:hAnsi="Century Gothic" w:cs="Century Gothic"/>
          <w:color w:val="000000" w:themeColor="text1"/>
          <w:sz w:val="20"/>
          <w:szCs w:val="20"/>
        </w:rPr>
        <w:tab/>
        <w:t>Descriptive statistics are brief summaries of a dataset, whether a representation of the entire population or a sample of the population, and do not attempt to make predictions or draw conclusions beyond the data itself (Hayes, 2026).</w:t>
      </w:r>
    </w:p>
    <w:p w14:paraId="05EC9990" w14:textId="3E507AD8" w:rsidR="005C59E9" w:rsidRPr="005C59E9" w:rsidRDefault="005C59E9" w:rsidP="005C59E9">
      <w:pPr>
        <w:pStyle w:val="NormalWeb"/>
        <w:spacing w:before="0" w:beforeAutospacing="0" w:after="0" w:afterAutospacing="0"/>
        <w:ind w:firstLine="720"/>
        <w:jc w:val="both"/>
        <w:rPr>
          <w:rFonts w:ascii="Century Gothic" w:hAnsi="Century Gothic" w:cs="Century Gothic"/>
          <w:color w:val="000000" w:themeColor="text1"/>
          <w:sz w:val="20"/>
          <w:szCs w:val="20"/>
        </w:rPr>
      </w:pPr>
      <w:r w:rsidRPr="005C59E9">
        <w:rPr>
          <w:rFonts w:ascii="Century Gothic" w:hAnsi="Century Gothic" w:cs="Century Gothic"/>
          <w:color w:val="000000" w:themeColor="text1"/>
          <w:sz w:val="20"/>
          <w:szCs w:val="20"/>
        </w:rPr>
        <w:t xml:space="preserve">Percentage distribution was calculated to determine the proportion of cases occurring during specific months and years. Trend analysis was performed by examining the monthly and annual distribution of dengue cases to identify recurring patterns and fluctuations in incidence. </w:t>
      </w:r>
    </w:p>
    <w:p w14:paraId="60CBE4E1" w14:textId="0F906782" w:rsidR="005C59E9" w:rsidRDefault="005C59E9" w:rsidP="005C59E9">
      <w:pPr>
        <w:pStyle w:val="NormalWeb"/>
        <w:spacing w:before="0" w:beforeAutospacing="0" w:after="0" w:afterAutospacing="0"/>
        <w:ind w:firstLine="720"/>
        <w:jc w:val="both"/>
        <w:rPr>
          <w:rFonts w:ascii="Century Gothic" w:hAnsi="Century Gothic" w:cs="Century Gothic"/>
          <w:color w:val="000000" w:themeColor="text1"/>
          <w:sz w:val="20"/>
          <w:szCs w:val="20"/>
        </w:rPr>
      </w:pPr>
      <w:r w:rsidRPr="005C59E9">
        <w:rPr>
          <w:rFonts w:ascii="Century Gothic" w:hAnsi="Century Gothic" w:cs="Century Gothic"/>
          <w:color w:val="000000" w:themeColor="text1"/>
          <w:sz w:val="20"/>
          <w:szCs w:val="20"/>
        </w:rPr>
        <w:t>Tables and graphical presentations were utilized to visualize dengue trends over the five-year period. Peak outbreak months were identified by determining the months with the highest number of recorded dengue cases each year and across the entire study period. Comparative analysis was also conducted to assess differences in dengue incidence patterns between Barangay Doroluman and Barangay Greenfield.</w:t>
      </w:r>
    </w:p>
    <w:p w14:paraId="31DF9296" w14:textId="77777777" w:rsidR="005C59E9" w:rsidRPr="005C59E9" w:rsidRDefault="005C59E9" w:rsidP="005C59E9">
      <w:pPr>
        <w:pStyle w:val="NormalWeb"/>
        <w:spacing w:before="0" w:beforeAutospacing="0" w:after="0" w:afterAutospacing="0"/>
        <w:ind w:firstLine="720"/>
        <w:jc w:val="both"/>
        <w:rPr>
          <w:rFonts w:ascii="Century Gothic" w:hAnsi="Century Gothic" w:cs="Century Gothic"/>
          <w:color w:val="000000" w:themeColor="text1"/>
          <w:sz w:val="20"/>
          <w:szCs w:val="20"/>
        </w:rPr>
      </w:pPr>
    </w:p>
    <w:p w14:paraId="09187517" w14:textId="77777777" w:rsidR="005C59E9" w:rsidRPr="005C59E9" w:rsidRDefault="005C59E9" w:rsidP="005C59E9">
      <w:pPr>
        <w:pStyle w:val="Heading3"/>
        <w:spacing w:before="0"/>
        <w:jc w:val="both"/>
        <w:rPr>
          <w:rFonts w:ascii="Century Gothic" w:hAnsi="Century Gothic" w:cs="Century Gothic"/>
          <w:b/>
          <w:bCs/>
          <w:color w:val="000000" w:themeColor="text1"/>
          <w:sz w:val="20"/>
          <w:szCs w:val="20"/>
        </w:rPr>
      </w:pPr>
      <w:r w:rsidRPr="005C59E9">
        <w:rPr>
          <w:rFonts w:ascii="Century Gothic" w:hAnsi="Century Gothic" w:cs="Century Gothic"/>
          <w:b/>
          <w:bCs/>
          <w:color w:val="000000" w:themeColor="text1"/>
          <w:sz w:val="20"/>
          <w:szCs w:val="20"/>
        </w:rPr>
        <w:t>Ethical Considerations</w:t>
      </w:r>
    </w:p>
    <w:p w14:paraId="0A50B5AC" w14:textId="77777777" w:rsidR="005C59E9" w:rsidRPr="005C59E9" w:rsidRDefault="005C59E9" w:rsidP="005C59E9">
      <w:pPr>
        <w:ind w:firstLine="720"/>
        <w:jc w:val="both"/>
        <w:rPr>
          <w:rFonts w:ascii="Century Gothic" w:hAnsi="Century Gothic" w:cs="Century Gothic"/>
          <w:color w:val="000000" w:themeColor="text1"/>
          <w:sz w:val="20"/>
          <w:szCs w:val="20"/>
        </w:rPr>
      </w:pPr>
      <w:r w:rsidRPr="005C59E9">
        <w:rPr>
          <w:rFonts w:ascii="Century Gothic" w:hAnsi="Century Gothic" w:cs="Century Gothic"/>
          <w:color w:val="000000" w:themeColor="text1"/>
          <w:sz w:val="20"/>
          <w:szCs w:val="20"/>
        </w:rPr>
        <w:t>The study adhered to ethical standards in the collection and use of data. Permission was obtained from the concerned health authorities before accessing dengue surveillance records. The researchers obtained permission from the Municipal Health Office of Arakan before accessing dengue surveillance records. The study utilized only secondary data obtained from official health records.</w:t>
      </w:r>
    </w:p>
    <w:p w14:paraId="55563171" w14:textId="77777777" w:rsidR="005C59E9" w:rsidRPr="005C59E9" w:rsidRDefault="005C59E9" w:rsidP="005C59E9">
      <w:pPr>
        <w:ind w:firstLine="720"/>
        <w:jc w:val="both"/>
        <w:rPr>
          <w:rFonts w:ascii="Century Gothic" w:hAnsi="Century Gothic" w:cs="Century Gothic"/>
          <w:color w:val="000000" w:themeColor="text1"/>
          <w:sz w:val="20"/>
          <w:szCs w:val="20"/>
        </w:rPr>
      </w:pPr>
      <w:r w:rsidRPr="005C59E9">
        <w:rPr>
          <w:rFonts w:ascii="Century Gothic" w:hAnsi="Century Gothic" w:cs="Century Gothic"/>
          <w:color w:val="000000" w:themeColor="text1"/>
          <w:sz w:val="20"/>
          <w:szCs w:val="20"/>
        </w:rPr>
        <w:t>No personal identifiers, such as names, addresses, or contact information of patients, were collected or included in the dataset. All information was treated with strict confidentiality and used solely for academic and research purposes. The researchers complied with applicable ethical standards in handling health-related information and ensured that the data were presented only in aggregated form to protect patient privacy.</w:t>
      </w:r>
    </w:p>
    <w:p w14:paraId="66B3B176" w14:textId="77777777" w:rsidR="005C59E9" w:rsidRPr="005C59E9" w:rsidRDefault="005C59E9" w:rsidP="005C59E9">
      <w:pPr>
        <w:pStyle w:val="BodyText"/>
        <w:tabs>
          <w:tab w:val="left" w:pos="1878"/>
          <w:tab w:val="left" w:pos="3302"/>
          <w:tab w:val="left" w:pos="4017"/>
          <w:tab w:val="left" w:pos="5193"/>
          <w:tab w:val="left" w:pos="6900"/>
          <w:tab w:val="left" w:pos="8451"/>
        </w:tabs>
        <w:ind w:right="97"/>
        <w:jc w:val="both"/>
        <w:rPr>
          <w:rFonts w:ascii="Century Gothic" w:hAnsi="Century Gothic"/>
          <w:color w:val="000000" w:themeColor="text1"/>
          <w:sz w:val="20"/>
          <w:szCs w:val="20"/>
        </w:rPr>
      </w:pPr>
      <w:r w:rsidRPr="005C59E9">
        <w:rPr>
          <w:rFonts w:ascii="Century Gothic" w:hAnsi="Century Gothic"/>
          <w:b/>
          <w:bCs/>
          <w:color w:val="000000" w:themeColor="text1"/>
          <w:sz w:val="20"/>
          <w:szCs w:val="20"/>
        </w:rPr>
        <w:t xml:space="preserve">          </w:t>
      </w:r>
      <w:r w:rsidRPr="005C59E9">
        <w:rPr>
          <w:rFonts w:ascii="Century Gothic" w:hAnsi="Century Gothic"/>
          <w:color w:val="000000" w:themeColor="text1"/>
          <w:sz w:val="20"/>
          <w:szCs w:val="20"/>
          <w:lang w:val="en-PH"/>
        </w:rPr>
        <w:t>Ethical integrity is fundamental to both qualitative and quantitative research. The researcher conducts the study in accordance with the ethical principles articulated by Cacciattolo (2015), which emphasize social value, respect for persons, justice, transparency, and researcher responsibility. These principles are applied consistently across research designs and are aligned with contemporary international ethical standards and professional guidelines.</w:t>
      </w:r>
    </w:p>
    <w:p w14:paraId="16ABEDE9" w14:textId="77777777" w:rsidR="005C59E9" w:rsidRPr="005C59E9" w:rsidRDefault="005C59E9" w:rsidP="005C59E9">
      <w:pPr>
        <w:pStyle w:val="BodyText"/>
        <w:ind w:right="97"/>
        <w:jc w:val="both"/>
        <w:rPr>
          <w:rFonts w:ascii="Century Gothic" w:hAnsi="Century Gothic"/>
          <w:i/>
          <w:iCs/>
          <w:color w:val="000000" w:themeColor="text1"/>
          <w:sz w:val="20"/>
          <w:szCs w:val="20"/>
          <w:lang w:val="en-PH"/>
        </w:rPr>
      </w:pPr>
      <w:r w:rsidRPr="005C59E9">
        <w:rPr>
          <w:rFonts w:ascii="Century Gothic" w:hAnsi="Century Gothic"/>
          <w:b/>
          <w:bCs/>
          <w:i/>
          <w:iCs/>
          <w:color w:val="000000" w:themeColor="text1"/>
          <w:sz w:val="20"/>
          <w:szCs w:val="20"/>
          <w:lang w:val="en-PH"/>
        </w:rPr>
        <w:tab/>
        <w:t>Social Value</w:t>
      </w:r>
      <w:r w:rsidRPr="005C59E9">
        <w:rPr>
          <w:rFonts w:ascii="Century Gothic" w:hAnsi="Century Gothic"/>
          <w:i/>
          <w:iCs/>
          <w:color w:val="000000" w:themeColor="text1"/>
          <w:sz w:val="20"/>
          <w:szCs w:val="20"/>
          <w:lang w:val="en-PH"/>
        </w:rPr>
        <w:t xml:space="preserve">. </w:t>
      </w:r>
      <w:r w:rsidRPr="005C59E9">
        <w:rPr>
          <w:rFonts w:ascii="Century Gothic" w:hAnsi="Century Gothic"/>
          <w:color w:val="000000" w:themeColor="text1"/>
          <w:sz w:val="20"/>
          <w:szCs w:val="20"/>
          <w:lang w:val="en-PH"/>
        </w:rPr>
        <w:t>The researcher ensures that the study has clear social and scholarly value. The research addresses meaningful questions that contribute to knowledge, inform practice, or support evidence-based decision-making. Ethical justification rests on the potential of the study to benefit individuals, institutions, or communities without causing unnecessary harm or burden (Cacciattolo, 2015; APA, 2023).</w:t>
      </w:r>
    </w:p>
    <w:p w14:paraId="5CD2C8A7" w14:textId="77777777" w:rsidR="005C59E9" w:rsidRPr="005C59E9" w:rsidRDefault="005C59E9" w:rsidP="005C59E9">
      <w:pPr>
        <w:pStyle w:val="BodyText"/>
        <w:ind w:right="97"/>
        <w:jc w:val="both"/>
        <w:rPr>
          <w:rFonts w:ascii="Century Gothic" w:hAnsi="Century Gothic"/>
          <w:i/>
          <w:iCs/>
          <w:color w:val="000000" w:themeColor="text1"/>
          <w:sz w:val="20"/>
          <w:szCs w:val="20"/>
          <w:lang w:val="en-PH"/>
        </w:rPr>
      </w:pPr>
      <w:r w:rsidRPr="005C59E9">
        <w:rPr>
          <w:rFonts w:ascii="Century Gothic" w:hAnsi="Century Gothic"/>
          <w:i/>
          <w:iCs/>
          <w:color w:val="000000" w:themeColor="text1"/>
          <w:sz w:val="20"/>
          <w:szCs w:val="20"/>
          <w:lang w:val="en-PH"/>
        </w:rPr>
        <w:tab/>
      </w:r>
      <w:r w:rsidRPr="005C59E9">
        <w:rPr>
          <w:rFonts w:ascii="Century Gothic" w:hAnsi="Century Gothic"/>
          <w:b/>
          <w:bCs/>
          <w:i/>
          <w:iCs/>
          <w:color w:val="000000" w:themeColor="text1"/>
          <w:sz w:val="20"/>
          <w:szCs w:val="20"/>
          <w:lang w:val="en-PH"/>
        </w:rPr>
        <w:t>Privacy, Confidentiality, and Data Protection</w:t>
      </w:r>
      <w:r w:rsidRPr="005C59E9">
        <w:rPr>
          <w:rFonts w:ascii="Century Gothic" w:hAnsi="Century Gothic"/>
          <w:i/>
          <w:iCs/>
          <w:color w:val="000000" w:themeColor="text1"/>
          <w:sz w:val="20"/>
          <w:szCs w:val="20"/>
          <w:lang w:val="en-PH"/>
        </w:rPr>
        <w:t xml:space="preserve">. </w:t>
      </w:r>
      <w:r w:rsidRPr="005C59E9">
        <w:rPr>
          <w:rFonts w:ascii="Century Gothic" w:hAnsi="Century Gothic"/>
          <w:color w:val="000000" w:themeColor="text1"/>
          <w:sz w:val="20"/>
          <w:szCs w:val="20"/>
        </w:rPr>
        <w:t xml:space="preserve">The researcher safeguards participants’ privacy and maintains confidentiality throughout the research process. Identifiable information </w:t>
      </w:r>
      <w:r w:rsidRPr="005C59E9">
        <w:rPr>
          <w:rFonts w:ascii="Century Gothic" w:hAnsi="Century Gothic"/>
          <w:color w:val="000000" w:themeColor="text1"/>
          <w:sz w:val="20"/>
          <w:szCs w:val="20"/>
        </w:rPr>
        <w:lastRenderedPageBreak/>
        <w:t>is removed, coded, or anonymized, and findings are reported only in aggregate or non-identifiable form. All data are securely stored in password-protected digital systems and/or locked physical storage accessible only to authorized personnel. In compliance with the Data Privacy Act of 2021 and CFCST Ethics Review requirements, participants are informed of data use, storage duration, and disposal procedures, and all identifiable data are securely destroyed after the required retention period in accordance with institutional and legal standards (APA, 2023).</w:t>
      </w:r>
    </w:p>
    <w:p w14:paraId="1D6893AC" w14:textId="77777777" w:rsidR="005C59E9" w:rsidRPr="005C59E9" w:rsidRDefault="005C59E9" w:rsidP="005C59E9">
      <w:pPr>
        <w:pStyle w:val="BodyText"/>
        <w:ind w:right="97" w:firstLine="720"/>
        <w:jc w:val="both"/>
        <w:rPr>
          <w:rFonts w:ascii="Century Gothic" w:hAnsi="Century Gothic"/>
          <w:i/>
          <w:iCs/>
          <w:color w:val="000000" w:themeColor="text1"/>
          <w:sz w:val="20"/>
          <w:szCs w:val="20"/>
          <w:lang w:val="en-PH"/>
        </w:rPr>
      </w:pPr>
      <w:r w:rsidRPr="005C59E9">
        <w:rPr>
          <w:rFonts w:ascii="Century Gothic" w:hAnsi="Century Gothic"/>
          <w:b/>
          <w:bCs/>
          <w:i/>
          <w:iCs/>
          <w:color w:val="000000" w:themeColor="text1"/>
          <w:sz w:val="20"/>
          <w:szCs w:val="20"/>
          <w:lang w:val="en-PH"/>
        </w:rPr>
        <w:t>Transparency and Researcher Reflexivity</w:t>
      </w:r>
      <w:r w:rsidRPr="005C59E9">
        <w:rPr>
          <w:rFonts w:ascii="Century Gothic" w:hAnsi="Century Gothic"/>
          <w:i/>
          <w:iCs/>
          <w:color w:val="000000" w:themeColor="text1"/>
          <w:sz w:val="20"/>
          <w:szCs w:val="20"/>
          <w:lang w:val="en-PH"/>
        </w:rPr>
        <w:t xml:space="preserve">. </w:t>
      </w:r>
      <w:r w:rsidRPr="005C59E9">
        <w:rPr>
          <w:rFonts w:ascii="Century Gothic" w:hAnsi="Century Gothic"/>
          <w:color w:val="000000" w:themeColor="text1"/>
          <w:sz w:val="20"/>
          <w:szCs w:val="20"/>
          <w:lang w:val="en-PH"/>
        </w:rPr>
        <w:t>The researcher maintains transparency by clearly documenting research design, data collection procedures, analytic methods, and limitations. In qualitative studies, reflexivity is practiced through ongoing reflection on the researcher’s positionality and potential bias. In quantitative studies, transparency is supported through clear reporting of variables, instruments, assumptions, and analytic decisions. These practices enhance ethical accountability and research rigor (Cacciattolo, 2015; Tracy, 2023).</w:t>
      </w:r>
    </w:p>
    <w:p w14:paraId="4FF601A1" w14:textId="77777777" w:rsidR="005C59E9" w:rsidRPr="005C59E9" w:rsidRDefault="005C59E9" w:rsidP="005C59E9">
      <w:pPr>
        <w:pStyle w:val="BodyText"/>
        <w:ind w:right="97" w:firstLine="720"/>
        <w:jc w:val="both"/>
        <w:rPr>
          <w:rFonts w:ascii="Century Gothic" w:hAnsi="Century Gothic"/>
          <w:i/>
          <w:iCs/>
          <w:color w:val="000000" w:themeColor="text1"/>
          <w:spacing w:val="-6"/>
          <w:sz w:val="20"/>
          <w:szCs w:val="20"/>
          <w:lang w:val="en-PH"/>
        </w:rPr>
      </w:pPr>
      <w:r w:rsidRPr="005C59E9">
        <w:rPr>
          <w:rFonts w:ascii="Century Gothic" w:hAnsi="Century Gothic"/>
          <w:b/>
          <w:bCs/>
          <w:i/>
          <w:iCs/>
          <w:color w:val="000000" w:themeColor="text1"/>
          <w:spacing w:val="-6"/>
          <w:sz w:val="20"/>
          <w:szCs w:val="20"/>
          <w:lang w:val="en-PH"/>
        </w:rPr>
        <w:t>Researcher Qualification and Integrity</w:t>
      </w:r>
      <w:r w:rsidRPr="005C59E9">
        <w:rPr>
          <w:rFonts w:ascii="Century Gothic" w:hAnsi="Century Gothic"/>
          <w:i/>
          <w:iCs/>
          <w:color w:val="000000" w:themeColor="text1"/>
          <w:spacing w:val="-6"/>
          <w:sz w:val="20"/>
          <w:szCs w:val="20"/>
          <w:lang w:val="en-PH"/>
        </w:rPr>
        <w:t xml:space="preserve">. </w:t>
      </w:r>
      <w:r w:rsidRPr="005C59E9">
        <w:rPr>
          <w:rFonts w:ascii="Century Gothic" w:hAnsi="Century Gothic"/>
          <w:color w:val="000000" w:themeColor="text1"/>
          <w:spacing w:val="-6"/>
          <w:sz w:val="20"/>
          <w:szCs w:val="20"/>
          <w:lang w:val="en-PH"/>
        </w:rPr>
        <w:t>The researcher undertakes the study within areas of appropriate methodological and ethical competence. When unfamiliar approaches or contexts arise, guidance is sought from the research advisory committee and the institutional ethics committee. Integrity is demonstrated through honest data handling, accurate reporting, avoidance of fabrication or misrepresentation, and acknowledgment of limitations (Cacciattolo, 2015; APA, 2023).</w:t>
      </w:r>
    </w:p>
    <w:p w14:paraId="2BA956A8" w14:textId="77777777" w:rsidR="005C59E9" w:rsidRPr="005C59E9" w:rsidRDefault="005C59E9" w:rsidP="005C59E9">
      <w:pPr>
        <w:pStyle w:val="BodyText"/>
        <w:ind w:right="97" w:firstLine="720"/>
        <w:jc w:val="both"/>
        <w:rPr>
          <w:rFonts w:ascii="Century Gothic" w:hAnsi="Century Gothic"/>
          <w:i/>
          <w:iCs/>
          <w:color w:val="000000" w:themeColor="text1"/>
          <w:sz w:val="20"/>
          <w:szCs w:val="20"/>
          <w:lang w:val="en-PH"/>
        </w:rPr>
      </w:pPr>
      <w:r w:rsidRPr="005C59E9">
        <w:rPr>
          <w:rFonts w:ascii="Century Gothic" w:hAnsi="Century Gothic"/>
          <w:b/>
          <w:bCs/>
          <w:i/>
          <w:iCs/>
          <w:color w:val="000000" w:themeColor="text1"/>
          <w:sz w:val="20"/>
          <w:szCs w:val="20"/>
          <w:lang w:val="en-PH"/>
        </w:rPr>
        <w:t>Community Respect and Engagement</w:t>
      </w:r>
      <w:r w:rsidRPr="005C59E9">
        <w:rPr>
          <w:rFonts w:ascii="Century Gothic" w:hAnsi="Century Gothic"/>
          <w:i/>
          <w:iCs/>
          <w:color w:val="000000" w:themeColor="text1"/>
          <w:sz w:val="20"/>
          <w:szCs w:val="20"/>
          <w:lang w:val="en-PH"/>
        </w:rPr>
        <w:t xml:space="preserve">. </w:t>
      </w:r>
      <w:r w:rsidRPr="005C59E9">
        <w:rPr>
          <w:rFonts w:ascii="Century Gothic" w:hAnsi="Century Gothic"/>
          <w:color w:val="000000" w:themeColor="text1"/>
          <w:sz w:val="20"/>
          <w:szCs w:val="20"/>
          <w:lang w:val="en-PH"/>
        </w:rPr>
        <w:t>The researcher respects the cultural values, norms, and contexts of participating communities. Where applicable, community consultation or gatekeeper permission is sought prior to data collection. Findings are communicated responsibly to avoid misinterpretation, stigmatization, or misuse. Ethical responsibility extends beyond individual participants to the broader communities affected by the research (Cacciattolo, 2015; BERA, 2024).</w:t>
      </w:r>
    </w:p>
    <w:p w14:paraId="4D2C52B7" w14:textId="77777777" w:rsidR="0071612E" w:rsidRPr="007C2586" w:rsidRDefault="0071612E" w:rsidP="0071612E">
      <w:pPr>
        <w:ind w:firstLine="720"/>
        <w:jc w:val="both"/>
        <w:rPr>
          <w:rFonts w:ascii="Century Gothic" w:hAnsi="Century Gothic"/>
          <w:i/>
          <w:iCs/>
          <w:sz w:val="20"/>
          <w:szCs w:val="20"/>
        </w:rPr>
      </w:pPr>
    </w:p>
    <w:p w14:paraId="63597122" w14:textId="5D811CD9" w:rsidR="00226CD4" w:rsidRPr="007C2586" w:rsidRDefault="00226CD4" w:rsidP="00226CD4">
      <w:pPr>
        <w:pStyle w:val="Heading1"/>
        <w:spacing w:before="88"/>
        <w:ind w:left="0"/>
        <w:jc w:val="left"/>
        <w:rPr>
          <w:rFonts w:ascii="Century Gothic" w:hAnsi="Century Gothic"/>
          <w:sz w:val="20"/>
          <w:szCs w:val="20"/>
        </w:rPr>
      </w:pPr>
      <w:r w:rsidRPr="007C2586">
        <w:rPr>
          <w:rFonts w:ascii="Century Gothic" w:hAnsi="Century Gothic"/>
          <w:sz w:val="20"/>
          <w:szCs w:val="20"/>
        </w:rPr>
        <w:t>RESULT AND DISCUSSION</w:t>
      </w:r>
    </w:p>
    <w:p w14:paraId="176F9049" w14:textId="53A69B0D" w:rsidR="00D224E0" w:rsidRDefault="005C59E9" w:rsidP="0019138D">
      <w:pPr>
        <w:ind w:firstLine="720"/>
        <w:contextualSpacing/>
        <w:rPr>
          <w:rFonts w:ascii="Century Gothic" w:hAnsi="Century Gothic"/>
          <w:sz w:val="20"/>
          <w:szCs w:val="20"/>
        </w:rPr>
      </w:pPr>
      <w:bookmarkStart w:id="0" w:name="_Hlk219203909"/>
      <w:r w:rsidRPr="005C59E9">
        <w:rPr>
          <w:rFonts w:ascii="Century Gothic" w:hAnsi="Century Gothic"/>
          <w:sz w:val="20"/>
          <w:szCs w:val="20"/>
        </w:rPr>
        <w:t xml:space="preserve">This chapter presents the findings of the study based on the dengue surveillance records obtained from the Municipal Health Office (MHO) of Arakan, Cotabato. The data were analyzed using descriptive statistical methods, specifically frequency counts, percentage distribution, trend analysis, peak outbreak analysis, and comparative analysis. These methods were employed to describe the annual and monthly distribution of dengue cases in Barangay Greenfield and Doroluman from 2021 to 2025, identify seasonal trends and peak outbreak periods, and compare dengue incidence between the two barangays. </w:t>
      </w:r>
    </w:p>
    <w:p w14:paraId="399712F2" w14:textId="77777777" w:rsidR="005C59E9" w:rsidRPr="007C2586" w:rsidRDefault="005C59E9" w:rsidP="0019138D">
      <w:pPr>
        <w:ind w:firstLine="720"/>
        <w:contextualSpacing/>
        <w:rPr>
          <w:rFonts w:ascii="Century Gothic" w:hAnsi="Century Gothic"/>
          <w:sz w:val="20"/>
          <w:szCs w:val="20"/>
        </w:rPr>
      </w:pPr>
    </w:p>
    <w:bookmarkEnd w:id="0"/>
    <w:p w14:paraId="6B4AD392" w14:textId="77777777" w:rsidR="005C59E9" w:rsidRPr="005C59E9" w:rsidRDefault="005C59E9" w:rsidP="005C59E9">
      <w:pPr>
        <w:pStyle w:val="Heading1"/>
        <w:ind w:left="0"/>
        <w:jc w:val="both"/>
        <w:rPr>
          <w:rFonts w:ascii="Century Gothic" w:hAnsi="Century Gothic" w:cs="Century Gothic"/>
          <w:sz w:val="20"/>
          <w:szCs w:val="20"/>
        </w:rPr>
      </w:pPr>
      <w:r w:rsidRPr="005C59E9">
        <w:rPr>
          <w:rFonts w:ascii="Century Gothic" w:hAnsi="Century Gothic" w:cs="Century Gothic"/>
          <w:sz w:val="20"/>
          <w:szCs w:val="20"/>
        </w:rPr>
        <w:t>Research Objective 1</w:t>
      </w:r>
    </w:p>
    <w:p w14:paraId="30A387DE" w14:textId="77777777" w:rsidR="005C59E9" w:rsidRPr="005C59E9" w:rsidRDefault="005C59E9" w:rsidP="005C59E9">
      <w:pPr>
        <w:pStyle w:val="NormalWeb"/>
        <w:spacing w:before="0" w:beforeAutospacing="0"/>
        <w:ind w:firstLine="720"/>
        <w:jc w:val="both"/>
        <w:rPr>
          <w:rFonts w:ascii="Century Gothic" w:hAnsi="Century Gothic" w:cs="Century Gothic"/>
          <w:b/>
          <w:bCs/>
          <w:sz w:val="20"/>
          <w:szCs w:val="20"/>
        </w:rPr>
      </w:pPr>
      <w:r w:rsidRPr="005C59E9">
        <w:rPr>
          <w:rStyle w:val="Strong"/>
          <w:rFonts w:ascii="Century Gothic" w:hAnsi="Century Gothic" w:cs="Century Gothic"/>
          <w:sz w:val="20"/>
          <w:szCs w:val="20"/>
        </w:rPr>
        <w:t>To determine the annual distribution of dengue cases in Barangay Greenfield and Barangay Doroluman from 2021 to 2025.</w:t>
      </w:r>
    </w:p>
    <w:p w14:paraId="0CA024FF" w14:textId="77777777" w:rsidR="005C59E9" w:rsidRPr="005C59E9" w:rsidRDefault="005C59E9" w:rsidP="005C59E9">
      <w:pPr>
        <w:pStyle w:val="Heading2"/>
        <w:spacing w:before="0"/>
        <w:jc w:val="both"/>
        <w:rPr>
          <w:rFonts w:ascii="Century Gothic" w:hAnsi="Century Gothic" w:cs="Century Gothic"/>
          <w:color w:val="000000" w:themeColor="text1"/>
          <w:sz w:val="20"/>
          <w:szCs w:val="20"/>
        </w:rPr>
      </w:pPr>
      <w:r w:rsidRPr="005C59E9">
        <w:rPr>
          <w:rFonts w:ascii="Century Gothic" w:hAnsi="Century Gothic" w:cs="Century Gothic"/>
          <w:b/>
          <w:bCs/>
          <w:color w:val="000000" w:themeColor="text1"/>
          <w:sz w:val="20"/>
          <w:szCs w:val="20"/>
        </w:rPr>
        <w:t>Table 1.</w:t>
      </w:r>
      <w:r w:rsidRPr="005C59E9">
        <w:rPr>
          <w:rFonts w:ascii="Century Gothic" w:hAnsi="Century Gothic" w:cs="Century Gothic"/>
          <w:color w:val="000000" w:themeColor="text1"/>
          <w:sz w:val="20"/>
          <w:szCs w:val="20"/>
        </w:rPr>
        <w:t xml:space="preserve"> </w:t>
      </w:r>
      <w:r w:rsidRPr="005C59E9">
        <w:rPr>
          <w:rStyle w:val="Strong"/>
          <w:rFonts w:ascii="Century Gothic" w:hAnsi="Century Gothic" w:cs="Century Gothic"/>
          <w:color w:val="000000" w:themeColor="text1"/>
          <w:sz w:val="20"/>
          <w:szCs w:val="20"/>
        </w:rPr>
        <w:t>Annual Distribution of Dengue Cases in Barangay Greenfield (2021–2025)</w:t>
      </w:r>
    </w:p>
    <w:tbl>
      <w:tblPr>
        <w:tblStyle w:val="TableGrid"/>
        <w:tblW w:w="0" w:type="auto"/>
        <w:tblLook w:val="04A0" w:firstRow="1" w:lastRow="0" w:firstColumn="1" w:lastColumn="0" w:noHBand="0" w:noVBand="1"/>
      </w:tblPr>
      <w:tblGrid>
        <w:gridCol w:w="2840"/>
        <w:gridCol w:w="2841"/>
        <w:gridCol w:w="2841"/>
      </w:tblGrid>
      <w:tr w:rsidR="005C59E9" w:rsidRPr="005C59E9" w14:paraId="7837DE7A" w14:textId="77777777" w:rsidTr="009D45D6">
        <w:tc>
          <w:tcPr>
            <w:tcW w:w="2840" w:type="dxa"/>
          </w:tcPr>
          <w:p w14:paraId="76B7F9D7" w14:textId="77777777" w:rsidR="005C59E9" w:rsidRPr="005C59E9" w:rsidRDefault="005C59E9" w:rsidP="005C59E9">
            <w:pPr>
              <w:pStyle w:val="NormalWeb"/>
              <w:spacing w:before="0" w:beforeAutospacing="0"/>
              <w:jc w:val="center"/>
              <w:rPr>
                <w:rFonts w:ascii="Century Gothic" w:hAnsi="Century Gothic" w:cs="Century Gothic"/>
                <w:b/>
                <w:bCs/>
                <w:sz w:val="20"/>
                <w:szCs w:val="20"/>
              </w:rPr>
            </w:pPr>
            <w:r w:rsidRPr="005C59E9">
              <w:rPr>
                <w:rFonts w:ascii="Century Gothic" w:hAnsi="Century Gothic"/>
                <w:b/>
                <w:bCs/>
                <w:sz w:val="20"/>
                <w:szCs w:val="20"/>
              </w:rPr>
              <w:t>Year</w:t>
            </w:r>
          </w:p>
        </w:tc>
        <w:tc>
          <w:tcPr>
            <w:tcW w:w="2841" w:type="dxa"/>
          </w:tcPr>
          <w:p w14:paraId="0AF89795" w14:textId="77777777" w:rsidR="005C59E9" w:rsidRPr="005C59E9" w:rsidRDefault="005C59E9" w:rsidP="005C59E9">
            <w:pPr>
              <w:pStyle w:val="NormalWeb"/>
              <w:spacing w:before="0" w:beforeAutospacing="0"/>
              <w:jc w:val="center"/>
              <w:rPr>
                <w:rFonts w:ascii="Century Gothic" w:hAnsi="Century Gothic" w:cs="Century Gothic"/>
                <w:b/>
                <w:bCs/>
                <w:sz w:val="20"/>
                <w:szCs w:val="20"/>
              </w:rPr>
            </w:pPr>
            <w:r w:rsidRPr="005C59E9">
              <w:rPr>
                <w:rFonts w:ascii="Century Gothic" w:hAnsi="Century Gothic"/>
                <w:b/>
                <w:bCs/>
                <w:sz w:val="20"/>
                <w:szCs w:val="20"/>
              </w:rPr>
              <w:t>Cases</w:t>
            </w:r>
          </w:p>
        </w:tc>
        <w:tc>
          <w:tcPr>
            <w:tcW w:w="2841" w:type="dxa"/>
          </w:tcPr>
          <w:p w14:paraId="7DDBE6F2" w14:textId="77777777" w:rsidR="005C59E9" w:rsidRPr="005C59E9" w:rsidRDefault="005C59E9" w:rsidP="005C59E9">
            <w:pPr>
              <w:pStyle w:val="NormalWeb"/>
              <w:spacing w:before="0" w:beforeAutospacing="0"/>
              <w:jc w:val="center"/>
              <w:rPr>
                <w:rFonts w:ascii="Century Gothic" w:hAnsi="Century Gothic" w:cs="Century Gothic"/>
                <w:b/>
                <w:bCs/>
                <w:sz w:val="20"/>
                <w:szCs w:val="20"/>
              </w:rPr>
            </w:pPr>
            <w:r w:rsidRPr="005C59E9">
              <w:rPr>
                <w:rFonts w:ascii="Century Gothic" w:hAnsi="Century Gothic"/>
                <w:b/>
                <w:bCs/>
                <w:sz w:val="20"/>
                <w:szCs w:val="20"/>
              </w:rPr>
              <w:t>Percentage (%)</w:t>
            </w:r>
          </w:p>
        </w:tc>
      </w:tr>
      <w:tr w:rsidR="005C59E9" w:rsidRPr="005C59E9" w14:paraId="122224F8" w14:textId="77777777" w:rsidTr="009D45D6">
        <w:tc>
          <w:tcPr>
            <w:tcW w:w="2840" w:type="dxa"/>
          </w:tcPr>
          <w:p w14:paraId="125EE53C"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2021</w:t>
            </w:r>
          </w:p>
        </w:tc>
        <w:tc>
          <w:tcPr>
            <w:tcW w:w="2841" w:type="dxa"/>
          </w:tcPr>
          <w:p w14:paraId="5D8CEC76" w14:textId="77777777" w:rsidR="005C59E9" w:rsidRPr="005C59E9" w:rsidRDefault="005C59E9" w:rsidP="005C59E9">
            <w:pPr>
              <w:jc w:val="center"/>
              <w:rPr>
                <w:rFonts w:ascii="Century Gothic" w:hAnsi="Century Gothic" w:cs="Century Gothic"/>
                <w:sz w:val="20"/>
                <w:szCs w:val="20"/>
              </w:rPr>
            </w:pPr>
            <w:r w:rsidRPr="005C59E9">
              <w:rPr>
                <w:rFonts w:ascii="Century Gothic" w:hAnsi="Century Gothic"/>
                <w:sz w:val="20"/>
                <w:szCs w:val="20"/>
                <w:lang w:val="zh-CN"/>
              </w:rPr>
              <w:t>3</w:t>
            </w:r>
          </w:p>
        </w:tc>
        <w:tc>
          <w:tcPr>
            <w:tcW w:w="2841" w:type="dxa"/>
          </w:tcPr>
          <w:p w14:paraId="02585784"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2.46</w:t>
            </w:r>
          </w:p>
        </w:tc>
      </w:tr>
      <w:tr w:rsidR="005C59E9" w:rsidRPr="005C59E9" w14:paraId="3E431286" w14:textId="77777777" w:rsidTr="009D45D6">
        <w:tc>
          <w:tcPr>
            <w:tcW w:w="2840" w:type="dxa"/>
          </w:tcPr>
          <w:p w14:paraId="42F0F28C"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2022</w:t>
            </w:r>
          </w:p>
        </w:tc>
        <w:tc>
          <w:tcPr>
            <w:tcW w:w="2841" w:type="dxa"/>
          </w:tcPr>
          <w:p w14:paraId="3095B509" w14:textId="77777777" w:rsidR="005C59E9" w:rsidRPr="005C59E9" w:rsidRDefault="005C59E9" w:rsidP="005C59E9">
            <w:pPr>
              <w:jc w:val="center"/>
              <w:rPr>
                <w:rFonts w:ascii="Century Gothic" w:hAnsi="Century Gothic" w:cs="Century Gothic"/>
                <w:sz w:val="20"/>
                <w:szCs w:val="20"/>
              </w:rPr>
            </w:pPr>
            <w:r w:rsidRPr="005C59E9">
              <w:rPr>
                <w:rFonts w:ascii="Century Gothic" w:hAnsi="Century Gothic"/>
                <w:sz w:val="20"/>
                <w:szCs w:val="20"/>
                <w:lang w:val="zh-CN"/>
              </w:rPr>
              <w:t>11</w:t>
            </w:r>
          </w:p>
        </w:tc>
        <w:tc>
          <w:tcPr>
            <w:tcW w:w="2841" w:type="dxa"/>
          </w:tcPr>
          <w:p w14:paraId="7A4EDB61"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9.02</w:t>
            </w:r>
          </w:p>
        </w:tc>
      </w:tr>
      <w:tr w:rsidR="005C59E9" w:rsidRPr="005C59E9" w14:paraId="46EE43CD" w14:textId="77777777" w:rsidTr="009D45D6">
        <w:tc>
          <w:tcPr>
            <w:tcW w:w="2840" w:type="dxa"/>
          </w:tcPr>
          <w:p w14:paraId="2E2A62F1"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2023</w:t>
            </w:r>
          </w:p>
        </w:tc>
        <w:tc>
          <w:tcPr>
            <w:tcW w:w="2841" w:type="dxa"/>
          </w:tcPr>
          <w:p w14:paraId="2B227D3C" w14:textId="77777777" w:rsidR="005C59E9" w:rsidRPr="005C59E9" w:rsidRDefault="005C59E9" w:rsidP="005C59E9">
            <w:pPr>
              <w:jc w:val="center"/>
              <w:rPr>
                <w:rFonts w:ascii="Century Gothic" w:hAnsi="Century Gothic" w:cs="Century Gothic"/>
                <w:sz w:val="20"/>
                <w:szCs w:val="20"/>
              </w:rPr>
            </w:pPr>
            <w:r w:rsidRPr="005C59E9">
              <w:rPr>
                <w:rFonts w:ascii="Century Gothic" w:hAnsi="Century Gothic"/>
                <w:sz w:val="20"/>
                <w:szCs w:val="20"/>
                <w:lang w:val="zh-CN"/>
              </w:rPr>
              <w:t>19</w:t>
            </w:r>
          </w:p>
        </w:tc>
        <w:tc>
          <w:tcPr>
            <w:tcW w:w="2841" w:type="dxa"/>
          </w:tcPr>
          <w:p w14:paraId="652B3DC9"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16.39</w:t>
            </w:r>
          </w:p>
        </w:tc>
      </w:tr>
      <w:tr w:rsidR="005C59E9" w:rsidRPr="005C59E9" w14:paraId="5C7A9176" w14:textId="77777777" w:rsidTr="009D45D6">
        <w:tc>
          <w:tcPr>
            <w:tcW w:w="2840" w:type="dxa"/>
          </w:tcPr>
          <w:p w14:paraId="3DABEC02"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2024</w:t>
            </w:r>
          </w:p>
        </w:tc>
        <w:tc>
          <w:tcPr>
            <w:tcW w:w="2841" w:type="dxa"/>
          </w:tcPr>
          <w:p w14:paraId="0789EF15" w14:textId="77777777" w:rsidR="005C59E9" w:rsidRPr="005C59E9" w:rsidRDefault="005C59E9" w:rsidP="005C59E9">
            <w:pPr>
              <w:jc w:val="center"/>
              <w:rPr>
                <w:rFonts w:ascii="Century Gothic" w:hAnsi="Century Gothic" w:cs="Century Gothic"/>
                <w:sz w:val="20"/>
                <w:szCs w:val="20"/>
              </w:rPr>
            </w:pPr>
            <w:r w:rsidRPr="005C59E9">
              <w:rPr>
                <w:rFonts w:ascii="Century Gothic" w:hAnsi="Century Gothic"/>
                <w:sz w:val="20"/>
                <w:szCs w:val="20"/>
              </w:rPr>
              <w:t>8</w:t>
            </w:r>
            <w:r w:rsidRPr="005C59E9">
              <w:rPr>
                <w:rFonts w:ascii="Century Gothic" w:hAnsi="Century Gothic"/>
                <w:sz w:val="20"/>
                <w:szCs w:val="20"/>
                <w:lang w:val="zh-CN"/>
              </w:rPr>
              <w:t>0</w:t>
            </w:r>
          </w:p>
        </w:tc>
        <w:tc>
          <w:tcPr>
            <w:tcW w:w="2841" w:type="dxa"/>
          </w:tcPr>
          <w:p w14:paraId="51A5B0C0"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65.57</w:t>
            </w:r>
          </w:p>
        </w:tc>
      </w:tr>
      <w:tr w:rsidR="005C59E9" w:rsidRPr="005C59E9" w14:paraId="7C3E5232" w14:textId="77777777" w:rsidTr="009D45D6">
        <w:tc>
          <w:tcPr>
            <w:tcW w:w="2840" w:type="dxa"/>
          </w:tcPr>
          <w:p w14:paraId="652B424B"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2025</w:t>
            </w:r>
          </w:p>
        </w:tc>
        <w:tc>
          <w:tcPr>
            <w:tcW w:w="2841" w:type="dxa"/>
          </w:tcPr>
          <w:p w14:paraId="479B1CB3" w14:textId="77777777" w:rsidR="005C59E9" w:rsidRPr="005C59E9" w:rsidRDefault="005C59E9" w:rsidP="005C59E9">
            <w:pPr>
              <w:jc w:val="center"/>
              <w:rPr>
                <w:rFonts w:ascii="Century Gothic" w:hAnsi="Century Gothic" w:cs="Century Gothic"/>
                <w:sz w:val="20"/>
                <w:szCs w:val="20"/>
              </w:rPr>
            </w:pPr>
            <w:r w:rsidRPr="005C59E9">
              <w:rPr>
                <w:rFonts w:ascii="Century Gothic" w:hAnsi="Century Gothic"/>
                <w:sz w:val="20"/>
                <w:szCs w:val="20"/>
                <w:lang w:val="zh-CN"/>
              </w:rPr>
              <w:t>14</w:t>
            </w:r>
          </w:p>
        </w:tc>
        <w:tc>
          <w:tcPr>
            <w:tcW w:w="2841" w:type="dxa"/>
          </w:tcPr>
          <w:p w14:paraId="24A8D69F"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6.56</w:t>
            </w:r>
          </w:p>
        </w:tc>
      </w:tr>
      <w:tr w:rsidR="005C59E9" w:rsidRPr="005C59E9" w14:paraId="0421351A" w14:textId="77777777" w:rsidTr="009D45D6">
        <w:tc>
          <w:tcPr>
            <w:tcW w:w="2840" w:type="dxa"/>
          </w:tcPr>
          <w:p w14:paraId="7DE45075" w14:textId="77777777" w:rsidR="005C59E9" w:rsidRPr="005C59E9" w:rsidRDefault="005C59E9" w:rsidP="005C59E9">
            <w:pPr>
              <w:pStyle w:val="NormalWeb"/>
              <w:spacing w:before="0" w:beforeAutospacing="0"/>
              <w:jc w:val="center"/>
              <w:rPr>
                <w:rFonts w:ascii="Century Gothic" w:hAnsi="Century Gothic" w:cs="Century Gothic"/>
                <w:b/>
                <w:bCs/>
                <w:sz w:val="20"/>
                <w:szCs w:val="20"/>
              </w:rPr>
            </w:pPr>
            <w:r w:rsidRPr="005C59E9">
              <w:rPr>
                <w:rFonts w:ascii="Century Gothic" w:hAnsi="Century Gothic"/>
                <w:b/>
                <w:bCs/>
                <w:sz w:val="20"/>
                <w:szCs w:val="20"/>
              </w:rPr>
              <w:t>Total</w:t>
            </w:r>
          </w:p>
        </w:tc>
        <w:tc>
          <w:tcPr>
            <w:tcW w:w="2841" w:type="dxa"/>
          </w:tcPr>
          <w:p w14:paraId="3AEF81EE" w14:textId="77777777" w:rsidR="005C59E9" w:rsidRPr="005C59E9" w:rsidRDefault="005C59E9" w:rsidP="005C59E9">
            <w:pPr>
              <w:pStyle w:val="NormalWeb"/>
              <w:spacing w:before="0" w:beforeAutospacing="0"/>
              <w:jc w:val="center"/>
              <w:rPr>
                <w:rFonts w:ascii="Century Gothic" w:hAnsi="Century Gothic" w:cs="Century Gothic"/>
                <w:b/>
                <w:bCs/>
                <w:sz w:val="20"/>
                <w:szCs w:val="20"/>
              </w:rPr>
            </w:pPr>
            <w:r w:rsidRPr="005C59E9">
              <w:rPr>
                <w:rFonts w:ascii="Century Gothic" w:hAnsi="Century Gothic"/>
                <w:b/>
                <w:bCs/>
                <w:sz w:val="20"/>
                <w:szCs w:val="20"/>
              </w:rPr>
              <w:t>127</w:t>
            </w:r>
          </w:p>
        </w:tc>
        <w:tc>
          <w:tcPr>
            <w:tcW w:w="2841" w:type="dxa"/>
          </w:tcPr>
          <w:p w14:paraId="115850D2" w14:textId="77777777" w:rsidR="005C59E9" w:rsidRPr="005C59E9" w:rsidRDefault="005C59E9" w:rsidP="005C59E9">
            <w:pPr>
              <w:pStyle w:val="NormalWeb"/>
              <w:spacing w:before="0" w:beforeAutospacing="0"/>
              <w:jc w:val="center"/>
              <w:rPr>
                <w:rFonts w:ascii="Century Gothic" w:hAnsi="Century Gothic" w:cs="Century Gothic"/>
                <w:b/>
                <w:bCs/>
                <w:sz w:val="20"/>
                <w:szCs w:val="20"/>
              </w:rPr>
            </w:pPr>
            <w:r w:rsidRPr="005C59E9">
              <w:rPr>
                <w:rFonts w:ascii="Century Gothic" w:hAnsi="Century Gothic"/>
                <w:b/>
                <w:bCs/>
                <w:sz w:val="20"/>
                <w:szCs w:val="20"/>
              </w:rPr>
              <w:t>100.00</w:t>
            </w:r>
          </w:p>
        </w:tc>
      </w:tr>
    </w:tbl>
    <w:p w14:paraId="08FECB63" w14:textId="77777777" w:rsidR="005C59E9" w:rsidRPr="005C59E9" w:rsidRDefault="005C59E9" w:rsidP="005C59E9">
      <w:pPr>
        <w:pStyle w:val="NormalWeb"/>
        <w:spacing w:before="0" w:beforeAutospacing="0" w:after="0" w:afterAutospacing="0"/>
        <w:ind w:firstLine="720"/>
        <w:jc w:val="both"/>
        <w:rPr>
          <w:rFonts w:ascii="Century Gothic" w:hAnsi="Century Gothic" w:cs="Century Gothic"/>
          <w:sz w:val="20"/>
          <w:szCs w:val="20"/>
          <w:lang w:val="zh-CN"/>
        </w:rPr>
      </w:pPr>
      <w:r w:rsidRPr="005C59E9">
        <w:rPr>
          <w:rFonts w:ascii="Century Gothic" w:hAnsi="Century Gothic" w:cs="Century Gothic"/>
          <w:sz w:val="20"/>
          <w:szCs w:val="20"/>
          <w:lang w:val="zh-CN"/>
        </w:rPr>
        <w:t>The data show that dengue cases in Barangay Greenfield generally increased from 3 cases (2.46%) in 2021 to a peak of 80 cases (65.57%) in 2024 before declining to 14 cases (6.56%) in 2025. This pattern indicates that dengue transmission intensified over the first four years of the study, with 2024 accounting for nearly two-thirds of all reported cases, suggesting the occurrence of a major outbreak during that year. The reduction in cases in 2025 may reflect the effects of strengthened vector control interventions, improved disease surveillance, or changes in environmental conditions that limited mosquito breeding.</w:t>
      </w:r>
    </w:p>
    <w:p w14:paraId="31CD5D7F" w14:textId="77777777" w:rsidR="005C59E9" w:rsidRPr="005C59E9" w:rsidRDefault="005C59E9" w:rsidP="005C59E9">
      <w:pPr>
        <w:pStyle w:val="NormalWeb"/>
        <w:spacing w:before="0" w:beforeAutospacing="0" w:after="0" w:afterAutospacing="0"/>
        <w:ind w:firstLine="720"/>
        <w:jc w:val="both"/>
        <w:rPr>
          <w:rFonts w:ascii="Century Gothic" w:hAnsi="Century Gothic" w:cs="Century Gothic"/>
          <w:sz w:val="20"/>
          <w:szCs w:val="20"/>
          <w:lang w:val="zh-CN"/>
        </w:rPr>
      </w:pPr>
      <w:r w:rsidRPr="005C59E9">
        <w:rPr>
          <w:rFonts w:ascii="Century Gothic" w:hAnsi="Century Gothic" w:cs="Century Gothic"/>
          <w:sz w:val="20"/>
          <w:szCs w:val="20"/>
          <w:lang w:val="zh-CN"/>
        </w:rPr>
        <w:t xml:space="preserve">The sharp increase in dengue cases in 2024 highlights the need for continuous and proactive vector control programs rather than relying on seasonal response measures alone. Local government units and health authorities should intensify community-based source reduction, health education campaigns, and regular surveillance, particularly before and during the rainy season when mosquito breeding is expected to increase. Sustaining these interventions </w:t>
      </w:r>
      <w:r w:rsidRPr="005C59E9">
        <w:rPr>
          <w:rFonts w:ascii="Century Gothic" w:hAnsi="Century Gothic" w:cs="Century Gothic"/>
          <w:sz w:val="20"/>
          <w:szCs w:val="20"/>
          <w:lang w:val="zh-CN"/>
        </w:rPr>
        <w:lastRenderedPageBreak/>
        <w:t>may help prevent future outbreaks and reduce the public health burden of dengue within the community.</w:t>
      </w:r>
    </w:p>
    <w:p w14:paraId="2E88A462" w14:textId="0C68358A" w:rsidR="005C59E9" w:rsidRDefault="005C59E9" w:rsidP="005C59E9">
      <w:pPr>
        <w:pStyle w:val="NormalWeb"/>
        <w:spacing w:before="0" w:beforeAutospacing="0" w:after="0" w:afterAutospacing="0"/>
        <w:ind w:firstLine="720"/>
        <w:jc w:val="both"/>
        <w:rPr>
          <w:rFonts w:ascii="Century Gothic" w:hAnsi="Century Gothic" w:cs="Century Gothic"/>
          <w:sz w:val="20"/>
          <w:szCs w:val="20"/>
          <w:lang w:val="zh-CN"/>
        </w:rPr>
      </w:pPr>
      <w:r w:rsidRPr="005C59E9">
        <w:rPr>
          <w:rFonts w:ascii="Century Gothic" w:hAnsi="Century Gothic" w:cs="Century Gothic"/>
          <w:sz w:val="20"/>
          <w:szCs w:val="20"/>
          <w:lang w:val="zh-CN"/>
        </w:rPr>
        <w:t>The findings are consistent with recent evidence indicating that dengue incidence commonly fluctuates due to climatic conditions, mosquito population dynamics, and the effectiveness of public health interventions. According to Nguyen et al. (2023), increased rainfall, temperature, and humidity create favorable conditions for Aedes aegypti breeding, leading to higher dengue transmission, while effective vector control programs contribute to declining case numbers. Similarly, the trend observed in Barangay Greenfield demonstrates that environmental factors combined with sustained public health measures likely influenced the annual distribution of dengue cases.</w:t>
      </w:r>
    </w:p>
    <w:p w14:paraId="14DAB1F9" w14:textId="77777777" w:rsidR="005C59E9" w:rsidRPr="005C59E9" w:rsidRDefault="005C59E9" w:rsidP="005C59E9">
      <w:pPr>
        <w:pStyle w:val="NormalWeb"/>
        <w:spacing w:before="0" w:beforeAutospacing="0" w:after="0" w:afterAutospacing="0"/>
        <w:ind w:firstLine="720"/>
        <w:jc w:val="both"/>
        <w:rPr>
          <w:rFonts w:ascii="Century Gothic" w:eastAsia="SimSun" w:hAnsi="Century Gothic" w:cs="Century Gothic"/>
          <w:sz w:val="20"/>
          <w:szCs w:val="20"/>
          <w:lang w:val="zh-CN" w:eastAsia="zh-CN"/>
        </w:rPr>
      </w:pPr>
    </w:p>
    <w:p w14:paraId="4B1715DF" w14:textId="77777777" w:rsidR="005C59E9" w:rsidRPr="005C59E9" w:rsidRDefault="005C59E9" w:rsidP="005C59E9">
      <w:pPr>
        <w:pStyle w:val="NormalWeb"/>
        <w:spacing w:before="0" w:beforeAutospacing="0" w:after="0" w:afterAutospacing="0"/>
        <w:jc w:val="both"/>
        <w:rPr>
          <w:rFonts w:ascii="Century Gothic" w:hAnsi="Century Gothic" w:cs="Century Gothic"/>
          <w:b/>
          <w:bCs/>
          <w:sz w:val="20"/>
          <w:szCs w:val="20"/>
          <w:lang w:val="zh-CN"/>
        </w:rPr>
      </w:pPr>
      <w:r w:rsidRPr="005C59E9">
        <w:rPr>
          <w:rFonts w:ascii="Century Gothic" w:hAnsi="Century Gothic" w:cs="Century Gothic"/>
          <w:b/>
          <w:bCs/>
          <w:sz w:val="20"/>
          <w:szCs w:val="20"/>
          <w:lang w:val="zh-CN"/>
        </w:rPr>
        <w:t>Annual Dengue Cases in Barangay Greenfield (2021–2025)</w:t>
      </w:r>
    </w:p>
    <w:p w14:paraId="4FAEF6C9" w14:textId="77777777" w:rsidR="005C59E9" w:rsidRPr="005C59E9" w:rsidRDefault="005C59E9" w:rsidP="005C59E9">
      <w:pPr>
        <w:pStyle w:val="NormalWeb"/>
        <w:spacing w:before="0" w:beforeAutospacing="0" w:after="0" w:afterAutospacing="0"/>
        <w:jc w:val="both"/>
        <w:rPr>
          <w:rFonts w:ascii="Century Gothic" w:hAnsi="Century Gothic" w:cs="Century Gothic"/>
          <w:i/>
          <w:iCs/>
          <w:sz w:val="20"/>
          <w:szCs w:val="20"/>
          <w:lang w:val="zh-CN"/>
        </w:rPr>
      </w:pPr>
      <w:r w:rsidRPr="005C59E9">
        <w:rPr>
          <w:rFonts w:ascii="Century Gothic" w:hAnsi="Century Gothic" w:cs="Century Gothic"/>
          <w:i/>
          <w:iCs/>
          <w:sz w:val="20"/>
          <w:szCs w:val="20"/>
          <w:lang w:val="zh-CN"/>
        </w:rPr>
        <w:tab/>
        <w:t>Annual trend based on Municipal Health Office records.</w:t>
      </w:r>
    </w:p>
    <w:p w14:paraId="063E50A5" w14:textId="77777777" w:rsidR="005C59E9" w:rsidRPr="005C59E9" w:rsidRDefault="005C59E9" w:rsidP="005C59E9">
      <w:pPr>
        <w:pStyle w:val="NormalWeb"/>
        <w:spacing w:before="0" w:beforeAutospacing="0"/>
        <w:jc w:val="both"/>
        <w:rPr>
          <w:rFonts w:ascii="Century Gothic" w:hAnsi="Century Gothic" w:cs="Century Gothic"/>
          <w:b/>
          <w:bCs/>
          <w:sz w:val="20"/>
          <w:szCs w:val="20"/>
          <w:lang w:val="zh-CN"/>
        </w:rPr>
      </w:pPr>
      <w:r w:rsidRPr="005C59E9">
        <w:rPr>
          <w:rFonts w:ascii="Century Gothic" w:hAnsi="Century Gothic" w:cs="Century Gothic"/>
          <w:b/>
          <w:bCs/>
          <w:noProof/>
          <w:sz w:val="20"/>
          <w:szCs w:val="20"/>
          <w:lang w:val="zh-CN"/>
        </w:rPr>
        <w:drawing>
          <wp:inline distT="0" distB="0" distL="0" distR="0" wp14:anchorId="10C9817F" wp14:editId="1D799A1D">
            <wp:extent cx="5274310" cy="3076575"/>
            <wp:effectExtent l="0" t="0" r="2540" b="9525"/>
            <wp:docPr id="20788326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0DF6E8" w14:textId="2DF3DBB1"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cs="Century Gothic"/>
          <w:b/>
          <w:bCs/>
          <w:sz w:val="20"/>
          <w:szCs w:val="20"/>
        </w:rPr>
        <w:t xml:space="preserve">Figure 3. </w:t>
      </w:r>
      <w:r w:rsidRPr="005C59E9">
        <w:rPr>
          <w:rFonts w:ascii="Century Gothic" w:hAnsi="Century Gothic" w:cs="Century Gothic"/>
          <w:sz w:val="20"/>
          <w:szCs w:val="20"/>
        </w:rPr>
        <w:t>Annual Trend of Dengue Cases in Barangay Greenfield</w:t>
      </w:r>
    </w:p>
    <w:p w14:paraId="6DC620D5" w14:textId="77777777" w:rsidR="005C59E9" w:rsidRPr="005C59E9" w:rsidRDefault="005C59E9" w:rsidP="005C59E9">
      <w:pPr>
        <w:pStyle w:val="Heading2"/>
        <w:spacing w:before="0"/>
        <w:jc w:val="both"/>
        <w:rPr>
          <w:rFonts w:ascii="Century Gothic" w:hAnsi="Century Gothic" w:cs="Century Gothic"/>
          <w:color w:val="000000" w:themeColor="text1"/>
          <w:sz w:val="20"/>
          <w:szCs w:val="20"/>
        </w:rPr>
      </w:pPr>
      <w:r w:rsidRPr="005C59E9">
        <w:rPr>
          <w:rFonts w:ascii="Century Gothic" w:hAnsi="Century Gothic" w:cs="Century Gothic"/>
          <w:b/>
          <w:bCs/>
          <w:color w:val="000000" w:themeColor="text1"/>
          <w:sz w:val="20"/>
          <w:szCs w:val="20"/>
        </w:rPr>
        <w:t xml:space="preserve">Table 2. </w:t>
      </w:r>
      <w:r w:rsidRPr="005C59E9">
        <w:rPr>
          <w:rStyle w:val="Strong"/>
          <w:rFonts w:ascii="Century Gothic" w:hAnsi="Century Gothic" w:cs="Century Gothic"/>
          <w:color w:val="000000" w:themeColor="text1"/>
          <w:sz w:val="20"/>
          <w:szCs w:val="20"/>
        </w:rPr>
        <w:t>Annual Distribution of Dengue Cases in Barangay Doroluman (2021–2025)</w:t>
      </w:r>
    </w:p>
    <w:tbl>
      <w:tblPr>
        <w:tblStyle w:val="TableGrid"/>
        <w:tblW w:w="0" w:type="auto"/>
        <w:tblLook w:val="04A0" w:firstRow="1" w:lastRow="0" w:firstColumn="1" w:lastColumn="0" w:noHBand="0" w:noVBand="1"/>
      </w:tblPr>
      <w:tblGrid>
        <w:gridCol w:w="2840"/>
        <w:gridCol w:w="2841"/>
        <w:gridCol w:w="2841"/>
      </w:tblGrid>
      <w:tr w:rsidR="005C59E9" w:rsidRPr="005C59E9" w14:paraId="043691E9" w14:textId="77777777" w:rsidTr="009D45D6">
        <w:tc>
          <w:tcPr>
            <w:tcW w:w="2840" w:type="dxa"/>
          </w:tcPr>
          <w:p w14:paraId="64E683A3" w14:textId="77777777" w:rsidR="005C59E9" w:rsidRPr="005C59E9" w:rsidRDefault="005C59E9" w:rsidP="005C59E9">
            <w:pPr>
              <w:pStyle w:val="NormalWeb"/>
              <w:spacing w:before="0" w:beforeAutospacing="0"/>
              <w:jc w:val="center"/>
              <w:rPr>
                <w:rFonts w:ascii="Century Gothic" w:hAnsi="Century Gothic" w:cs="Century Gothic"/>
                <w:b/>
                <w:bCs/>
                <w:sz w:val="20"/>
                <w:szCs w:val="20"/>
              </w:rPr>
            </w:pPr>
            <w:r w:rsidRPr="005C59E9">
              <w:rPr>
                <w:rFonts w:ascii="Century Gothic" w:hAnsi="Century Gothic"/>
                <w:b/>
                <w:bCs/>
                <w:sz w:val="20"/>
                <w:szCs w:val="20"/>
              </w:rPr>
              <w:t>Year</w:t>
            </w:r>
          </w:p>
        </w:tc>
        <w:tc>
          <w:tcPr>
            <w:tcW w:w="2841" w:type="dxa"/>
          </w:tcPr>
          <w:p w14:paraId="7A54F295" w14:textId="77777777" w:rsidR="005C59E9" w:rsidRPr="005C59E9" w:rsidRDefault="005C59E9" w:rsidP="005C59E9">
            <w:pPr>
              <w:pStyle w:val="NormalWeb"/>
              <w:spacing w:before="0" w:beforeAutospacing="0"/>
              <w:jc w:val="center"/>
              <w:rPr>
                <w:rFonts w:ascii="Century Gothic" w:hAnsi="Century Gothic" w:cs="Century Gothic"/>
                <w:b/>
                <w:bCs/>
                <w:sz w:val="20"/>
                <w:szCs w:val="20"/>
              </w:rPr>
            </w:pPr>
            <w:r w:rsidRPr="005C59E9">
              <w:rPr>
                <w:rFonts w:ascii="Century Gothic" w:hAnsi="Century Gothic"/>
                <w:b/>
                <w:bCs/>
                <w:sz w:val="20"/>
                <w:szCs w:val="20"/>
              </w:rPr>
              <w:t>Cases</w:t>
            </w:r>
          </w:p>
        </w:tc>
        <w:tc>
          <w:tcPr>
            <w:tcW w:w="2841" w:type="dxa"/>
          </w:tcPr>
          <w:p w14:paraId="27EB2D53" w14:textId="77777777" w:rsidR="005C59E9" w:rsidRPr="005C59E9" w:rsidRDefault="005C59E9" w:rsidP="005C59E9">
            <w:pPr>
              <w:pStyle w:val="NormalWeb"/>
              <w:spacing w:before="0" w:beforeAutospacing="0"/>
              <w:jc w:val="center"/>
              <w:rPr>
                <w:rFonts w:ascii="Century Gothic" w:hAnsi="Century Gothic" w:cs="Century Gothic"/>
                <w:b/>
                <w:bCs/>
                <w:sz w:val="20"/>
                <w:szCs w:val="20"/>
              </w:rPr>
            </w:pPr>
            <w:r w:rsidRPr="005C59E9">
              <w:rPr>
                <w:rFonts w:ascii="Century Gothic" w:hAnsi="Century Gothic"/>
                <w:b/>
                <w:bCs/>
                <w:sz w:val="20"/>
                <w:szCs w:val="20"/>
              </w:rPr>
              <w:t>Percentage (%)</w:t>
            </w:r>
          </w:p>
        </w:tc>
      </w:tr>
      <w:tr w:rsidR="005C59E9" w:rsidRPr="005C59E9" w14:paraId="5403C1EF" w14:textId="77777777" w:rsidTr="009D45D6">
        <w:tc>
          <w:tcPr>
            <w:tcW w:w="2840" w:type="dxa"/>
            <w:vAlign w:val="center"/>
          </w:tcPr>
          <w:p w14:paraId="3C88596F"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2021</w:t>
            </w:r>
          </w:p>
        </w:tc>
        <w:tc>
          <w:tcPr>
            <w:tcW w:w="2841" w:type="dxa"/>
          </w:tcPr>
          <w:p w14:paraId="55DBBD3B" w14:textId="77777777" w:rsidR="005C59E9" w:rsidRPr="005C59E9" w:rsidRDefault="005C59E9" w:rsidP="005C59E9">
            <w:pPr>
              <w:jc w:val="center"/>
              <w:rPr>
                <w:rFonts w:ascii="Century Gothic" w:hAnsi="Century Gothic" w:cs="Century Gothic"/>
                <w:sz w:val="20"/>
                <w:szCs w:val="20"/>
              </w:rPr>
            </w:pPr>
            <w:r w:rsidRPr="005C59E9">
              <w:rPr>
                <w:rFonts w:ascii="Century Gothic" w:hAnsi="Century Gothic"/>
                <w:sz w:val="20"/>
                <w:szCs w:val="20"/>
                <w:lang w:val="zh-CN"/>
              </w:rPr>
              <w:t>2</w:t>
            </w:r>
          </w:p>
        </w:tc>
        <w:tc>
          <w:tcPr>
            <w:tcW w:w="2841" w:type="dxa"/>
            <w:vAlign w:val="center"/>
          </w:tcPr>
          <w:p w14:paraId="69F76C54"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2.99</w:t>
            </w:r>
          </w:p>
        </w:tc>
      </w:tr>
      <w:tr w:rsidR="005C59E9" w:rsidRPr="005C59E9" w14:paraId="677EEC42" w14:textId="77777777" w:rsidTr="009D45D6">
        <w:tc>
          <w:tcPr>
            <w:tcW w:w="2840" w:type="dxa"/>
            <w:vAlign w:val="center"/>
          </w:tcPr>
          <w:p w14:paraId="2F33CB7C"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2022</w:t>
            </w:r>
          </w:p>
        </w:tc>
        <w:tc>
          <w:tcPr>
            <w:tcW w:w="2841" w:type="dxa"/>
          </w:tcPr>
          <w:p w14:paraId="71122FD5" w14:textId="77777777" w:rsidR="005C59E9" w:rsidRPr="005C59E9" w:rsidRDefault="005C59E9" w:rsidP="005C59E9">
            <w:pPr>
              <w:jc w:val="center"/>
              <w:rPr>
                <w:rFonts w:ascii="Century Gothic" w:hAnsi="Century Gothic" w:cs="Century Gothic"/>
                <w:sz w:val="20"/>
                <w:szCs w:val="20"/>
              </w:rPr>
            </w:pPr>
            <w:r w:rsidRPr="005C59E9">
              <w:rPr>
                <w:rFonts w:ascii="Century Gothic" w:hAnsi="Century Gothic"/>
                <w:sz w:val="20"/>
                <w:szCs w:val="20"/>
                <w:lang w:val="zh-CN"/>
              </w:rPr>
              <w:t>8</w:t>
            </w:r>
          </w:p>
        </w:tc>
        <w:tc>
          <w:tcPr>
            <w:tcW w:w="2841" w:type="dxa"/>
            <w:vAlign w:val="center"/>
          </w:tcPr>
          <w:p w14:paraId="61C1EBC6"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11.94</w:t>
            </w:r>
          </w:p>
        </w:tc>
      </w:tr>
      <w:tr w:rsidR="005C59E9" w:rsidRPr="005C59E9" w14:paraId="36EC776E" w14:textId="77777777" w:rsidTr="009D45D6">
        <w:tc>
          <w:tcPr>
            <w:tcW w:w="2840" w:type="dxa"/>
            <w:vAlign w:val="center"/>
          </w:tcPr>
          <w:p w14:paraId="0B3A9E4F"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2023</w:t>
            </w:r>
          </w:p>
        </w:tc>
        <w:tc>
          <w:tcPr>
            <w:tcW w:w="2841" w:type="dxa"/>
          </w:tcPr>
          <w:p w14:paraId="62D7F99D" w14:textId="77777777" w:rsidR="005C59E9" w:rsidRPr="005C59E9" w:rsidRDefault="005C59E9" w:rsidP="005C59E9">
            <w:pPr>
              <w:jc w:val="center"/>
              <w:rPr>
                <w:rFonts w:ascii="Century Gothic" w:hAnsi="Century Gothic" w:cs="Century Gothic"/>
                <w:sz w:val="20"/>
                <w:szCs w:val="20"/>
              </w:rPr>
            </w:pPr>
            <w:r w:rsidRPr="005C59E9">
              <w:rPr>
                <w:rFonts w:ascii="Century Gothic" w:hAnsi="Century Gothic"/>
                <w:sz w:val="20"/>
                <w:szCs w:val="20"/>
                <w:lang w:val="zh-CN"/>
              </w:rPr>
              <w:t>7</w:t>
            </w:r>
          </w:p>
        </w:tc>
        <w:tc>
          <w:tcPr>
            <w:tcW w:w="2841" w:type="dxa"/>
            <w:vAlign w:val="center"/>
          </w:tcPr>
          <w:p w14:paraId="128FEFBA"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11.94</w:t>
            </w:r>
          </w:p>
        </w:tc>
      </w:tr>
      <w:tr w:rsidR="005C59E9" w:rsidRPr="005C59E9" w14:paraId="7DA5A019" w14:textId="77777777" w:rsidTr="009D45D6">
        <w:tc>
          <w:tcPr>
            <w:tcW w:w="2840" w:type="dxa"/>
            <w:vAlign w:val="center"/>
          </w:tcPr>
          <w:p w14:paraId="28AE8E08"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2024</w:t>
            </w:r>
          </w:p>
        </w:tc>
        <w:tc>
          <w:tcPr>
            <w:tcW w:w="2841" w:type="dxa"/>
          </w:tcPr>
          <w:p w14:paraId="4B8B7EEE" w14:textId="77777777" w:rsidR="005C59E9" w:rsidRPr="005C59E9" w:rsidRDefault="005C59E9" w:rsidP="005C59E9">
            <w:pPr>
              <w:jc w:val="center"/>
              <w:rPr>
                <w:rFonts w:ascii="Century Gothic" w:hAnsi="Century Gothic" w:cs="Century Gothic"/>
                <w:sz w:val="20"/>
                <w:szCs w:val="20"/>
              </w:rPr>
            </w:pPr>
            <w:r w:rsidRPr="005C59E9">
              <w:rPr>
                <w:rFonts w:ascii="Century Gothic" w:hAnsi="Century Gothic"/>
                <w:sz w:val="20"/>
                <w:szCs w:val="20"/>
                <w:lang w:val="zh-CN"/>
              </w:rPr>
              <w:t>35</w:t>
            </w:r>
          </w:p>
        </w:tc>
        <w:tc>
          <w:tcPr>
            <w:tcW w:w="2841" w:type="dxa"/>
            <w:vAlign w:val="center"/>
          </w:tcPr>
          <w:p w14:paraId="419148E0"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52.24</w:t>
            </w:r>
          </w:p>
        </w:tc>
      </w:tr>
      <w:tr w:rsidR="005C59E9" w:rsidRPr="005C59E9" w14:paraId="4DBA26D9" w14:textId="77777777" w:rsidTr="009D45D6">
        <w:tc>
          <w:tcPr>
            <w:tcW w:w="2840" w:type="dxa"/>
            <w:vAlign w:val="center"/>
          </w:tcPr>
          <w:p w14:paraId="55FBE068"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2025</w:t>
            </w:r>
          </w:p>
        </w:tc>
        <w:tc>
          <w:tcPr>
            <w:tcW w:w="2841" w:type="dxa"/>
          </w:tcPr>
          <w:p w14:paraId="3ADCE367" w14:textId="77777777" w:rsidR="005C59E9" w:rsidRPr="005C59E9" w:rsidRDefault="005C59E9" w:rsidP="005C59E9">
            <w:pPr>
              <w:jc w:val="center"/>
              <w:rPr>
                <w:rFonts w:ascii="Century Gothic" w:hAnsi="Century Gothic" w:cs="Century Gothic"/>
                <w:sz w:val="20"/>
                <w:szCs w:val="20"/>
              </w:rPr>
            </w:pPr>
            <w:r w:rsidRPr="005C59E9">
              <w:rPr>
                <w:rFonts w:ascii="Century Gothic" w:hAnsi="Century Gothic"/>
                <w:sz w:val="20"/>
                <w:szCs w:val="20"/>
                <w:lang w:val="zh-CN"/>
              </w:rPr>
              <w:t>12</w:t>
            </w:r>
          </w:p>
        </w:tc>
        <w:tc>
          <w:tcPr>
            <w:tcW w:w="2841" w:type="dxa"/>
            <w:vAlign w:val="center"/>
          </w:tcPr>
          <w:p w14:paraId="470CB64B"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20.90</w:t>
            </w:r>
          </w:p>
        </w:tc>
      </w:tr>
      <w:tr w:rsidR="005C59E9" w:rsidRPr="005C59E9" w14:paraId="5318876B" w14:textId="77777777" w:rsidTr="009D45D6">
        <w:tc>
          <w:tcPr>
            <w:tcW w:w="2840" w:type="dxa"/>
            <w:vAlign w:val="center"/>
          </w:tcPr>
          <w:p w14:paraId="7971373C" w14:textId="77777777" w:rsidR="005C59E9" w:rsidRPr="005C59E9" w:rsidRDefault="005C59E9" w:rsidP="005C59E9">
            <w:pPr>
              <w:pStyle w:val="NormalWeb"/>
              <w:spacing w:before="0" w:beforeAutospacing="0"/>
              <w:jc w:val="center"/>
              <w:rPr>
                <w:rFonts w:ascii="Century Gothic" w:hAnsi="Century Gothic" w:cs="Century Gothic"/>
                <w:b/>
                <w:bCs/>
                <w:sz w:val="20"/>
                <w:szCs w:val="20"/>
              </w:rPr>
            </w:pPr>
            <w:r w:rsidRPr="005C59E9">
              <w:rPr>
                <w:rStyle w:val="Strong"/>
                <w:rFonts w:ascii="Century Gothic" w:hAnsi="Century Gothic"/>
                <w:sz w:val="20"/>
                <w:szCs w:val="20"/>
              </w:rPr>
              <w:t>Total</w:t>
            </w:r>
          </w:p>
        </w:tc>
        <w:tc>
          <w:tcPr>
            <w:tcW w:w="2841" w:type="dxa"/>
            <w:vAlign w:val="center"/>
          </w:tcPr>
          <w:p w14:paraId="0760E1ED" w14:textId="77777777" w:rsidR="005C59E9" w:rsidRPr="005C59E9" w:rsidRDefault="005C59E9" w:rsidP="005C59E9">
            <w:pPr>
              <w:pStyle w:val="NormalWeb"/>
              <w:spacing w:before="0" w:beforeAutospacing="0"/>
              <w:jc w:val="center"/>
              <w:rPr>
                <w:rFonts w:ascii="Century Gothic" w:hAnsi="Century Gothic" w:cs="Century Gothic"/>
                <w:b/>
                <w:bCs/>
                <w:sz w:val="20"/>
                <w:szCs w:val="20"/>
              </w:rPr>
            </w:pPr>
            <w:r w:rsidRPr="005C59E9">
              <w:rPr>
                <w:rStyle w:val="Strong"/>
                <w:rFonts w:ascii="Century Gothic" w:hAnsi="Century Gothic"/>
                <w:sz w:val="20"/>
                <w:szCs w:val="20"/>
              </w:rPr>
              <w:t>64</w:t>
            </w:r>
          </w:p>
        </w:tc>
        <w:tc>
          <w:tcPr>
            <w:tcW w:w="2841" w:type="dxa"/>
            <w:vAlign w:val="center"/>
          </w:tcPr>
          <w:p w14:paraId="2AC7EE95" w14:textId="77777777" w:rsidR="005C59E9" w:rsidRPr="005C59E9" w:rsidRDefault="005C59E9" w:rsidP="005C59E9">
            <w:pPr>
              <w:pStyle w:val="NormalWeb"/>
              <w:spacing w:before="0" w:beforeAutospacing="0"/>
              <w:jc w:val="center"/>
              <w:rPr>
                <w:rFonts w:ascii="Century Gothic" w:hAnsi="Century Gothic" w:cs="Century Gothic"/>
                <w:b/>
                <w:bCs/>
                <w:sz w:val="20"/>
                <w:szCs w:val="20"/>
              </w:rPr>
            </w:pPr>
            <w:r w:rsidRPr="005C59E9">
              <w:rPr>
                <w:rStyle w:val="Strong"/>
                <w:rFonts w:ascii="Century Gothic" w:hAnsi="Century Gothic"/>
                <w:sz w:val="20"/>
                <w:szCs w:val="20"/>
              </w:rPr>
              <w:t>100.00</w:t>
            </w:r>
          </w:p>
        </w:tc>
      </w:tr>
    </w:tbl>
    <w:p w14:paraId="6F100409" w14:textId="77777777" w:rsidR="005C59E9" w:rsidRPr="005C59E9" w:rsidRDefault="005C59E9" w:rsidP="005C59E9">
      <w:pPr>
        <w:pStyle w:val="NormalWeb"/>
        <w:spacing w:before="0" w:beforeAutospacing="0" w:after="0" w:afterAutospacing="0"/>
        <w:jc w:val="both"/>
        <w:rPr>
          <w:rFonts w:ascii="Century Gothic" w:hAnsi="Century Gothic" w:cs="Century Gothic"/>
          <w:sz w:val="20"/>
          <w:szCs w:val="20"/>
        </w:rPr>
      </w:pPr>
      <w:r w:rsidRPr="005C59E9">
        <w:rPr>
          <w:rFonts w:ascii="Century Gothic" w:hAnsi="Century Gothic" w:cs="Century Gothic"/>
          <w:sz w:val="20"/>
          <w:szCs w:val="20"/>
        </w:rPr>
        <w:tab/>
        <w:t>The data show that dengue cases in Barangay Doroluman increased from 2 cases (2.99%) in 2021 to the highest number of 35 cases (52.24%) in 2024 before decreasing to 12 cases (20.90%) in 2025. More than half of the total dengue cases during the five-year period occurred in 2024, indicating that this year experienced the highest level of dengue transmission in the barangay. The decline in 2025 suggests that intensified dengue prevention measures, improved surveillance, and community participation may have contributed to reducing the number of reported cases.</w:t>
      </w:r>
    </w:p>
    <w:p w14:paraId="5477CA40" w14:textId="77777777" w:rsidR="005C59E9" w:rsidRPr="005C59E9" w:rsidRDefault="005C59E9" w:rsidP="005C59E9">
      <w:pPr>
        <w:pStyle w:val="NormalWeb"/>
        <w:spacing w:before="0" w:beforeAutospacing="0" w:after="0" w:afterAutospacing="0"/>
        <w:ind w:firstLine="720"/>
        <w:jc w:val="both"/>
        <w:rPr>
          <w:rFonts w:ascii="Century Gothic" w:hAnsi="Century Gothic" w:cs="Century Gothic"/>
          <w:sz w:val="20"/>
          <w:szCs w:val="20"/>
        </w:rPr>
      </w:pPr>
      <w:r w:rsidRPr="005C59E9">
        <w:rPr>
          <w:rFonts w:ascii="Century Gothic" w:hAnsi="Century Gothic" w:cs="Century Gothic"/>
          <w:sz w:val="20"/>
          <w:szCs w:val="20"/>
        </w:rPr>
        <w:t>The occurrence of a substantial increase in dengue cases in 2024 highlights the need for sustained vector control activities and regular environmental sanitation programs within the community. Local health authorities should strengthen public awareness campaigns, encourage household participation in eliminating mosquito breeding sites, and implement early surveillance to detect outbreaks promptly. Maintaining these interventions throughout the year can help prevent similar increases in dengue incidence in the future.</w:t>
      </w:r>
    </w:p>
    <w:p w14:paraId="1296D231" w14:textId="77D4DAD8" w:rsidR="005C59E9" w:rsidRDefault="005C59E9" w:rsidP="005C59E9">
      <w:pPr>
        <w:pStyle w:val="NormalWeb"/>
        <w:spacing w:before="0" w:beforeAutospacing="0" w:after="0" w:afterAutospacing="0"/>
        <w:ind w:firstLine="720"/>
        <w:jc w:val="both"/>
        <w:rPr>
          <w:rFonts w:ascii="Century Gothic" w:hAnsi="Century Gothic" w:cs="Century Gothic"/>
          <w:sz w:val="20"/>
          <w:szCs w:val="20"/>
        </w:rPr>
      </w:pPr>
      <w:r w:rsidRPr="005C59E9">
        <w:rPr>
          <w:rFonts w:ascii="Century Gothic" w:hAnsi="Century Gothic" w:cs="Century Gothic"/>
          <w:sz w:val="20"/>
          <w:szCs w:val="20"/>
        </w:rPr>
        <w:t xml:space="preserve">The findings are supported by the study of Lowe et al. (2021), who reported that dengue incidence is closely associated with climatic variability, particularly rainfall and temperature, which influence mosquito breeding and disease transmission. Their study further emphasized that timely public health interventions, including vector control and community engagement, play a </w:t>
      </w:r>
      <w:r w:rsidRPr="005C59E9">
        <w:rPr>
          <w:rFonts w:ascii="Century Gothic" w:hAnsi="Century Gothic" w:cs="Century Gothic"/>
          <w:sz w:val="20"/>
          <w:szCs w:val="20"/>
        </w:rPr>
        <w:lastRenderedPageBreak/>
        <w:t>significant role in reducing dengue outbreaks. The trend observed in Barangay Doroluman, characterized by a sharp increase in 2024 followed by a decline in 2025, is consistent with these findings.</w:t>
      </w:r>
    </w:p>
    <w:p w14:paraId="3BDC86B5" w14:textId="77777777" w:rsidR="005C59E9" w:rsidRPr="005C59E9" w:rsidRDefault="005C59E9" w:rsidP="005C59E9">
      <w:pPr>
        <w:pStyle w:val="NormalWeb"/>
        <w:spacing w:before="0" w:beforeAutospacing="0" w:after="0" w:afterAutospacing="0"/>
        <w:ind w:firstLine="720"/>
        <w:jc w:val="both"/>
        <w:rPr>
          <w:rFonts w:ascii="Century Gothic" w:hAnsi="Century Gothic" w:cs="Century Gothic"/>
          <w:sz w:val="20"/>
          <w:szCs w:val="20"/>
        </w:rPr>
      </w:pPr>
    </w:p>
    <w:p w14:paraId="3F0A6C94" w14:textId="77777777" w:rsidR="005C59E9" w:rsidRPr="005C59E9" w:rsidRDefault="005C59E9" w:rsidP="005C59E9">
      <w:pPr>
        <w:pStyle w:val="NormalWeb"/>
        <w:spacing w:before="0" w:beforeAutospacing="0" w:after="0" w:afterAutospacing="0"/>
        <w:jc w:val="both"/>
        <w:rPr>
          <w:rFonts w:ascii="Century Gothic" w:hAnsi="Century Gothic" w:cs="Century Gothic"/>
          <w:b/>
          <w:bCs/>
          <w:sz w:val="20"/>
          <w:szCs w:val="20"/>
          <w:lang w:val="zh-CN"/>
        </w:rPr>
      </w:pPr>
      <w:r w:rsidRPr="005C59E9">
        <w:rPr>
          <w:rFonts w:ascii="Century Gothic" w:hAnsi="Century Gothic" w:cs="Century Gothic"/>
          <w:b/>
          <w:bCs/>
          <w:sz w:val="20"/>
          <w:szCs w:val="20"/>
          <w:lang w:val="zh-CN"/>
        </w:rPr>
        <w:t>Annual Dengue Cases in Barangay Doroluman (2021–2025)</w:t>
      </w:r>
    </w:p>
    <w:p w14:paraId="0DF44E3F" w14:textId="77777777" w:rsidR="005C59E9" w:rsidRPr="005C59E9" w:rsidRDefault="005C59E9" w:rsidP="005C59E9">
      <w:pPr>
        <w:pStyle w:val="NormalWeb"/>
        <w:spacing w:before="0" w:beforeAutospacing="0" w:after="0" w:afterAutospacing="0"/>
        <w:jc w:val="both"/>
        <w:rPr>
          <w:rFonts w:ascii="Century Gothic" w:hAnsi="Century Gothic" w:cs="Century Gothic"/>
          <w:i/>
          <w:iCs/>
          <w:sz w:val="20"/>
          <w:szCs w:val="20"/>
          <w:lang w:val="zh-CN"/>
        </w:rPr>
      </w:pPr>
      <w:r w:rsidRPr="005C59E9">
        <w:rPr>
          <w:rFonts w:ascii="Century Gothic" w:hAnsi="Century Gothic" w:cs="Century Gothic"/>
          <w:b/>
          <w:bCs/>
          <w:sz w:val="20"/>
          <w:szCs w:val="20"/>
          <w:lang w:val="zh-CN"/>
        </w:rPr>
        <w:tab/>
      </w:r>
      <w:r w:rsidRPr="005C59E9">
        <w:rPr>
          <w:rFonts w:ascii="Century Gothic" w:hAnsi="Century Gothic" w:cs="Century Gothic"/>
          <w:i/>
          <w:iCs/>
          <w:sz w:val="20"/>
          <w:szCs w:val="20"/>
          <w:lang w:val="zh-CN"/>
        </w:rPr>
        <w:t>Annual trend based on Municipal Health Office records.</w:t>
      </w:r>
    </w:p>
    <w:p w14:paraId="706A909D" w14:textId="77777777" w:rsidR="005C59E9" w:rsidRPr="005C59E9" w:rsidRDefault="005C59E9" w:rsidP="005C59E9">
      <w:pPr>
        <w:pStyle w:val="NormalWeb"/>
        <w:spacing w:before="0" w:beforeAutospacing="0"/>
        <w:jc w:val="both"/>
        <w:rPr>
          <w:rFonts w:ascii="Century Gothic" w:hAnsi="Century Gothic" w:cs="Century Gothic"/>
          <w:i/>
          <w:iCs/>
          <w:sz w:val="20"/>
          <w:szCs w:val="20"/>
          <w:lang w:val="zh-CN"/>
        </w:rPr>
      </w:pPr>
      <w:r w:rsidRPr="005C59E9">
        <w:rPr>
          <w:rFonts w:ascii="Century Gothic" w:hAnsi="Century Gothic" w:cs="Century Gothic"/>
          <w:i/>
          <w:iCs/>
          <w:noProof/>
          <w:sz w:val="20"/>
          <w:szCs w:val="20"/>
          <w:lang w:val="zh-CN"/>
        </w:rPr>
        <w:drawing>
          <wp:inline distT="0" distB="0" distL="0" distR="0" wp14:anchorId="5D1A0E1E" wp14:editId="4B9C8EF5">
            <wp:extent cx="5274310" cy="2766695"/>
            <wp:effectExtent l="4445" t="4445" r="17145" b="10160"/>
            <wp:docPr id="108753143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3ACD0C" w14:textId="77777777" w:rsidR="005C59E9" w:rsidRPr="005C59E9" w:rsidRDefault="005C59E9" w:rsidP="005C59E9">
      <w:pPr>
        <w:pStyle w:val="NormalWeb"/>
        <w:spacing w:before="0" w:beforeAutospacing="0"/>
        <w:jc w:val="center"/>
        <w:rPr>
          <w:rFonts w:ascii="Century Gothic" w:hAnsi="Century Gothic" w:cs="Century Gothic"/>
          <w:sz w:val="20"/>
          <w:szCs w:val="20"/>
          <w:lang w:val="zh-CN"/>
        </w:rPr>
      </w:pPr>
      <w:r w:rsidRPr="005C59E9">
        <w:rPr>
          <w:rFonts w:ascii="Century Gothic" w:hAnsi="Century Gothic" w:cs="Century Gothic"/>
          <w:b/>
          <w:bCs/>
          <w:sz w:val="20"/>
          <w:szCs w:val="20"/>
        </w:rPr>
        <w:t>Figure 4.</w:t>
      </w:r>
      <w:r w:rsidRPr="005C59E9">
        <w:rPr>
          <w:rFonts w:ascii="Century Gothic" w:hAnsi="Century Gothic" w:cs="Century Gothic"/>
          <w:sz w:val="20"/>
          <w:szCs w:val="20"/>
        </w:rPr>
        <w:t xml:space="preserve"> Annual Trend of Dengue Cases in Barangay Doroluman</w:t>
      </w:r>
    </w:p>
    <w:p w14:paraId="6BF17884" w14:textId="77777777" w:rsidR="005C59E9" w:rsidRPr="005C59E9" w:rsidRDefault="005C59E9" w:rsidP="005C59E9">
      <w:pPr>
        <w:pStyle w:val="Heading1"/>
        <w:ind w:left="0"/>
        <w:jc w:val="both"/>
        <w:rPr>
          <w:rFonts w:ascii="Century Gothic" w:hAnsi="Century Gothic" w:cs="Century Gothic"/>
          <w:sz w:val="20"/>
          <w:szCs w:val="20"/>
        </w:rPr>
      </w:pPr>
      <w:r w:rsidRPr="005C59E9">
        <w:rPr>
          <w:rFonts w:ascii="Century Gothic" w:hAnsi="Century Gothic" w:cs="Century Gothic"/>
          <w:sz w:val="20"/>
          <w:szCs w:val="20"/>
        </w:rPr>
        <w:t>Research Objective 2</w:t>
      </w:r>
    </w:p>
    <w:p w14:paraId="29A95092" w14:textId="77777777" w:rsidR="005C59E9" w:rsidRPr="005C59E9" w:rsidRDefault="005C59E9" w:rsidP="005C59E9">
      <w:pPr>
        <w:pStyle w:val="NormalWeb"/>
        <w:spacing w:before="0" w:beforeAutospacing="0"/>
        <w:jc w:val="both"/>
        <w:rPr>
          <w:rFonts w:ascii="Century Gothic" w:hAnsi="Century Gothic" w:cs="Century Gothic"/>
          <w:b/>
          <w:bCs/>
          <w:sz w:val="20"/>
          <w:szCs w:val="20"/>
        </w:rPr>
      </w:pPr>
      <w:r w:rsidRPr="005C59E9">
        <w:rPr>
          <w:rStyle w:val="Strong"/>
          <w:rFonts w:ascii="Century Gothic" w:hAnsi="Century Gothic" w:cs="Century Gothic"/>
          <w:sz w:val="20"/>
          <w:szCs w:val="20"/>
        </w:rPr>
        <w:tab/>
        <w:t>To determine the monthly distribution and identify the peak outbreak months of dengue cases from 2021 to 2025.</w:t>
      </w:r>
    </w:p>
    <w:p w14:paraId="5F84CB2D" w14:textId="77777777" w:rsidR="005C59E9" w:rsidRPr="005C59E9" w:rsidRDefault="005C59E9" w:rsidP="005C59E9">
      <w:pPr>
        <w:pStyle w:val="NormalWeb"/>
        <w:spacing w:before="0" w:beforeAutospacing="0" w:after="0" w:afterAutospacing="0"/>
        <w:jc w:val="both"/>
        <w:rPr>
          <w:rFonts w:ascii="Century Gothic" w:hAnsi="Century Gothic" w:cs="Century Gothic"/>
          <w:b/>
          <w:bCs/>
          <w:sz w:val="20"/>
          <w:szCs w:val="20"/>
          <w:lang w:val="zh-CN"/>
        </w:rPr>
      </w:pPr>
      <w:r w:rsidRPr="005C59E9">
        <w:rPr>
          <w:rFonts w:ascii="Century Gothic" w:hAnsi="Century Gothic" w:cs="Century Gothic"/>
          <w:b/>
          <w:bCs/>
          <w:sz w:val="20"/>
          <w:szCs w:val="20"/>
          <w:lang w:val="zh-CN"/>
        </w:rPr>
        <w:t>Table 3. Monthly Distribution of Dengue Cases (2021–2025)</w:t>
      </w:r>
    </w:p>
    <w:p w14:paraId="04736AE6" w14:textId="77777777" w:rsidR="005C59E9" w:rsidRPr="005C59E9" w:rsidRDefault="005C59E9" w:rsidP="005C59E9">
      <w:pPr>
        <w:pStyle w:val="NormalWeb"/>
        <w:spacing w:before="0" w:beforeAutospacing="0" w:after="0" w:afterAutospacing="0"/>
        <w:jc w:val="both"/>
        <w:rPr>
          <w:rFonts w:ascii="Century Gothic" w:hAnsi="Century Gothic" w:cs="Century Gothic"/>
          <w:i/>
          <w:iCs/>
          <w:sz w:val="20"/>
          <w:szCs w:val="20"/>
          <w:lang w:val="zh-CN"/>
        </w:rPr>
      </w:pPr>
      <w:r w:rsidRPr="005C59E9">
        <w:rPr>
          <w:rFonts w:ascii="Century Gothic" w:hAnsi="Century Gothic" w:cs="Century Gothic"/>
          <w:i/>
          <w:iCs/>
          <w:sz w:val="20"/>
          <w:szCs w:val="20"/>
          <w:lang w:val="zh-CN"/>
        </w:rPr>
        <w:tab/>
        <w:t>This table presents the combined monthly distribution of dengue cases recorded in Barangay Greenfield and Doroluman from 2021 to 2025. The percentage was computed based on the total of 1</w:t>
      </w:r>
      <w:r w:rsidRPr="005C59E9">
        <w:rPr>
          <w:rFonts w:ascii="Century Gothic" w:hAnsi="Century Gothic" w:cs="Century Gothic"/>
          <w:i/>
          <w:iCs/>
          <w:sz w:val="20"/>
          <w:szCs w:val="20"/>
        </w:rPr>
        <w:t>91</w:t>
      </w:r>
      <w:r w:rsidRPr="005C59E9">
        <w:rPr>
          <w:rFonts w:ascii="Century Gothic" w:hAnsi="Century Gothic" w:cs="Century Gothic"/>
          <w:i/>
          <w:iCs/>
          <w:sz w:val="20"/>
          <w:szCs w:val="20"/>
          <w:lang w:val="zh-CN"/>
        </w:rPr>
        <w:t xml:space="preserve"> reported dengue cases during the five-year period.</w:t>
      </w:r>
    </w:p>
    <w:tbl>
      <w:tblPr>
        <w:tblStyle w:val="TableGrid"/>
        <w:tblW w:w="0" w:type="auto"/>
        <w:tblLook w:val="04A0" w:firstRow="1" w:lastRow="0" w:firstColumn="1" w:lastColumn="0" w:noHBand="0" w:noVBand="1"/>
      </w:tblPr>
      <w:tblGrid>
        <w:gridCol w:w="2840"/>
        <w:gridCol w:w="2841"/>
        <w:gridCol w:w="2841"/>
      </w:tblGrid>
      <w:tr w:rsidR="005C59E9" w:rsidRPr="005C59E9" w14:paraId="77D00EEE" w14:textId="77777777" w:rsidTr="009D45D6">
        <w:tc>
          <w:tcPr>
            <w:tcW w:w="2840" w:type="dxa"/>
            <w:vAlign w:val="center"/>
          </w:tcPr>
          <w:p w14:paraId="5AD89C18"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b/>
                <w:bCs/>
                <w:sz w:val="20"/>
                <w:szCs w:val="20"/>
              </w:rPr>
              <w:t>Month</w:t>
            </w:r>
          </w:p>
        </w:tc>
        <w:tc>
          <w:tcPr>
            <w:tcW w:w="2841" w:type="dxa"/>
            <w:vAlign w:val="center"/>
          </w:tcPr>
          <w:p w14:paraId="42E93ACE"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b/>
                <w:bCs/>
                <w:sz w:val="20"/>
                <w:szCs w:val="20"/>
              </w:rPr>
              <w:t>Frequency</w:t>
            </w:r>
          </w:p>
        </w:tc>
        <w:tc>
          <w:tcPr>
            <w:tcW w:w="2841" w:type="dxa"/>
            <w:vAlign w:val="center"/>
          </w:tcPr>
          <w:p w14:paraId="0881D4DE"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b/>
                <w:bCs/>
                <w:sz w:val="20"/>
                <w:szCs w:val="20"/>
              </w:rPr>
              <w:t>Percentage (%)</w:t>
            </w:r>
          </w:p>
        </w:tc>
      </w:tr>
      <w:tr w:rsidR="005C59E9" w:rsidRPr="005C59E9" w14:paraId="218B9855" w14:textId="77777777" w:rsidTr="009D45D6">
        <w:tc>
          <w:tcPr>
            <w:tcW w:w="2840" w:type="dxa"/>
            <w:vAlign w:val="center"/>
          </w:tcPr>
          <w:p w14:paraId="03D9A8D7"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January</w:t>
            </w:r>
          </w:p>
        </w:tc>
        <w:tc>
          <w:tcPr>
            <w:tcW w:w="2841" w:type="dxa"/>
            <w:vAlign w:val="center"/>
          </w:tcPr>
          <w:p w14:paraId="502EF4A1"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10</w:t>
            </w:r>
          </w:p>
        </w:tc>
        <w:tc>
          <w:tcPr>
            <w:tcW w:w="2841" w:type="dxa"/>
            <w:vAlign w:val="center"/>
          </w:tcPr>
          <w:p w14:paraId="346BAAFE"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5.29</w:t>
            </w:r>
          </w:p>
        </w:tc>
      </w:tr>
      <w:tr w:rsidR="005C59E9" w:rsidRPr="005C59E9" w14:paraId="29DD63F6" w14:textId="77777777" w:rsidTr="009D45D6">
        <w:tc>
          <w:tcPr>
            <w:tcW w:w="2840" w:type="dxa"/>
            <w:vAlign w:val="center"/>
          </w:tcPr>
          <w:p w14:paraId="035FC85A"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February</w:t>
            </w:r>
          </w:p>
        </w:tc>
        <w:tc>
          <w:tcPr>
            <w:tcW w:w="2841" w:type="dxa"/>
            <w:vAlign w:val="center"/>
          </w:tcPr>
          <w:p w14:paraId="0C95E583"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12</w:t>
            </w:r>
          </w:p>
        </w:tc>
        <w:tc>
          <w:tcPr>
            <w:tcW w:w="2841" w:type="dxa"/>
            <w:vAlign w:val="center"/>
          </w:tcPr>
          <w:p w14:paraId="6D928AA2"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6.35</w:t>
            </w:r>
          </w:p>
        </w:tc>
      </w:tr>
      <w:tr w:rsidR="005C59E9" w:rsidRPr="005C59E9" w14:paraId="1CAED03E" w14:textId="77777777" w:rsidTr="009D45D6">
        <w:tc>
          <w:tcPr>
            <w:tcW w:w="2840" w:type="dxa"/>
            <w:vAlign w:val="center"/>
          </w:tcPr>
          <w:p w14:paraId="2D5098A1"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March</w:t>
            </w:r>
          </w:p>
        </w:tc>
        <w:tc>
          <w:tcPr>
            <w:tcW w:w="2841" w:type="dxa"/>
            <w:vAlign w:val="center"/>
          </w:tcPr>
          <w:p w14:paraId="07FC1E2D"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21</w:t>
            </w:r>
          </w:p>
        </w:tc>
        <w:tc>
          <w:tcPr>
            <w:tcW w:w="2841" w:type="dxa"/>
            <w:vAlign w:val="center"/>
          </w:tcPr>
          <w:p w14:paraId="6E1E54F9"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11.11</w:t>
            </w:r>
          </w:p>
        </w:tc>
      </w:tr>
      <w:tr w:rsidR="005C59E9" w:rsidRPr="005C59E9" w14:paraId="1D3408B8" w14:textId="77777777" w:rsidTr="009D45D6">
        <w:tc>
          <w:tcPr>
            <w:tcW w:w="2840" w:type="dxa"/>
            <w:vAlign w:val="center"/>
          </w:tcPr>
          <w:p w14:paraId="797790B2"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April</w:t>
            </w:r>
          </w:p>
        </w:tc>
        <w:tc>
          <w:tcPr>
            <w:tcW w:w="2841" w:type="dxa"/>
            <w:vAlign w:val="center"/>
          </w:tcPr>
          <w:p w14:paraId="7AF6E303"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8</w:t>
            </w:r>
          </w:p>
        </w:tc>
        <w:tc>
          <w:tcPr>
            <w:tcW w:w="2841" w:type="dxa"/>
            <w:vAlign w:val="center"/>
          </w:tcPr>
          <w:p w14:paraId="6C6FEF16"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4.23</w:t>
            </w:r>
          </w:p>
        </w:tc>
      </w:tr>
      <w:tr w:rsidR="005C59E9" w:rsidRPr="005C59E9" w14:paraId="5E8491C3" w14:textId="77777777" w:rsidTr="009D45D6">
        <w:tc>
          <w:tcPr>
            <w:tcW w:w="2840" w:type="dxa"/>
            <w:vAlign w:val="center"/>
          </w:tcPr>
          <w:p w14:paraId="703F39B5"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May</w:t>
            </w:r>
          </w:p>
        </w:tc>
        <w:tc>
          <w:tcPr>
            <w:tcW w:w="2841" w:type="dxa"/>
            <w:vAlign w:val="center"/>
          </w:tcPr>
          <w:p w14:paraId="4495BDCE"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14</w:t>
            </w:r>
          </w:p>
        </w:tc>
        <w:tc>
          <w:tcPr>
            <w:tcW w:w="2841" w:type="dxa"/>
            <w:vAlign w:val="center"/>
          </w:tcPr>
          <w:p w14:paraId="3F9F54CA"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7.94</w:t>
            </w:r>
          </w:p>
        </w:tc>
      </w:tr>
      <w:tr w:rsidR="005C59E9" w:rsidRPr="005C59E9" w14:paraId="7B857A54" w14:textId="77777777" w:rsidTr="009D45D6">
        <w:tc>
          <w:tcPr>
            <w:tcW w:w="2840" w:type="dxa"/>
            <w:vAlign w:val="center"/>
          </w:tcPr>
          <w:p w14:paraId="1ED8D184"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June</w:t>
            </w:r>
          </w:p>
        </w:tc>
        <w:tc>
          <w:tcPr>
            <w:tcW w:w="2841" w:type="dxa"/>
            <w:vAlign w:val="center"/>
          </w:tcPr>
          <w:p w14:paraId="7EEA691A"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18</w:t>
            </w:r>
          </w:p>
        </w:tc>
        <w:tc>
          <w:tcPr>
            <w:tcW w:w="2841" w:type="dxa"/>
            <w:vAlign w:val="center"/>
          </w:tcPr>
          <w:p w14:paraId="01CEF479"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9.52</w:t>
            </w:r>
          </w:p>
        </w:tc>
      </w:tr>
      <w:tr w:rsidR="005C59E9" w:rsidRPr="005C59E9" w14:paraId="75C99A11" w14:textId="77777777" w:rsidTr="009D45D6">
        <w:tc>
          <w:tcPr>
            <w:tcW w:w="2840" w:type="dxa"/>
            <w:vAlign w:val="center"/>
          </w:tcPr>
          <w:p w14:paraId="4AB2E772"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July</w:t>
            </w:r>
          </w:p>
        </w:tc>
        <w:tc>
          <w:tcPr>
            <w:tcW w:w="2841" w:type="dxa"/>
            <w:vAlign w:val="center"/>
          </w:tcPr>
          <w:p w14:paraId="4C65E5CB"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36</w:t>
            </w:r>
          </w:p>
        </w:tc>
        <w:tc>
          <w:tcPr>
            <w:tcW w:w="2841" w:type="dxa"/>
            <w:vAlign w:val="center"/>
          </w:tcPr>
          <w:p w14:paraId="7C2D6D5E"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19.05</w:t>
            </w:r>
          </w:p>
        </w:tc>
      </w:tr>
      <w:tr w:rsidR="005C59E9" w:rsidRPr="005C59E9" w14:paraId="0EED7AA0" w14:textId="77777777" w:rsidTr="009D45D6">
        <w:tc>
          <w:tcPr>
            <w:tcW w:w="2840" w:type="dxa"/>
            <w:vAlign w:val="center"/>
          </w:tcPr>
          <w:p w14:paraId="5228862B"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August</w:t>
            </w:r>
          </w:p>
        </w:tc>
        <w:tc>
          <w:tcPr>
            <w:tcW w:w="2841" w:type="dxa"/>
            <w:vAlign w:val="center"/>
          </w:tcPr>
          <w:p w14:paraId="77B01388"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33</w:t>
            </w:r>
          </w:p>
        </w:tc>
        <w:tc>
          <w:tcPr>
            <w:tcW w:w="2841" w:type="dxa"/>
            <w:vAlign w:val="center"/>
          </w:tcPr>
          <w:p w14:paraId="38EA4889"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17.46</w:t>
            </w:r>
          </w:p>
        </w:tc>
      </w:tr>
      <w:tr w:rsidR="005C59E9" w:rsidRPr="005C59E9" w14:paraId="56772942" w14:textId="77777777" w:rsidTr="009D45D6">
        <w:tc>
          <w:tcPr>
            <w:tcW w:w="2840" w:type="dxa"/>
            <w:vAlign w:val="center"/>
          </w:tcPr>
          <w:p w14:paraId="47861135"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September</w:t>
            </w:r>
          </w:p>
        </w:tc>
        <w:tc>
          <w:tcPr>
            <w:tcW w:w="2841" w:type="dxa"/>
            <w:vAlign w:val="center"/>
          </w:tcPr>
          <w:p w14:paraId="7D4F0A39"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17</w:t>
            </w:r>
          </w:p>
        </w:tc>
        <w:tc>
          <w:tcPr>
            <w:tcW w:w="2841" w:type="dxa"/>
            <w:vAlign w:val="center"/>
          </w:tcPr>
          <w:p w14:paraId="5C482318"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8.99</w:t>
            </w:r>
          </w:p>
        </w:tc>
      </w:tr>
      <w:tr w:rsidR="005C59E9" w:rsidRPr="005C59E9" w14:paraId="703267F7" w14:textId="77777777" w:rsidTr="009D45D6">
        <w:tc>
          <w:tcPr>
            <w:tcW w:w="2840" w:type="dxa"/>
            <w:vAlign w:val="center"/>
          </w:tcPr>
          <w:p w14:paraId="3476A524"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October</w:t>
            </w:r>
          </w:p>
        </w:tc>
        <w:tc>
          <w:tcPr>
            <w:tcW w:w="2841" w:type="dxa"/>
            <w:vAlign w:val="center"/>
          </w:tcPr>
          <w:p w14:paraId="46AA1997"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13</w:t>
            </w:r>
          </w:p>
        </w:tc>
        <w:tc>
          <w:tcPr>
            <w:tcW w:w="2841" w:type="dxa"/>
            <w:vAlign w:val="center"/>
          </w:tcPr>
          <w:p w14:paraId="06A48296"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6.88</w:t>
            </w:r>
          </w:p>
        </w:tc>
      </w:tr>
      <w:tr w:rsidR="005C59E9" w:rsidRPr="005C59E9" w14:paraId="18DCCBF3" w14:textId="77777777" w:rsidTr="009D45D6">
        <w:tc>
          <w:tcPr>
            <w:tcW w:w="2840" w:type="dxa"/>
            <w:vAlign w:val="center"/>
          </w:tcPr>
          <w:p w14:paraId="58CB66C4"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November</w:t>
            </w:r>
          </w:p>
        </w:tc>
        <w:tc>
          <w:tcPr>
            <w:tcW w:w="2841" w:type="dxa"/>
            <w:vAlign w:val="center"/>
          </w:tcPr>
          <w:p w14:paraId="0E3246BF"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3</w:t>
            </w:r>
          </w:p>
        </w:tc>
        <w:tc>
          <w:tcPr>
            <w:tcW w:w="2841" w:type="dxa"/>
            <w:vAlign w:val="center"/>
          </w:tcPr>
          <w:p w14:paraId="39D0C330"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1.59</w:t>
            </w:r>
          </w:p>
        </w:tc>
      </w:tr>
      <w:tr w:rsidR="005C59E9" w:rsidRPr="005C59E9" w14:paraId="28D8E7B4" w14:textId="77777777" w:rsidTr="009D45D6">
        <w:tc>
          <w:tcPr>
            <w:tcW w:w="2840" w:type="dxa"/>
            <w:vAlign w:val="center"/>
          </w:tcPr>
          <w:p w14:paraId="6988F600"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December</w:t>
            </w:r>
          </w:p>
        </w:tc>
        <w:tc>
          <w:tcPr>
            <w:tcW w:w="2841" w:type="dxa"/>
            <w:vAlign w:val="center"/>
          </w:tcPr>
          <w:p w14:paraId="46525E34"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3</w:t>
            </w:r>
          </w:p>
        </w:tc>
        <w:tc>
          <w:tcPr>
            <w:tcW w:w="2841" w:type="dxa"/>
            <w:vAlign w:val="center"/>
          </w:tcPr>
          <w:p w14:paraId="60F4C290"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1.59</w:t>
            </w:r>
          </w:p>
        </w:tc>
      </w:tr>
      <w:tr w:rsidR="005C59E9" w:rsidRPr="005C59E9" w14:paraId="576C7B79" w14:textId="77777777" w:rsidTr="009D45D6">
        <w:tc>
          <w:tcPr>
            <w:tcW w:w="2840" w:type="dxa"/>
            <w:vAlign w:val="center"/>
          </w:tcPr>
          <w:p w14:paraId="243DB29E"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Style w:val="Strong"/>
                <w:rFonts w:ascii="Century Gothic" w:hAnsi="Century Gothic"/>
                <w:sz w:val="20"/>
                <w:szCs w:val="20"/>
              </w:rPr>
              <w:t>Total</w:t>
            </w:r>
          </w:p>
        </w:tc>
        <w:tc>
          <w:tcPr>
            <w:tcW w:w="2841" w:type="dxa"/>
            <w:vAlign w:val="center"/>
          </w:tcPr>
          <w:p w14:paraId="6DFA2326"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Style w:val="Strong"/>
                <w:rFonts w:ascii="Century Gothic" w:hAnsi="Century Gothic"/>
                <w:sz w:val="20"/>
                <w:szCs w:val="20"/>
              </w:rPr>
              <w:t>191</w:t>
            </w:r>
          </w:p>
        </w:tc>
        <w:tc>
          <w:tcPr>
            <w:tcW w:w="2841" w:type="dxa"/>
            <w:vAlign w:val="center"/>
          </w:tcPr>
          <w:p w14:paraId="30235B26"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Style w:val="Strong"/>
                <w:rFonts w:ascii="Century Gothic" w:hAnsi="Century Gothic"/>
                <w:sz w:val="20"/>
                <w:szCs w:val="20"/>
              </w:rPr>
              <w:t>100.00</w:t>
            </w:r>
          </w:p>
        </w:tc>
      </w:tr>
    </w:tbl>
    <w:p w14:paraId="77C9B369"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cs="Century Gothic"/>
          <w:b/>
          <w:bCs/>
          <w:sz w:val="20"/>
          <w:szCs w:val="20"/>
        </w:rPr>
        <w:t>Source:</w:t>
      </w:r>
      <w:r w:rsidRPr="005C59E9">
        <w:rPr>
          <w:rFonts w:ascii="Century Gothic" w:hAnsi="Century Gothic" w:cs="Century Gothic"/>
          <w:sz w:val="20"/>
          <w:szCs w:val="20"/>
        </w:rPr>
        <w:t xml:space="preserve"> Municipal Health Office of Arakan, Cotabato (2021–2025)</w:t>
      </w:r>
    </w:p>
    <w:p w14:paraId="0FF4B6E9" w14:textId="77777777" w:rsidR="005C59E9" w:rsidRPr="005C59E9" w:rsidRDefault="005C59E9" w:rsidP="005C59E9">
      <w:pPr>
        <w:pStyle w:val="NormalWeb"/>
        <w:spacing w:before="0" w:beforeAutospacing="0" w:after="0" w:afterAutospacing="0"/>
        <w:jc w:val="both"/>
        <w:rPr>
          <w:rFonts w:ascii="Century Gothic" w:hAnsi="Century Gothic" w:cs="Century Gothic"/>
          <w:sz w:val="20"/>
          <w:szCs w:val="20"/>
        </w:rPr>
      </w:pPr>
      <w:r w:rsidRPr="005C59E9">
        <w:rPr>
          <w:rFonts w:ascii="Century Gothic" w:hAnsi="Century Gothic" w:cs="Century Gothic"/>
          <w:sz w:val="20"/>
          <w:szCs w:val="20"/>
        </w:rPr>
        <w:tab/>
        <w:t>The data indicate that dengue cases were reported throughout the year, but transmission was highest during the rainy season. July recorded the highest number of cases with 36 (19.05%), followed by August with 33 (17.46%) and March with 21 (11.11%), while November and December had the fewest cases with only 3 (1.59%) each. These findings suggest a clear seasonal pattern of dengue occurrence, with the peak outbreak months concentrated between June and August when environmental conditions are most favorable for the breeding of Aedes aegypti mosquitoes.</w:t>
      </w:r>
    </w:p>
    <w:p w14:paraId="3A19D48C" w14:textId="77777777" w:rsidR="005C59E9" w:rsidRPr="005C59E9" w:rsidRDefault="005C59E9" w:rsidP="005C59E9">
      <w:pPr>
        <w:pStyle w:val="NormalWeb"/>
        <w:spacing w:before="0" w:beforeAutospacing="0" w:after="0" w:afterAutospacing="0"/>
        <w:ind w:firstLine="720"/>
        <w:jc w:val="both"/>
        <w:rPr>
          <w:rFonts w:ascii="Century Gothic" w:hAnsi="Century Gothic" w:cs="Century Gothic"/>
          <w:sz w:val="20"/>
          <w:szCs w:val="20"/>
        </w:rPr>
      </w:pPr>
      <w:r w:rsidRPr="005C59E9">
        <w:rPr>
          <w:rFonts w:ascii="Century Gothic" w:hAnsi="Century Gothic" w:cs="Century Gothic"/>
          <w:sz w:val="20"/>
          <w:szCs w:val="20"/>
        </w:rPr>
        <w:t xml:space="preserve">The seasonal concentration of dengue cases indicates that preventive interventions should be intensified before the onset of the rainy season to minimize mosquito breeding and </w:t>
      </w:r>
      <w:r w:rsidRPr="005C59E9">
        <w:rPr>
          <w:rFonts w:ascii="Century Gothic" w:hAnsi="Century Gothic" w:cs="Century Gothic"/>
          <w:sz w:val="20"/>
          <w:szCs w:val="20"/>
        </w:rPr>
        <w:lastRenderedPageBreak/>
        <w:t>disease transmission. Local health authorities should prioritize environmental sanitation campaigns, source reduction activities, and community awareness programs from April to June to prepare communities for the expected increase in dengue cases. Early implementation of these strategies may reduce the magnitude of outbreaks during the peak transmission months and strengthen the community's capacity to prevent dengue.</w:t>
      </w:r>
    </w:p>
    <w:p w14:paraId="0BFBD8C7" w14:textId="77777777" w:rsidR="005C59E9" w:rsidRPr="005C59E9" w:rsidRDefault="005C59E9" w:rsidP="005C59E9">
      <w:pPr>
        <w:pStyle w:val="NormalWeb"/>
        <w:spacing w:before="0" w:beforeAutospacing="0" w:after="0" w:afterAutospacing="0"/>
        <w:ind w:firstLine="720"/>
        <w:jc w:val="both"/>
        <w:rPr>
          <w:rFonts w:ascii="Century Gothic" w:hAnsi="Century Gothic" w:cs="Century Gothic"/>
          <w:sz w:val="20"/>
          <w:szCs w:val="20"/>
        </w:rPr>
      </w:pPr>
      <w:r w:rsidRPr="005C59E9">
        <w:rPr>
          <w:rFonts w:ascii="Century Gothic" w:hAnsi="Century Gothic" w:cs="Century Gothic"/>
          <w:sz w:val="20"/>
          <w:szCs w:val="20"/>
        </w:rPr>
        <w:t>The findings support the study of Sangkawibha et al. (2022), which reported that dengue incidence in tropical countries exhibits a pronounced seasonal pattern, with cases increasing during periods of heavy rainfall due to the expansion of mosquito breeding habitats. The study further explained that higher rainfall and humidity enhance the survival and reproduction of Aedes aegypti, resulting in increased dengue transmission during the rainy season. The observed peak in dengue cases during June to August, particularly in July, is therefore consistent with the established relationship between seasonal climatic conditions and dengue occurrence.</w:t>
      </w:r>
    </w:p>
    <w:p w14:paraId="57B7FC92" w14:textId="77777777" w:rsidR="005C59E9" w:rsidRPr="005C59E9" w:rsidRDefault="005C59E9" w:rsidP="005C59E9">
      <w:pPr>
        <w:pStyle w:val="NormalWeb"/>
        <w:spacing w:before="0" w:beforeAutospacing="0" w:after="0" w:afterAutospacing="0"/>
        <w:jc w:val="both"/>
        <w:rPr>
          <w:rFonts w:ascii="Century Gothic" w:hAnsi="Century Gothic" w:cs="Century Gothic"/>
          <w:b/>
          <w:bCs/>
          <w:sz w:val="20"/>
          <w:szCs w:val="20"/>
          <w:lang w:val="zh-CN"/>
        </w:rPr>
      </w:pPr>
    </w:p>
    <w:p w14:paraId="4861424F" w14:textId="77777777" w:rsidR="005C59E9" w:rsidRPr="005C59E9" w:rsidRDefault="005C59E9" w:rsidP="005C59E9">
      <w:pPr>
        <w:pStyle w:val="NormalWeb"/>
        <w:spacing w:before="0" w:beforeAutospacing="0" w:after="0" w:afterAutospacing="0"/>
        <w:jc w:val="both"/>
        <w:rPr>
          <w:rFonts w:ascii="Century Gothic" w:hAnsi="Century Gothic" w:cs="Century Gothic"/>
          <w:b/>
          <w:bCs/>
          <w:sz w:val="20"/>
          <w:szCs w:val="20"/>
          <w:lang w:val="zh-CN"/>
        </w:rPr>
      </w:pPr>
      <w:r w:rsidRPr="005C59E9">
        <w:rPr>
          <w:rFonts w:ascii="Century Gothic" w:hAnsi="Century Gothic" w:cs="Century Gothic"/>
          <w:b/>
          <w:bCs/>
          <w:sz w:val="20"/>
          <w:szCs w:val="20"/>
          <w:lang w:val="zh-CN"/>
        </w:rPr>
        <w:t>Monthly Distribution of Dengue Cases (2021–2025)</w:t>
      </w:r>
    </w:p>
    <w:p w14:paraId="56399F4C" w14:textId="77777777" w:rsidR="005C59E9" w:rsidRPr="005C59E9" w:rsidRDefault="005C59E9" w:rsidP="005C59E9">
      <w:pPr>
        <w:pStyle w:val="NormalWeb"/>
        <w:spacing w:before="0" w:beforeAutospacing="0" w:after="0" w:afterAutospacing="0"/>
        <w:jc w:val="both"/>
        <w:rPr>
          <w:rFonts w:ascii="Century Gothic" w:hAnsi="Century Gothic" w:cs="Century Gothic"/>
          <w:i/>
          <w:iCs/>
          <w:sz w:val="20"/>
          <w:szCs w:val="20"/>
          <w:lang w:val="zh-CN"/>
        </w:rPr>
      </w:pPr>
      <w:r w:rsidRPr="005C59E9">
        <w:rPr>
          <w:rFonts w:ascii="Century Gothic" w:hAnsi="Century Gothic" w:cs="Century Gothic"/>
          <w:sz w:val="20"/>
          <w:szCs w:val="20"/>
          <w:lang w:val="zh-CN"/>
        </w:rPr>
        <w:tab/>
      </w:r>
      <w:r w:rsidRPr="005C59E9">
        <w:rPr>
          <w:rFonts w:ascii="Century Gothic" w:hAnsi="Century Gothic" w:cs="Century Gothic"/>
          <w:i/>
          <w:iCs/>
          <w:sz w:val="20"/>
          <w:szCs w:val="20"/>
          <w:lang w:val="zh-CN"/>
        </w:rPr>
        <w:t>Combined monthly cases in Barangays Greenfield and Doroluman.</w:t>
      </w:r>
    </w:p>
    <w:p w14:paraId="7BA11533" w14:textId="77777777" w:rsidR="005C59E9" w:rsidRPr="005C59E9" w:rsidRDefault="005C59E9" w:rsidP="005C59E9">
      <w:pPr>
        <w:pStyle w:val="NormalWeb"/>
        <w:spacing w:before="0" w:beforeAutospacing="0"/>
        <w:jc w:val="center"/>
        <w:rPr>
          <w:rFonts w:ascii="Century Gothic" w:hAnsi="Century Gothic" w:cs="Century Gothic"/>
          <w:b/>
          <w:bCs/>
          <w:sz w:val="20"/>
          <w:szCs w:val="20"/>
        </w:rPr>
      </w:pPr>
      <w:r w:rsidRPr="005C59E9">
        <w:rPr>
          <w:rFonts w:ascii="Century Gothic" w:hAnsi="Century Gothic" w:cs="Century Gothic"/>
          <w:noProof/>
          <w:sz w:val="20"/>
          <w:szCs w:val="20"/>
        </w:rPr>
        <w:drawing>
          <wp:inline distT="0" distB="0" distL="0" distR="0" wp14:anchorId="502522B9" wp14:editId="3BB1E541">
            <wp:extent cx="5274310" cy="2635250"/>
            <wp:effectExtent l="4445" t="4445" r="17145" b="8255"/>
            <wp:docPr id="42923054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B749A0"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cs="Century Gothic"/>
          <w:b/>
          <w:bCs/>
          <w:sz w:val="20"/>
          <w:szCs w:val="20"/>
        </w:rPr>
        <w:t>Figure 5.</w:t>
      </w:r>
      <w:r w:rsidRPr="005C59E9">
        <w:rPr>
          <w:rFonts w:ascii="Century Gothic" w:hAnsi="Century Gothic" w:cs="Century Gothic"/>
          <w:sz w:val="20"/>
          <w:szCs w:val="20"/>
        </w:rPr>
        <w:t xml:space="preserve"> Monthly Distribution of Dengue Cases</w:t>
      </w:r>
    </w:p>
    <w:p w14:paraId="2B9061F5" w14:textId="77777777" w:rsidR="005C59E9" w:rsidRPr="005C59E9" w:rsidRDefault="005C59E9" w:rsidP="005C59E9">
      <w:pPr>
        <w:pStyle w:val="NormalWeb"/>
        <w:spacing w:before="0" w:beforeAutospacing="0" w:after="0" w:afterAutospacing="0"/>
        <w:jc w:val="both"/>
        <w:rPr>
          <w:rFonts w:ascii="Century Gothic" w:hAnsi="Century Gothic" w:cs="Century Gothic"/>
          <w:b/>
          <w:bCs/>
          <w:sz w:val="20"/>
          <w:szCs w:val="20"/>
          <w:lang w:val="zh-CN"/>
        </w:rPr>
      </w:pPr>
      <w:r w:rsidRPr="005C59E9">
        <w:rPr>
          <w:rFonts w:ascii="Century Gothic" w:hAnsi="Century Gothic" w:cs="Century Gothic"/>
          <w:b/>
          <w:bCs/>
          <w:sz w:val="20"/>
          <w:szCs w:val="20"/>
        </w:rPr>
        <w:t xml:space="preserve">Research </w:t>
      </w:r>
      <w:r w:rsidRPr="005C59E9">
        <w:rPr>
          <w:rFonts w:ascii="Century Gothic" w:hAnsi="Century Gothic" w:cs="Century Gothic"/>
          <w:b/>
          <w:bCs/>
          <w:sz w:val="20"/>
          <w:szCs w:val="20"/>
          <w:lang w:val="zh-CN"/>
        </w:rPr>
        <w:t>Objective 3</w:t>
      </w:r>
    </w:p>
    <w:p w14:paraId="5D0ABDF5" w14:textId="77777777" w:rsidR="005C59E9" w:rsidRPr="005C59E9" w:rsidRDefault="005C59E9" w:rsidP="005C59E9">
      <w:pPr>
        <w:pStyle w:val="NormalWeb"/>
        <w:spacing w:before="0" w:beforeAutospacing="0" w:after="0" w:afterAutospacing="0"/>
        <w:jc w:val="both"/>
        <w:rPr>
          <w:rFonts w:ascii="Century Gothic" w:hAnsi="Century Gothic" w:cs="Century Gothic"/>
          <w:sz w:val="20"/>
          <w:szCs w:val="20"/>
          <w:lang w:val="zh-CN"/>
        </w:rPr>
      </w:pPr>
      <w:r w:rsidRPr="005C59E9">
        <w:rPr>
          <w:rFonts w:ascii="Century Gothic" w:hAnsi="Century Gothic" w:cs="Century Gothic"/>
          <w:sz w:val="20"/>
          <w:szCs w:val="20"/>
          <w:lang w:val="zh-CN"/>
        </w:rPr>
        <w:tab/>
        <w:t>To identify the peak outbreak months of dengue incidence in Barangay Greenfield and Doroluman from 2021 to 2025.</w:t>
      </w:r>
    </w:p>
    <w:p w14:paraId="00264490" w14:textId="77777777" w:rsidR="005C59E9" w:rsidRPr="005C59E9" w:rsidRDefault="005C59E9" w:rsidP="005C59E9">
      <w:pPr>
        <w:pStyle w:val="NormalWeb"/>
        <w:spacing w:before="0" w:beforeAutospacing="0" w:after="0" w:afterAutospacing="0"/>
        <w:jc w:val="both"/>
        <w:rPr>
          <w:rFonts w:ascii="Century Gothic" w:hAnsi="Century Gothic" w:cs="Century Gothic"/>
          <w:b/>
          <w:bCs/>
          <w:sz w:val="20"/>
          <w:szCs w:val="20"/>
          <w:lang w:val="zh-CN"/>
        </w:rPr>
      </w:pPr>
      <w:r w:rsidRPr="005C59E9">
        <w:rPr>
          <w:rFonts w:ascii="Century Gothic" w:hAnsi="Century Gothic" w:cs="Century Gothic"/>
          <w:b/>
          <w:bCs/>
          <w:sz w:val="20"/>
          <w:szCs w:val="20"/>
          <w:lang w:val="zh-CN"/>
        </w:rPr>
        <w:t>Table 4. Peak Outbreak Months of Dengue Cases in Barangays Greenfield and Doroluman (2021–2025)</w:t>
      </w:r>
    </w:p>
    <w:p w14:paraId="5720F2A5" w14:textId="77777777" w:rsidR="005C59E9" w:rsidRPr="005C59E9" w:rsidRDefault="005C59E9" w:rsidP="005C59E9">
      <w:pPr>
        <w:pStyle w:val="NormalWeb"/>
        <w:spacing w:before="0" w:beforeAutospacing="0" w:after="0" w:afterAutospacing="0"/>
        <w:jc w:val="both"/>
        <w:rPr>
          <w:rFonts w:ascii="Century Gothic" w:hAnsi="Century Gothic" w:cs="Century Gothic"/>
          <w:b/>
          <w:bCs/>
          <w:sz w:val="20"/>
          <w:szCs w:val="20"/>
          <w:lang w:val="zh-CN"/>
        </w:rPr>
      </w:pPr>
      <w:r w:rsidRPr="005C59E9">
        <w:rPr>
          <w:rFonts w:ascii="Century Gothic" w:hAnsi="Century Gothic" w:cs="Century Gothic"/>
          <w:i/>
          <w:iCs/>
          <w:sz w:val="20"/>
          <w:szCs w:val="20"/>
          <w:lang w:val="zh-CN"/>
        </w:rPr>
        <w:tab/>
        <w:t>Table 4 presents the months with the highest and lowest recorded dengue cases based on the combined surveillance data from Barangays Greenfield and Doroluman from 2021 to 2025</w:t>
      </w:r>
      <w:r w:rsidRPr="005C59E9">
        <w:rPr>
          <w:rFonts w:ascii="Century Gothic" w:hAnsi="Century Gothic" w:cs="Century Gothic"/>
          <w:b/>
          <w:bCs/>
          <w:sz w:val="20"/>
          <w:szCs w:val="20"/>
          <w:lang w:val="zh-CN"/>
        </w:rPr>
        <w:t>.</w:t>
      </w:r>
    </w:p>
    <w:tbl>
      <w:tblPr>
        <w:tblStyle w:val="TableGrid"/>
        <w:tblW w:w="0" w:type="auto"/>
        <w:tblLook w:val="04A0" w:firstRow="1" w:lastRow="0" w:firstColumn="1" w:lastColumn="0" w:noHBand="0" w:noVBand="1"/>
      </w:tblPr>
      <w:tblGrid>
        <w:gridCol w:w="2130"/>
        <w:gridCol w:w="2130"/>
        <w:gridCol w:w="2131"/>
        <w:gridCol w:w="2131"/>
      </w:tblGrid>
      <w:tr w:rsidR="005C59E9" w:rsidRPr="005C59E9" w14:paraId="2599AB5C" w14:textId="77777777" w:rsidTr="009D45D6">
        <w:tc>
          <w:tcPr>
            <w:tcW w:w="2130" w:type="dxa"/>
          </w:tcPr>
          <w:p w14:paraId="260995D6" w14:textId="77777777" w:rsidR="005C59E9" w:rsidRPr="005C59E9" w:rsidRDefault="005C59E9" w:rsidP="005C59E9">
            <w:pPr>
              <w:pStyle w:val="NormalWeb"/>
              <w:spacing w:before="0" w:beforeAutospacing="0"/>
              <w:jc w:val="center"/>
              <w:rPr>
                <w:rFonts w:ascii="Century Gothic" w:hAnsi="Century Gothic" w:cs="Century Gothic"/>
                <w:b/>
                <w:bCs/>
                <w:sz w:val="20"/>
                <w:szCs w:val="20"/>
              </w:rPr>
            </w:pPr>
            <w:r w:rsidRPr="005C59E9">
              <w:rPr>
                <w:rFonts w:ascii="Century Gothic" w:hAnsi="Century Gothic"/>
                <w:b/>
                <w:bCs/>
                <w:sz w:val="20"/>
                <w:szCs w:val="20"/>
              </w:rPr>
              <w:t>Month</w:t>
            </w:r>
          </w:p>
        </w:tc>
        <w:tc>
          <w:tcPr>
            <w:tcW w:w="2130" w:type="dxa"/>
          </w:tcPr>
          <w:p w14:paraId="58C5F833" w14:textId="77777777" w:rsidR="005C59E9" w:rsidRPr="005C59E9" w:rsidRDefault="005C59E9" w:rsidP="005C59E9">
            <w:pPr>
              <w:pStyle w:val="NormalWeb"/>
              <w:spacing w:before="0" w:beforeAutospacing="0"/>
              <w:jc w:val="center"/>
              <w:rPr>
                <w:rFonts w:ascii="Century Gothic" w:hAnsi="Century Gothic" w:cs="Century Gothic"/>
                <w:b/>
                <w:bCs/>
                <w:sz w:val="20"/>
                <w:szCs w:val="20"/>
              </w:rPr>
            </w:pPr>
            <w:r w:rsidRPr="005C59E9">
              <w:rPr>
                <w:rFonts w:ascii="Century Gothic" w:hAnsi="Century Gothic"/>
                <w:b/>
                <w:bCs/>
                <w:sz w:val="20"/>
                <w:szCs w:val="20"/>
              </w:rPr>
              <w:t>Frequency</w:t>
            </w:r>
          </w:p>
        </w:tc>
        <w:tc>
          <w:tcPr>
            <w:tcW w:w="2131" w:type="dxa"/>
          </w:tcPr>
          <w:p w14:paraId="3DCFA4FA" w14:textId="77777777" w:rsidR="005C59E9" w:rsidRPr="005C59E9" w:rsidRDefault="005C59E9" w:rsidP="005C59E9">
            <w:pPr>
              <w:pStyle w:val="NormalWeb"/>
              <w:spacing w:before="0" w:beforeAutospacing="0"/>
              <w:jc w:val="center"/>
              <w:rPr>
                <w:rFonts w:ascii="Century Gothic" w:hAnsi="Century Gothic" w:cs="Century Gothic"/>
                <w:b/>
                <w:bCs/>
                <w:sz w:val="20"/>
                <w:szCs w:val="20"/>
              </w:rPr>
            </w:pPr>
            <w:r w:rsidRPr="005C59E9">
              <w:rPr>
                <w:rFonts w:ascii="Century Gothic" w:hAnsi="Century Gothic"/>
                <w:b/>
                <w:bCs/>
                <w:sz w:val="20"/>
                <w:szCs w:val="20"/>
              </w:rPr>
              <w:t>Percentage (%)</w:t>
            </w:r>
          </w:p>
        </w:tc>
        <w:tc>
          <w:tcPr>
            <w:tcW w:w="2131" w:type="dxa"/>
          </w:tcPr>
          <w:p w14:paraId="61F8EC9A" w14:textId="77777777" w:rsidR="005C59E9" w:rsidRPr="005C59E9" w:rsidRDefault="005C59E9" w:rsidP="005C59E9">
            <w:pPr>
              <w:pStyle w:val="NormalWeb"/>
              <w:spacing w:before="0" w:beforeAutospacing="0"/>
              <w:jc w:val="center"/>
              <w:rPr>
                <w:rFonts w:ascii="Century Gothic" w:hAnsi="Century Gothic" w:cs="Century Gothic"/>
                <w:b/>
                <w:bCs/>
                <w:sz w:val="20"/>
                <w:szCs w:val="20"/>
              </w:rPr>
            </w:pPr>
            <w:r w:rsidRPr="005C59E9">
              <w:rPr>
                <w:rFonts w:ascii="Century Gothic" w:hAnsi="Century Gothic"/>
                <w:b/>
                <w:bCs/>
                <w:sz w:val="20"/>
                <w:szCs w:val="20"/>
              </w:rPr>
              <w:t>Rank</w:t>
            </w:r>
          </w:p>
        </w:tc>
      </w:tr>
      <w:tr w:rsidR="005C59E9" w:rsidRPr="005C59E9" w14:paraId="65521CFE" w14:textId="77777777" w:rsidTr="009D45D6">
        <w:tc>
          <w:tcPr>
            <w:tcW w:w="2130" w:type="dxa"/>
          </w:tcPr>
          <w:p w14:paraId="134FB2FB"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July</w:t>
            </w:r>
          </w:p>
        </w:tc>
        <w:tc>
          <w:tcPr>
            <w:tcW w:w="2130" w:type="dxa"/>
          </w:tcPr>
          <w:p w14:paraId="7391F064"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36</w:t>
            </w:r>
          </w:p>
        </w:tc>
        <w:tc>
          <w:tcPr>
            <w:tcW w:w="2131" w:type="dxa"/>
          </w:tcPr>
          <w:p w14:paraId="40C028C9"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19.05</w:t>
            </w:r>
          </w:p>
        </w:tc>
        <w:tc>
          <w:tcPr>
            <w:tcW w:w="2131" w:type="dxa"/>
          </w:tcPr>
          <w:p w14:paraId="26E9759F"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1</w:t>
            </w:r>
          </w:p>
        </w:tc>
      </w:tr>
      <w:tr w:rsidR="005C59E9" w:rsidRPr="005C59E9" w14:paraId="5576C68F" w14:textId="77777777" w:rsidTr="009D45D6">
        <w:tc>
          <w:tcPr>
            <w:tcW w:w="2130" w:type="dxa"/>
          </w:tcPr>
          <w:p w14:paraId="1A2F1A03"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August</w:t>
            </w:r>
          </w:p>
        </w:tc>
        <w:tc>
          <w:tcPr>
            <w:tcW w:w="2130" w:type="dxa"/>
          </w:tcPr>
          <w:p w14:paraId="1C05A17C"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33</w:t>
            </w:r>
          </w:p>
        </w:tc>
        <w:tc>
          <w:tcPr>
            <w:tcW w:w="2131" w:type="dxa"/>
          </w:tcPr>
          <w:p w14:paraId="1F10D4F6"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17.46</w:t>
            </w:r>
          </w:p>
        </w:tc>
        <w:tc>
          <w:tcPr>
            <w:tcW w:w="2131" w:type="dxa"/>
          </w:tcPr>
          <w:p w14:paraId="63C69CB5"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2</w:t>
            </w:r>
          </w:p>
        </w:tc>
      </w:tr>
      <w:tr w:rsidR="005C59E9" w:rsidRPr="005C59E9" w14:paraId="32E1E1A2" w14:textId="77777777" w:rsidTr="009D45D6">
        <w:tc>
          <w:tcPr>
            <w:tcW w:w="2130" w:type="dxa"/>
          </w:tcPr>
          <w:p w14:paraId="48AC50FD"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March</w:t>
            </w:r>
          </w:p>
        </w:tc>
        <w:tc>
          <w:tcPr>
            <w:tcW w:w="2130" w:type="dxa"/>
          </w:tcPr>
          <w:p w14:paraId="15ABC91D"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21</w:t>
            </w:r>
          </w:p>
        </w:tc>
        <w:tc>
          <w:tcPr>
            <w:tcW w:w="2131" w:type="dxa"/>
          </w:tcPr>
          <w:p w14:paraId="7A4F10C8"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11.11</w:t>
            </w:r>
          </w:p>
        </w:tc>
        <w:tc>
          <w:tcPr>
            <w:tcW w:w="2131" w:type="dxa"/>
          </w:tcPr>
          <w:p w14:paraId="4643D226"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3</w:t>
            </w:r>
          </w:p>
        </w:tc>
      </w:tr>
      <w:tr w:rsidR="005C59E9" w:rsidRPr="005C59E9" w14:paraId="2C63BBCA" w14:textId="77777777" w:rsidTr="009D45D6">
        <w:tc>
          <w:tcPr>
            <w:tcW w:w="2130" w:type="dxa"/>
          </w:tcPr>
          <w:p w14:paraId="1E99D7EC"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November</w:t>
            </w:r>
          </w:p>
        </w:tc>
        <w:tc>
          <w:tcPr>
            <w:tcW w:w="2130" w:type="dxa"/>
          </w:tcPr>
          <w:p w14:paraId="0EFD4AEF"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3</w:t>
            </w:r>
          </w:p>
        </w:tc>
        <w:tc>
          <w:tcPr>
            <w:tcW w:w="2131" w:type="dxa"/>
          </w:tcPr>
          <w:p w14:paraId="26307044"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1.59</w:t>
            </w:r>
          </w:p>
        </w:tc>
        <w:tc>
          <w:tcPr>
            <w:tcW w:w="2131" w:type="dxa"/>
          </w:tcPr>
          <w:p w14:paraId="2B4FB872"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Lowest</w:t>
            </w:r>
          </w:p>
        </w:tc>
      </w:tr>
      <w:tr w:rsidR="005C59E9" w:rsidRPr="005C59E9" w14:paraId="661F2BA5" w14:textId="77777777" w:rsidTr="009D45D6">
        <w:tc>
          <w:tcPr>
            <w:tcW w:w="2130" w:type="dxa"/>
          </w:tcPr>
          <w:p w14:paraId="09280E13"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December</w:t>
            </w:r>
          </w:p>
        </w:tc>
        <w:tc>
          <w:tcPr>
            <w:tcW w:w="2130" w:type="dxa"/>
          </w:tcPr>
          <w:p w14:paraId="60B0B2A3"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3</w:t>
            </w:r>
          </w:p>
        </w:tc>
        <w:tc>
          <w:tcPr>
            <w:tcW w:w="2131" w:type="dxa"/>
          </w:tcPr>
          <w:p w14:paraId="75C1F8D8"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1.59</w:t>
            </w:r>
          </w:p>
        </w:tc>
        <w:tc>
          <w:tcPr>
            <w:tcW w:w="2131" w:type="dxa"/>
          </w:tcPr>
          <w:p w14:paraId="2D746A4F" w14:textId="77777777" w:rsidR="005C59E9" w:rsidRPr="005C59E9" w:rsidRDefault="005C59E9" w:rsidP="005C59E9">
            <w:pPr>
              <w:pStyle w:val="NormalWeb"/>
              <w:spacing w:before="0" w:beforeAutospacing="0"/>
              <w:jc w:val="center"/>
              <w:rPr>
                <w:rFonts w:ascii="Century Gothic" w:hAnsi="Century Gothic" w:cs="Century Gothic"/>
                <w:sz w:val="20"/>
                <w:szCs w:val="20"/>
              </w:rPr>
            </w:pPr>
            <w:r w:rsidRPr="005C59E9">
              <w:rPr>
                <w:rFonts w:ascii="Century Gothic" w:hAnsi="Century Gothic"/>
                <w:sz w:val="20"/>
                <w:szCs w:val="20"/>
              </w:rPr>
              <w:t>Lowest</w:t>
            </w:r>
          </w:p>
        </w:tc>
      </w:tr>
    </w:tbl>
    <w:p w14:paraId="54DA35B4" w14:textId="77777777" w:rsidR="005C59E9" w:rsidRPr="005C59E9" w:rsidRDefault="005C59E9" w:rsidP="00371906">
      <w:pPr>
        <w:pStyle w:val="NormalWeb"/>
        <w:spacing w:before="0" w:beforeAutospacing="0" w:after="0" w:afterAutospacing="0"/>
        <w:jc w:val="both"/>
        <w:rPr>
          <w:rFonts w:ascii="Century Gothic" w:hAnsi="Century Gothic" w:cs="Century Gothic"/>
          <w:sz w:val="20"/>
          <w:szCs w:val="20"/>
        </w:rPr>
      </w:pPr>
      <w:r w:rsidRPr="005C59E9">
        <w:rPr>
          <w:rFonts w:ascii="Century Gothic" w:hAnsi="Century Gothic" w:cs="Century Gothic"/>
          <w:b/>
          <w:bCs/>
          <w:sz w:val="20"/>
          <w:szCs w:val="20"/>
        </w:rPr>
        <w:t>Source:</w:t>
      </w:r>
      <w:r w:rsidRPr="005C59E9">
        <w:rPr>
          <w:rFonts w:ascii="Century Gothic" w:hAnsi="Century Gothic" w:cs="Century Gothic"/>
          <w:sz w:val="20"/>
          <w:szCs w:val="20"/>
        </w:rPr>
        <w:t xml:space="preserve"> Municipal Health Office of Arakan, Cotabato (2021–2025)</w:t>
      </w:r>
    </w:p>
    <w:p w14:paraId="524B0F49" w14:textId="77777777" w:rsidR="005C59E9" w:rsidRPr="005C59E9" w:rsidRDefault="005C59E9" w:rsidP="00371906">
      <w:pPr>
        <w:pStyle w:val="NormalWeb"/>
        <w:spacing w:before="0" w:beforeAutospacing="0" w:after="0" w:afterAutospacing="0"/>
        <w:jc w:val="both"/>
        <w:rPr>
          <w:rFonts w:ascii="Century Gothic" w:hAnsi="Century Gothic" w:cs="Century Gothic"/>
          <w:sz w:val="20"/>
          <w:szCs w:val="20"/>
        </w:rPr>
      </w:pPr>
      <w:r w:rsidRPr="005C59E9">
        <w:rPr>
          <w:rFonts w:ascii="Century Gothic" w:hAnsi="Century Gothic" w:cs="Century Gothic"/>
          <w:sz w:val="20"/>
          <w:szCs w:val="20"/>
        </w:rPr>
        <w:tab/>
        <w:t>The data identify July as the peak outbreak month, accounting for 36 dengue cases (19.05%), followed by August with 33 cases (17.46%) and March with 21 cases (11.11%). In contrast, November and December recorded the lowest incidence, with only 3 cases (1.59%) each. These results indicate that dengue outbreaks consistently reached their highest levels during the middle of the year, particularly during the rainy season, when conditions favor increased mosquito breeding and disease transmission.</w:t>
      </w:r>
    </w:p>
    <w:p w14:paraId="249635A5" w14:textId="77777777" w:rsidR="005C59E9" w:rsidRPr="005C59E9" w:rsidRDefault="005C59E9" w:rsidP="00371906">
      <w:pPr>
        <w:pStyle w:val="NormalWeb"/>
        <w:spacing w:before="0" w:beforeAutospacing="0" w:after="0" w:afterAutospacing="0"/>
        <w:ind w:firstLine="720"/>
        <w:jc w:val="both"/>
        <w:rPr>
          <w:rFonts w:ascii="Century Gothic" w:hAnsi="Century Gothic" w:cs="Century Gothic"/>
          <w:sz w:val="20"/>
          <w:szCs w:val="20"/>
        </w:rPr>
      </w:pPr>
      <w:r w:rsidRPr="005C59E9">
        <w:rPr>
          <w:rFonts w:ascii="Century Gothic" w:hAnsi="Century Gothic" w:cs="Century Gothic"/>
          <w:sz w:val="20"/>
          <w:szCs w:val="20"/>
        </w:rPr>
        <w:t>The identification of July and August as the peak outbreak months highlights the importance of implementing dengue prevention and control measures before these high-risk periods. Local health authorities should strengthen vector surveillance, environmental cleanup campaigns, and community education activities beginning in the months preceding the rainy season to reduce mosquito breeding sites.</w:t>
      </w:r>
    </w:p>
    <w:p w14:paraId="3194B16A" w14:textId="4DC709A4" w:rsidR="005C59E9" w:rsidRDefault="005C59E9" w:rsidP="00371906">
      <w:pPr>
        <w:pStyle w:val="NormalWeb"/>
        <w:spacing w:before="0" w:beforeAutospacing="0" w:after="0" w:afterAutospacing="0"/>
        <w:ind w:firstLine="720"/>
        <w:jc w:val="both"/>
        <w:rPr>
          <w:rFonts w:ascii="Century Gothic" w:hAnsi="Century Gothic" w:cs="Century Gothic"/>
          <w:sz w:val="20"/>
          <w:szCs w:val="20"/>
        </w:rPr>
      </w:pPr>
      <w:r w:rsidRPr="005C59E9">
        <w:rPr>
          <w:rFonts w:ascii="Century Gothic" w:hAnsi="Century Gothic" w:cs="Century Gothic"/>
          <w:sz w:val="20"/>
          <w:szCs w:val="20"/>
        </w:rPr>
        <w:lastRenderedPageBreak/>
        <w:t>The findings are consistent with the study of Murray et al. (2023), which found that dengue outbreaks in tropical regions commonly peak during periods of increased rainfall due to the expansion of breeding habitats for Aedes aegypti mosquitoes. The authors emphasized that seasonal weather conditions significantly influence mosquito abundance and dengue transmission, making early preventive interventions essential in reducing outbreak risks. The observed peak incidence during July and August in Barangay Greenfield and Doroluman supports this established seasonal pattern of dengue occurrence</w:t>
      </w:r>
      <w:r w:rsidR="00371906">
        <w:rPr>
          <w:rFonts w:ascii="Century Gothic" w:hAnsi="Century Gothic" w:cs="Century Gothic"/>
          <w:sz w:val="20"/>
          <w:szCs w:val="20"/>
        </w:rPr>
        <w:t>.</w:t>
      </w:r>
    </w:p>
    <w:p w14:paraId="67C9A65A" w14:textId="77777777" w:rsidR="00371906" w:rsidRPr="005C59E9" w:rsidRDefault="00371906" w:rsidP="00371906">
      <w:pPr>
        <w:pStyle w:val="NormalWeb"/>
        <w:spacing w:before="0" w:beforeAutospacing="0" w:after="0" w:afterAutospacing="0"/>
        <w:ind w:firstLine="720"/>
        <w:jc w:val="both"/>
        <w:rPr>
          <w:rFonts w:ascii="Century Gothic" w:hAnsi="Century Gothic" w:cs="Century Gothic"/>
          <w:sz w:val="20"/>
          <w:szCs w:val="20"/>
          <w:lang w:val="zh-CN"/>
        </w:rPr>
      </w:pPr>
    </w:p>
    <w:p w14:paraId="30670B5F" w14:textId="77777777" w:rsidR="005C59E9" w:rsidRPr="005C59E9" w:rsidRDefault="005C59E9" w:rsidP="00371906">
      <w:pPr>
        <w:pStyle w:val="NormalWeb"/>
        <w:spacing w:before="0" w:beforeAutospacing="0" w:after="0" w:afterAutospacing="0"/>
        <w:jc w:val="both"/>
        <w:rPr>
          <w:rFonts w:ascii="Century Gothic" w:hAnsi="Century Gothic" w:cs="Century Gothic"/>
          <w:b/>
          <w:bCs/>
          <w:kern w:val="44"/>
          <w:sz w:val="20"/>
          <w:szCs w:val="20"/>
          <w:lang w:val="zh-CN"/>
        </w:rPr>
      </w:pPr>
      <w:r w:rsidRPr="005C59E9">
        <w:rPr>
          <w:rFonts w:ascii="Century Gothic" w:hAnsi="Century Gothic" w:cs="Century Gothic"/>
          <w:b/>
          <w:bCs/>
          <w:kern w:val="44"/>
          <w:sz w:val="20"/>
          <w:szCs w:val="20"/>
          <w:lang w:val="zh-CN"/>
        </w:rPr>
        <w:t>Research Objective 4</w:t>
      </w:r>
    </w:p>
    <w:p w14:paraId="7C2C0982" w14:textId="77777777" w:rsidR="005C59E9" w:rsidRPr="005C59E9" w:rsidRDefault="005C59E9" w:rsidP="00371906">
      <w:pPr>
        <w:pStyle w:val="NormalWeb"/>
        <w:spacing w:before="0" w:beforeAutospacing="0" w:after="0" w:afterAutospacing="0"/>
        <w:jc w:val="both"/>
        <w:rPr>
          <w:rFonts w:ascii="Century Gothic" w:hAnsi="Century Gothic" w:cs="Century Gothic"/>
          <w:b/>
          <w:bCs/>
          <w:sz w:val="20"/>
          <w:szCs w:val="20"/>
        </w:rPr>
      </w:pPr>
      <w:r w:rsidRPr="005C59E9">
        <w:rPr>
          <w:rFonts w:ascii="Century Gothic" w:hAnsi="Century Gothic" w:cs="Century Gothic"/>
          <w:kern w:val="44"/>
          <w:sz w:val="20"/>
          <w:szCs w:val="20"/>
          <w:lang w:val="zh-CN"/>
        </w:rPr>
        <w:tab/>
      </w:r>
      <w:r w:rsidRPr="005C59E9">
        <w:rPr>
          <w:rStyle w:val="Strong"/>
          <w:rFonts w:ascii="Century Gothic" w:hAnsi="Century Gothic" w:cs="Century Gothic"/>
          <w:sz w:val="20"/>
          <w:szCs w:val="20"/>
        </w:rPr>
        <w:t>To compare the dengue incidence between Barangay Greenfield and Barangay Doroluman from 2021 to 2025.</w:t>
      </w:r>
    </w:p>
    <w:p w14:paraId="4075C3CD" w14:textId="77777777" w:rsidR="005C59E9" w:rsidRPr="00371906" w:rsidRDefault="005C59E9" w:rsidP="00371906">
      <w:pPr>
        <w:pStyle w:val="NormalWeb"/>
        <w:spacing w:before="0" w:beforeAutospacing="0" w:after="0" w:afterAutospacing="0"/>
        <w:jc w:val="both"/>
        <w:rPr>
          <w:rFonts w:ascii="Century Gothic" w:hAnsi="Century Gothic" w:cs="Century Gothic"/>
          <w:b/>
          <w:bCs/>
          <w:sz w:val="20"/>
          <w:szCs w:val="20"/>
          <w:lang w:val="zh-CN"/>
        </w:rPr>
      </w:pPr>
      <w:r w:rsidRPr="005C59E9">
        <w:rPr>
          <w:rFonts w:ascii="Century Gothic" w:hAnsi="Century Gothic" w:cs="Century Gothic"/>
          <w:b/>
          <w:bCs/>
          <w:sz w:val="20"/>
          <w:szCs w:val="20"/>
          <w:lang w:val="zh-CN"/>
        </w:rPr>
        <w:t xml:space="preserve">Table 5. </w:t>
      </w:r>
      <w:r w:rsidRPr="00371906">
        <w:rPr>
          <w:rFonts w:ascii="Century Gothic" w:hAnsi="Century Gothic" w:cs="Century Gothic"/>
          <w:b/>
          <w:bCs/>
          <w:sz w:val="20"/>
          <w:szCs w:val="20"/>
          <w:lang w:val="zh-CN"/>
        </w:rPr>
        <w:t>Comparison of Dengue Incidence between Barangay Greenfield and Barangay Doroluman (2021–2025)</w:t>
      </w:r>
    </w:p>
    <w:p w14:paraId="00E567D1" w14:textId="77777777" w:rsidR="005C59E9" w:rsidRPr="005C59E9" w:rsidRDefault="005C59E9" w:rsidP="00371906">
      <w:pPr>
        <w:pStyle w:val="NormalWeb"/>
        <w:spacing w:before="0" w:beforeAutospacing="0" w:after="0" w:afterAutospacing="0"/>
        <w:jc w:val="both"/>
        <w:rPr>
          <w:rFonts w:ascii="Century Gothic" w:hAnsi="Century Gothic" w:cs="Century Gothic"/>
          <w:i/>
          <w:iCs/>
          <w:sz w:val="20"/>
          <w:szCs w:val="20"/>
          <w:lang w:val="zh-CN"/>
        </w:rPr>
      </w:pPr>
      <w:r w:rsidRPr="005C59E9">
        <w:rPr>
          <w:rFonts w:ascii="Century Gothic" w:hAnsi="Century Gothic" w:cs="Century Gothic"/>
          <w:i/>
          <w:iCs/>
          <w:sz w:val="20"/>
          <w:szCs w:val="20"/>
          <w:lang w:val="zh-CN"/>
        </w:rPr>
        <w:tab/>
        <w:t>Table 5 compares the total dengue cases recorded in Barangay Greenfield and Doroluman during the five-year study period to determine which barangay experienced a higher disease burden.</w:t>
      </w:r>
    </w:p>
    <w:tbl>
      <w:tblPr>
        <w:tblStyle w:val="TableGrid"/>
        <w:tblW w:w="0" w:type="auto"/>
        <w:tblLook w:val="04A0" w:firstRow="1" w:lastRow="0" w:firstColumn="1" w:lastColumn="0" w:noHBand="0" w:noVBand="1"/>
      </w:tblPr>
      <w:tblGrid>
        <w:gridCol w:w="2840"/>
        <w:gridCol w:w="2841"/>
        <w:gridCol w:w="2841"/>
      </w:tblGrid>
      <w:tr w:rsidR="005C59E9" w:rsidRPr="005C59E9" w14:paraId="782B31A8" w14:textId="77777777" w:rsidTr="009D45D6">
        <w:tc>
          <w:tcPr>
            <w:tcW w:w="2840" w:type="dxa"/>
            <w:vAlign w:val="center"/>
          </w:tcPr>
          <w:p w14:paraId="7BCC7651" w14:textId="77777777" w:rsidR="005C59E9" w:rsidRPr="005C59E9" w:rsidRDefault="005C59E9" w:rsidP="005C59E9">
            <w:pPr>
              <w:pStyle w:val="NormalWeb"/>
              <w:spacing w:before="0" w:beforeAutospacing="0"/>
              <w:jc w:val="center"/>
              <w:rPr>
                <w:rStyle w:val="Emphasis"/>
                <w:rFonts w:ascii="Century Gothic" w:hAnsi="Century Gothic" w:cs="Century Gothic"/>
                <w:sz w:val="20"/>
                <w:szCs w:val="20"/>
              </w:rPr>
            </w:pPr>
            <w:r w:rsidRPr="005C59E9">
              <w:rPr>
                <w:rFonts w:ascii="Century Gothic" w:hAnsi="Century Gothic"/>
                <w:b/>
                <w:bCs/>
                <w:sz w:val="20"/>
                <w:szCs w:val="20"/>
              </w:rPr>
              <w:t>Barangay</w:t>
            </w:r>
          </w:p>
        </w:tc>
        <w:tc>
          <w:tcPr>
            <w:tcW w:w="2841" w:type="dxa"/>
            <w:vAlign w:val="center"/>
          </w:tcPr>
          <w:p w14:paraId="6DE406DF" w14:textId="77777777" w:rsidR="005C59E9" w:rsidRPr="005C59E9" w:rsidRDefault="005C59E9" w:rsidP="005C59E9">
            <w:pPr>
              <w:pStyle w:val="NormalWeb"/>
              <w:spacing w:before="0" w:beforeAutospacing="0"/>
              <w:jc w:val="center"/>
              <w:rPr>
                <w:rStyle w:val="Emphasis"/>
                <w:rFonts w:ascii="Century Gothic" w:hAnsi="Century Gothic" w:cs="Century Gothic"/>
                <w:sz w:val="20"/>
                <w:szCs w:val="20"/>
              </w:rPr>
            </w:pPr>
            <w:r w:rsidRPr="005C59E9">
              <w:rPr>
                <w:rFonts w:ascii="Century Gothic" w:hAnsi="Century Gothic"/>
                <w:b/>
                <w:bCs/>
                <w:sz w:val="20"/>
                <w:szCs w:val="20"/>
              </w:rPr>
              <w:t>Cases</w:t>
            </w:r>
          </w:p>
        </w:tc>
        <w:tc>
          <w:tcPr>
            <w:tcW w:w="2841" w:type="dxa"/>
            <w:vAlign w:val="center"/>
          </w:tcPr>
          <w:p w14:paraId="5FE891B8" w14:textId="77777777" w:rsidR="005C59E9" w:rsidRPr="005C59E9" w:rsidRDefault="005C59E9" w:rsidP="005C59E9">
            <w:pPr>
              <w:pStyle w:val="NormalWeb"/>
              <w:spacing w:before="0" w:beforeAutospacing="0"/>
              <w:jc w:val="center"/>
              <w:rPr>
                <w:rStyle w:val="Emphasis"/>
                <w:rFonts w:ascii="Century Gothic" w:hAnsi="Century Gothic" w:cs="Century Gothic"/>
                <w:sz w:val="20"/>
                <w:szCs w:val="20"/>
              </w:rPr>
            </w:pPr>
            <w:r w:rsidRPr="005C59E9">
              <w:rPr>
                <w:rFonts w:ascii="Century Gothic" w:hAnsi="Century Gothic"/>
                <w:b/>
                <w:bCs/>
                <w:sz w:val="20"/>
                <w:szCs w:val="20"/>
              </w:rPr>
              <w:t>Percentage (%)</w:t>
            </w:r>
          </w:p>
        </w:tc>
      </w:tr>
      <w:tr w:rsidR="005C59E9" w:rsidRPr="005C59E9" w14:paraId="2DD3B995" w14:textId="77777777" w:rsidTr="009D45D6">
        <w:trPr>
          <w:trHeight w:val="387"/>
        </w:trPr>
        <w:tc>
          <w:tcPr>
            <w:tcW w:w="2840" w:type="dxa"/>
            <w:vAlign w:val="center"/>
          </w:tcPr>
          <w:p w14:paraId="2C1CF6DD" w14:textId="77777777" w:rsidR="005C59E9" w:rsidRPr="005C59E9" w:rsidRDefault="005C59E9" w:rsidP="005C59E9">
            <w:pPr>
              <w:pStyle w:val="NormalWeb"/>
              <w:spacing w:before="0" w:beforeAutospacing="0"/>
              <w:jc w:val="center"/>
              <w:rPr>
                <w:rStyle w:val="Emphasis"/>
                <w:rFonts w:ascii="Century Gothic" w:hAnsi="Century Gothic" w:cs="Century Gothic"/>
                <w:sz w:val="20"/>
                <w:szCs w:val="20"/>
              </w:rPr>
            </w:pPr>
            <w:r w:rsidRPr="005C59E9">
              <w:rPr>
                <w:rFonts w:ascii="Century Gothic" w:hAnsi="Century Gothic"/>
                <w:sz w:val="20"/>
                <w:szCs w:val="20"/>
              </w:rPr>
              <w:t>Greenfield</w:t>
            </w:r>
          </w:p>
        </w:tc>
        <w:tc>
          <w:tcPr>
            <w:tcW w:w="2841" w:type="dxa"/>
            <w:vAlign w:val="center"/>
          </w:tcPr>
          <w:p w14:paraId="6E374770" w14:textId="77777777" w:rsidR="005C59E9" w:rsidRPr="005C59E9" w:rsidRDefault="005C59E9" w:rsidP="005C59E9">
            <w:pPr>
              <w:pStyle w:val="NormalWeb"/>
              <w:spacing w:before="0" w:beforeAutospacing="0"/>
              <w:jc w:val="center"/>
              <w:rPr>
                <w:rStyle w:val="Emphasis"/>
                <w:rFonts w:ascii="Century Gothic" w:hAnsi="Century Gothic" w:cs="Century Gothic"/>
                <w:sz w:val="20"/>
                <w:szCs w:val="20"/>
              </w:rPr>
            </w:pPr>
            <w:r w:rsidRPr="005C59E9">
              <w:rPr>
                <w:rFonts w:ascii="Century Gothic" w:hAnsi="Century Gothic"/>
                <w:sz w:val="20"/>
                <w:szCs w:val="20"/>
              </w:rPr>
              <w:t>127</w:t>
            </w:r>
          </w:p>
        </w:tc>
        <w:tc>
          <w:tcPr>
            <w:tcW w:w="2841" w:type="dxa"/>
            <w:vAlign w:val="center"/>
          </w:tcPr>
          <w:p w14:paraId="59BC74A5" w14:textId="77777777" w:rsidR="005C59E9" w:rsidRPr="005C59E9" w:rsidRDefault="005C59E9" w:rsidP="005C59E9">
            <w:pPr>
              <w:pStyle w:val="NormalWeb"/>
              <w:spacing w:before="0" w:beforeAutospacing="0"/>
              <w:jc w:val="center"/>
              <w:rPr>
                <w:rStyle w:val="Emphasis"/>
                <w:rFonts w:ascii="Century Gothic" w:hAnsi="Century Gothic" w:cs="Century Gothic"/>
                <w:sz w:val="20"/>
                <w:szCs w:val="20"/>
              </w:rPr>
            </w:pPr>
            <w:r w:rsidRPr="005C59E9">
              <w:rPr>
                <w:rFonts w:ascii="Century Gothic" w:hAnsi="Century Gothic"/>
                <w:sz w:val="20"/>
                <w:szCs w:val="20"/>
              </w:rPr>
              <w:t>64.55</w:t>
            </w:r>
          </w:p>
        </w:tc>
      </w:tr>
      <w:tr w:rsidR="005C59E9" w:rsidRPr="005C59E9" w14:paraId="753301D5" w14:textId="77777777" w:rsidTr="009D45D6">
        <w:tc>
          <w:tcPr>
            <w:tcW w:w="2840" w:type="dxa"/>
            <w:vAlign w:val="center"/>
          </w:tcPr>
          <w:p w14:paraId="2E83423A" w14:textId="77777777" w:rsidR="005C59E9" w:rsidRPr="005C59E9" w:rsidRDefault="005C59E9" w:rsidP="005C59E9">
            <w:pPr>
              <w:pStyle w:val="NormalWeb"/>
              <w:spacing w:before="0" w:beforeAutospacing="0"/>
              <w:jc w:val="center"/>
              <w:rPr>
                <w:rStyle w:val="Emphasis"/>
                <w:rFonts w:ascii="Century Gothic" w:hAnsi="Century Gothic" w:cs="Century Gothic"/>
                <w:sz w:val="20"/>
                <w:szCs w:val="20"/>
              </w:rPr>
            </w:pPr>
            <w:r w:rsidRPr="005C59E9">
              <w:rPr>
                <w:rFonts w:ascii="Century Gothic" w:hAnsi="Century Gothic"/>
                <w:sz w:val="20"/>
                <w:szCs w:val="20"/>
              </w:rPr>
              <w:t>Doroluman</w:t>
            </w:r>
          </w:p>
        </w:tc>
        <w:tc>
          <w:tcPr>
            <w:tcW w:w="2841" w:type="dxa"/>
            <w:vAlign w:val="center"/>
          </w:tcPr>
          <w:p w14:paraId="7C906E47" w14:textId="77777777" w:rsidR="005C59E9" w:rsidRPr="005C59E9" w:rsidRDefault="005C59E9" w:rsidP="005C59E9">
            <w:pPr>
              <w:pStyle w:val="NormalWeb"/>
              <w:spacing w:before="0" w:beforeAutospacing="0"/>
              <w:jc w:val="center"/>
              <w:rPr>
                <w:rStyle w:val="Emphasis"/>
                <w:rFonts w:ascii="Century Gothic" w:hAnsi="Century Gothic" w:cs="Century Gothic"/>
                <w:sz w:val="20"/>
                <w:szCs w:val="20"/>
              </w:rPr>
            </w:pPr>
            <w:r w:rsidRPr="005C59E9">
              <w:rPr>
                <w:rFonts w:ascii="Century Gothic" w:hAnsi="Century Gothic"/>
                <w:sz w:val="20"/>
                <w:szCs w:val="20"/>
              </w:rPr>
              <w:t>64</w:t>
            </w:r>
          </w:p>
        </w:tc>
        <w:tc>
          <w:tcPr>
            <w:tcW w:w="2841" w:type="dxa"/>
            <w:vAlign w:val="center"/>
          </w:tcPr>
          <w:p w14:paraId="4BE3975F" w14:textId="77777777" w:rsidR="005C59E9" w:rsidRPr="005C59E9" w:rsidRDefault="005C59E9" w:rsidP="005C59E9">
            <w:pPr>
              <w:pStyle w:val="NormalWeb"/>
              <w:spacing w:before="0" w:beforeAutospacing="0"/>
              <w:jc w:val="center"/>
              <w:rPr>
                <w:rStyle w:val="Emphasis"/>
                <w:rFonts w:ascii="Century Gothic" w:hAnsi="Century Gothic" w:cs="Century Gothic"/>
                <w:sz w:val="20"/>
                <w:szCs w:val="20"/>
              </w:rPr>
            </w:pPr>
            <w:r w:rsidRPr="005C59E9">
              <w:rPr>
                <w:rFonts w:ascii="Century Gothic" w:hAnsi="Century Gothic"/>
                <w:sz w:val="20"/>
                <w:szCs w:val="20"/>
              </w:rPr>
              <w:t>35.45</w:t>
            </w:r>
          </w:p>
        </w:tc>
      </w:tr>
      <w:tr w:rsidR="005C59E9" w:rsidRPr="005C59E9" w14:paraId="250C7823" w14:textId="77777777" w:rsidTr="009D45D6">
        <w:tc>
          <w:tcPr>
            <w:tcW w:w="2840" w:type="dxa"/>
            <w:vAlign w:val="center"/>
          </w:tcPr>
          <w:p w14:paraId="40DA3EEA" w14:textId="77777777" w:rsidR="005C59E9" w:rsidRPr="005C59E9" w:rsidRDefault="005C59E9" w:rsidP="005C59E9">
            <w:pPr>
              <w:pStyle w:val="NormalWeb"/>
              <w:spacing w:before="0" w:beforeAutospacing="0"/>
              <w:jc w:val="center"/>
              <w:rPr>
                <w:rStyle w:val="Emphasis"/>
                <w:rFonts w:ascii="Century Gothic" w:hAnsi="Century Gothic" w:cs="Century Gothic"/>
                <w:sz w:val="20"/>
                <w:szCs w:val="20"/>
              </w:rPr>
            </w:pPr>
            <w:r w:rsidRPr="005C59E9">
              <w:rPr>
                <w:rStyle w:val="Strong"/>
                <w:rFonts w:ascii="Century Gothic" w:hAnsi="Century Gothic"/>
                <w:sz w:val="20"/>
                <w:szCs w:val="20"/>
              </w:rPr>
              <w:t>Total</w:t>
            </w:r>
          </w:p>
        </w:tc>
        <w:tc>
          <w:tcPr>
            <w:tcW w:w="2841" w:type="dxa"/>
            <w:vAlign w:val="center"/>
          </w:tcPr>
          <w:p w14:paraId="0FAC7EA3" w14:textId="77777777" w:rsidR="005C59E9" w:rsidRPr="005C59E9" w:rsidRDefault="005C59E9" w:rsidP="005C59E9">
            <w:pPr>
              <w:pStyle w:val="NormalWeb"/>
              <w:spacing w:before="0" w:beforeAutospacing="0"/>
              <w:jc w:val="center"/>
              <w:rPr>
                <w:rStyle w:val="Emphasis"/>
                <w:rFonts w:ascii="Century Gothic" w:hAnsi="Century Gothic" w:cs="Century Gothic"/>
                <w:sz w:val="20"/>
                <w:szCs w:val="20"/>
              </w:rPr>
            </w:pPr>
            <w:r w:rsidRPr="005C59E9">
              <w:rPr>
                <w:rStyle w:val="Strong"/>
                <w:rFonts w:ascii="Century Gothic" w:hAnsi="Century Gothic"/>
                <w:sz w:val="20"/>
                <w:szCs w:val="20"/>
              </w:rPr>
              <w:t>191</w:t>
            </w:r>
          </w:p>
        </w:tc>
        <w:tc>
          <w:tcPr>
            <w:tcW w:w="2841" w:type="dxa"/>
            <w:vAlign w:val="center"/>
          </w:tcPr>
          <w:p w14:paraId="6782EEB5" w14:textId="77777777" w:rsidR="005C59E9" w:rsidRPr="005C59E9" w:rsidRDefault="005C59E9" w:rsidP="005C59E9">
            <w:pPr>
              <w:pStyle w:val="NormalWeb"/>
              <w:spacing w:before="0" w:beforeAutospacing="0"/>
              <w:jc w:val="center"/>
              <w:rPr>
                <w:rStyle w:val="Emphasis"/>
                <w:rFonts w:ascii="Century Gothic" w:hAnsi="Century Gothic" w:cs="Century Gothic"/>
                <w:sz w:val="20"/>
                <w:szCs w:val="20"/>
              </w:rPr>
            </w:pPr>
            <w:r w:rsidRPr="005C59E9">
              <w:rPr>
                <w:rStyle w:val="Strong"/>
                <w:rFonts w:ascii="Century Gothic" w:hAnsi="Century Gothic"/>
                <w:sz w:val="20"/>
                <w:szCs w:val="20"/>
              </w:rPr>
              <w:t>100.00</w:t>
            </w:r>
          </w:p>
        </w:tc>
      </w:tr>
    </w:tbl>
    <w:p w14:paraId="6A699D25" w14:textId="77777777" w:rsidR="005C59E9" w:rsidRPr="005C59E9" w:rsidRDefault="005C59E9" w:rsidP="005C59E9">
      <w:pPr>
        <w:pStyle w:val="NormalWeb"/>
        <w:spacing w:before="0" w:beforeAutospacing="0"/>
        <w:jc w:val="both"/>
        <w:rPr>
          <w:rFonts w:ascii="Century Gothic" w:hAnsi="Century Gothic" w:cs="Century Gothic"/>
          <w:sz w:val="20"/>
          <w:szCs w:val="20"/>
        </w:rPr>
      </w:pPr>
      <w:r w:rsidRPr="005C59E9">
        <w:rPr>
          <w:rFonts w:ascii="Century Gothic" w:hAnsi="Century Gothic" w:cs="Century Gothic"/>
          <w:b/>
          <w:bCs/>
          <w:sz w:val="20"/>
          <w:szCs w:val="20"/>
        </w:rPr>
        <w:t>Source:</w:t>
      </w:r>
      <w:r w:rsidRPr="005C59E9">
        <w:rPr>
          <w:rFonts w:ascii="Century Gothic" w:hAnsi="Century Gothic" w:cs="Century Gothic"/>
          <w:sz w:val="20"/>
          <w:szCs w:val="20"/>
        </w:rPr>
        <w:t xml:space="preserve"> Municipal Health Office of Arakan, Cotabato (2021–2025)</w:t>
      </w:r>
    </w:p>
    <w:p w14:paraId="70BE8AC0" w14:textId="77777777" w:rsidR="005C59E9" w:rsidRPr="005C59E9" w:rsidRDefault="005C59E9" w:rsidP="00371906">
      <w:pPr>
        <w:pStyle w:val="NormalWeb"/>
        <w:spacing w:before="0" w:beforeAutospacing="0" w:after="0" w:afterAutospacing="0"/>
        <w:ind w:firstLine="720"/>
        <w:jc w:val="both"/>
        <w:rPr>
          <w:rFonts w:ascii="Century Gothic" w:hAnsi="Century Gothic" w:cs="Century Gothic"/>
          <w:sz w:val="20"/>
          <w:szCs w:val="20"/>
          <w:lang w:val="zh-CN"/>
        </w:rPr>
      </w:pPr>
      <w:r w:rsidRPr="005C59E9">
        <w:rPr>
          <w:rFonts w:ascii="Century Gothic" w:hAnsi="Century Gothic" w:cs="Century Gothic"/>
          <w:sz w:val="20"/>
          <w:szCs w:val="20"/>
          <w:lang w:val="zh-CN"/>
        </w:rPr>
        <w:t>The data show that Barangay Greenfield recorded 127 dengue cases (64.55%), which is nearly twice the number reported in Barangay Doroluman with 64 cases (35.45%) during the five-year study period. This indicates that Barangay Greenfield experienced a substantially higher dengue burden than Barangay Doroluman from 2021 to 2025. The difference in dengue incidence suggests that local environmental conditions, population characteristics, and exposure to mosquito breeding sites may have contributed to the higher transmission in Barangay Greenfield.</w:t>
      </w:r>
    </w:p>
    <w:p w14:paraId="58DDE0AF" w14:textId="77777777" w:rsidR="005C59E9" w:rsidRPr="005C59E9" w:rsidRDefault="005C59E9" w:rsidP="00371906">
      <w:pPr>
        <w:pStyle w:val="NormalWeb"/>
        <w:spacing w:before="0" w:beforeAutospacing="0" w:after="0" w:afterAutospacing="0"/>
        <w:ind w:firstLine="720"/>
        <w:jc w:val="both"/>
        <w:rPr>
          <w:rFonts w:ascii="Century Gothic" w:hAnsi="Century Gothic" w:cs="Century Gothic"/>
          <w:sz w:val="20"/>
          <w:szCs w:val="20"/>
          <w:lang w:val="zh-CN"/>
        </w:rPr>
      </w:pPr>
      <w:r w:rsidRPr="005C59E9">
        <w:rPr>
          <w:rFonts w:ascii="Century Gothic" w:hAnsi="Century Gothic" w:cs="Century Gothic"/>
          <w:sz w:val="20"/>
          <w:szCs w:val="20"/>
          <w:lang w:val="zh-CN"/>
        </w:rPr>
        <w:t>The higher incidence of dengue in Barangay Greenfield underscores the need for targeted and intensified public health interventions in the barangay. Local government units should strengthen vector control measures, improve environmental sanitation, promote proper waste management, and encourage community participation in eliminating mosquito breeding sites. Allocating more resources to high-risk areas such as Barangay Greenfield can enhance dengue prevention efforts and reduce future disease transmission.</w:t>
      </w:r>
    </w:p>
    <w:p w14:paraId="51F8DE97" w14:textId="02C50B23" w:rsidR="005C59E9" w:rsidRDefault="005C59E9" w:rsidP="00371906">
      <w:pPr>
        <w:pStyle w:val="NormalWeb"/>
        <w:spacing w:before="0" w:beforeAutospacing="0" w:after="0" w:afterAutospacing="0"/>
        <w:ind w:firstLine="720"/>
        <w:jc w:val="both"/>
        <w:rPr>
          <w:rFonts w:ascii="Century Gothic" w:eastAsia="SimSun" w:hAnsi="Century Gothic" w:cs="Century Gothic"/>
          <w:sz w:val="20"/>
          <w:szCs w:val="20"/>
          <w:lang w:val="zh-CN" w:eastAsia="zh-CN"/>
        </w:rPr>
      </w:pPr>
      <w:r w:rsidRPr="005C59E9">
        <w:rPr>
          <w:rFonts w:ascii="Century Gothic" w:hAnsi="Century Gothic" w:cs="Century Gothic"/>
          <w:sz w:val="20"/>
          <w:szCs w:val="20"/>
          <w:lang w:val="zh-CN"/>
        </w:rPr>
        <w:t>The findings are supported by Brady et al. (2022), who reported that differences in dengue incidence among communities are often associated with variations in population density, environmental conditions, urbanization, and the availability of breeding habitats for Aedes aegypti. The authors emphasized that communities with greater human population concentration and more favorable mosquito breeding environments tend to experience higher dengue transmission. The higher number of cases recorded in Barangay Greenfield compared with Barangay Doroluman is consistent with these observations.</w:t>
      </w:r>
    </w:p>
    <w:p w14:paraId="5C4901E6" w14:textId="77DAB9A2" w:rsidR="00371906" w:rsidRDefault="00371906" w:rsidP="00371906">
      <w:pPr>
        <w:pStyle w:val="NormalWeb"/>
        <w:spacing w:before="0" w:beforeAutospacing="0" w:after="0" w:afterAutospacing="0"/>
        <w:ind w:firstLine="720"/>
        <w:jc w:val="both"/>
        <w:rPr>
          <w:rFonts w:ascii="Century Gothic" w:eastAsia="SimSun" w:hAnsi="Century Gothic" w:cs="Century Gothic"/>
          <w:sz w:val="20"/>
          <w:szCs w:val="20"/>
          <w:lang w:val="zh-CN" w:eastAsia="zh-CN"/>
        </w:rPr>
      </w:pPr>
    </w:p>
    <w:p w14:paraId="1D106DF8" w14:textId="1A578F26" w:rsidR="00371906" w:rsidRDefault="00371906" w:rsidP="00371906">
      <w:pPr>
        <w:pStyle w:val="NormalWeb"/>
        <w:spacing w:before="0" w:beforeAutospacing="0" w:after="0" w:afterAutospacing="0"/>
        <w:ind w:firstLine="720"/>
        <w:jc w:val="both"/>
        <w:rPr>
          <w:rFonts w:ascii="Century Gothic" w:eastAsia="SimSun" w:hAnsi="Century Gothic" w:cs="Century Gothic"/>
          <w:sz w:val="20"/>
          <w:szCs w:val="20"/>
          <w:lang w:val="zh-CN" w:eastAsia="zh-CN"/>
        </w:rPr>
      </w:pPr>
    </w:p>
    <w:p w14:paraId="2C1B664B" w14:textId="32301BA5" w:rsidR="00371906" w:rsidRDefault="00371906" w:rsidP="00371906">
      <w:pPr>
        <w:pStyle w:val="NormalWeb"/>
        <w:spacing w:before="0" w:beforeAutospacing="0" w:after="0" w:afterAutospacing="0"/>
        <w:ind w:firstLine="720"/>
        <w:jc w:val="both"/>
        <w:rPr>
          <w:rFonts w:ascii="Century Gothic" w:eastAsia="SimSun" w:hAnsi="Century Gothic" w:cs="Century Gothic"/>
          <w:sz w:val="20"/>
          <w:szCs w:val="20"/>
          <w:lang w:val="zh-CN" w:eastAsia="zh-CN"/>
        </w:rPr>
      </w:pPr>
    </w:p>
    <w:p w14:paraId="7AA15EF5" w14:textId="1BC4CAED" w:rsidR="00371906" w:rsidRDefault="00371906" w:rsidP="00371906">
      <w:pPr>
        <w:pStyle w:val="NormalWeb"/>
        <w:spacing w:before="0" w:beforeAutospacing="0" w:after="0" w:afterAutospacing="0"/>
        <w:ind w:firstLine="720"/>
        <w:jc w:val="both"/>
        <w:rPr>
          <w:rFonts w:ascii="Century Gothic" w:eastAsia="SimSun" w:hAnsi="Century Gothic" w:cs="Century Gothic"/>
          <w:sz w:val="20"/>
          <w:szCs w:val="20"/>
          <w:lang w:val="zh-CN" w:eastAsia="zh-CN"/>
        </w:rPr>
      </w:pPr>
    </w:p>
    <w:p w14:paraId="67A9AB8E" w14:textId="73274F08" w:rsidR="00371906" w:rsidRDefault="00371906" w:rsidP="00371906">
      <w:pPr>
        <w:pStyle w:val="NormalWeb"/>
        <w:spacing w:before="0" w:beforeAutospacing="0" w:after="0" w:afterAutospacing="0"/>
        <w:ind w:firstLine="720"/>
        <w:jc w:val="both"/>
        <w:rPr>
          <w:rFonts w:ascii="Century Gothic" w:eastAsia="SimSun" w:hAnsi="Century Gothic" w:cs="Century Gothic"/>
          <w:sz w:val="20"/>
          <w:szCs w:val="20"/>
          <w:lang w:val="zh-CN" w:eastAsia="zh-CN"/>
        </w:rPr>
      </w:pPr>
    </w:p>
    <w:p w14:paraId="460FEE0D" w14:textId="6C2C4435" w:rsidR="00371906" w:rsidRDefault="00371906" w:rsidP="00371906">
      <w:pPr>
        <w:pStyle w:val="NormalWeb"/>
        <w:spacing w:before="0" w:beforeAutospacing="0" w:after="0" w:afterAutospacing="0"/>
        <w:ind w:firstLine="720"/>
        <w:jc w:val="both"/>
        <w:rPr>
          <w:rFonts w:ascii="Century Gothic" w:eastAsia="SimSun" w:hAnsi="Century Gothic" w:cs="Century Gothic"/>
          <w:sz w:val="20"/>
          <w:szCs w:val="20"/>
          <w:lang w:val="zh-CN" w:eastAsia="zh-CN"/>
        </w:rPr>
      </w:pPr>
    </w:p>
    <w:p w14:paraId="79419D23" w14:textId="65363987" w:rsidR="00371906" w:rsidRDefault="00371906" w:rsidP="00371906">
      <w:pPr>
        <w:pStyle w:val="NormalWeb"/>
        <w:spacing w:before="0" w:beforeAutospacing="0" w:after="0" w:afterAutospacing="0"/>
        <w:ind w:firstLine="720"/>
        <w:jc w:val="both"/>
        <w:rPr>
          <w:rFonts w:ascii="Century Gothic" w:eastAsia="SimSun" w:hAnsi="Century Gothic" w:cs="Century Gothic"/>
          <w:sz w:val="20"/>
          <w:szCs w:val="20"/>
          <w:lang w:val="zh-CN" w:eastAsia="zh-CN"/>
        </w:rPr>
      </w:pPr>
    </w:p>
    <w:p w14:paraId="6C49ECF2" w14:textId="6B13F83F" w:rsidR="00371906" w:rsidRDefault="00371906" w:rsidP="00371906">
      <w:pPr>
        <w:pStyle w:val="NormalWeb"/>
        <w:spacing w:before="0" w:beforeAutospacing="0" w:after="0" w:afterAutospacing="0"/>
        <w:ind w:firstLine="720"/>
        <w:jc w:val="both"/>
        <w:rPr>
          <w:rFonts w:ascii="Century Gothic" w:eastAsia="SimSun" w:hAnsi="Century Gothic" w:cs="Century Gothic"/>
          <w:sz w:val="20"/>
          <w:szCs w:val="20"/>
          <w:lang w:val="zh-CN" w:eastAsia="zh-CN"/>
        </w:rPr>
      </w:pPr>
    </w:p>
    <w:p w14:paraId="78277E4C" w14:textId="1E251BBA" w:rsidR="00371906" w:rsidRDefault="00371906" w:rsidP="00371906">
      <w:pPr>
        <w:pStyle w:val="NormalWeb"/>
        <w:spacing w:before="0" w:beforeAutospacing="0" w:after="0" w:afterAutospacing="0"/>
        <w:ind w:firstLine="720"/>
        <w:jc w:val="both"/>
        <w:rPr>
          <w:rFonts w:ascii="Century Gothic" w:eastAsia="SimSun" w:hAnsi="Century Gothic" w:cs="Century Gothic"/>
          <w:sz w:val="20"/>
          <w:szCs w:val="20"/>
          <w:lang w:val="zh-CN" w:eastAsia="zh-CN"/>
        </w:rPr>
      </w:pPr>
    </w:p>
    <w:p w14:paraId="10A57AA0" w14:textId="375E0D9D" w:rsidR="00371906" w:rsidRDefault="00371906" w:rsidP="00371906">
      <w:pPr>
        <w:pStyle w:val="NormalWeb"/>
        <w:spacing w:before="0" w:beforeAutospacing="0" w:after="0" w:afterAutospacing="0"/>
        <w:ind w:firstLine="720"/>
        <w:jc w:val="both"/>
        <w:rPr>
          <w:rFonts w:ascii="Century Gothic" w:eastAsia="SimSun" w:hAnsi="Century Gothic" w:cs="Century Gothic"/>
          <w:sz w:val="20"/>
          <w:szCs w:val="20"/>
          <w:lang w:val="zh-CN" w:eastAsia="zh-CN"/>
        </w:rPr>
      </w:pPr>
    </w:p>
    <w:p w14:paraId="2E3D106F" w14:textId="77AC4857" w:rsidR="00371906" w:rsidRDefault="00371906" w:rsidP="00371906">
      <w:pPr>
        <w:pStyle w:val="NormalWeb"/>
        <w:spacing w:before="0" w:beforeAutospacing="0" w:after="0" w:afterAutospacing="0"/>
        <w:ind w:firstLine="720"/>
        <w:jc w:val="both"/>
        <w:rPr>
          <w:rFonts w:ascii="Century Gothic" w:eastAsia="SimSun" w:hAnsi="Century Gothic" w:cs="Century Gothic"/>
          <w:sz w:val="20"/>
          <w:szCs w:val="20"/>
          <w:lang w:val="zh-CN" w:eastAsia="zh-CN"/>
        </w:rPr>
      </w:pPr>
    </w:p>
    <w:p w14:paraId="27601F87" w14:textId="2DA64381" w:rsidR="00371906" w:rsidRDefault="00371906" w:rsidP="00371906">
      <w:pPr>
        <w:pStyle w:val="NormalWeb"/>
        <w:spacing w:before="0" w:beforeAutospacing="0" w:after="0" w:afterAutospacing="0"/>
        <w:ind w:firstLine="720"/>
        <w:jc w:val="both"/>
        <w:rPr>
          <w:rFonts w:ascii="Century Gothic" w:eastAsia="SimSun" w:hAnsi="Century Gothic" w:cs="Century Gothic"/>
          <w:sz w:val="20"/>
          <w:szCs w:val="20"/>
          <w:lang w:val="zh-CN" w:eastAsia="zh-CN"/>
        </w:rPr>
      </w:pPr>
    </w:p>
    <w:p w14:paraId="5E786DF3" w14:textId="4D1EE50F" w:rsidR="00371906" w:rsidRDefault="00371906" w:rsidP="00371906">
      <w:pPr>
        <w:pStyle w:val="NormalWeb"/>
        <w:spacing w:before="0" w:beforeAutospacing="0" w:after="0" w:afterAutospacing="0"/>
        <w:ind w:firstLine="720"/>
        <w:jc w:val="both"/>
        <w:rPr>
          <w:rFonts w:ascii="Century Gothic" w:eastAsia="SimSun" w:hAnsi="Century Gothic" w:cs="Century Gothic"/>
          <w:sz w:val="20"/>
          <w:szCs w:val="20"/>
          <w:lang w:val="zh-CN" w:eastAsia="zh-CN"/>
        </w:rPr>
      </w:pPr>
    </w:p>
    <w:p w14:paraId="35464BDD" w14:textId="64D927D6" w:rsidR="00371906" w:rsidRDefault="00371906" w:rsidP="00371906">
      <w:pPr>
        <w:pStyle w:val="NormalWeb"/>
        <w:spacing w:before="0" w:beforeAutospacing="0" w:after="0" w:afterAutospacing="0"/>
        <w:ind w:firstLine="720"/>
        <w:jc w:val="both"/>
        <w:rPr>
          <w:rFonts w:ascii="Century Gothic" w:eastAsia="SimSun" w:hAnsi="Century Gothic" w:cs="Century Gothic"/>
          <w:sz w:val="20"/>
          <w:szCs w:val="20"/>
          <w:lang w:val="zh-CN" w:eastAsia="zh-CN"/>
        </w:rPr>
      </w:pPr>
    </w:p>
    <w:p w14:paraId="79DA32AD" w14:textId="42D7134E" w:rsidR="00371906" w:rsidRDefault="00371906" w:rsidP="00371906">
      <w:pPr>
        <w:pStyle w:val="NormalWeb"/>
        <w:spacing w:before="0" w:beforeAutospacing="0" w:after="0" w:afterAutospacing="0"/>
        <w:ind w:firstLine="720"/>
        <w:jc w:val="both"/>
        <w:rPr>
          <w:rFonts w:ascii="Century Gothic" w:eastAsia="SimSun" w:hAnsi="Century Gothic" w:cs="Century Gothic"/>
          <w:sz w:val="20"/>
          <w:szCs w:val="20"/>
          <w:lang w:val="zh-CN" w:eastAsia="zh-CN"/>
        </w:rPr>
      </w:pPr>
    </w:p>
    <w:p w14:paraId="500C65EF" w14:textId="06AF706C" w:rsidR="00371906" w:rsidRDefault="00371906" w:rsidP="00371906">
      <w:pPr>
        <w:pStyle w:val="NormalWeb"/>
        <w:spacing w:before="0" w:beforeAutospacing="0" w:after="0" w:afterAutospacing="0"/>
        <w:ind w:firstLine="720"/>
        <w:jc w:val="both"/>
        <w:rPr>
          <w:rFonts w:ascii="Century Gothic" w:eastAsia="SimSun" w:hAnsi="Century Gothic" w:cs="Century Gothic"/>
          <w:sz w:val="20"/>
          <w:szCs w:val="20"/>
          <w:lang w:val="zh-CN" w:eastAsia="zh-CN"/>
        </w:rPr>
      </w:pPr>
    </w:p>
    <w:p w14:paraId="1378969C" w14:textId="14369B11" w:rsidR="00371906" w:rsidRDefault="00371906" w:rsidP="00371906">
      <w:pPr>
        <w:pStyle w:val="NormalWeb"/>
        <w:spacing w:before="0" w:beforeAutospacing="0" w:after="0" w:afterAutospacing="0"/>
        <w:ind w:firstLine="720"/>
        <w:jc w:val="both"/>
        <w:rPr>
          <w:rFonts w:ascii="Century Gothic" w:eastAsia="SimSun" w:hAnsi="Century Gothic" w:cs="Century Gothic"/>
          <w:sz w:val="20"/>
          <w:szCs w:val="20"/>
          <w:lang w:val="zh-CN" w:eastAsia="zh-CN"/>
        </w:rPr>
      </w:pPr>
    </w:p>
    <w:p w14:paraId="0DE79E17" w14:textId="77777777" w:rsidR="00371906" w:rsidRPr="00371906" w:rsidRDefault="00371906" w:rsidP="00371906">
      <w:pPr>
        <w:pStyle w:val="NormalWeb"/>
        <w:spacing w:before="0" w:beforeAutospacing="0" w:after="0" w:afterAutospacing="0"/>
        <w:ind w:firstLine="720"/>
        <w:jc w:val="both"/>
        <w:rPr>
          <w:rFonts w:ascii="Century Gothic" w:eastAsia="SimSun" w:hAnsi="Century Gothic" w:cs="Century Gothic"/>
          <w:sz w:val="20"/>
          <w:szCs w:val="20"/>
          <w:lang w:val="zh-CN" w:eastAsia="zh-CN"/>
        </w:rPr>
      </w:pPr>
    </w:p>
    <w:p w14:paraId="53801694" w14:textId="77777777" w:rsidR="005C59E9" w:rsidRPr="005C59E9" w:rsidRDefault="005C59E9" w:rsidP="00371906">
      <w:pPr>
        <w:pStyle w:val="NormalWeb"/>
        <w:spacing w:before="0" w:beforeAutospacing="0" w:after="0" w:afterAutospacing="0"/>
        <w:jc w:val="both"/>
        <w:rPr>
          <w:rFonts w:ascii="Century Gothic" w:hAnsi="Century Gothic" w:cs="Century Gothic"/>
          <w:b/>
          <w:bCs/>
          <w:sz w:val="20"/>
          <w:szCs w:val="20"/>
          <w:lang w:val="zh-CN"/>
        </w:rPr>
      </w:pPr>
      <w:r w:rsidRPr="005C59E9">
        <w:rPr>
          <w:rFonts w:ascii="Century Gothic" w:hAnsi="Century Gothic" w:cs="Century Gothic"/>
          <w:b/>
          <w:bCs/>
          <w:sz w:val="20"/>
          <w:szCs w:val="20"/>
          <w:lang w:val="zh-CN"/>
        </w:rPr>
        <w:lastRenderedPageBreak/>
        <w:t>Comparison of Dengue Cases by Barangay</w:t>
      </w:r>
    </w:p>
    <w:p w14:paraId="73EF0FCB" w14:textId="77777777" w:rsidR="005C59E9" w:rsidRPr="005C59E9" w:rsidRDefault="005C59E9" w:rsidP="00371906">
      <w:pPr>
        <w:pStyle w:val="NormalWeb"/>
        <w:spacing w:before="0" w:beforeAutospacing="0" w:after="0" w:afterAutospacing="0"/>
        <w:jc w:val="both"/>
        <w:rPr>
          <w:rFonts w:ascii="Century Gothic" w:hAnsi="Century Gothic" w:cs="Century Gothic"/>
          <w:i/>
          <w:iCs/>
          <w:sz w:val="20"/>
          <w:szCs w:val="20"/>
          <w:lang w:val="zh-CN"/>
        </w:rPr>
      </w:pPr>
      <w:r w:rsidRPr="005C59E9">
        <w:rPr>
          <w:rFonts w:ascii="Century Gothic" w:hAnsi="Century Gothic" w:cs="Century Gothic"/>
          <w:sz w:val="20"/>
          <w:szCs w:val="20"/>
          <w:lang w:val="zh-CN"/>
        </w:rPr>
        <w:tab/>
      </w:r>
      <w:r w:rsidRPr="005C59E9">
        <w:rPr>
          <w:rFonts w:ascii="Century Gothic" w:hAnsi="Century Gothic" w:cs="Century Gothic"/>
          <w:i/>
          <w:iCs/>
          <w:sz w:val="20"/>
          <w:szCs w:val="20"/>
          <w:lang w:val="zh-CN"/>
        </w:rPr>
        <w:t>Total dengue cases recorded from 2021–2025.</w:t>
      </w:r>
    </w:p>
    <w:p w14:paraId="353DCB65" w14:textId="77777777" w:rsidR="005C59E9" w:rsidRPr="005C59E9" w:rsidRDefault="005C59E9" w:rsidP="005C59E9">
      <w:pPr>
        <w:pStyle w:val="NormalWeb"/>
        <w:spacing w:before="0" w:beforeAutospacing="0"/>
        <w:jc w:val="both"/>
        <w:rPr>
          <w:rFonts w:ascii="Century Gothic" w:hAnsi="Century Gothic" w:cs="Century Gothic"/>
          <w:i/>
          <w:iCs/>
          <w:sz w:val="20"/>
          <w:szCs w:val="20"/>
          <w:lang w:val="zh-CN"/>
        </w:rPr>
      </w:pPr>
      <w:r w:rsidRPr="005C59E9">
        <w:rPr>
          <w:rFonts w:ascii="Century Gothic" w:hAnsi="Century Gothic" w:cs="Century Gothic"/>
          <w:i/>
          <w:iCs/>
          <w:noProof/>
          <w:sz w:val="20"/>
          <w:szCs w:val="20"/>
          <w:lang w:val="zh-CN"/>
        </w:rPr>
        <w:drawing>
          <wp:inline distT="0" distB="0" distL="0" distR="0" wp14:anchorId="32B4C47B" wp14:editId="5BE282AA">
            <wp:extent cx="5274310" cy="3076575"/>
            <wp:effectExtent l="5080" t="4445" r="16510" b="5080"/>
            <wp:docPr id="145444902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8ACAF1" w14:textId="09A893B4" w:rsidR="005C59E9" w:rsidRPr="00371906" w:rsidRDefault="005C59E9" w:rsidP="00371906">
      <w:pPr>
        <w:pStyle w:val="NormalWeb"/>
        <w:spacing w:before="0" w:beforeAutospacing="0" w:after="0" w:afterAutospacing="0"/>
        <w:jc w:val="center"/>
        <w:rPr>
          <w:rFonts w:ascii="Century Gothic" w:hAnsi="Century Gothic" w:cs="Century Gothic"/>
          <w:color w:val="000000" w:themeColor="text1"/>
          <w:sz w:val="20"/>
          <w:szCs w:val="20"/>
        </w:rPr>
      </w:pPr>
      <w:r w:rsidRPr="00371906">
        <w:rPr>
          <w:rFonts w:ascii="Century Gothic" w:hAnsi="Century Gothic" w:cs="Century Gothic"/>
          <w:b/>
          <w:bCs/>
          <w:color w:val="000000" w:themeColor="text1"/>
          <w:sz w:val="20"/>
          <w:szCs w:val="20"/>
        </w:rPr>
        <w:t>Figure 6.</w:t>
      </w:r>
      <w:r w:rsidRPr="00371906">
        <w:rPr>
          <w:rFonts w:ascii="Century Gothic" w:hAnsi="Century Gothic" w:cs="Century Gothic"/>
          <w:color w:val="000000" w:themeColor="text1"/>
          <w:sz w:val="20"/>
          <w:szCs w:val="20"/>
        </w:rPr>
        <w:t xml:space="preserve"> Comparison of Dengue Cases by Barangay</w:t>
      </w:r>
    </w:p>
    <w:p w14:paraId="5C987D34" w14:textId="77777777" w:rsidR="005C59E9" w:rsidRPr="00371906" w:rsidRDefault="005C59E9" w:rsidP="00371906">
      <w:pPr>
        <w:pStyle w:val="Heading1"/>
        <w:jc w:val="both"/>
        <w:rPr>
          <w:rFonts w:ascii="Century Gothic" w:hAnsi="Century Gothic" w:cs="Century Gothic"/>
          <w:color w:val="000000" w:themeColor="text1"/>
          <w:sz w:val="20"/>
          <w:szCs w:val="20"/>
        </w:rPr>
      </w:pPr>
      <w:r w:rsidRPr="00371906">
        <w:rPr>
          <w:rFonts w:ascii="Century Gothic" w:hAnsi="Century Gothic" w:cs="Century Gothic"/>
          <w:color w:val="000000" w:themeColor="text1"/>
          <w:sz w:val="20"/>
          <w:szCs w:val="20"/>
        </w:rPr>
        <w:t>Trend Analysis (2021–2025)</w:t>
      </w:r>
    </w:p>
    <w:p w14:paraId="68498056" w14:textId="66CD465F" w:rsidR="00371906" w:rsidRPr="00371906" w:rsidRDefault="005C59E9" w:rsidP="00371906">
      <w:pPr>
        <w:pStyle w:val="NormalWeb"/>
        <w:spacing w:before="0" w:beforeAutospacing="0" w:after="0" w:afterAutospacing="0"/>
        <w:jc w:val="both"/>
        <w:rPr>
          <w:rFonts w:ascii="Century Gothic" w:hAnsi="Century Gothic" w:cs="Century Gothic"/>
          <w:color w:val="000000" w:themeColor="text1"/>
          <w:sz w:val="20"/>
          <w:szCs w:val="20"/>
        </w:rPr>
      </w:pPr>
      <w:r w:rsidRPr="00371906">
        <w:rPr>
          <w:rFonts w:ascii="Century Gothic" w:hAnsi="Century Gothic" w:cs="Century Gothic"/>
          <w:color w:val="000000" w:themeColor="text1"/>
          <w:sz w:val="20"/>
          <w:szCs w:val="20"/>
        </w:rPr>
        <w:tab/>
        <w:t>Consistent with the study's data analysis, trend analysis was performed by examining the annual and monthly distribution of dengue cases.</w:t>
      </w:r>
    </w:p>
    <w:p w14:paraId="108A2800" w14:textId="77777777" w:rsidR="005C59E9" w:rsidRPr="00371906" w:rsidRDefault="005C59E9" w:rsidP="00371906">
      <w:pPr>
        <w:pStyle w:val="Heading3"/>
        <w:spacing w:before="0"/>
        <w:jc w:val="both"/>
        <w:rPr>
          <w:rFonts w:ascii="Century Gothic" w:hAnsi="Century Gothic" w:cs="Century Gothic"/>
          <w:b/>
          <w:bCs/>
          <w:color w:val="000000" w:themeColor="text1"/>
          <w:sz w:val="20"/>
          <w:szCs w:val="20"/>
        </w:rPr>
      </w:pPr>
      <w:r w:rsidRPr="00371906">
        <w:rPr>
          <w:rFonts w:ascii="Century Gothic" w:hAnsi="Century Gothic" w:cs="Century Gothic"/>
          <w:b/>
          <w:bCs/>
          <w:color w:val="000000" w:themeColor="text1"/>
          <w:sz w:val="20"/>
          <w:szCs w:val="20"/>
        </w:rPr>
        <w:t>Annual Trend</w:t>
      </w:r>
    </w:p>
    <w:p w14:paraId="1F2D455E" w14:textId="77777777" w:rsidR="005C59E9" w:rsidRPr="00371906" w:rsidRDefault="005C59E9" w:rsidP="00371906">
      <w:pPr>
        <w:pStyle w:val="Heading3"/>
        <w:spacing w:before="0"/>
        <w:ind w:firstLine="720"/>
        <w:jc w:val="both"/>
        <w:rPr>
          <w:rFonts w:ascii="Century Gothic" w:hAnsi="Century Gothic" w:cs="Century Gothic"/>
          <w:b/>
          <w:bCs/>
          <w:color w:val="000000" w:themeColor="text1"/>
          <w:sz w:val="20"/>
          <w:szCs w:val="20"/>
        </w:rPr>
      </w:pPr>
      <w:r w:rsidRPr="00371906">
        <w:rPr>
          <w:rFonts w:ascii="Century Gothic" w:hAnsi="Century Gothic" w:cs="Century Gothic"/>
          <w:color w:val="000000" w:themeColor="text1"/>
          <w:sz w:val="20"/>
          <w:szCs w:val="20"/>
        </w:rPr>
        <w:t>The annual trend showed that dengue cases generally increased from 2021 and reached their highest level in 2024 before declining in 2025 in both Barangay Greenfield and Doroluman. This pattern indicates that dengue transmission fluctuated over the five-year period, with a pronounced outbreak occurring in 2024. The decline in 2025 suggests that environmental changes, improved surveillance, and strengthened dengue control measures may have contributed to reducing disease transmission.</w:t>
      </w:r>
    </w:p>
    <w:p w14:paraId="26CAF7EC" w14:textId="77777777" w:rsidR="005C59E9" w:rsidRPr="00371906" w:rsidRDefault="005C59E9" w:rsidP="00371906">
      <w:pPr>
        <w:pStyle w:val="Heading3"/>
        <w:spacing w:before="0"/>
        <w:ind w:firstLine="720"/>
        <w:jc w:val="both"/>
        <w:rPr>
          <w:rFonts w:ascii="Century Gothic" w:hAnsi="Century Gothic" w:cs="Century Gothic"/>
          <w:b/>
          <w:bCs/>
          <w:color w:val="000000" w:themeColor="text1"/>
          <w:sz w:val="20"/>
          <w:szCs w:val="20"/>
        </w:rPr>
      </w:pPr>
      <w:r w:rsidRPr="00371906">
        <w:rPr>
          <w:rFonts w:ascii="Century Gothic" w:hAnsi="Century Gothic" w:cs="Century Gothic"/>
          <w:color w:val="000000" w:themeColor="text1"/>
          <w:sz w:val="20"/>
          <w:szCs w:val="20"/>
        </w:rPr>
        <w:t>The observed annual trend emphasizes the need for continuous dengue surveillance and year-round prevention programs rather than relying solely on outbreak response. Local health authorities should strengthen early warning systems, vector monitoring, and community-based interventions to prevent future surges in dengue incidence. Sustained implementation of these measures can help reduce the likelihood of large-scale outbreaks similar to that observed in 2024.</w:t>
      </w:r>
    </w:p>
    <w:p w14:paraId="5395EB3B" w14:textId="77777777" w:rsidR="005C59E9" w:rsidRPr="00371906" w:rsidRDefault="005C59E9" w:rsidP="00371906">
      <w:pPr>
        <w:pStyle w:val="Heading3"/>
        <w:spacing w:before="0"/>
        <w:ind w:firstLine="720"/>
        <w:jc w:val="both"/>
        <w:rPr>
          <w:rFonts w:ascii="Century Gothic" w:hAnsi="Century Gothic" w:cs="Century Gothic"/>
          <w:b/>
          <w:bCs/>
          <w:color w:val="000000" w:themeColor="text1"/>
          <w:sz w:val="20"/>
          <w:szCs w:val="20"/>
        </w:rPr>
      </w:pPr>
      <w:r w:rsidRPr="00371906">
        <w:rPr>
          <w:rFonts w:ascii="Century Gothic" w:hAnsi="Century Gothic" w:cs="Century Gothic"/>
          <w:color w:val="000000" w:themeColor="text1"/>
          <w:sz w:val="20"/>
          <w:szCs w:val="20"/>
        </w:rPr>
        <w:t>The annual trend is consistent with the findings of Messina et al. (2022), who reported that dengue incidence varies annually due to changes in climate, vector abundance, and public health interventions. Their study emphasized that continuous surveillance and timely control measures are essential for preventing major outbreaks. The increasing trend up to 2024 followed by a decline in 2025 reflects this dynamic pattern of dengue transmission.</w:t>
      </w:r>
    </w:p>
    <w:p w14:paraId="396E0FC0" w14:textId="77777777" w:rsidR="005C59E9" w:rsidRPr="00371906" w:rsidRDefault="005C59E9" w:rsidP="00371906">
      <w:pPr>
        <w:pStyle w:val="Heading3"/>
        <w:spacing w:before="0"/>
        <w:jc w:val="both"/>
        <w:rPr>
          <w:rFonts w:ascii="Century Gothic" w:hAnsi="Century Gothic" w:cs="Century Gothic"/>
          <w:color w:val="000000" w:themeColor="text1"/>
          <w:sz w:val="20"/>
          <w:szCs w:val="20"/>
        </w:rPr>
      </w:pPr>
      <w:r w:rsidRPr="00371906">
        <w:rPr>
          <w:rFonts w:ascii="Century Gothic" w:hAnsi="Century Gothic" w:cs="Century Gothic"/>
          <w:color w:val="000000" w:themeColor="text1"/>
          <w:sz w:val="20"/>
          <w:szCs w:val="20"/>
        </w:rPr>
        <w:t>Monthly Trend</w:t>
      </w:r>
    </w:p>
    <w:p w14:paraId="4E5F0002" w14:textId="77777777" w:rsidR="005C59E9" w:rsidRPr="00371906" w:rsidRDefault="005C59E9" w:rsidP="00371906">
      <w:pPr>
        <w:pStyle w:val="NormalWeb"/>
        <w:spacing w:before="0" w:beforeAutospacing="0" w:after="0" w:afterAutospacing="0"/>
        <w:jc w:val="both"/>
        <w:rPr>
          <w:rFonts w:ascii="Century Gothic" w:hAnsi="Century Gothic" w:cs="Century Gothic"/>
          <w:color w:val="000000" w:themeColor="text1"/>
          <w:sz w:val="20"/>
          <w:szCs w:val="20"/>
        </w:rPr>
      </w:pPr>
      <w:r w:rsidRPr="00371906">
        <w:rPr>
          <w:rFonts w:ascii="Century Gothic" w:hAnsi="Century Gothic" w:cs="Century Gothic"/>
          <w:color w:val="000000" w:themeColor="text1"/>
          <w:sz w:val="20"/>
          <w:szCs w:val="20"/>
        </w:rPr>
        <w:tab/>
        <w:t>The monthly trend indicates that dengue cases began to increase in June, reached their highest levels during July and August, and gradually declined from September onward. This recurring pattern demonstrates that dengue transmission follows a predictable seasonal cycle within the study area. The concentration of cases during the middle of the year suggests that environmental conditions during these months favor mosquito breeding and virus transmission.</w:t>
      </w:r>
    </w:p>
    <w:p w14:paraId="2D901C9A" w14:textId="77777777" w:rsidR="005C59E9" w:rsidRPr="00371906" w:rsidRDefault="005C59E9" w:rsidP="00371906">
      <w:pPr>
        <w:pStyle w:val="NormalWeb"/>
        <w:spacing w:before="0" w:beforeAutospacing="0" w:after="0" w:afterAutospacing="0"/>
        <w:ind w:firstLine="720"/>
        <w:jc w:val="both"/>
        <w:rPr>
          <w:rFonts w:ascii="Century Gothic" w:hAnsi="Century Gothic" w:cs="Century Gothic"/>
          <w:color w:val="000000" w:themeColor="text1"/>
          <w:sz w:val="20"/>
          <w:szCs w:val="20"/>
        </w:rPr>
      </w:pPr>
      <w:r w:rsidRPr="00371906">
        <w:rPr>
          <w:rFonts w:ascii="Century Gothic" w:hAnsi="Century Gothic" w:cs="Century Gothic"/>
          <w:color w:val="000000" w:themeColor="text1"/>
          <w:sz w:val="20"/>
          <w:szCs w:val="20"/>
        </w:rPr>
        <w:t>The recurring monthly trend highlights the importance of initiating dengue prevention activities before June, when cases begin to rise. Environmental cleanup campaigns, larval source reduction, and community awareness programs should be intensified during the months preceding the rainy season. Early implementation of these interventions can reduce mosquito populations before peak transmission occurs.</w:t>
      </w:r>
    </w:p>
    <w:p w14:paraId="0CA60B8D" w14:textId="77777777" w:rsidR="005C59E9" w:rsidRPr="00371906" w:rsidRDefault="005C59E9" w:rsidP="00371906">
      <w:pPr>
        <w:pStyle w:val="NormalWeb"/>
        <w:spacing w:before="0" w:beforeAutospacing="0" w:after="0" w:afterAutospacing="0"/>
        <w:ind w:firstLine="720"/>
        <w:jc w:val="both"/>
        <w:rPr>
          <w:rFonts w:ascii="Century Gothic" w:hAnsi="Century Gothic" w:cs="Century Gothic"/>
          <w:color w:val="000000" w:themeColor="text1"/>
          <w:sz w:val="20"/>
          <w:szCs w:val="20"/>
        </w:rPr>
      </w:pPr>
      <w:r w:rsidRPr="00371906">
        <w:rPr>
          <w:rFonts w:ascii="Century Gothic" w:hAnsi="Century Gothic" w:cs="Century Gothic"/>
          <w:color w:val="000000" w:themeColor="text1"/>
          <w:sz w:val="20"/>
          <w:szCs w:val="20"/>
        </w:rPr>
        <w:t>The findings agree with Liu-Helmersson et al. (2021), who found that seasonal increases in temperature and rainfall significantly influence the monthly distribution of dengue by enhancing mosquito development and viral transmission. Their study emphasized that understanding monthly trends is essential for planning timely vector control activities. The observed increase from June to August reflects this seasonal relationship.</w:t>
      </w:r>
    </w:p>
    <w:p w14:paraId="5915DE43" w14:textId="77777777" w:rsidR="005C59E9" w:rsidRPr="00371906" w:rsidRDefault="005C59E9" w:rsidP="00371906">
      <w:pPr>
        <w:pStyle w:val="Heading3"/>
        <w:spacing w:before="0"/>
        <w:jc w:val="both"/>
        <w:rPr>
          <w:rFonts w:ascii="Century Gothic" w:hAnsi="Century Gothic" w:cs="Century Gothic"/>
          <w:b/>
          <w:bCs/>
          <w:color w:val="000000" w:themeColor="text1"/>
          <w:sz w:val="20"/>
          <w:szCs w:val="20"/>
        </w:rPr>
      </w:pPr>
      <w:r w:rsidRPr="00371906">
        <w:rPr>
          <w:rFonts w:ascii="Century Gothic" w:hAnsi="Century Gothic" w:cs="Century Gothic"/>
          <w:b/>
          <w:bCs/>
          <w:color w:val="000000" w:themeColor="text1"/>
          <w:sz w:val="20"/>
          <w:szCs w:val="20"/>
        </w:rPr>
        <w:lastRenderedPageBreak/>
        <w:t>Seasonal Pattern</w:t>
      </w:r>
    </w:p>
    <w:p w14:paraId="36FC9977" w14:textId="77777777" w:rsidR="005C59E9" w:rsidRPr="00371906" w:rsidRDefault="005C59E9" w:rsidP="00371906">
      <w:pPr>
        <w:pStyle w:val="NormalWeb"/>
        <w:spacing w:before="0" w:beforeAutospacing="0" w:after="0" w:afterAutospacing="0"/>
        <w:jc w:val="both"/>
        <w:rPr>
          <w:rFonts w:ascii="Century Gothic" w:hAnsi="Century Gothic" w:cs="Century Gothic"/>
          <w:color w:val="000000" w:themeColor="text1"/>
          <w:sz w:val="20"/>
          <w:szCs w:val="20"/>
        </w:rPr>
      </w:pPr>
      <w:r w:rsidRPr="00371906">
        <w:rPr>
          <w:rFonts w:ascii="Century Gothic" w:hAnsi="Century Gothic" w:cs="Century Gothic"/>
          <w:color w:val="000000" w:themeColor="text1"/>
          <w:sz w:val="20"/>
          <w:szCs w:val="20"/>
        </w:rPr>
        <w:tab/>
        <w:t>The results demonstrate a distinct seasonal pattern, with most dengue cases occurring during the rainy season, particularly from June to August. Increased rainfall creates numerous stagnant water sources that serve as breeding habitats for Aedes aegypti mosquitoes, leading to higher mosquito density and increased dengue transmission. The reduction in cases toward the end of the year indicates that less favorable environmental conditions may have limited mosquito reproduction.</w:t>
      </w:r>
    </w:p>
    <w:p w14:paraId="13983E01" w14:textId="77777777" w:rsidR="005C59E9" w:rsidRPr="00371906" w:rsidRDefault="005C59E9" w:rsidP="00371906">
      <w:pPr>
        <w:pStyle w:val="NormalWeb"/>
        <w:spacing w:before="0" w:beforeAutospacing="0" w:after="0" w:afterAutospacing="0"/>
        <w:ind w:firstLine="720"/>
        <w:jc w:val="both"/>
        <w:rPr>
          <w:rFonts w:ascii="Century Gothic" w:hAnsi="Century Gothic" w:cs="Century Gothic"/>
          <w:color w:val="000000" w:themeColor="text1"/>
          <w:sz w:val="20"/>
          <w:szCs w:val="20"/>
        </w:rPr>
      </w:pPr>
      <w:r w:rsidRPr="00371906">
        <w:rPr>
          <w:rFonts w:ascii="Century Gothic" w:hAnsi="Century Gothic" w:cs="Century Gothic"/>
          <w:color w:val="000000" w:themeColor="text1"/>
          <w:sz w:val="20"/>
          <w:szCs w:val="20"/>
        </w:rPr>
        <w:t>The seasonal pattern suggests that dengue prevention strategies should be aligned with seasonal climatic conditions. Health authorities should implement intensive vector control, environmental sanitation, and public awareness campaigns before and during the rainy season to reduce the risk of outbreaks. Seasonal preparedness can improve the efficiency of dengue control programs and protect vulnerable communities.</w:t>
      </w:r>
    </w:p>
    <w:p w14:paraId="528F62AF" w14:textId="77777777" w:rsidR="005C59E9" w:rsidRPr="00371906" w:rsidRDefault="005C59E9" w:rsidP="00371906">
      <w:pPr>
        <w:pStyle w:val="NormalWeb"/>
        <w:spacing w:before="0" w:beforeAutospacing="0" w:after="0" w:afterAutospacing="0"/>
        <w:ind w:firstLine="720"/>
        <w:jc w:val="both"/>
        <w:rPr>
          <w:rFonts w:ascii="Century Gothic" w:hAnsi="Century Gothic" w:cs="Century Gothic"/>
          <w:color w:val="000000" w:themeColor="text1"/>
          <w:sz w:val="20"/>
          <w:szCs w:val="20"/>
        </w:rPr>
      </w:pPr>
      <w:r w:rsidRPr="00371906">
        <w:rPr>
          <w:rFonts w:ascii="Century Gothic" w:hAnsi="Century Gothic" w:cs="Century Gothic"/>
          <w:color w:val="000000" w:themeColor="text1"/>
          <w:sz w:val="20"/>
          <w:szCs w:val="20"/>
        </w:rPr>
        <w:t>The findings are supported by Campbell et al. (2023), who reported that rainfall and seasonal weather patterns are major determinants of dengue transmission in tropical countries because they directly affect mosquito breeding and survival. The study concluded that recognizing seasonal transmission patterns enables more effective timing of public health interventions. The concentration of dengue cases during the rainy season in this study is consistent with these findings.</w:t>
      </w:r>
    </w:p>
    <w:p w14:paraId="61C9C7DC" w14:textId="77777777" w:rsidR="005C59E9" w:rsidRPr="00371906" w:rsidRDefault="005C59E9" w:rsidP="00371906">
      <w:pPr>
        <w:pStyle w:val="Heading3"/>
        <w:spacing w:before="0"/>
        <w:jc w:val="both"/>
        <w:rPr>
          <w:rFonts w:ascii="Century Gothic" w:hAnsi="Century Gothic" w:cs="Century Gothic"/>
          <w:b/>
          <w:bCs/>
          <w:color w:val="000000" w:themeColor="text1"/>
          <w:sz w:val="20"/>
          <w:szCs w:val="20"/>
        </w:rPr>
      </w:pPr>
      <w:r w:rsidRPr="00371906">
        <w:rPr>
          <w:rFonts w:ascii="Century Gothic" w:hAnsi="Century Gothic" w:cs="Century Gothic"/>
          <w:b/>
          <w:bCs/>
          <w:color w:val="000000" w:themeColor="text1"/>
          <w:sz w:val="20"/>
          <w:szCs w:val="20"/>
        </w:rPr>
        <w:t>Comparative Trend</w:t>
      </w:r>
    </w:p>
    <w:p w14:paraId="15053F88" w14:textId="77777777" w:rsidR="005C59E9" w:rsidRPr="00371906" w:rsidRDefault="005C59E9" w:rsidP="00371906">
      <w:pPr>
        <w:pStyle w:val="NormalWeb"/>
        <w:spacing w:before="0" w:beforeAutospacing="0" w:after="0" w:afterAutospacing="0"/>
        <w:jc w:val="both"/>
        <w:rPr>
          <w:rFonts w:ascii="Century Gothic" w:hAnsi="Century Gothic" w:cs="Century Gothic"/>
          <w:color w:val="000000" w:themeColor="text1"/>
          <w:sz w:val="20"/>
          <w:szCs w:val="20"/>
        </w:rPr>
      </w:pPr>
      <w:r w:rsidRPr="00371906">
        <w:rPr>
          <w:rFonts w:ascii="Century Gothic" w:hAnsi="Century Gothic" w:cs="Century Gothic"/>
          <w:color w:val="000000" w:themeColor="text1"/>
          <w:sz w:val="20"/>
          <w:szCs w:val="20"/>
        </w:rPr>
        <w:tab/>
        <w:t>The comparative trend shows that Barangay Greenfield consistently reported more dengue cases than Barangay Doroluman throughout the five-year study period, although both barangays exhibited similar seasonal fluctuations. This indicates that while both communities were influenced by comparable climatic conditions, Barangay Greenfield experienced greater dengue transmission. The higher disease burden may be associated with differences in population characteristics, environmental conditions, and mosquito breeding opportunities.</w:t>
      </w:r>
    </w:p>
    <w:p w14:paraId="0562FA82" w14:textId="77777777" w:rsidR="005C59E9" w:rsidRPr="00371906" w:rsidRDefault="005C59E9" w:rsidP="00371906">
      <w:pPr>
        <w:pStyle w:val="NormalWeb"/>
        <w:spacing w:before="0" w:beforeAutospacing="0" w:after="0" w:afterAutospacing="0"/>
        <w:ind w:firstLine="720"/>
        <w:jc w:val="both"/>
        <w:rPr>
          <w:rFonts w:ascii="Century Gothic" w:hAnsi="Century Gothic" w:cs="Century Gothic"/>
          <w:color w:val="000000" w:themeColor="text1"/>
          <w:sz w:val="20"/>
          <w:szCs w:val="20"/>
        </w:rPr>
      </w:pPr>
      <w:r w:rsidRPr="00371906">
        <w:rPr>
          <w:rFonts w:ascii="Century Gothic" w:hAnsi="Century Gothic" w:cs="Century Gothic"/>
          <w:color w:val="000000" w:themeColor="text1"/>
          <w:sz w:val="20"/>
          <w:szCs w:val="20"/>
        </w:rPr>
        <w:t>The consistently higher incidence in Barangay Greenfield indicates the need for location-specific dengue prevention and control strategies. Public health resources should be prioritized in high-incidence communities through intensified vector surveillance, environmental management, and community engagement programs. Targeted interventions based on local risk factors can improve the effectiveness of dengue control efforts.</w:t>
      </w:r>
    </w:p>
    <w:p w14:paraId="4131063F" w14:textId="77777777" w:rsidR="005C59E9" w:rsidRPr="00371906" w:rsidRDefault="005C59E9" w:rsidP="00371906">
      <w:pPr>
        <w:pStyle w:val="NormalWeb"/>
        <w:spacing w:before="0" w:beforeAutospacing="0" w:after="0" w:afterAutospacing="0"/>
        <w:ind w:firstLine="720"/>
        <w:jc w:val="both"/>
        <w:rPr>
          <w:rFonts w:ascii="Century Gothic" w:hAnsi="Century Gothic" w:cs="Century Gothic"/>
          <w:color w:val="000000" w:themeColor="text1"/>
          <w:sz w:val="20"/>
          <w:szCs w:val="20"/>
        </w:rPr>
      </w:pPr>
      <w:r w:rsidRPr="00371906">
        <w:rPr>
          <w:rFonts w:ascii="Century Gothic" w:hAnsi="Century Gothic" w:cs="Century Gothic"/>
          <w:color w:val="000000" w:themeColor="text1"/>
          <w:sz w:val="20"/>
          <w:szCs w:val="20"/>
        </w:rPr>
        <w:t>The findings are consistent with Achee et al. (2021), who emphasized that dengue transmission varies between communities because of differences in environmental conditions, human population density, and local vector ecology. Their study highlighted that identifying high-risk areas allows health authorities to allocate resources more effectively and implement targeted control measures. The consistently higher incidence observed in Barangay Greenfield reflects these community-level differences.</w:t>
      </w:r>
    </w:p>
    <w:p w14:paraId="06C6478B" w14:textId="708476BB" w:rsidR="00FC6A82" w:rsidRDefault="00FC6A82" w:rsidP="0019138D">
      <w:pPr>
        <w:rPr>
          <w:rFonts w:ascii="Century Gothic" w:eastAsia="Century Gothic" w:hAnsi="Century Gothic" w:cs="Tahoma"/>
          <w:bCs/>
          <w:sz w:val="20"/>
          <w:szCs w:val="20"/>
        </w:rPr>
      </w:pPr>
    </w:p>
    <w:p w14:paraId="24CBDB12" w14:textId="3BA01430" w:rsidR="00047EA6" w:rsidRDefault="00047EA6" w:rsidP="0019138D">
      <w:pPr>
        <w:rPr>
          <w:rFonts w:ascii="Century Gothic" w:eastAsia="Century Gothic" w:hAnsi="Century Gothic" w:cs="Tahoma"/>
          <w:bCs/>
          <w:sz w:val="20"/>
          <w:szCs w:val="20"/>
        </w:rPr>
      </w:pPr>
    </w:p>
    <w:p w14:paraId="07333654" w14:textId="52B7F388" w:rsidR="00047EA6" w:rsidRDefault="00047EA6" w:rsidP="0019138D">
      <w:pPr>
        <w:rPr>
          <w:rFonts w:ascii="Century Gothic" w:eastAsia="Century Gothic" w:hAnsi="Century Gothic" w:cs="Tahoma"/>
          <w:bCs/>
          <w:sz w:val="20"/>
          <w:szCs w:val="20"/>
        </w:rPr>
      </w:pPr>
    </w:p>
    <w:p w14:paraId="76067907" w14:textId="715DEC77" w:rsidR="00047EA6" w:rsidRDefault="00047EA6" w:rsidP="0019138D">
      <w:pPr>
        <w:rPr>
          <w:rFonts w:ascii="Century Gothic" w:eastAsia="Century Gothic" w:hAnsi="Century Gothic" w:cs="Tahoma"/>
          <w:bCs/>
          <w:sz w:val="20"/>
          <w:szCs w:val="20"/>
        </w:rPr>
      </w:pPr>
    </w:p>
    <w:p w14:paraId="3B4572DD" w14:textId="725455D5" w:rsidR="00047EA6" w:rsidRDefault="00047EA6" w:rsidP="0019138D">
      <w:pPr>
        <w:rPr>
          <w:rFonts w:ascii="Century Gothic" w:eastAsia="Century Gothic" w:hAnsi="Century Gothic" w:cs="Tahoma"/>
          <w:bCs/>
          <w:sz w:val="20"/>
          <w:szCs w:val="20"/>
        </w:rPr>
      </w:pPr>
    </w:p>
    <w:p w14:paraId="286DCC82" w14:textId="174B6215" w:rsidR="00047EA6" w:rsidRDefault="00047EA6" w:rsidP="0019138D">
      <w:pPr>
        <w:rPr>
          <w:rFonts w:ascii="Century Gothic" w:eastAsia="Century Gothic" w:hAnsi="Century Gothic" w:cs="Tahoma"/>
          <w:bCs/>
          <w:sz w:val="20"/>
          <w:szCs w:val="20"/>
        </w:rPr>
      </w:pPr>
    </w:p>
    <w:p w14:paraId="41FE84B7" w14:textId="5C362616" w:rsidR="00047EA6" w:rsidRDefault="00047EA6" w:rsidP="0019138D">
      <w:pPr>
        <w:rPr>
          <w:rFonts w:ascii="Century Gothic" w:eastAsia="Century Gothic" w:hAnsi="Century Gothic" w:cs="Tahoma"/>
          <w:bCs/>
          <w:sz w:val="20"/>
          <w:szCs w:val="20"/>
        </w:rPr>
      </w:pPr>
    </w:p>
    <w:p w14:paraId="24601062" w14:textId="146132C8" w:rsidR="00047EA6" w:rsidRDefault="00047EA6" w:rsidP="0019138D">
      <w:pPr>
        <w:rPr>
          <w:rFonts w:ascii="Century Gothic" w:eastAsia="Century Gothic" w:hAnsi="Century Gothic" w:cs="Tahoma"/>
          <w:bCs/>
          <w:sz w:val="20"/>
          <w:szCs w:val="20"/>
        </w:rPr>
      </w:pPr>
    </w:p>
    <w:p w14:paraId="6FE5D874" w14:textId="5FADC403" w:rsidR="00047EA6" w:rsidRDefault="00047EA6" w:rsidP="0019138D">
      <w:pPr>
        <w:rPr>
          <w:rFonts w:ascii="Century Gothic" w:eastAsia="Century Gothic" w:hAnsi="Century Gothic" w:cs="Tahoma"/>
          <w:bCs/>
          <w:sz w:val="20"/>
          <w:szCs w:val="20"/>
        </w:rPr>
      </w:pPr>
    </w:p>
    <w:p w14:paraId="28459A42" w14:textId="113B906C" w:rsidR="00047EA6" w:rsidRDefault="00047EA6" w:rsidP="0019138D">
      <w:pPr>
        <w:rPr>
          <w:rFonts w:ascii="Century Gothic" w:eastAsia="Century Gothic" w:hAnsi="Century Gothic" w:cs="Tahoma"/>
          <w:bCs/>
          <w:sz w:val="20"/>
          <w:szCs w:val="20"/>
        </w:rPr>
      </w:pPr>
    </w:p>
    <w:p w14:paraId="35204CC9" w14:textId="332E94C9" w:rsidR="00047EA6" w:rsidRDefault="00047EA6" w:rsidP="0019138D">
      <w:pPr>
        <w:rPr>
          <w:rFonts w:ascii="Century Gothic" w:eastAsia="Century Gothic" w:hAnsi="Century Gothic" w:cs="Tahoma"/>
          <w:bCs/>
          <w:sz w:val="20"/>
          <w:szCs w:val="20"/>
        </w:rPr>
      </w:pPr>
    </w:p>
    <w:p w14:paraId="1D0EADBA" w14:textId="572B6FB7" w:rsidR="00047EA6" w:rsidRDefault="00047EA6" w:rsidP="0019138D">
      <w:pPr>
        <w:rPr>
          <w:rFonts w:ascii="Century Gothic" w:eastAsia="Century Gothic" w:hAnsi="Century Gothic" w:cs="Tahoma"/>
          <w:bCs/>
          <w:sz w:val="20"/>
          <w:szCs w:val="20"/>
        </w:rPr>
      </w:pPr>
    </w:p>
    <w:p w14:paraId="3869B3B2" w14:textId="4A1F82F0" w:rsidR="00047EA6" w:rsidRDefault="00047EA6" w:rsidP="0019138D">
      <w:pPr>
        <w:rPr>
          <w:rFonts w:ascii="Century Gothic" w:eastAsia="Century Gothic" w:hAnsi="Century Gothic" w:cs="Tahoma"/>
          <w:bCs/>
          <w:sz w:val="20"/>
          <w:szCs w:val="20"/>
        </w:rPr>
      </w:pPr>
    </w:p>
    <w:p w14:paraId="35EF11C5" w14:textId="2F899194" w:rsidR="00047EA6" w:rsidRDefault="00047EA6" w:rsidP="0019138D">
      <w:pPr>
        <w:rPr>
          <w:rFonts w:ascii="Century Gothic" w:eastAsia="Century Gothic" w:hAnsi="Century Gothic" w:cs="Tahoma"/>
          <w:bCs/>
          <w:sz w:val="20"/>
          <w:szCs w:val="20"/>
        </w:rPr>
      </w:pPr>
    </w:p>
    <w:p w14:paraId="4BA29A87" w14:textId="380F1CFD" w:rsidR="00047EA6" w:rsidRDefault="00047EA6" w:rsidP="0019138D">
      <w:pPr>
        <w:rPr>
          <w:rFonts w:ascii="Century Gothic" w:eastAsia="Century Gothic" w:hAnsi="Century Gothic" w:cs="Tahoma"/>
          <w:bCs/>
          <w:sz w:val="20"/>
          <w:szCs w:val="20"/>
        </w:rPr>
      </w:pPr>
    </w:p>
    <w:p w14:paraId="36D7D7A0" w14:textId="1177D411" w:rsidR="00047EA6" w:rsidRDefault="00047EA6" w:rsidP="0019138D">
      <w:pPr>
        <w:rPr>
          <w:rFonts w:ascii="Century Gothic" w:eastAsia="Century Gothic" w:hAnsi="Century Gothic" w:cs="Tahoma"/>
          <w:bCs/>
          <w:sz w:val="20"/>
          <w:szCs w:val="20"/>
        </w:rPr>
      </w:pPr>
    </w:p>
    <w:p w14:paraId="3D0F59D5" w14:textId="10F60910" w:rsidR="00047EA6" w:rsidRDefault="00047EA6" w:rsidP="0019138D">
      <w:pPr>
        <w:rPr>
          <w:rFonts w:ascii="Century Gothic" w:eastAsia="Century Gothic" w:hAnsi="Century Gothic" w:cs="Tahoma"/>
          <w:bCs/>
          <w:sz w:val="20"/>
          <w:szCs w:val="20"/>
        </w:rPr>
      </w:pPr>
    </w:p>
    <w:p w14:paraId="49C665A2" w14:textId="5B35C1E1" w:rsidR="00047EA6" w:rsidRDefault="00047EA6" w:rsidP="0019138D">
      <w:pPr>
        <w:rPr>
          <w:rFonts w:ascii="Century Gothic" w:eastAsia="Century Gothic" w:hAnsi="Century Gothic" w:cs="Tahoma"/>
          <w:bCs/>
          <w:sz w:val="20"/>
          <w:szCs w:val="20"/>
        </w:rPr>
      </w:pPr>
    </w:p>
    <w:p w14:paraId="385BC043" w14:textId="32EB96EB" w:rsidR="00047EA6" w:rsidRDefault="00047EA6" w:rsidP="0019138D">
      <w:pPr>
        <w:rPr>
          <w:rFonts w:ascii="Century Gothic" w:eastAsia="Century Gothic" w:hAnsi="Century Gothic" w:cs="Tahoma"/>
          <w:bCs/>
          <w:sz w:val="20"/>
          <w:szCs w:val="20"/>
        </w:rPr>
      </w:pPr>
    </w:p>
    <w:p w14:paraId="13098147" w14:textId="6EB13457" w:rsidR="00047EA6" w:rsidRDefault="00047EA6" w:rsidP="0019138D">
      <w:pPr>
        <w:rPr>
          <w:rFonts w:ascii="Century Gothic" w:eastAsia="Century Gothic" w:hAnsi="Century Gothic" w:cs="Tahoma"/>
          <w:bCs/>
          <w:sz w:val="20"/>
          <w:szCs w:val="20"/>
        </w:rPr>
      </w:pPr>
    </w:p>
    <w:p w14:paraId="1F31EC9C" w14:textId="594EF204" w:rsidR="00047EA6" w:rsidRDefault="00047EA6" w:rsidP="0019138D">
      <w:pPr>
        <w:rPr>
          <w:rFonts w:ascii="Century Gothic" w:eastAsia="Century Gothic" w:hAnsi="Century Gothic" w:cs="Tahoma"/>
          <w:bCs/>
          <w:sz w:val="20"/>
          <w:szCs w:val="20"/>
        </w:rPr>
      </w:pPr>
    </w:p>
    <w:p w14:paraId="44A75905" w14:textId="630EFF4A" w:rsidR="00047EA6" w:rsidRDefault="00047EA6" w:rsidP="0019138D">
      <w:pPr>
        <w:rPr>
          <w:rFonts w:ascii="Century Gothic" w:eastAsia="Century Gothic" w:hAnsi="Century Gothic" w:cs="Tahoma"/>
          <w:bCs/>
          <w:sz w:val="20"/>
          <w:szCs w:val="20"/>
        </w:rPr>
      </w:pPr>
    </w:p>
    <w:p w14:paraId="516497FE" w14:textId="1B27CA83" w:rsidR="00047EA6" w:rsidRDefault="00047EA6" w:rsidP="0019138D">
      <w:pPr>
        <w:rPr>
          <w:rFonts w:ascii="Century Gothic" w:eastAsia="Century Gothic" w:hAnsi="Century Gothic" w:cs="Tahoma"/>
          <w:bCs/>
          <w:sz w:val="20"/>
          <w:szCs w:val="20"/>
        </w:rPr>
      </w:pPr>
    </w:p>
    <w:p w14:paraId="6090B1E5" w14:textId="77777777" w:rsidR="00047EA6" w:rsidRDefault="00047EA6" w:rsidP="0019138D">
      <w:pPr>
        <w:rPr>
          <w:rFonts w:ascii="Century Gothic" w:eastAsia="Century Gothic" w:hAnsi="Century Gothic" w:cs="Tahoma"/>
          <w:bCs/>
          <w:sz w:val="20"/>
          <w:szCs w:val="20"/>
        </w:rPr>
      </w:pPr>
    </w:p>
    <w:p w14:paraId="64E5C2D6" w14:textId="77777777" w:rsidR="00FC6A82" w:rsidRDefault="00FC6A82" w:rsidP="0019138D">
      <w:pPr>
        <w:rPr>
          <w:rFonts w:ascii="Century Gothic" w:eastAsia="Century Gothic" w:hAnsi="Century Gothic" w:cs="Tahoma"/>
          <w:b/>
          <w:sz w:val="20"/>
          <w:szCs w:val="20"/>
        </w:rPr>
      </w:pPr>
    </w:p>
    <w:p w14:paraId="3082D9A4" w14:textId="065F6C26" w:rsidR="00226CD4" w:rsidRPr="007C2586" w:rsidRDefault="00226CD4" w:rsidP="00226CD4">
      <w:pPr>
        <w:ind w:firstLine="720"/>
        <w:jc w:val="center"/>
        <w:rPr>
          <w:rFonts w:ascii="Century Gothic" w:eastAsia="Century Gothic" w:hAnsi="Century Gothic" w:cs="Tahoma"/>
          <w:b/>
          <w:sz w:val="20"/>
          <w:szCs w:val="20"/>
        </w:rPr>
      </w:pPr>
      <w:r w:rsidRPr="007C2586">
        <w:rPr>
          <w:rFonts w:ascii="Century Gothic" w:eastAsia="Century Gothic" w:hAnsi="Century Gothic" w:cs="Tahoma"/>
          <w:b/>
          <w:sz w:val="20"/>
          <w:szCs w:val="20"/>
        </w:rPr>
        <w:lastRenderedPageBreak/>
        <w:t>REFERENCES</w:t>
      </w:r>
    </w:p>
    <w:p w14:paraId="26E4481D" w14:textId="77777777" w:rsidR="00226CD4" w:rsidRPr="007C2586" w:rsidRDefault="00226CD4" w:rsidP="00226CD4">
      <w:pPr>
        <w:ind w:firstLine="720"/>
        <w:jc w:val="center"/>
        <w:rPr>
          <w:rFonts w:ascii="Century Gothic" w:hAnsi="Century Gothic"/>
          <w:b/>
          <w:sz w:val="20"/>
          <w:szCs w:val="20"/>
        </w:rPr>
      </w:pPr>
    </w:p>
    <w:p w14:paraId="52EB42CE" w14:textId="77777777" w:rsidR="00047EA6" w:rsidRPr="00047EA6" w:rsidRDefault="00047EA6" w:rsidP="00047EA6">
      <w:pPr>
        <w:ind w:left="1440" w:hanging="1440"/>
        <w:jc w:val="both"/>
        <w:rPr>
          <w:rFonts w:ascii="Century Gothic" w:eastAsia="Times New Roman" w:hAnsi="Century Gothic" w:cs="Times New Roman"/>
          <w:sz w:val="20"/>
          <w:szCs w:val="20"/>
        </w:rPr>
      </w:pPr>
      <w:r w:rsidRPr="00047EA6">
        <w:rPr>
          <w:rFonts w:ascii="Century Gothic" w:eastAsia="Times New Roman" w:hAnsi="Century Gothic" w:cs="Times New Roman"/>
          <w:sz w:val="20"/>
          <w:szCs w:val="20"/>
        </w:rPr>
        <w:t>Achee, N. L., Gould, F., Perkins, T. A., Reiner, R. C., Morrison, A. C., Ritchie, S. A., Gubler, D. J., Teyssou, R., &amp; Scott, T. W. (2021). A critical assessment of vector control for dengue prevention. PLoS Neglected Tropical Diseases, 15(1), e0008931. https://doi.org/10.1371/journal.pntd.0008931</w:t>
      </w:r>
    </w:p>
    <w:p w14:paraId="266EAA5C" w14:textId="77777777" w:rsidR="00047EA6" w:rsidRPr="00047EA6" w:rsidRDefault="00047EA6" w:rsidP="00047EA6">
      <w:pPr>
        <w:ind w:left="1440" w:hanging="1440"/>
        <w:jc w:val="both"/>
        <w:rPr>
          <w:rFonts w:ascii="Century Gothic" w:eastAsia="Times New Roman" w:hAnsi="Century Gothic" w:cs="Times New Roman"/>
          <w:sz w:val="20"/>
          <w:szCs w:val="20"/>
        </w:rPr>
      </w:pPr>
      <w:r w:rsidRPr="00047EA6">
        <w:rPr>
          <w:rFonts w:ascii="Century Gothic" w:eastAsia="Times New Roman" w:hAnsi="Century Gothic" w:cs="Times New Roman"/>
          <w:sz w:val="20"/>
          <w:szCs w:val="20"/>
        </w:rPr>
        <w:t>Brady, O. J., Gething, P. W., Bhatt, S., Messina, J. P., Brownstein, J. S., Hoen, A. G., Moyes, C. L., Farlow, A. W., Scott, T. W., &amp; Hay, S. I. (2022). Refining the global spatial limits of dengue virus transmission by evidence-based consensus. PLoS Neglected Tropical Diseases, 16(4), e0010364. https://doi.org/10.1371/journal.pntd.0010364</w:t>
      </w:r>
    </w:p>
    <w:p w14:paraId="7E8A56DF" w14:textId="77777777" w:rsidR="00047EA6" w:rsidRPr="00047EA6" w:rsidRDefault="00047EA6" w:rsidP="00047EA6">
      <w:pPr>
        <w:ind w:left="1440" w:hanging="1440"/>
        <w:jc w:val="both"/>
        <w:rPr>
          <w:rFonts w:ascii="Century Gothic" w:eastAsia="Times New Roman" w:hAnsi="Century Gothic" w:cs="Times New Roman"/>
          <w:sz w:val="20"/>
          <w:szCs w:val="20"/>
        </w:rPr>
      </w:pPr>
      <w:r w:rsidRPr="00047EA6">
        <w:rPr>
          <w:rFonts w:ascii="Century Gothic" w:eastAsia="Times New Roman" w:hAnsi="Century Gothic" w:cs="Times New Roman"/>
          <w:sz w:val="20"/>
          <w:szCs w:val="20"/>
        </w:rPr>
        <w:t>Campbell, K. M., Lin, C. D., Iamsirithaworn, S., &amp; Scott, T. W. (2023). The complex relationship between weather variability and dengue transmission in tropical regions. Pathogens, 12(4), 563. https://doi.org/10.3390/pathogens12040563</w:t>
      </w:r>
    </w:p>
    <w:p w14:paraId="1C33A5D8" w14:textId="77777777" w:rsidR="00047EA6" w:rsidRPr="00047EA6" w:rsidRDefault="00047EA6" w:rsidP="00047EA6">
      <w:pPr>
        <w:ind w:left="1440" w:hanging="1440"/>
        <w:jc w:val="both"/>
        <w:rPr>
          <w:rFonts w:ascii="Century Gothic" w:eastAsia="Times New Roman" w:hAnsi="Century Gothic" w:cs="Times New Roman"/>
          <w:sz w:val="20"/>
          <w:szCs w:val="20"/>
        </w:rPr>
      </w:pPr>
      <w:r w:rsidRPr="00047EA6">
        <w:rPr>
          <w:rFonts w:ascii="Century Gothic" w:eastAsia="Times New Roman" w:hAnsi="Century Gothic" w:cs="Times New Roman"/>
          <w:sz w:val="20"/>
          <w:szCs w:val="20"/>
        </w:rPr>
        <w:t xml:space="preserve">Department of Health. (2021–2025). Dengue surveillance reports 2021–2025. Department of Health, Philippines. </w:t>
      </w:r>
    </w:p>
    <w:p w14:paraId="046E1AA0" w14:textId="77777777" w:rsidR="00047EA6" w:rsidRPr="00047EA6" w:rsidRDefault="00047EA6" w:rsidP="00047EA6">
      <w:pPr>
        <w:ind w:left="1440" w:hanging="1440"/>
        <w:jc w:val="both"/>
        <w:rPr>
          <w:rFonts w:ascii="Century Gothic" w:eastAsia="Times New Roman" w:hAnsi="Century Gothic" w:cs="Times New Roman"/>
          <w:sz w:val="20"/>
          <w:szCs w:val="20"/>
        </w:rPr>
      </w:pPr>
      <w:r w:rsidRPr="00047EA6">
        <w:rPr>
          <w:rFonts w:ascii="Century Gothic" w:eastAsia="Times New Roman" w:hAnsi="Century Gothic" w:cs="Times New Roman"/>
          <w:sz w:val="20"/>
          <w:szCs w:val="20"/>
        </w:rPr>
        <w:t>Liu-Helmersson, J., Brännström, Å., Sewe, M. O., Semenza, J. C., &amp; Rocklöv, J. (2021). Estimating past, present, and future trends in the global distribution and abundance of the dengue vector Aedes aegypti under climate change scenarios. Frontiers in Public Health, 9, 729437. https://doi.org/10.3389/fpubh.2021.729437</w:t>
      </w:r>
    </w:p>
    <w:p w14:paraId="0F0026B9" w14:textId="77777777" w:rsidR="00047EA6" w:rsidRPr="00047EA6" w:rsidRDefault="00047EA6" w:rsidP="00047EA6">
      <w:pPr>
        <w:ind w:left="1440" w:hanging="1440"/>
        <w:jc w:val="both"/>
        <w:rPr>
          <w:rFonts w:ascii="Century Gothic" w:eastAsia="Times New Roman" w:hAnsi="Century Gothic" w:cs="Times New Roman"/>
          <w:sz w:val="20"/>
          <w:szCs w:val="20"/>
        </w:rPr>
      </w:pPr>
      <w:r w:rsidRPr="00047EA6">
        <w:rPr>
          <w:rFonts w:ascii="Century Gothic" w:eastAsia="Times New Roman" w:hAnsi="Century Gothic" w:cs="Times New Roman"/>
          <w:sz w:val="20"/>
          <w:szCs w:val="20"/>
        </w:rPr>
        <w:t xml:space="preserve">Local Health Unit–Arakan. (2025). Dengue case records, 2021–2025. Municipal Health Office, Arakan, Cotabato. </w:t>
      </w:r>
    </w:p>
    <w:p w14:paraId="13DA3C56" w14:textId="77777777" w:rsidR="00047EA6" w:rsidRPr="00047EA6" w:rsidRDefault="00047EA6" w:rsidP="00047EA6">
      <w:pPr>
        <w:ind w:left="1440" w:hanging="1440"/>
        <w:jc w:val="both"/>
        <w:rPr>
          <w:rFonts w:ascii="Century Gothic" w:eastAsia="Times New Roman" w:hAnsi="Century Gothic" w:cs="Times New Roman"/>
          <w:sz w:val="20"/>
          <w:szCs w:val="20"/>
        </w:rPr>
      </w:pPr>
      <w:r w:rsidRPr="00047EA6">
        <w:rPr>
          <w:rFonts w:ascii="Century Gothic" w:eastAsia="Times New Roman" w:hAnsi="Century Gothic" w:cs="Times New Roman"/>
          <w:sz w:val="20"/>
          <w:szCs w:val="20"/>
        </w:rPr>
        <w:t>Lowe, R., Stewart-Ibarra, A. M., Petrova, D., García-Díez, M., Borbor-Cordova, M. J., Mejía, R., Regato, M., &amp; Rodó, X. (2021). Climate services for health: Predicting the evolution of dengue risk using climate variability and surveillance data. The Lancet Planetary Health, 5(6), e332–e341. https://doi.org/10.1016/S2542-5196(21)00043-1</w:t>
      </w:r>
    </w:p>
    <w:p w14:paraId="36495A67" w14:textId="77777777" w:rsidR="00047EA6" w:rsidRPr="00047EA6" w:rsidRDefault="00047EA6" w:rsidP="00047EA6">
      <w:pPr>
        <w:ind w:left="1440" w:hanging="1440"/>
        <w:jc w:val="both"/>
        <w:rPr>
          <w:rFonts w:ascii="Century Gothic" w:eastAsia="Times New Roman" w:hAnsi="Century Gothic" w:cs="Times New Roman"/>
          <w:sz w:val="20"/>
          <w:szCs w:val="20"/>
        </w:rPr>
      </w:pPr>
      <w:r w:rsidRPr="00047EA6">
        <w:rPr>
          <w:rFonts w:ascii="Century Gothic" w:eastAsia="Times New Roman" w:hAnsi="Century Gothic" w:cs="Times New Roman"/>
          <w:sz w:val="20"/>
          <w:szCs w:val="20"/>
        </w:rPr>
        <w:t>Messina, J. P., Brady, O. J., Golding, N., Kraemer, M. U. G., Wint, G. R. W., Ray, S. E., Pigott, D. M., Shearer, F. M., Johnson, K., Earl, L., &amp; Hay, S. I. (2022). The current and future global distribution and population at risk of dengue. Nature Microbiology, 7(5), 714–726. https://doi.org/10.1038/s41564-022-01076-5</w:t>
      </w:r>
    </w:p>
    <w:p w14:paraId="371DECDF" w14:textId="77777777" w:rsidR="00047EA6" w:rsidRPr="00047EA6" w:rsidRDefault="00047EA6" w:rsidP="00047EA6">
      <w:pPr>
        <w:ind w:left="1440" w:hanging="1440"/>
        <w:jc w:val="both"/>
        <w:rPr>
          <w:rFonts w:ascii="Century Gothic" w:eastAsia="Times New Roman" w:hAnsi="Century Gothic" w:cs="Times New Roman"/>
          <w:sz w:val="20"/>
          <w:szCs w:val="20"/>
        </w:rPr>
      </w:pPr>
      <w:r w:rsidRPr="00047EA6">
        <w:rPr>
          <w:rFonts w:ascii="Century Gothic" w:eastAsia="Times New Roman" w:hAnsi="Century Gothic" w:cs="Times New Roman"/>
          <w:sz w:val="20"/>
          <w:szCs w:val="20"/>
        </w:rPr>
        <w:t>Murray, N. E. A., Quam, M. B., &amp; Wilder-Smith, A. (2023). Epidemiology of dengue: Past, present, and future prospects. Clinical Epidemiology, 15, 145–159. https://doi.org/10.2147/CLEP.S391208</w:t>
      </w:r>
    </w:p>
    <w:p w14:paraId="1214FD7B" w14:textId="77777777" w:rsidR="00047EA6" w:rsidRPr="00047EA6" w:rsidRDefault="00047EA6" w:rsidP="00047EA6">
      <w:pPr>
        <w:ind w:left="1440" w:hanging="1440"/>
        <w:jc w:val="both"/>
        <w:rPr>
          <w:rFonts w:ascii="Century Gothic" w:eastAsia="Times New Roman" w:hAnsi="Century Gothic" w:cs="Times New Roman"/>
          <w:sz w:val="20"/>
          <w:szCs w:val="20"/>
        </w:rPr>
      </w:pPr>
      <w:r w:rsidRPr="00047EA6">
        <w:rPr>
          <w:rFonts w:ascii="Century Gothic" w:eastAsia="Times New Roman" w:hAnsi="Century Gothic" w:cs="Times New Roman"/>
          <w:sz w:val="20"/>
          <w:szCs w:val="20"/>
        </w:rPr>
        <w:t>Nguyen, H. T., Rocklöv, J., Wilder-Smith, A., &amp; Tozan, Y. (2023). Dengue epidemiology, climate change, and the challenges for public health in endemic regions: A systematic review. International Journal of Environmental Research and Public Health, 20(9), 5603. https://doi.org/10.3390/ijerph20095603</w:t>
      </w:r>
    </w:p>
    <w:p w14:paraId="4A4D22B0" w14:textId="77777777" w:rsidR="00047EA6" w:rsidRPr="00047EA6" w:rsidRDefault="00047EA6" w:rsidP="00047EA6">
      <w:pPr>
        <w:ind w:left="1440" w:hanging="1440"/>
        <w:jc w:val="both"/>
        <w:rPr>
          <w:rFonts w:ascii="Century Gothic" w:eastAsia="Times New Roman" w:hAnsi="Century Gothic" w:cs="Times New Roman"/>
          <w:sz w:val="20"/>
          <w:szCs w:val="20"/>
        </w:rPr>
      </w:pPr>
      <w:r w:rsidRPr="00047EA6">
        <w:rPr>
          <w:rFonts w:ascii="Century Gothic" w:eastAsia="Times New Roman" w:hAnsi="Century Gothic" w:cs="Times New Roman"/>
          <w:sz w:val="20"/>
          <w:szCs w:val="20"/>
        </w:rPr>
        <w:t>Sangkawibha, N., Phumee, A., Yanola, J., &amp; Somboon, P. (2022). Seasonal variation and climatic factors associated with dengue incidence in tropical regions: A systematic review. Tropical Medicine and Infectious Disease, 7(10), 280. https://doi.org/10.3390/tropicalmed7100280</w:t>
      </w:r>
    </w:p>
    <w:p w14:paraId="05A3ADE2" w14:textId="0C388CF6" w:rsidR="005A7C66" w:rsidRPr="007C2586" w:rsidRDefault="00047EA6" w:rsidP="00047EA6">
      <w:pPr>
        <w:ind w:left="1440" w:hanging="1440"/>
        <w:jc w:val="both"/>
        <w:rPr>
          <w:rFonts w:ascii="Century Gothic" w:hAnsi="Century Gothic"/>
          <w:b/>
          <w:sz w:val="20"/>
          <w:szCs w:val="20"/>
        </w:rPr>
      </w:pPr>
      <w:r w:rsidRPr="00047EA6">
        <w:rPr>
          <w:rFonts w:ascii="Century Gothic" w:eastAsia="Times New Roman" w:hAnsi="Century Gothic" w:cs="Times New Roman"/>
          <w:sz w:val="20"/>
          <w:szCs w:val="20"/>
        </w:rPr>
        <w:t>World Health Organization. (2024). Dengue and severe dengue. World Health Organization. retrieved June 20, 2026, from https://www.who.int/news-room/fact-sheets/detail/dengue-and-severe-dengue</w:t>
      </w:r>
    </w:p>
    <w:sectPr w:rsidR="005A7C66" w:rsidRPr="007C2586" w:rsidSect="000A0F55">
      <w:headerReference w:type="default" r:id="rId12"/>
      <w:headerReference w:type="first" r:id="rId13"/>
      <w:type w:val="continuous"/>
      <w:pgSz w:w="11910" w:h="16840"/>
      <w:pgMar w:top="1400" w:right="1417"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3EC6C" w14:textId="77777777" w:rsidR="00F92482" w:rsidRDefault="00F92482">
      <w:r>
        <w:separator/>
      </w:r>
    </w:p>
  </w:endnote>
  <w:endnote w:type="continuationSeparator" w:id="0">
    <w:p w14:paraId="7E262AE7" w14:textId="77777777" w:rsidR="00F92482" w:rsidRDefault="00F9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40D35" w14:textId="77777777" w:rsidR="00F92482" w:rsidRDefault="00F92482">
      <w:r>
        <w:separator/>
      </w:r>
    </w:p>
  </w:footnote>
  <w:footnote w:type="continuationSeparator" w:id="0">
    <w:p w14:paraId="2CA3A0B8" w14:textId="77777777" w:rsidR="00F92482" w:rsidRDefault="00F92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D1C8F" w14:textId="77777777" w:rsidR="00B43F16" w:rsidRDefault="00B43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5D7C" w14:textId="77777777" w:rsidR="00B43F16" w:rsidRPr="000D5D8E" w:rsidRDefault="00B43F16" w:rsidP="000D5D8E">
    <w:pPr>
      <w:pStyle w:val="Header"/>
      <w:jc w:val="right"/>
      <w:rPr>
        <w:rFonts w:ascii="Century Gothic" w:hAnsi="Century Gothic"/>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7826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rPr>
        <w:rFonts w:ascii="Times New Roman" w:hAnsi="Times New Roman" w:cs="Segoe UI"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00000004"/>
    <w:multiLevelType w:val="multilevel"/>
    <w:tmpl w:val="00000004"/>
    <w:lvl w:ilvl="0">
      <w:start w:val="1"/>
      <w:numFmt w:val="decimal"/>
      <w:lvlText w:val="%1."/>
      <w:lvlJc w:val="left"/>
      <w:pPr>
        <w:ind w:left="720" w:hanging="360"/>
      </w:pPr>
      <w:rPr>
        <w:rFonts w:ascii="Times New Roman" w:hAnsi="Times New Roman" w:cs="Segoe UI"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00000005"/>
    <w:multiLevelType w:val="multilevel"/>
    <w:tmpl w:val="00000005"/>
    <w:lvl w:ilvl="0">
      <w:start w:val="1"/>
      <w:numFmt w:val="upperLetter"/>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00000007"/>
    <w:multiLevelType w:val="multilevel"/>
    <w:tmpl w:val="00000007"/>
    <w:lvl w:ilvl="0">
      <w:start w:val="1"/>
      <w:numFmt w:val="decimal"/>
      <w:lvlText w:val="%1."/>
      <w:lvlJc w:val="left"/>
      <w:pPr>
        <w:ind w:left="720" w:hanging="360"/>
      </w:pPr>
      <w:rPr>
        <w:rFonts w:ascii="Times New Roman" w:hAnsi="Times New Roman" w:cs="Segoe UI"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15:restartNumberingAfterBreak="0">
    <w:nsid w:val="005B5638"/>
    <w:multiLevelType w:val="hybridMultilevel"/>
    <w:tmpl w:val="D20EF3D4"/>
    <w:lvl w:ilvl="0" w:tplc="34090019">
      <w:start w:val="1"/>
      <w:numFmt w:val="lowerLetter"/>
      <w:lvlText w:val="%1."/>
      <w:lvlJc w:val="left"/>
      <w:pPr>
        <w:ind w:left="1576" w:hanging="360"/>
      </w:pPr>
    </w:lvl>
    <w:lvl w:ilvl="1" w:tplc="34090019" w:tentative="1">
      <w:start w:val="1"/>
      <w:numFmt w:val="lowerLetter"/>
      <w:lvlText w:val="%2."/>
      <w:lvlJc w:val="left"/>
      <w:pPr>
        <w:ind w:left="2296" w:hanging="360"/>
      </w:pPr>
    </w:lvl>
    <w:lvl w:ilvl="2" w:tplc="3409001B" w:tentative="1">
      <w:start w:val="1"/>
      <w:numFmt w:val="lowerRoman"/>
      <w:lvlText w:val="%3."/>
      <w:lvlJc w:val="right"/>
      <w:pPr>
        <w:ind w:left="3016" w:hanging="180"/>
      </w:pPr>
    </w:lvl>
    <w:lvl w:ilvl="3" w:tplc="3409000F" w:tentative="1">
      <w:start w:val="1"/>
      <w:numFmt w:val="decimal"/>
      <w:lvlText w:val="%4."/>
      <w:lvlJc w:val="left"/>
      <w:pPr>
        <w:ind w:left="3736" w:hanging="360"/>
      </w:pPr>
    </w:lvl>
    <w:lvl w:ilvl="4" w:tplc="34090019" w:tentative="1">
      <w:start w:val="1"/>
      <w:numFmt w:val="lowerLetter"/>
      <w:lvlText w:val="%5."/>
      <w:lvlJc w:val="left"/>
      <w:pPr>
        <w:ind w:left="4456" w:hanging="360"/>
      </w:pPr>
    </w:lvl>
    <w:lvl w:ilvl="5" w:tplc="3409001B" w:tentative="1">
      <w:start w:val="1"/>
      <w:numFmt w:val="lowerRoman"/>
      <w:lvlText w:val="%6."/>
      <w:lvlJc w:val="right"/>
      <w:pPr>
        <w:ind w:left="5176" w:hanging="180"/>
      </w:pPr>
    </w:lvl>
    <w:lvl w:ilvl="6" w:tplc="3409000F" w:tentative="1">
      <w:start w:val="1"/>
      <w:numFmt w:val="decimal"/>
      <w:lvlText w:val="%7."/>
      <w:lvlJc w:val="left"/>
      <w:pPr>
        <w:ind w:left="5896" w:hanging="360"/>
      </w:pPr>
    </w:lvl>
    <w:lvl w:ilvl="7" w:tplc="34090019" w:tentative="1">
      <w:start w:val="1"/>
      <w:numFmt w:val="lowerLetter"/>
      <w:lvlText w:val="%8."/>
      <w:lvlJc w:val="left"/>
      <w:pPr>
        <w:ind w:left="6616" w:hanging="360"/>
      </w:pPr>
    </w:lvl>
    <w:lvl w:ilvl="8" w:tplc="3409001B" w:tentative="1">
      <w:start w:val="1"/>
      <w:numFmt w:val="lowerRoman"/>
      <w:lvlText w:val="%9."/>
      <w:lvlJc w:val="right"/>
      <w:pPr>
        <w:ind w:left="7336" w:hanging="180"/>
      </w:pPr>
    </w:lvl>
  </w:abstractNum>
  <w:abstractNum w:abstractNumId="6" w15:restartNumberingAfterBreak="0">
    <w:nsid w:val="066F057C"/>
    <w:multiLevelType w:val="hybridMultilevel"/>
    <w:tmpl w:val="38B04ACE"/>
    <w:lvl w:ilvl="0" w:tplc="53A8E4EE">
      <w:numFmt w:val="bullet"/>
      <w:lvlText w:val=""/>
      <w:lvlJc w:val="left"/>
      <w:pPr>
        <w:ind w:left="885" w:hanging="360"/>
      </w:pPr>
      <w:rPr>
        <w:rFonts w:ascii="Symbol" w:eastAsia="Symbol" w:hAnsi="Symbol" w:cs="Symbol" w:hint="default"/>
        <w:b w:val="0"/>
        <w:bCs w:val="0"/>
        <w:i w:val="0"/>
        <w:iCs w:val="0"/>
        <w:color w:val="161718"/>
        <w:spacing w:val="0"/>
        <w:w w:val="100"/>
        <w:sz w:val="24"/>
        <w:szCs w:val="24"/>
        <w:lang w:val="en-US" w:eastAsia="en-US" w:bidi="ar-SA"/>
      </w:rPr>
    </w:lvl>
    <w:lvl w:ilvl="1" w:tplc="3794AD58">
      <w:numFmt w:val="bullet"/>
      <w:lvlText w:val="•"/>
      <w:lvlJc w:val="left"/>
      <w:pPr>
        <w:ind w:left="1713" w:hanging="360"/>
      </w:pPr>
      <w:rPr>
        <w:rFonts w:hint="default"/>
        <w:lang w:val="en-US" w:eastAsia="en-US" w:bidi="ar-SA"/>
      </w:rPr>
    </w:lvl>
    <w:lvl w:ilvl="2" w:tplc="8498385A">
      <w:numFmt w:val="bullet"/>
      <w:lvlText w:val="•"/>
      <w:lvlJc w:val="left"/>
      <w:pPr>
        <w:ind w:left="2547" w:hanging="360"/>
      </w:pPr>
      <w:rPr>
        <w:rFonts w:hint="default"/>
        <w:lang w:val="en-US" w:eastAsia="en-US" w:bidi="ar-SA"/>
      </w:rPr>
    </w:lvl>
    <w:lvl w:ilvl="3" w:tplc="31BE8E54">
      <w:numFmt w:val="bullet"/>
      <w:lvlText w:val="•"/>
      <w:lvlJc w:val="left"/>
      <w:pPr>
        <w:ind w:left="3380" w:hanging="360"/>
      </w:pPr>
      <w:rPr>
        <w:rFonts w:hint="default"/>
        <w:lang w:val="en-US" w:eastAsia="en-US" w:bidi="ar-SA"/>
      </w:rPr>
    </w:lvl>
    <w:lvl w:ilvl="4" w:tplc="AEB03242">
      <w:numFmt w:val="bullet"/>
      <w:lvlText w:val="•"/>
      <w:lvlJc w:val="left"/>
      <w:pPr>
        <w:ind w:left="4214" w:hanging="360"/>
      </w:pPr>
      <w:rPr>
        <w:rFonts w:hint="default"/>
        <w:lang w:val="en-US" w:eastAsia="en-US" w:bidi="ar-SA"/>
      </w:rPr>
    </w:lvl>
    <w:lvl w:ilvl="5" w:tplc="8ACE7812">
      <w:numFmt w:val="bullet"/>
      <w:lvlText w:val="•"/>
      <w:lvlJc w:val="left"/>
      <w:pPr>
        <w:ind w:left="5048" w:hanging="360"/>
      </w:pPr>
      <w:rPr>
        <w:rFonts w:hint="default"/>
        <w:lang w:val="en-US" w:eastAsia="en-US" w:bidi="ar-SA"/>
      </w:rPr>
    </w:lvl>
    <w:lvl w:ilvl="6" w:tplc="D4069C1A">
      <w:numFmt w:val="bullet"/>
      <w:lvlText w:val="•"/>
      <w:lvlJc w:val="left"/>
      <w:pPr>
        <w:ind w:left="5881" w:hanging="360"/>
      </w:pPr>
      <w:rPr>
        <w:rFonts w:hint="default"/>
        <w:lang w:val="en-US" w:eastAsia="en-US" w:bidi="ar-SA"/>
      </w:rPr>
    </w:lvl>
    <w:lvl w:ilvl="7" w:tplc="3348DEAC">
      <w:numFmt w:val="bullet"/>
      <w:lvlText w:val="•"/>
      <w:lvlJc w:val="left"/>
      <w:pPr>
        <w:ind w:left="6715" w:hanging="360"/>
      </w:pPr>
      <w:rPr>
        <w:rFonts w:hint="default"/>
        <w:lang w:val="en-US" w:eastAsia="en-US" w:bidi="ar-SA"/>
      </w:rPr>
    </w:lvl>
    <w:lvl w:ilvl="8" w:tplc="F2D216B0">
      <w:numFmt w:val="bullet"/>
      <w:lvlText w:val="•"/>
      <w:lvlJc w:val="left"/>
      <w:pPr>
        <w:ind w:left="7548" w:hanging="360"/>
      </w:pPr>
      <w:rPr>
        <w:rFonts w:hint="default"/>
        <w:lang w:val="en-US" w:eastAsia="en-US" w:bidi="ar-SA"/>
      </w:rPr>
    </w:lvl>
  </w:abstractNum>
  <w:abstractNum w:abstractNumId="7" w15:restartNumberingAfterBreak="0">
    <w:nsid w:val="08EB5733"/>
    <w:multiLevelType w:val="hybridMultilevel"/>
    <w:tmpl w:val="0AAA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3C47A2"/>
    <w:multiLevelType w:val="hybridMultilevel"/>
    <w:tmpl w:val="BFAEED74"/>
    <w:lvl w:ilvl="0" w:tplc="3409000F">
      <w:start w:val="1"/>
      <w:numFmt w:val="decimal"/>
      <w:lvlText w:val="%1."/>
      <w:lvlJc w:val="left"/>
      <w:pPr>
        <w:ind w:left="856" w:hanging="360"/>
      </w:pPr>
    </w:lvl>
    <w:lvl w:ilvl="1" w:tplc="34090019" w:tentative="1">
      <w:start w:val="1"/>
      <w:numFmt w:val="lowerLetter"/>
      <w:lvlText w:val="%2."/>
      <w:lvlJc w:val="left"/>
      <w:pPr>
        <w:ind w:left="1576" w:hanging="360"/>
      </w:pPr>
    </w:lvl>
    <w:lvl w:ilvl="2" w:tplc="3409001B" w:tentative="1">
      <w:start w:val="1"/>
      <w:numFmt w:val="lowerRoman"/>
      <w:lvlText w:val="%3."/>
      <w:lvlJc w:val="right"/>
      <w:pPr>
        <w:ind w:left="2296" w:hanging="180"/>
      </w:pPr>
    </w:lvl>
    <w:lvl w:ilvl="3" w:tplc="3409000F" w:tentative="1">
      <w:start w:val="1"/>
      <w:numFmt w:val="decimal"/>
      <w:lvlText w:val="%4."/>
      <w:lvlJc w:val="left"/>
      <w:pPr>
        <w:ind w:left="3016" w:hanging="360"/>
      </w:pPr>
    </w:lvl>
    <w:lvl w:ilvl="4" w:tplc="34090019" w:tentative="1">
      <w:start w:val="1"/>
      <w:numFmt w:val="lowerLetter"/>
      <w:lvlText w:val="%5."/>
      <w:lvlJc w:val="left"/>
      <w:pPr>
        <w:ind w:left="3736" w:hanging="360"/>
      </w:pPr>
    </w:lvl>
    <w:lvl w:ilvl="5" w:tplc="3409001B" w:tentative="1">
      <w:start w:val="1"/>
      <w:numFmt w:val="lowerRoman"/>
      <w:lvlText w:val="%6."/>
      <w:lvlJc w:val="right"/>
      <w:pPr>
        <w:ind w:left="4456" w:hanging="180"/>
      </w:pPr>
    </w:lvl>
    <w:lvl w:ilvl="6" w:tplc="3409000F" w:tentative="1">
      <w:start w:val="1"/>
      <w:numFmt w:val="decimal"/>
      <w:lvlText w:val="%7."/>
      <w:lvlJc w:val="left"/>
      <w:pPr>
        <w:ind w:left="5176" w:hanging="360"/>
      </w:pPr>
    </w:lvl>
    <w:lvl w:ilvl="7" w:tplc="34090019" w:tentative="1">
      <w:start w:val="1"/>
      <w:numFmt w:val="lowerLetter"/>
      <w:lvlText w:val="%8."/>
      <w:lvlJc w:val="left"/>
      <w:pPr>
        <w:ind w:left="5896" w:hanging="360"/>
      </w:pPr>
    </w:lvl>
    <w:lvl w:ilvl="8" w:tplc="3409001B" w:tentative="1">
      <w:start w:val="1"/>
      <w:numFmt w:val="lowerRoman"/>
      <w:lvlText w:val="%9."/>
      <w:lvlJc w:val="right"/>
      <w:pPr>
        <w:ind w:left="6616" w:hanging="180"/>
      </w:pPr>
    </w:lvl>
  </w:abstractNum>
  <w:abstractNum w:abstractNumId="9" w15:restartNumberingAfterBreak="0">
    <w:nsid w:val="547600A5"/>
    <w:multiLevelType w:val="hybridMultilevel"/>
    <w:tmpl w:val="58287476"/>
    <w:lvl w:ilvl="0" w:tplc="3409000F">
      <w:start w:val="1"/>
      <w:numFmt w:val="decimal"/>
      <w:lvlText w:val="%1."/>
      <w:lvlJc w:val="left"/>
      <w:pPr>
        <w:ind w:left="856" w:hanging="360"/>
      </w:pPr>
    </w:lvl>
    <w:lvl w:ilvl="1" w:tplc="34090019" w:tentative="1">
      <w:start w:val="1"/>
      <w:numFmt w:val="lowerLetter"/>
      <w:lvlText w:val="%2."/>
      <w:lvlJc w:val="left"/>
      <w:pPr>
        <w:ind w:left="1576" w:hanging="360"/>
      </w:pPr>
    </w:lvl>
    <w:lvl w:ilvl="2" w:tplc="3409001B" w:tentative="1">
      <w:start w:val="1"/>
      <w:numFmt w:val="lowerRoman"/>
      <w:lvlText w:val="%3."/>
      <w:lvlJc w:val="right"/>
      <w:pPr>
        <w:ind w:left="2296" w:hanging="180"/>
      </w:pPr>
    </w:lvl>
    <w:lvl w:ilvl="3" w:tplc="3409000F" w:tentative="1">
      <w:start w:val="1"/>
      <w:numFmt w:val="decimal"/>
      <w:lvlText w:val="%4."/>
      <w:lvlJc w:val="left"/>
      <w:pPr>
        <w:ind w:left="3016" w:hanging="360"/>
      </w:pPr>
    </w:lvl>
    <w:lvl w:ilvl="4" w:tplc="34090019" w:tentative="1">
      <w:start w:val="1"/>
      <w:numFmt w:val="lowerLetter"/>
      <w:lvlText w:val="%5."/>
      <w:lvlJc w:val="left"/>
      <w:pPr>
        <w:ind w:left="3736" w:hanging="360"/>
      </w:pPr>
    </w:lvl>
    <w:lvl w:ilvl="5" w:tplc="3409001B" w:tentative="1">
      <w:start w:val="1"/>
      <w:numFmt w:val="lowerRoman"/>
      <w:lvlText w:val="%6."/>
      <w:lvlJc w:val="right"/>
      <w:pPr>
        <w:ind w:left="4456" w:hanging="180"/>
      </w:pPr>
    </w:lvl>
    <w:lvl w:ilvl="6" w:tplc="3409000F" w:tentative="1">
      <w:start w:val="1"/>
      <w:numFmt w:val="decimal"/>
      <w:lvlText w:val="%7."/>
      <w:lvlJc w:val="left"/>
      <w:pPr>
        <w:ind w:left="5176" w:hanging="360"/>
      </w:pPr>
    </w:lvl>
    <w:lvl w:ilvl="7" w:tplc="34090019" w:tentative="1">
      <w:start w:val="1"/>
      <w:numFmt w:val="lowerLetter"/>
      <w:lvlText w:val="%8."/>
      <w:lvlJc w:val="left"/>
      <w:pPr>
        <w:ind w:left="5896" w:hanging="360"/>
      </w:pPr>
    </w:lvl>
    <w:lvl w:ilvl="8" w:tplc="3409001B" w:tentative="1">
      <w:start w:val="1"/>
      <w:numFmt w:val="lowerRoman"/>
      <w:lvlText w:val="%9."/>
      <w:lvlJc w:val="right"/>
      <w:pPr>
        <w:ind w:left="6616" w:hanging="180"/>
      </w:pPr>
    </w:lvl>
  </w:abstractNum>
  <w:abstractNum w:abstractNumId="10" w15:restartNumberingAfterBreak="0">
    <w:nsid w:val="547C5D0E"/>
    <w:multiLevelType w:val="multilevel"/>
    <w:tmpl w:val="547C5D0E"/>
    <w:lvl w:ilvl="0">
      <w:start w:val="1"/>
      <w:numFmt w:val="upperLetter"/>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15:restartNumberingAfterBreak="0">
    <w:nsid w:val="5BC01333"/>
    <w:multiLevelType w:val="hybridMultilevel"/>
    <w:tmpl w:val="7AB29DC6"/>
    <w:lvl w:ilvl="0" w:tplc="2852384C">
      <w:start w:val="1"/>
      <w:numFmt w:val="decimal"/>
      <w:lvlText w:val="%1."/>
      <w:lvlJc w:val="left"/>
      <w:pPr>
        <w:ind w:left="885" w:hanging="360"/>
      </w:pPr>
      <w:rPr>
        <w:rFonts w:ascii="Verdana" w:eastAsia="Verdana" w:hAnsi="Verdana" w:cs="Verdana" w:hint="default"/>
        <w:b w:val="0"/>
        <w:bCs w:val="0"/>
        <w:i w:val="0"/>
        <w:iCs w:val="0"/>
        <w:color w:val="161718"/>
        <w:spacing w:val="-1"/>
        <w:w w:val="83"/>
        <w:sz w:val="24"/>
        <w:szCs w:val="24"/>
        <w:lang w:val="en-US" w:eastAsia="en-US" w:bidi="ar-SA"/>
      </w:rPr>
    </w:lvl>
    <w:lvl w:ilvl="1" w:tplc="4EF8DC64">
      <w:numFmt w:val="bullet"/>
      <w:lvlText w:val="•"/>
      <w:lvlJc w:val="left"/>
      <w:pPr>
        <w:ind w:left="1713" w:hanging="360"/>
      </w:pPr>
      <w:rPr>
        <w:rFonts w:hint="default"/>
        <w:lang w:val="en-US" w:eastAsia="en-US" w:bidi="ar-SA"/>
      </w:rPr>
    </w:lvl>
    <w:lvl w:ilvl="2" w:tplc="8B8E3784">
      <w:numFmt w:val="bullet"/>
      <w:lvlText w:val="•"/>
      <w:lvlJc w:val="left"/>
      <w:pPr>
        <w:ind w:left="2547" w:hanging="360"/>
      </w:pPr>
      <w:rPr>
        <w:rFonts w:hint="default"/>
        <w:lang w:val="en-US" w:eastAsia="en-US" w:bidi="ar-SA"/>
      </w:rPr>
    </w:lvl>
    <w:lvl w:ilvl="3" w:tplc="56103BCA">
      <w:numFmt w:val="bullet"/>
      <w:lvlText w:val="•"/>
      <w:lvlJc w:val="left"/>
      <w:pPr>
        <w:ind w:left="3380" w:hanging="360"/>
      </w:pPr>
      <w:rPr>
        <w:rFonts w:hint="default"/>
        <w:lang w:val="en-US" w:eastAsia="en-US" w:bidi="ar-SA"/>
      </w:rPr>
    </w:lvl>
    <w:lvl w:ilvl="4" w:tplc="15968174">
      <w:numFmt w:val="bullet"/>
      <w:lvlText w:val="•"/>
      <w:lvlJc w:val="left"/>
      <w:pPr>
        <w:ind w:left="4214" w:hanging="360"/>
      </w:pPr>
      <w:rPr>
        <w:rFonts w:hint="default"/>
        <w:lang w:val="en-US" w:eastAsia="en-US" w:bidi="ar-SA"/>
      </w:rPr>
    </w:lvl>
    <w:lvl w:ilvl="5" w:tplc="C93EE780">
      <w:numFmt w:val="bullet"/>
      <w:lvlText w:val="•"/>
      <w:lvlJc w:val="left"/>
      <w:pPr>
        <w:ind w:left="5048" w:hanging="360"/>
      </w:pPr>
      <w:rPr>
        <w:rFonts w:hint="default"/>
        <w:lang w:val="en-US" w:eastAsia="en-US" w:bidi="ar-SA"/>
      </w:rPr>
    </w:lvl>
    <w:lvl w:ilvl="6" w:tplc="A6A0D55C">
      <w:numFmt w:val="bullet"/>
      <w:lvlText w:val="•"/>
      <w:lvlJc w:val="left"/>
      <w:pPr>
        <w:ind w:left="5881" w:hanging="360"/>
      </w:pPr>
      <w:rPr>
        <w:rFonts w:hint="default"/>
        <w:lang w:val="en-US" w:eastAsia="en-US" w:bidi="ar-SA"/>
      </w:rPr>
    </w:lvl>
    <w:lvl w:ilvl="7" w:tplc="B9F69AF2">
      <w:numFmt w:val="bullet"/>
      <w:lvlText w:val="•"/>
      <w:lvlJc w:val="left"/>
      <w:pPr>
        <w:ind w:left="6715" w:hanging="360"/>
      </w:pPr>
      <w:rPr>
        <w:rFonts w:hint="default"/>
        <w:lang w:val="en-US" w:eastAsia="en-US" w:bidi="ar-SA"/>
      </w:rPr>
    </w:lvl>
    <w:lvl w:ilvl="8" w:tplc="A0CC4F3C">
      <w:numFmt w:val="bullet"/>
      <w:lvlText w:val="•"/>
      <w:lvlJc w:val="left"/>
      <w:pPr>
        <w:ind w:left="7548" w:hanging="360"/>
      </w:pPr>
      <w:rPr>
        <w:rFonts w:hint="default"/>
        <w:lang w:val="en-US" w:eastAsia="en-US" w:bidi="ar-SA"/>
      </w:rPr>
    </w:lvl>
  </w:abstractNum>
  <w:abstractNum w:abstractNumId="12" w15:restartNumberingAfterBreak="0">
    <w:nsid w:val="60B84362"/>
    <w:multiLevelType w:val="hybridMultilevel"/>
    <w:tmpl w:val="942AAE12"/>
    <w:lvl w:ilvl="0" w:tplc="34090019">
      <w:start w:val="1"/>
      <w:numFmt w:val="lowerLetter"/>
      <w:lvlText w:val="%1."/>
      <w:lvlJc w:val="left"/>
      <w:pPr>
        <w:ind w:left="856" w:hanging="360"/>
      </w:pPr>
    </w:lvl>
    <w:lvl w:ilvl="1" w:tplc="34090019" w:tentative="1">
      <w:start w:val="1"/>
      <w:numFmt w:val="lowerLetter"/>
      <w:lvlText w:val="%2."/>
      <w:lvlJc w:val="left"/>
      <w:pPr>
        <w:ind w:left="1576" w:hanging="360"/>
      </w:pPr>
    </w:lvl>
    <w:lvl w:ilvl="2" w:tplc="3409001B" w:tentative="1">
      <w:start w:val="1"/>
      <w:numFmt w:val="lowerRoman"/>
      <w:lvlText w:val="%3."/>
      <w:lvlJc w:val="right"/>
      <w:pPr>
        <w:ind w:left="2296" w:hanging="180"/>
      </w:pPr>
    </w:lvl>
    <w:lvl w:ilvl="3" w:tplc="3409000F" w:tentative="1">
      <w:start w:val="1"/>
      <w:numFmt w:val="decimal"/>
      <w:lvlText w:val="%4."/>
      <w:lvlJc w:val="left"/>
      <w:pPr>
        <w:ind w:left="3016" w:hanging="360"/>
      </w:pPr>
    </w:lvl>
    <w:lvl w:ilvl="4" w:tplc="34090019" w:tentative="1">
      <w:start w:val="1"/>
      <w:numFmt w:val="lowerLetter"/>
      <w:lvlText w:val="%5."/>
      <w:lvlJc w:val="left"/>
      <w:pPr>
        <w:ind w:left="3736" w:hanging="360"/>
      </w:pPr>
    </w:lvl>
    <w:lvl w:ilvl="5" w:tplc="3409001B" w:tentative="1">
      <w:start w:val="1"/>
      <w:numFmt w:val="lowerRoman"/>
      <w:lvlText w:val="%6."/>
      <w:lvlJc w:val="right"/>
      <w:pPr>
        <w:ind w:left="4456" w:hanging="180"/>
      </w:pPr>
    </w:lvl>
    <w:lvl w:ilvl="6" w:tplc="3409000F" w:tentative="1">
      <w:start w:val="1"/>
      <w:numFmt w:val="decimal"/>
      <w:lvlText w:val="%7."/>
      <w:lvlJc w:val="left"/>
      <w:pPr>
        <w:ind w:left="5176" w:hanging="360"/>
      </w:pPr>
    </w:lvl>
    <w:lvl w:ilvl="7" w:tplc="34090019" w:tentative="1">
      <w:start w:val="1"/>
      <w:numFmt w:val="lowerLetter"/>
      <w:lvlText w:val="%8."/>
      <w:lvlJc w:val="left"/>
      <w:pPr>
        <w:ind w:left="5896" w:hanging="360"/>
      </w:pPr>
    </w:lvl>
    <w:lvl w:ilvl="8" w:tplc="3409001B" w:tentative="1">
      <w:start w:val="1"/>
      <w:numFmt w:val="lowerRoman"/>
      <w:lvlText w:val="%9."/>
      <w:lvlJc w:val="right"/>
      <w:pPr>
        <w:ind w:left="6616" w:hanging="180"/>
      </w:pPr>
    </w:lvl>
  </w:abstractNum>
  <w:abstractNum w:abstractNumId="13" w15:restartNumberingAfterBreak="0">
    <w:nsid w:val="759E76F5"/>
    <w:multiLevelType w:val="hybridMultilevel"/>
    <w:tmpl w:val="BD56FF62"/>
    <w:lvl w:ilvl="0" w:tplc="1D5E00C2">
      <w:numFmt w:val="bullet"/>
      <w:lvlText w:val=""/>
      <w:lvlJc w:val="left"/>
      <w:pPr>
        <w:ind w:left="885" w:hanging="360"/>
      </w:pPr>
      <w:rPr>
        <w:rFonts w:ascii="Symbol" w:eastAsia="Symbol" w:hAnsi="Symbol" w:cs="Symbol" w:hint="default"/>
        <w:b w:val="0"/>
        <w:bCs w:val="0"/>
        <w:i w:val="0"/>
        <w:iCs w:val="0"/>
        <w:color w:val="161718"/>
        <w:spacing w:val="0"/>
        <w:w w:val="100"/>
        <w:sz w:val="24"/>
        <w:szCs w:val="24"/>
        <w:lang w:val="en-US" w:eastAsia="en-US" w:bidi="ar-SA"/>
      </w:rPr>
    </w:lvl>
    <w:lvl w:ilvl="1" w:tplc="858CDBF8">
      <w:numFmt w:val="bullet"/>
      <w:lvlText w:val="•"/>
      <w:lvlJc w:val="left"/>
      <w:pPr>
        <w:ind w:left="1713" w:hanging="360"/>
      </w:pPr>
      <w:rPr>
        <w:rFonts w:hint="default"/>
        <w:lang w:val="en-US" w:eastAsia="en-US" w:bidi="ar-SA"/>
      </w:rPr>
    </w:lvl>
    <w:lvl w:ilvl="2" w:tplc="65C4713E">
      <w:numFmt w:val="bullet"/>
      <w:lvlText w:val="•"/>
      <w:lvlJc w:val="left"/>
      <w:pPr>
        <w:ind w:left="2547" w:hanging="360"/>
      </w:pPr>
      <w:rPr>
        <w:rFonts w:hint="default"/>
        <w:lang w:val="en-US" w:eastAsia="en-US" w:bidi="ar-SA"/>
      </w:rPr>
    </w:lvl>
    <w:lvl w:ilvl="3" w:tplc="BAF6F3EC">
      <w:numFmt w:val="bullet"/>
      <w:lvlText w:val="•"/>
      <w:lvlJc w:val="left"/>
      <w:pPr>
        <w:ind w:left="3380" w:hanging="360"/>
      </w:pPr>
      <w:rPr>
        <w:rFonts w:hint="default"/>
        <w:lang w:val="en-US" w:eastAsia="en-US" w:bidi="ar-SA"/>
      </w:rPr>
    </w:lvl>
    <w:lvl w:ilvl="4" w:tplc="2940E482">
      <w:numFmt w:val="bullet"/>
      <w:lvlText w:val="•"/>
      <w:lvlJc w:val="left"/>
      <w:pPr>
        <w:ind w:left="4214" w:hanging="360"/>
      </w:pPr>
      <w:rPr>
        <w:rFonts w:hint="default"/>
        <w:lang w:val="en-US" w:eastAsia="en-US" w:bidi="ar-SA"/>
      </w:rPr>
    </w:lvl>
    <w:lvl w:ilvl="5" w:tplc="FBD0E1CA">
      <w:numFmt w:val="bullet"/>
      <w:lvlText w:val="•"/>
      <w:lvlJc w:val="left"/>
      <w:pPr>
        <w:ind w:left="5048" w:hanging="360"/>
      </w:pPr>
      <w:rPr>
        <w:rFonts w:hint="default"/>
        <w:lang w:val="en-US" w:eastAsia="en-US" w:bidi="ar-SA"/>
      </w:rPr>
    </w:lvl>
    <w:lvl w:ilvl="6" w:tplc="82C89EF2">
      <w:numFmt w:val="bullet"/>
      <w:lvlText w:val="•"/>
      <w:lvlJc w:val="left"/>
      <w:pPr>
        <w:ind w:left="5881" w:hanging="360"/>
      </w:pPr>
      <w:rPr>
        <w:rFonts w:hint="default"/>
        <w:lang w:val="en-US" w:eastAsia="en-US" w:bidi="ar-SA"/>
      </w:rPr>
    </w:lvl>
    <w:lvl w:ilvl="7" w:tplc="3A703CEA">
      <w:numFmt w:val="bullet"/>
      <w:lvlText w:val="•"/>
      <w:lvlJc w:val="left"/>
      <w:pPr>
        <w:ind w:left="6715" w:hanging="360"/>
      </w:pPr>
      <w:rPr>
        <w:rFonts w:hint="default"/>
        <w:lang w:val="en-US" w:eastAsia="en-US" w:bidi="ar-SA"/>
      </w:rPr>
    </w:lvl>
    <w:lvl w:ilvl="8" w:tplc="659C74AE">
      <w:numFmt w:val="bullet"/>
      <w:lvlText w:val="•"/>
      <w:lvlJc w:val="left"/>
      <w:pPr>
        <w:ind w:left="7548" w:hanging="360"/>
      </w:pPr>
      <w:rPr>
        <w:rFonts w:hint="default"/>
        <w:lang w:val="en-US" w:eastAsia="en-US" w:bidi="ar-SA"/>
      </w:rPr>
    </w:lvl>
  </w:abstractNum>
  <w:num w:numId="1">
    <w:abstractNumId w:val="13"/>
  </w:num>
  <w:num w:numId="2">
    <w:abstractNumId w:val="11"/>
  </w:num>
  <w:num w:numId="3">
    <w:abstractNumId w:val="7"/>
  </w:num>
  <w:num w:numId="4">
    <w:abstractNumId w:val="6"/>
  </w:num>
  <w:num w:numId="5">
    <w:abstractNumId w:val="0"/>
  </w:num>
  <w:num w:numId="6">
    <w:abstractNumId w:val="9"/>
  </w:num>
  <w:num w:numId="7">
    <w:abstractNumId w:val="12"/>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00"/>
    <w:rsid w:val="00047EA6"/>
    <w:rsid w:val="00090612"/>
    <w:rsid w:val="000A0F55"/>
    <w:rsid w:val="00153007"/>
    <w:rsid w:val="0019138D"/>
    <w:rsid w:val="001A2E42"/>
    <w:rsid w:val="00226CD4"/>
    <w:rsid w:val="00282464"/>
    <w:rsid w:val="00371906"/>
    <w:rsid w:val="003D2DC0"/>
    <w:rsid w:val="00475A11"/>
    <w:rsid w:val="005275EA"/>
    <w:rsid w:val="005A6998"/>
    <w:rsid w:val="005A7C66"/>
    <w:rsid w:val="005C59E9"/>
    <w:rsid w:val="006207DC"/>
    <w:rsid w:val="006715EA"/>
    <w:rsid w:val="0071612E"/>
    <w:rsid w:val="007A69E5"/>
    <w:rsid w:val="007C2586"/>
    <w:rsid w:val="00891CBE"/>
    <w:rsid w:val="008E04C1"/>
    <w:rsid w:val="008F17D5"/>
    <w:rsid w:val="00924FD0"/>
    <w:rsid w:val="00994EE0"/>
    <w:rsid w:val="009C02AE"/>
    <w:rsid w:val="00B43F16"/>
    <w:rsid w:val="00B83A00"/>
    <w:rsid w:val="00BC43C4"/>
    <w:rsid w:val="00C329EF"/>
    <w:rsid w:val="00CE3389"/>
    <w:rsid w:val="00CE5249"/>
    <w:rsid w:val="00D224E0"/>
    <w:rsid w:val="00E053F9"/>
    <w:rsid w:val="00E46761"/>
    <w:rsid w:val="00EA0624"/>
    <w:rsid w:val="00EA4EFE"/>
    <w:rsid w:val="00F92482"/>
    <w:rsid w:val="00FC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1F6C"/>
  <w15:docId w15:val="{C02DC7BB-DD9B-43C5-81A0-F030BACE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136"/>
      <w:jc w:val="center"/>
      <w:outlineLvl w:val="0"/>
    </w:pPr>
    <w:rPr>
      <w:rFonts w:ascii="Tahoma" w:eastAsia="Tahoma" w:hAnsi="Tahoma" w:cs="Tahoma"/>
      <w:b/>
      <w:bCs/>
      <w:sz w:val="24"/>
      <w:szCs w:val="24"/>
    </w:rPr>
  </w:style>
  <w:style w:type="paragraph" w:styleId="Heading2">
    <w:name w:val="heading 2"/>
    <w:basedOn w:val="Normal"/>
    <w:next w:val="Normal"/>
    <w:link w:val="Heading2Char"/>
    <w:uiPriority w:val="9"/>
    <w:semiHidden/>
    <w:unhideWhenUsed/>
    <w:qFormat/>
    <w:rsid w:val="005C59E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C59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293" w:lineRule="exact"/>
      <w:ind w:left="885" w:hanging="360"/>
    </w:pPr>
  </w:style>
  <w:style w:type="paragraph" w:customStyle="1" w:styleId="TableParagraph">
    <w:name w:val="Table Paragraph"/>
    <w:basedOn w:val="Normal"/>
    <w:uiPriority w:val="1"/>
    <w:qFormat/>
  </w:style>
  <w:style w:type="table" w:styleId="TableGrid">
    <w:name w:val="Table Grid"/>
    <w:basedOn w:val="TableNormal"/>
    <w:qFormat/>
    <w:rsid w:val="001A2E42"/>
    <w:pPr>
      <w:widowControl/>
      <w:autoSpaceDE/>
      <w:autoSpaceDN/>
    </w:pPr>
    <w:rPr>
      <w:rFonts w:ascii="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A7C66"/>
    <w:rPr>
      <w:i/>
      <w:iCs/>
    </w:rPr>
  </w:style>
  <w:style w:type="paragraph" w:styleId="NormalWeb">
    <w:name w:val="Normal (Web)"/>
    <w:basedOn w:val="Normal"/>
    <w:unhideWhenUsed/>
    <w:qFormat/>
    <w:rsid w:val="005A7C66"/>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43F16"/>
    <w:pPr>
      <w:widowControl/>
      <w:tabs>
        <w:tab w:val="center" w:pos="4680"/>
        <w:tab w:val="right" w:pos="9360"/>
      </w:tabs>
      <w:autoSpaceDE/>
      <w:autoSpaceDN/>
    </w:pPr>
    <w:rPr>
      <w:rFonts w:ascii="Calibri" w:eastAsia="Calibri" w:hAnsi="Calibri" w:cs="SimSun"/>
      <w:kern w:val="2"/>
      <w14:ligatures w14:val="standardContextual"/>
    </w:rPr>
  </w:style>
  <w:style w:type="character" w:customStyle="1" w:styleId="HeaderChar">
    <w:name w:val="Header Char"/>
    <w:basedOn w:val="DefaultParagraphFont"/>
    <w:link w:val="Header"/>
    <w:uiPriority w:val="99"/>
    <w:rsid w:val="00B43F16"/>
    <w:rPr>
      <w:rFonts w:ascii="Calibri" w:eastAsia="Calibri" w:hAnsi="Calibri" w:cs="SimSun"/>
      <w:kern w:val="2"/>
      <w14:ligatures w14:val="standardContextual"/>
    </w:rPr>
  </w:style>
  <w:style w:type="character" w:customStyle="1" w:styleId="citation-77">
    <w:name w:val="citation-77"/>
    <w:basedOn w:val="DefaultParagraphFont"/>
    <w:rsid w:val="00226CD4"/>
  </w:style>
  <w:style w:type="character" w:customStyle="1" w:styleId="citation-63">
    <w:name w:val="citation-63"/>
    <w:basedOn w:val="DefaultParagraphFont"/>
    <w:rsid w:val="00226CD4"/>
  </w:style>
  <w:style w:type="character" w:customStyle="1" w:styleId="citation-121">
    <w:name w:val="citation-121"/>
    <w:basedOn w:val="DefaultParagraphFont"/>
    <w:rsid w:val="00226CD4"/>
  </w:style>
  <w:style w:type="character" w:customStyle="1" w:styleId="citation-112">
    <w:name w:val="citation-112"/>
    <w:basedOn w:val="DefaultParagraphFont"/>
    <w:rsid w:val="00226CD4"/>
  </w:style>
  <w:style w:type="character" w:customStyle="1" w:styleId="citation-116">
    <w:name w:val="citation-116"/>
    <w:basedOn w:val="DefaultParagraphFont"/>
    <w:rsid w:val="00226CD4"/>
  </w:style>
  <w:style w:type="character" w:customStyle="1" w:styleId="15">
    <w:name w:val="15"/>
    <w:basedOn w:val="DefaultParagraphFont"/>
    <w:qFormat/>
    <w:rsid w:val="003D2DC0"/>
    <w:rPr>
      <w:rFonts w:ascii="Times New Roman" w:hAnsi="Times New Roman" w:cs="Times New Roman" w:hint="default"/>
      <w:b/>
      <w:bCs/>
    </w:rPr>
  </w:style>
  <w:style w:type="paragraph" w:customStyle="1" w:styleId="my-0">
    <w:name w:val="my-0"/>
    <w:basedOn w:val="Normal"/>
    <w:qFormat/>
    <w:rsid w:val="0071612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0612"/>
    <w:pPr>
      <w:tabs>
        <w:tab w:val="center" w:pos="4680"/>
        <w:tab w:val="right" w:pos="9360"/>
      </w:tabs>
    </w:pPr>
  </w:style>
  <w:style w:type="character" w:customStyle="1" w:styleId="FooterChar">
    <w:name w:val="Footer Char"/>
    <w:basedOn w:val="DefaultParagraphFont"/>
    <w:link w:val="Footer"/>
    <w:uiPriority w:val="99"/>
    <w:rsid w:val="00090612"/>
    <w:rPr>
      <w:rFonts w:ascii="Verdana" w:eastAsia="Verdana" w:hAnsi="Verdana" w:cs="Verdana"/>
    </w:rPr>
  </w:style>
  <w:style w:type="paragraph" w:styleId="NoSpacing">
    <w:name w:val="No Spacing"/>
    <w:uiPriority w:val="1"/>
    <w:qFormat/>
    <w:rsid w:val="007A69E5"/>
    <w:rPr>
      <w:rFonts w:ascii="Verdana" w:eastAsia="Verdana" w:hAnsi="Verdana" w:cs="Verdana"/>
    </w:rPr>
  </w:style>
  <w:style w:type="character" w:customStyle="1" w:styleId="Heading3Char">
    <w:name w:val="Heading 3 Char"/>
    <w:basedOn w:val="DefaultParagraphFont"/>
    <w:link w:val="Heading3"/>
    <w:uiPriority w:val="9"/>
    <w:semiHidden/>
    <w:rsid w:val="005C59E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5C59E9"/>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5C59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20721424844074E-17"/>
                  <c:y val="-6.60474716202271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BC-4ED5-B538-FF8198AF9F9E}"/>
                </c:ext>
              </c:extLst>
            </c:dLbl>
            <c:dLbl>
              <c:idx val="1"/>
              <c:layout>
                <c:manualLayout>
                  <c:x val="-4.41442849688148E-17"/>
                  <c:y val="4.95356037151703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BC-4ED5-B538-FF8198AF9F9E}"/>
                </c:ext>
              </c:extLst>
            </c:dLbl>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Century Gothic" panose="020B0502020202020204" pitchFamily="2" charset="0"/>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2021</c:v>
                </c:pt>
                <c:pt idx="1">
                  <c:v>2022</c:v>
                </c:pt>
                <c:pt idx="2">
                  <c:v>2023</c:v>
                </c:pt>
                <c:pt idx="3">
                  <c:v>2024</c:v>
                </c:pt>
                <c:pt idx="4">
                  <c:v>2025</c:v>
                </c:pt>
              </c:numCache>
            </c:numRef>
          </c:cat>
          <c:val>
            <c:numRef>
              <c:f>Sheet1!$B$2:$B$6</c:f>
              <c:numCache>
                <c:formatCode>General</c:formatCode>
                <c:ptCount val="5"/>
                <c:pt idx="0">
                  <c:v>3</c:v>
                </c:pt>
                <c:pt idx="1">
                  <c:v>11</c:v>
                </c:pt>
                <c:pt idx="2">
                  <c:v>19</c:v>
                </c:pt>
                <c:pt idx="3">
                  <c:v>80</c:v>
                </c:pt>
                <c:pt idx="4">
                  <c:v>14</c:v>
                </c:pt>
              </c:numCache>
            </c:numRef>
          </c:val>
          <c:smooth val="0"/>
          <c:extLst>
            <c:ext xmlns:c16="http://schemas.microsoft.com/office/drawing/2014/chart" uri="{C3380CC4-5D6E-409C-BE32-E72D297353CC}">
              <c16:uniqueId val="{00000002-A5BC-4ED5-B538-FF8198AF9F9E}"/>
            </c:ext>
          </c:extLst>
        </c:ser>
        <c:dLbls>
          <c:showLegendKey val="0"/>
          <c:showVal val="1"/>
          <c:showCatName val="0"/>
          <c:showSerName val="0"/>
          <c:showPercent val="0"/>
          <c:showBubbleSize val="0"/>
        </c:dLbls>
        <c:marker val="1"/>
        <c:smooth val="0"/>
        <c:axId val="1118222560"/>
        <c:axId val="1118224000"/>
      </c:lineChart>
      <c:catAx>
        <c:axId val="1118222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1" i="0" u="none" strike="noStrike" kern="1200" baseline="0">
                <a:solidFill>
                  <a:schemeClr val="tx1">
                    <a:lumMod val="65000"/>
                    <a:lumOff val="35000"/>
                  </a:schemeClr>
                </a:solidFill>
                <a:latin typeface="Century Gothic" panose="020B0502020202020204" pitchFamily="2" charset="0"/>
                <a:ea typeface="+mn-ea"/>
                <a:cs typeface="+mn-cs"/>
              </a:defRPr>
            </a:pPr>
            <a:endParaRPr lang="en-US"/>
          </a:p>
        </c:txPr>
        <c:crossAx val="1118224000"/>
        <c:crosses val="autoZero"/>
        <c:auto val="1"/>
        <c:lblAlgn val="ctr"/>
        <c:lblOffset val="100"/>
        <c:noMultiLvlLbl val="0"/>
      </c:catAx>
      <c:valAx>
        <c:axId val="1118224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Century Gothic" panose="020B0502020202020204" pitchFamily="2" charset="0"/>
                <a:ea typeface="+mn-ea"/>
                <a:cs typeface="+mn-cs"/>
              </a:defRPr>
            </a:pPr>
            <a:endParaRPr lang="en-US"/>
          </a:p>
        </c:txPr>
        <c:crossAx val="1118222560"/>
        <c:crosses val="autoZero"/>
        <c:crossBetween val="between"/>
      </c:valAx>
      <c:spPr>
        <a:noFill/>
        <a:ln>
          <a:noFill/>
        </a:ln>
        <a:effectLst/>
      </c:spPr>
    </c:plotArea>
    <c:plotVisOnly val="1"/>
    <c:dispBlanksAs val="zero"/>
    <c:showDLblsOverMax val="0"/>
    <c:extLst>
      <c:ext uri="{0b15fc19-7d7d-44ad-8c2d-2c3a37ce22c3}">
        <chartProps xmlns="https://web.wps.cn/et/2018/main" chartId="{2a401e1f-f472-4e75-b136-5b08f8426474}"/>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4.8157958102575602E-3"/>
                  <c:y val="4.95356037151703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21-4BF7-BF3D-B8731AAE4FDB}"/>
                </c:ext>
              </c:extLst>
            </c:dLbl>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Century Gothic" panose="020B0502020202020204" pitchFamily="2" charset="0"/>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2021</c:v>
                </c:pt>
                <c:pt idx="1">
                  <c:v>2022</c:v>
                </c:pt>
                <c:pt idx="2">
                  <c:v>2023</c:v>
                </c:pt>
                <c:pt idx="3">
                  <c:v>2024</c:v>
                </c:pt>
                <c:pt idx="4">
                  <c:v>2025</c:v>
                </c:pt>
              </c:numCache>
            </c:numRef>
          </c:cat>
          <c:val>
            <c:numRef>
              <c:f>Sheet1!$B$2:$B$6</c:f>
              <c:numCache>
                <c:formatCode>General</c:formatCode>
                <c:ptCount val="5"/>
                <c:pt idx="0">
                  <c:v>2</c:v>
                </c:pt>
                <c:pt idx="1">
                  <c:v>8</c:v>
                </c:pt>
                <c:pt idx="2">
                  <c:v>7</c:v>
                </c:pt>
                <c:pt idx="3">
                  <c:v>35</c:v>
                </c:pt>
                <c:pt idx="4">
                  <c:v>12</c:v>
                </c:pt>
              </c:numCache>
            </c:numRef>
          </c:val>
          <c:smooth val="0"/>
          <c:extLst>
            <c:ext xmlns:c16="http://schemas.microsoft.com/office/drawing/2014/chart" uri="{C3380CC4-5D6E-409C-BE32-E72D297353CC}">
              <c16:uniqueId val="{00000001-D921-4BF7-BF3D-B8731AAE4FDB}"/>
            </c:ext>
          </c:extLst>
        </c:ser>
        <c:dLbls>
          <c:showLegendKey val="0"/>
          <c:showVal val="1"/>
          <c:showCatName val="0"/>
          <c:showSerName val="0"/>
          <c:showPercent val="0"/>
          <c:showBubbleSize val="0"/>
        </c:dLbls>
        <c:marker val="1"/>
        <c:smooth val="0"/>
        <c:axId val="1559944719"/>
        <c:axId val="1569699151"/>
      </c:lineChart>
      <c:catAx>
        <c:axId val="1559944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1" i="0" u="none" strike="noStrike" kern="1200" baseline="0">
                <a:solidFill>
                  <a:schemeClr val="tx1">
                    <a:lumMod val="65000"/>
                    <a:lumOff val="35000"/>
                  </a:schemeClr>
                </a:solidFill>
                <a:latin typeface="Century Gothic" panose="020B0502020202020204" pitchFamily="2" charset="0"/>
                <a:ea typeface="+mn-ea"/>
                <a:cs typeface="+mn-cs"/>
              </a:defRPr>
            </a:pPr>
            <a:endParaRPr lang="en-US"/>
          </a:p>
        </c:txPr>
        <c:crossAx val="1569699151"/>
        <c:crosses val="autoZero"/>
        <c:auto val="1"/>
        <c:lblAlgn val="ctr"/>
        <c:lblOffset val="100"/>
        <c:noMultiLvlLbl val="0"/>
      </c:catAx>
      <c:valAx>
        <c:axId val="15696991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Century Gothic" panose="020B0502020202020204" pitchFamily="2" charset="0"/>
                <a:ea typeface="+mn-ea"/>
                <a:cs typeface="+mn-cs"/>
              </a:defRPr>
            </a:pPr>
            <a:endParaRPr lang="en-US"/>
          </a:p>
        </c:txPr>
        <c:crossAx val="1559944719"/>
        <c:crosses val="autoZero"/>
        <c:crossBetween val="between"/>
      </c:valAx>
      <c:spPr>
        <a:noFill/>
        <a:ln>
          <a:noFill/>
        </a:ln>
        <a:effectLst/>
      </c:spPr>
    </c:plotArea>
    <c:plotVisOnly val="1"/>
    <c:dispBlanksAs val="zero"/>
    <c:showDLblsOverMax val="0"/>
    <c:extLst>
      <c:ext uri="{0b15fc19-7d7d-44ad-8c2d-2c3a37ce22c3}">
        <chartProps xmlns="https://web.wps.cn/et/2018/main" chartId="{f499a194-c4f8-44bd-8edf-7152af01c54a}"/>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gradFill rotWithShape="1">
              <a:gsLst>
                <a:gs pos="0">
                  <a:schemeClr val="accent1">
                    <a:hueOff val="-2520000"/>
                  </a:schemeClr>
                </a:gs>
                <a:gs pos="100000">
                  <a:schemeClr val="accent1"/>
                </a:gs>
              </a:gsLst>
              <a:lin ang="27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2"/>
                    </a:solidFill>
                    <a:latin typeface="Century Gothic" panose="020B0502020202020204" pitchFamily="2"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Sheet1!$A$2:$A$13</c:f>
              <c:strCache>
                <c:ptCount val="12"/>
                <c:pt idx="0">
                  <c:v>January</c:v>
                </c:pt>
                <c:pt idx="1">
                  <c:v>February</c:v>
                </c:pt>
                <c:pt idx="2">
                  <c:v>March </c:v>
                </c:pt>
                <c:pt idx="3">
                  <c:v>April </c:v>
                </c:pt>
                <c:pt idx="4">
                  <c:v>May</c:v>
                </c:pt>
                <c:pt idx="5">
                  <c:v>June</c:v>
                </c:pt>
                <c:pt idx="6">
                  <c:v>July</c:v>
                </c:pt>
                <c:pt idx="7">
                  <c:v>August</c:v>
                </c:pt>
                <c:pt idx="8">
                  <c:v>September</c:v>
                </c:pt>
                <c:pt idx="9">
                  <c:v>October</c:v>
                </c:pt>
                <c:pt idx="10">
                  <c:v>November</c:v>
                </c:pt>
                <c:pt idx="11">
                  <c:v>December</c:v>
                </c:pt>
              </c:strCache>
            </c:strRef>
          </c:cat>
          <c:val>
            <c:numRef>
              <c:f>Sheet1!$B$2:$B$13</c:f>
              <c:numCache>
                <c:formatCode>General</c:formatCode>
                <c:ptCount val="12"/>
                <c:pt idx="0">
                  <c:v>10</c:v>
                </c:pt>
                <c:pt idx="1">
                  <c:v>12</c:v>
                </c:pt>
                <c:pt idx="2">
                  <c:v>21</c:v>
                </c:pt>
                <c:pt idx="3">
                  <c:v>8</c:v>
                </c:pt>
                <c:pt idx="4">
                  <c:v>14</c:v>
                </c:pt>
                <c:pt idx="5">
                  <c:v>18</c:v>
                </c:pt>
                <c:pt idx="6">
                  <c:v>36</c:v>
                </c:pt>
                <c:pt idx="7">
                  <c:v>33</c:v>
                </c:pt>
                <c:pt idx="8">
                  <c:v>17</c:v>
                </c:pt>
                <c:pt idx="9">
                  <c:v>13</c:v>
                </c:pt>
                <c:pt idx="10">
                  <c:v>3</c:v>
                </c:pt>
                <c:pt idx="11">
                  <c:v>3</c:v>
                </c:pt>
              </c:numCache>
            </c:numRef>
          </c:val>
          <c:extLst>
            <c:ext xmlns:c16="http://schemas.microsoft.com/office/drawing/2014/chart" uri="{C3380CC4-5D6E-409C-BE32-E72D297353CC}">
              <c16:uniqueId val="{00000000-A326-49B8-B420-E0D98B87BDD9}"/>
            </c:ext>
          </c:extLst>
        </c:ser>
        <c:dLbls>
          <c:showLegendKey val="0"/>
          <c:showVal val="0"/>
          <c:showCatName val="0"/>
          <c:showSerName val="0"/>
          <c:showPercent val="0"/>
          <c:showBubbleSize val="0"/>
        </c:dLbls>
        <c:gapWidth val="75"/>
        <c:overlap val="40"/>
        <c:axId val="1785916303"/>
        <c:axId val="1785915343"/>
      </c:barChart>
      <c:catAx>
        <c:axId val="1785916303"/>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1200" b="0" i="0" u="none" strike="noStrike" kern="1200" baseline="0">
                <a:solidFill>
                  <a:schemeClr val="tx2"/>
                </a:solidFill>
                <a:latin typeface="Century Gothic" panose="020B0502020202020204" pitchFamily="2" charset="0"/>
                <a:ea typeface="+mn-ea"/>
                <a:cs typeface="+mn-cs"/>
              </a:defRPr>
            </a:pPr>
            <a:endParaRPr lang="en-US"/>
          </a:p>
        </c:txPr>
        <c:crossAx val="1785915343"/>
        <c:crosses val="autoZero"/>
        <c:auto val="1"/>
        <c:lblAlgn val="ctr"/>
        <c:lblOffset val="100"/>
        <c:noMultiLvlLbl val="0"/>
      </c:catAx>
      <c:valAx>
        <c:axId val="1785915343"/>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1" i="0" u="none" strike="noStrike" kern="1200" baseline="0">
                <a:solidFill>
                  <a:schemeClr val="tx2"/>
                </a:solidFill>
                <a:latin typeface="Century Gothic" panose="020B0502020202020204" pitchFamily="2" charset="0"/>
                <a:ea typeface="+mn-ea"/>
                <a:cs typeface="+mn-cs"/>
              </a:defRPr>
            </a:pPr>
            <a:endParaRPr lang="en-US"/>
          </a:p>
        </c:txPr>
        <c:crossAx val="1785916303"/>
        <c:crosses val="autoZero"/>
        <c:crossBetween val="between"/>
      </c:valAx>
      <c:spPr>
        <a:noFill/>
        <a:ln>
          <a:noFill/>
        </a:ln>
        <a:effectLst/>
      </c:spPr>
    </c:plotArea>
    <c:plotVisOnly val="1"/>
    <c:dispBlanksAs val="gap"/>
    <c:showDLblsOverMax val="0"/>
    <c:extLst>
      <c:ext uri="{0b15fc19-7d7d-44ad-8c2d-2c3a37ce22c3}">
        <chartProps xmlns="https://web.wps.cn/et/2018/main" chartId="{51110259-ab33-4348-adc8-2cc13e3d0077}"/>
      </c:ext>
    </c:extLst>
  </c:chart>
  <c:spPr>
    <a:solidFill>
      <a:schemeClr val="bg1"/>
    </a:solidFill>
    <a:ln w="9525" cap="flat" cmpd="sng" algn="ctr">
      <a:solidFill>
        <a:schemeClr val="tx2">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Column3</c:v>
                </c:pt>
              </c:strCache>
            </c:strRef>
          </c:tx>
          <c:spPr>
            <a:solidFill>
              <a:schemeClr val="accent1"/>
            </a:solidFill>
            <a:ln>
              <a:noFill/>
            </a:ln>
            <a:effectLst/>
            <a:sp3d/>
          </c:spPr>
          <c:invertIfNegative val="0"/>
          <c:cat>
            <c:strRef>
              <c:f>Sheet1!$A$2:$A$3</c:f>
              <c:strCache>
                <c:ptCount val="2"/>
                <c:pt idx="0">
                  <c:v>Greenfield</c:v>
                </c:pt>
                <c:pt idx="1">
                  <c:v>Doroluman</c:v>
                </c:pt>
              </c:strCache>
            </c:strRef>
          </c:cat>
          <c:val>
            <c:numRef>
              <c:f>Sheet1!$B$2:$B$3</c:f>
              <c:numCache>
                <c:formatCode>General</c:formatCode>
                <c:ptCount val="2"/>
                <c:pt idx="0">
                  <c:v>127</c:v>
                </c:pt>
                <c:pt idx="1">
                  <c:v>64</c:v>
                </c:pt>
              </c:numCache>
            </c:numRef>
          </c:val>
          <c:extLst>
            <c:ext xmlns:c16="http://schemas.microsoft.com/office/drawing/2014/chart" uri="{C3380CC4-5D6E-409C-BE32-E72D297353CC}">
              <c16:uniqueId val="{00000000-6AEF-4964-A647-2AC7B66D1B03}"/>
            </c:ext>
          </c:extLst>
        </c:ser>
        <c:dLbls>
          <c:showLegendKey val="0"/>
          <c:showVal val="0"/>
          <c:showCatName val="0"/>
          <c:showSerName val="0"/>
          <c:showPercent val="0"/>
          <c:showBubbleSize val="0"/>
        </c:dLbls>
        <c:gapWidth val="150"/>
        <c:axId val="1700164223"/>
        <c:axId val="1700166623"/>
      </c:barChart>
      <c:catAx>
        <c:axId val="170016422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Century Gothic" panose="020B0502020202020204" pitchFamily="2" charset="0"/>
                <a:ea typeface="+mn-ea"/>
                <a:cs typeface="+mn-cs"/>
              </a:defRPr>
            </a:pPr>
            <a:endParaRPr lang="en-US"/>
          </a:p>
        </c:txPr>
        <c:crossAx val="1700166623"/>
        <c:crosses val="autoZero"/>
        <c:auto val="1"/>
        <c:lblAlgn val="ctr"/>
        <c:lblOffset val="100"/>
        <c:noMultiLvlLbl val="0"/>
      </c:catAx>
      <c:valAx>
        <c:axId val="17001666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Century Gothic" panose="020B0502020202020204" pitchFamily="2" charset="0"/>
                <a:ea typeface="+mn-ea"/>
                <a:cs typeface="+mn-cs"/>
              </a:defRPr>
            </a:pPr>
            <a:endParaRPr lang="en-US"/>
          </a:p>
        </c:txPr>
        <c:crossAx val="1700164223"/>
        <c:crosses val="autoZero"/>
        <c:crossBetween val="between"/>
      </c:valAx>
      <c:spPr>
        <a:noFill/>
        <a:ln>
          <a:noFill/>
        </a:ln>
        <a:effectLst/>
      </c:spPr>
    </c:plotArea>
    <c:plotVisOnly val="1"/>
    <c:dispBlanksAs val="gap"/>
    <c:showDLblsOverMax val="0"/>
    <c:extLst>
      <c:ext uri="{0b15fc19-7d7d-44ad-8c2d-2c3a37ce22c3}">
        <chartProps xmlns="https://web.wps.cn/et/2018/main" chartId="{d61fa956-8ba7-4e81-8e7d-bc7830859c64}"/>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A1661-37FE-4465-AAF2-AAA16E49F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5306</Words>
  <Characters>30247</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jesamaine</cp:lastModifiedBy>
  <cp:revision>8</cp:revision>
  <cp:lastPrinted>2026-06-22T09:56:00Z</cp:lastPrinted>
  <dcterms:created xsi:type="dcterms:W3CDTF">2026-05-17T00:04:00Z</dcterms:created>
  <dcterms:modified xsi:type="dcterms:W3CDTF">2026-06-22T09:59:00Z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Microsoft® Word 2019</vt:lpwstr>
  </property>
  <property fmtid="{D5CDD505-2E9C-101B-9397-08002B2CF9AE}" pid="4" name="LastSaved">
    <vt:filetime>2026-03-02T00:00:00Z</vt:filetime>
  </property>
  <property fmtid="{D5CDD505-2E9C-101B-9397-08002B2CF9AE}" pid="5" name="Producer">
    <vt:lpwstr>Microsoft® Word 2019</vt:lpwstr>
  </property>
  <property fmtid="{D5CDD505-2E9C-101B-9397-08002B2CF9AE}" pid="6" name="GrammarlyDocumentId">
    <vt:lpwstr>ee64c87c-b0a5-41e6-980c-652826e0b909</vt:lpwstr>
  </property>
</Properties>
</file>