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F9835" w14:textId="77777777" w:rsidR="00E17191" w:rsidRDefault="00000000">
      <w:pPr>
        <w:spacing w:before="240" w:after="240"/>
        <w:jc w:val="center"/>
      </w:pPr>
      <w:r>
        <w:rPr>
          <w:b/>
          <w:bCs/>
          <w:sz w:val="36"/>
          <w:szCs w:val="36"/>
        </w:rPr>
        <w:t>Revenue Recognition Disclosures Under ASC 606 and IFRS 15:</w:t>
      </w:r>
    </w:p>
    <w:p w14:paraId="080EDBD6" w14:textId="77777777" w:rsidR="00E17191" w:rsidRDefault="00000000">
      <w:pPr>
        <w:spacing w:before="240" w:after="240"/>
        <w:jc w:val="center"/>
      </w:pPr>
      <w:r>
        <w:rPr>
          <w:b/>
          <w:bCs/>
          <w:sz w:val="36"/>
          <w:szCs w:val="36"/>
        </w:rPr>
        <w:t/>
      </w:r>
    </w:p>
    <w:p w14:paraId="3D144528" w14:textId="77777777" w:rsidR="00E17191" w:rsidRDefault="00000000">
      <w:pPr>
        <w:spacing w:before="240" w:after="240"/>
        <w:jc w:val="center"/>
      </w:pPr>
      <w:r>
        <w:rPr>
          <w:b/>
          <w:bCs/>
          <w:sz w:val="36"/>
          <w:szCs w:val="36"/>
        </w:rPr>
        <w:t/>
      </w:r>
    </w:p>
    <w:p w14:paraId="4DADF402" w14:textId="0B616274" w:rsidR="00E17191" w:rsidRDefault="00431F2D">
      <w:pPr>
        <w:spacing w:before="240" w:after="240"/>
        <w:jc w:val="center"/>
      </w:pPr>
      <w:r>
        <w:rPr>
          <w:b/>
          <w:bCs/>
        </w:rPr>
        <w:t/>
      </w:r>
      <w:r w:rsidR="00000000">
        <w:rPr>
          <w:b/>
          <w:bCs/>
        </w:rPr>
        <w:t/>
      </w:r>
    </w:p>
    <w:p w14:paraId="2576E0D2" w14:textId="77777777" w:rsidR="00E17191" w:rsidRDefault="00000000">
      <w:pPr>
        <w:spacing w:before="240" w:after="240"/>
        <w:jc w:val="center"/>
      </w:pPr>
      <w:r>
        <w:rPr>
          <w:b/>
          <w:bCs/>
        </w:rPr>
        <w:t/>
      </w:r>
    </w:p>
    <w:p w14:paraId="5C9BA7F0" w14:textId="77777777" w:rsidR="00E17191" w:rsidRDefault="00000000">
      <w:pPr>
        <w:spacing w:before="240" w:after="240"/>
        <w:jc w:val="center"/>
      </w:pPr>
      <w:r>
        <w:rPr>
          <w:b/>
          <w:bCs/>
        </w:rPr>
        <w:t/>
      </w:r>
    </w:p>
    <w:p w14:paraId="5A867F3F" w14:textId="77777777" w:rsidR="00E17191" w:rsidRDefault="00000000">
      <w:pPr>
        <w:spacing w:before="240" w:after="240"/>
        <w:jc w:val="center"/>
      </w:pPr>
      <w:r>
        <w:rPr>
          <w:b/>
          <w:bCs/>
        </w:rPr>
        <w:t/>
      </w:r>
    </w:p>
    <w:p w14:paraId="74CC84A7" w14:textId="77777777" w:rsidR="00E17191" w:rsidRDefault="00000000">
      <w:pPr>
        <w:spacing w:before="240" w:after="240"/>
        <w:jc w:val="center"/>
      </w:pPr>
      <w:r>
        <w:rPr>
          <w:b/>
          <w:bCs/>
        </w:rPr>
        <w:t/>
      </w:r>
    </w:p>
    <w:p w14:paraId="6509E2AB" w14:textId="3537A500" w:rsidR="00E17191" w:rsidRDefault="00000000">
      <w:pPr>
        <w:spacing w:before="240" w:after="240"/>
        <w:jc w:val="center"/>
      </w:pPr>
      <w:r>
        <w:rPr>
          <w:b/>
          <w:bCs/>
        </w:rPr>
        <w:t xml:space="preserve"/>
      </w:r>
      <w:r w:rsidR="00431F2D">
        <w:rPr>
          <w:b/>
          <w:bCs/>
        </w:rPr>
        <w:t/>
      </w:r>
      <w:r>
        <w:rPr>
          <w:b/>
          <w:bCs/>
        </w:rPr>
        <w:t/>
      </w:r>
    </w:p>
    <w:p w14:paraId="47499875" w14:textId="46EAFCB3" w:rsidR="00E17191" w:rsidRDefault="00000000">
      <w:pPr>
        <w:spacing w:before="240" w:after="240"/>
        <w:jc w:val="center"/>
      </w:pPr>
      <w:r>
        <w:rPr>
          <w:b/>
          <w:bCs/>
        </w:rPr>
        <w:t xml:space="preserve"/>
      </w:r>
      <w:r w:rsidR="00431F2D">
        <w:rPr>
          <w:b/>
          <w:bCs/>
        </w:rPr>
        <w:t/>
      </w:r>
      <w:r>
        <w:rPr>
          <w:b/>
          <w:bCs/>
        </w:rPr>
        <w:t/>
      </w:r>
    </w:p>
    <w:p w14:paraId="6D6A8E47" w14:textId="77777777" w:rsidR="00E17191" w:rsidRDefault="00000000">
      <w:pPr>
        <w:spacing w:before="240" w:after="240"/>
      </w:pPr>
      <w:r>
        <w:rPr>
          <w:b/>
          <w:bCs/>
          <w:sz w:val="28"/>
          <w:szCs w:val="28"/>
        </w:rPr>
        <w:t>ABSTRACT</w:t>
      </w:r>
    </w:p>
    <w:p w14:paraId="2BE12877" w14:textId="77777777" w:rsidR="00E17191" w:rsidRDefault="00000000">
      <w:pPr>
        <w:spacing w:before="240" w:after="240"/>
        <w:jc w:val="both"/>
      </w:pPr>
      <w:r>
        <w:t>Revenue from contracts with customers is the most scrutinized line item on the income statement of virtually every U.S. listed public company. The joint issuance of Accounting Standards Update (ASU) 2014-09, codified as ASC Topic 606 under U.S. Generally Accepted Accounting Principles (GAAP), and IFRS 15 by the International Accounting Standards Board (IASB) represented the most significant overhaul of revenue reporting in a generation. Both standards adopted an identical five-step recognition model with broadly similar effective dates for public entities, yet meaningful differences persist in application guidance, disclosure requirements, and industry-specific interpretations. This paper examines how U.S. public companies have applied ASC 606 in practice from 2020 to 2024, comparing selected disclosure patterns with parallel IFRS 15 practice and assessing the implications for investors who rely on financial statements for capital allocation decisions. Drawing on SEC comment letter activity, published academic research, and practitioner guidance from the FASB, IASB, and major accounting firms, the study finds that while adoption of the five-step model has improved consistency across industries, disclosure depth remains uneven, particularly in performance obligation identification, variable consideration estimation, and disaggregated revenue reporting. The paper concludes with recommendations for disclosure enhancements that serve the interests of U.S. investors, capital markets, and financial regulators.</w:t>
      </w:r>
    </w:p>
    <w:p w14:paraId="77DA1BA5" w14:textId="77777777" w:rsidR="00E17191" w:rsidRDefault="00000000">
      <w:pPr>
        <w:spacing w:before="240" w:after="240"/>
        <w:jc w:val="both"/>
      </w:pPr>
      <w:r>
        <w:rPr>
          <w:b/>
          <w:bCs/>
        </w:rPr>
        <w:t xml:space="preserve">Keywords: </w:t>
      </w:r>
      <w:r>
        <w:t>ASC 606; IFRS 15; revenue recognition; disclosure quality; investor protection</w:t>
      </w:r>
    </w:p>
    <w:p w14:paraId="05636E8C" w14:textId="77777777" w:rsidR="00E17191" w:rsidRDefault="00000000">
      <w:pPr>
        <w:spacing w:before="240" w:after="240"/>
      </w:pPr>
      <w:r>
        <w:rPr>
          <w:b/>
          <w:bCs/>
          <w:sz w:val="28"/>
          <w:szCs w:val="28"/>
        </w:rPr>
        <w:t>1. INTRODUCTION</w:t>
      </w:r>
    </w:p>
    <w:p w14:paraId="5294B006" w14:textId="77777777" w:rsidR="00E17191" w:rsidRDefault="00000000">
      <w:pPr>
        <w:spacing w:before="240" w:after="240"/>
        <w:jc w:val="both"/>
      </w:pPr>
      <w:r>
        <w:t>For decades before 2014, revenue recognition under U.S. GAAP was governed by a fragmented collection of more than 200 industry-specific standards, staff positions, and technical bulletins. The resulting landscape was widely criticized for producing inconsistent outcomes across industries and for enabling structuring opportunities that, in some high-profile cases, crossed the line into financial statement manipulation. The collapses of Enron, WorldCom, and other early 2000s corporate scandals - many of which involved premature or fictitious revenue recognition - reinforced the urgency of reform and accelerated the FASB's partnership with the IASB on a unified global standard [1, 2].</w:t>
      </w:r>
    </w:p>
    <w:p w14:paraId="2D31B4BE" w14:textId="77777777" w:rsidR="00E17191" w:rsidRDefault="00000000">
      <w:pPr>
        <w:spacing w:before="240" w:after="240"/>
        <w:jc w:val="both"/>
      </w:pPr>
      <w:r>
        <w:t xml:space="preserve">The product of more than a decade of deliberation was ASU 2014-09 (ASC 606) and IFRS 15, issued simultaneously in May 2014. Both standards replaced their predecessors with a single, principles-based five-step model requiring entities to: (1) identify the contract with a customer, (2) identify the performance </w:t>
      </w:r>
      <w:r>
        <w:lastRenderedPageBreak/>
        <w:t>obligations in the contract, (3) determine the transaction price, (4) allocate the transaction price to the performance obligations, and (5) recognize revenue when, or as, each performance obligation is satisfied [3, 4]. For U.S. public companies, the standard became effective for annual reporting periods beginning after December 15, 2017, meaning the vast majority transitioned in fiscal year 2018 and have been reporting under ASC 606 for at least six full fiscal years by 2024.</w:t>
      </w:r>
    </w:p>
    <w:p w14:paraId="66EF9957" w14:textId="77777777" w:rsidR="00E17191" w:rsidRDefault="00000000">
      <w:pPr>
        <w:spacing w:before="240" w:after="240"/>
        <w:jc w:val="both"/>
      </w:pPr>
      <w:r>
        <w:t>Despite sharing the same conceptual architecture, ASC 606 and IFRS 15 diverge in several areas of application guidance, most notably in the treatment of licenses of intellectual property, sale and leaseback arrangements involving revenue components, and the specificity of disclosures required for disaggregated revenue. For multinational companies maintaining both U.S. GAAP and IFRS reporting obligations - as well as for investors comparing U.S. listed companies with foreign private issuers - these differences introduce informational friction that can impair the quality of investment decision-making [5, 6].</w:t>
      </w:r>
    </w:p>
    <w:p w14:paraId="10DA80EA" w14:textId="77777777" w:rsidR="00E17191" w:rsidRDefault="00000000">
      <w:pPr>
        <w:spacing w:before="240" w:after="240"/>
        <w:jc w:val="both"/>
      </w:pPr>
      <w:r>
        <w:t>This paper addresses three focused research questions: (1) What are the most practically significant differences between ASC 606 and IFRS 15 for U.S. companies? (2) Based on evidence from SEC filings and academic literature covering 2020 to 2024, how consistently have U.S. public companies applied the standard's disclosure requirements? (3) What do identified gaps mean for investor protection in U.S. capital markets? These questions carry direct relevance to the SEC's investor protection mandate, the FASB's ongoing post-implementation review of ASC 606, and the broader national interest in maintaining the integrity and transparency of U.S. financial reporting.</w:t>
      </w:r>
    </w:p>
    <w:p w14:paraId="29905079" w14:textId="77777777" w:rsidR="00E17191" w:rsidRDefault="00000000">
      <w:pPr>
        <w:spacing w:before="240" w:after="240"/>
      </w:pPr>
      <w:r>
        <w:rPr>
          <w:b/>
          <w:bCs/>
          <w:sz w:val="28"/>
          <w:szCs w:val="28"/>
        </w:rPr>
        <w:t>2. MATERIALS AND METHODS</w:t>
      </w:r>
    </w:p>
    <w:p w14:paraId="206C0607" w14:textId="77777777" w:rsidR="00E17191" w:rsidRDefault="00000000">
      <w:pPr>
        <w:spacing w:before="240" w:after="240"/>
      </w:pPr>
      <w:r>
        <w:rPr>
          <w:b/>
          <w:bCs/>
        </w:rPr>
        <w:t>2.1 Research Approach</w:t>
      </w:r>
    </w:p>
    <w:p w14:paraId="6B300CBD" w14:textId="77777777" w:rsidR="00E17191" w:rsidRDefault="00000000">
      <w:pPr>
        <w:spacing w:before="240" w:after="240"/>
        <w:jc w:val="both"/>
      </w:pPr>
      <w:r>
        <w:t>This study employs a qualitative and descriptive research design, consistent with established practice in accounting policy research that evaluates standard application through documentary analysis [7, 8]. This approach is well suited to a practitioner-researcher because all primary sources - SEC filings, FASB and IASB publications, and published academic and practitioner literature - are publicly available at no cost. The author's professional background as a Fellow of the Institute of Chartered Accountants of Nigeria (ICAN) and holder of a Master of Management degree with a specialization in International Accounting and Finance from the University of Windsor provides the interpretive grounding necessary to evaluate both the IFRS 15 and ASC 606 dimensions of the analysis with equal proficiency.</w:t>
      </w:r>
    </w:p>
    <w:p w14:paraId="2D659277" w14:textId="77777777" w:rsidR="00E17191" w:rsidRDefault="00000000">
      <w:pPr>
        <w:spacing w:before="240" w:after="240"/>
      </w:pPr>
      <w:r>
        <w:rPr>
          <w:b/>
          <w:bCs/>
        </w:rPr>
        <w:t>2.2 Primary Standards Reviewed</w:t>
      </w:r>
    </w:p>
    <w:p w14:paraId="2CB0B6F9" w14:textId="77777777" w:rsidR="00E17191" w:rsidRDefault="00000000">
      <w:pPr>
        <w:spacing w:before="240" w:after="240"/>
        <w:jc w:val="both"/>
      </w:pPr>
      <w:r>
        <w:t>The foundational documents analyzed are: (a) FASB ASU 2014-09, Revenue from Contracts with Customers (Topic 606), including amendments through ASU 2021-08 on contract assets and liabilities from business combinations; and (b) IASB IFRS 15, Revenue from Contracts with Customers (May 2014), including the Clarifications to IFRS 15 issued in April 2016 [3, 4, 9, 10]. Both are freely available on the FASB and IFRS Foundation websites. Supplementary guidance reviewed includes SEC Staff Accounting Bulletin (SAB) Topic 13 (as updated) and the SEC Division of Corporation Finance comment letters related to revenue recognition disclosures, publicly searchable on EDGAR.</w:t>
      </w:r>
    </w:p>
    <w:p w14:paraId="12683CD6" w14:textId="77777777" w:rsidR="00E17191" w:rsidRDefault="00000000">
      <w:pPr>
        <w:spacing w:before="240" w:after="240"/>
      </w:pPr>
      <w:r>
        <w:rPr>
          <w:b/>
          <w:bCs/>
        </w:rPr>
        <w:t>2.3 Literature and Evidence Sources</w:t>
      </w:r>
    </w:p>
    <w:p w14:paraId="43F29111" w14:textId="77777777" w:rsidR="00E17191" w:rsidRDefault="00000000">
      <w:pPr>
        <w:spacing w:before="240" w:after="240"/>
        <w:jc w:val="both"/>
      </w:pPr>
      <w:r>
        <w:t xml:space="preserve">A structured review of academic and practitioner literature published between January </w:t>
      </w:r>
      <w:proofErr w:type="gramStart"/>
      <w:r>
        <w:t>2020</w:t>
      </w:r>
      <w:proofErr w:type="gramEnd"/>
      <w:r>
        <w:t xml:space="preserve"> and December 2024 was conducted using Google Scholar, the AICPA online library, and SSRN. Search terms included 'ASC 606,' 'IFRS 15,' 'revenue recognition disclosure,' 'performance obligation,' and 'variable consideration.' Sources retained include peer-reviewed journal articles, SEC comment letter summaries from the FASB's post-implementation review team, and technical guidance from the Big Four accounting firms. Sources without named authorship or disclosed methodology were excluded.</w:t>
      </w:r>
    </w:p>
    <w:p w14:paraId="4BB42346" w14:textId="77777777" w:rsidR="00E17191" w:rsidRDefault="00000000">
      <w:pPr>
        <w:spacing w:before="240" w:after="240"/>
      </w:pPr>
      <w:r>
        <w:rPr>
          <w:b/>
          <w:bCs/>
        </w:rPr>
        <w:t>2.4 Analytical Framework</w:t>
      </w:r>
    </w:p>
    <w:p w14:paraId="58BA160F" w14:textId="77777777" w:rsidR="00E17191" w:rsidRDefault="00000000">
      <w:pPr>
        <w:spacing w:before="240" w:after="240"/>
        <w:jc w:val="both"/>
      </w:pPr>
      <w:r>
        <w:lastRenderedPageBreak/>
        <w:t>The comparative analysis is organized around the five-step model and the three disclosure areas most frequently cited in SEC comment letters: disaggregation of revenue, performance obligation descriptions, and variable consideration disclosures. This framework mirrors the structure adopted by the FASB in its own post-implementation review [11], allowing findings to be mapped directly against the standard setter's stated concerns - a feature that strengthens the practical relevance of the paper's recommendations.</w:t>
      </w:r>
    </w:p>
    <w:p w14:paraId="75ED3149" w14:textId="77777777" w:rsidR="00E17191" w:rsidRDefault="00000000">
      <w:pPr>
        <w:spacing w:before="240" w:after="240"/>
      </w:pPr>
      <w:r>
        <w:rPr>
          <w:b/>
          <w:bCs/>
        </w:rPr>
        <w:t>Table 1</w:t>
      </w:r>
    </w:p>
    <w:p w14:paraId="2788B6AE" w14:textId="77777777" w:rsidR="00E17191" w:rsidRDefault="00000000">
      <w:pPr>
        <w:spacing w:before="240" w:after="240"/>
      </w:pPr>
      <w:r>
        <w:rPr>
          <w:i/>
          <w:iCs/>
        </w:rPr>
        <w:t>Summary Comparison of ASC 606 and IFRS 15 on Key Dimensions</w:t>
      </w:r>
    </w:p>
    <w:tbl>
      <w:tblPr>
        <w:tblW w:w="10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995"/>
        <w:gridCol w:w="3851"/>
        <w:gridCol w:w="3850"/>
      </w:tblGrid>
      <w:tr w:rsidR="00E17191" w14:paraId="6B29DD40" w14:textId="77777777">
        <w:tblPrEx>
          <w:tblCellMar>
            <w:top w:w="0" w:type="dxa"/>
            <w:bottom w:w="0" w:type="dxa"/>
          </w:tblCellMar>
        </w:tblPrEx>
        <w:trPr>
          <w:tblHeader/>
        </w:trPr>
        <w:tc>
          <w:tcPr>
            <w:tcW w:w="2995" w:type="dxa"/>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tcPr>
          <w:p w14:paraId="42D5001C" w14:textId="77777777" w:rsidR="00E17191" w:rsidRDefault="00000000">
            <w:pPr>
              <w:jc w:val="center"/>
            </w:pPr>
            <w:r>
              <w:rPr>
                <w:b/>
                <w:bCs/>
                <w:sz w:val="22"/>
                <w:szCs w:val="22"/>
              </w:rPr>
              <w:t>Dimension</w:t>
            </w:r>
          </w:p>
        </w:tc>
        <w:tc>
          <w:tcPr>
            <w:tcW w:w="3851" w:type="dxa"/>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tcPr>
          <w:p w14:paraId="00721648" w14:textId="77777777" w:rsidR="00E17191" w:rsidRDefault="00000000">
            <w:pPr>
              <w:jc w:val="center"/>
            </w:pPr>
            <w:r>
              <w:rPr>
                <w:b/>
                <w:bCs/>
                <w:sz w:val="22"/>
                <w:szCs w:val="22"/>
              </w:rPr>
              <w:t>ASC 606 (US GAAP)</w:t>
            </w:r>
          </w:p>
        </w:tc>
        <w:tc>
          <w:tcPr>
            <w:tcW w:w="3850" w:type="dxa"/>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tcPr>
          <w:p w14:paraId="33CD6F0C" w14:textId="77777777" w:rsidR="00E17191" w:rsidRDefault="00000000">
            <w:pPr>
              <w:jc w:val="center"/>
            </w:pPr>
            <w:r>
              <w:rPr>
                <w:b/>
                <w:bCs/>
                <w:sz w:val="22"/>
                <w:szCs w:val="22"/>
              </w:rPr>
              <w:t>IFRS 15</w:t>
            </w:r>
          </w:p>
        </w:tc>
      </w:tr>
      <w:tr w:rsidR="00E17191" w14:paraId="400E2FA9" w14:textId="77777777">
        <w:tblPrEx>
          <w:tblCellMar>
            <w:top w:w="0" w:type="dxa"/>
            <w:bottom w:w="0" w:type="dxa"/>
          </w:tblCellMar>
        </w:tblPrEx>
        <w:tc>
          <w:tcPr>
            <w:tcW w:w="2995"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019C6F1" w14:textId="77777777" w:rsidR="00E17191" w:rsidRDefault="00000000">
            <w:r>
              <w:rPr>
                <w:b/>
                <w:bCs/>
                <w:sz w:val="22"/>
                <w:szCs w:val="22"/>
              </w:rPr>
              <w:t>Core Model</w:t>
            </w:r>
          </w:p>
        </w:tc>
        <w:tc>
          <w:tcPr>
            <w:tcW w:w="3851"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7F1CFF6" w14:textId="77777777" w:rsidR="00E17191" w:rsidRDefault="00000000">
            <w:r>
              <w:rPr>
                <w:sz w:val="22"/>
                <w:szCs w:val="22"/>
              </w:rPr>
              <w:t>5-Step Model (identical)</w:t>
            </w:r>
          </w:p>
        </w:tc>
        <w:tc>
          <w:tcPr>
            <w:tcW w:w="385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2C3E3FD" w14:textId="77777777" w:rsidR="00E17191" w:rsidRDefault="00000000">
            <w:r>
              <w:rPr>
                <w:sz w:val="22"/>
                <w:szCs w:val="22"/>
              </w:rPr>
              <w:t>5-Step Model (identical)</w:t>
            </w:r>
          </w:p>
        </w:tc>
      </w:tr>
      <w:tr w:rsidR="00E17191" w14:paraId="089BE2C9" w14:textId="77777777">
        <w:tblPrEx>
          <w:tblCellMar>
            <w:top w:w="0" w:type="dxa"/>
            <w:bottom w:w="0" w:type="dxa"/>
          </w:tblCellMar>
        </w:tblPrEx>
        <w:tc>
          <w:tcPr>
            <w:tcW w:w="2995"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B473C8F" w14:textId="77777777" w:rsidR="00E17191" w:rsidRDefault="00000000">
            <w:r>
              <w:rPr>
                <w:b/>
                <w:bCs/>
                <w:sz w:val="22"/>
                <w:szCs w:val="22"/>
              </w:rPr>
              <w:t>Licenses</w:t>
            </w:r>
          </w:p>
        </w:tc>
        <w:tc>
          <w:tcPr>
            <w:tcW w:w="3851"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6EB35CD" w14:textId="77777777" w:rsidR="00E17191" w:rsidRDefault="00000000">
            <w:r>
              <w:rPr>
                <w:sz w:val="22"/>
                <w:szCs w:val="22"/>
              </w:rPr>
              <w:t>Functional vs. symbolic, detailed</w:t>
            </w:r>
          </w:p>
        </w:tc>
        <w:tc>
          <w:tcPr>
            <w:tcW w:w="385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87C036B" w14:textId="77777777" w:rsidR="00E17191" w:rsidRDefault="00000000">
            <w:r>
              <w:rPr>
                <w:sz w:val="22"/>
                <w:szCs w:val="22"/>
              </w:rPr>
              <w:t>Similar; less prescriptive</w:t>
            </w:r>
          </w:p>
        </w:tc>
      </w:tr>
      <w:tr w:rsidR="00E17191" w14:paraId="1EA1F760" w14:textId="77777777">
        <w:tblPrEx>
          <w:tblCellMar>
            <w:top w:w="0" w:type="dxa"/>
            <w:bottom w:w="0" w:type="dxa"/>
          </w:tblCellMar>
        </w:tblPrEx>
        <w:tc>
          <w:tcPr>
            <w:tcW w:w="2995"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F57F45C" w14:textId="77777777" w:rsidR="00E17191" w:rsidRDefault="00000000">
            <w:r>
              <w:rPr>
                <w:b/>
                <w:bCs/>
                <w:sz w:val="22"/>
                <w:szCs w:val="22"/>
              </w:rPr>
              <w:t>Sales with returns</w:t>
            </w:r>
          </w:p>
        </w:tc>
        <w:tc>
          <w:tcPr>
            <w:tcW w:w="3851"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C46683B" w14:textId="77777777" w:rsidR="00E17191" w:rsidRDefault="00000000">
            <w:r>
              <w:rPr>
                <w:sz w:val="22"/>
                <w:szCs w:val="22"/>
              </w:rPr>
              <w:t>Explicit constraint guidance</w:t>
            </w:r>
          </w:p>
        </w:tc>
        <w:tc>
          <w:tcPr>
            <w:tcW w:w="385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4196E1C" w14:textId="77777777" w:rsidR="00E17191" w:rsidRDefault="00000000">
            <w:r>
              <w:rPr>
                <w:sz w:val="22"/>
                <w:szCs w:val="22"/>
              </w:rPr>
              <w:t>Principle-based; fewer rules</w:t>
            </w:r>
          </w:p>
        </w:tc>
      </w:tr>
      <w:tr w:rsidR="00E17191" w14:paraId="2E0FB1C0" w14:textId="77777777">
        <w:tblPrEx>
          <w:tblCellMar>
            <w:top w:w="0" w:type="dxa"/>
            <w:bottom w:w="0" w:type="dxa"/>
          </w:tblCellMar>
        </w:tblPrEx>
        <w:tc>
          <w:tcPr>
            <w:tcW w:w="2995"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69BD120" w14:textId="77777777" w:rsidR="00E17191" w:rsidRDefault="00000000">
            <w:r>
              <w:rPr>
                <w:b/>
                <w:bCs/>
                <w:sz w:val="22"/>
                <w:szCs w:val="22"/>
              </w:rPr>
              <w:t>Contract costs</w:t>
            </w:r>
          </w:p>
        </w:tc>
        <w:tc>
          <w:tcPr>
            <w:tcW w:w="3851"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2B29BC1" w14:textId="77777777" w:rsidR="00E17191" w:rsidRDefault="00000000">
            <w:r>
              <w:rPr>
                <w:sz w:val="22"/>
                <w:szCs w:val="22"/>
              </w:rPr>
              <w:t>Expedient for under 1-year contracts</w:t>
            </w:r>
          </w:p>
        </w:tc>
        <w:tc>
          <w:tcPr>
            <w:tcW w:w="385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90E20DD" w14:textId="77777777" w:rsidR="00E17191" w:rsidRDefault="00000000">
            <w:r>
              <w:rPr>
                <w:sz w:val="22"/>
                <w:szCs w:val="22"/>
              </w:rPr>
              <w:t>Same expedient permitted</w:t>
            </w:r>
          </w:p>
        </w:tc>
      </w:tr>
      <w:tr w:rsidR="00E17191" w14:paraId="7370694B" w14:textId="77777777">
        <w:tblPrEx>
          <w:tblCellMar>
            <w:top w:w="0" w:type="dxa"/>
            <w:bottom w:w="0" w:type="dxa"/>
          </w:tblCellMar>
        </w:tblPrEx>
        <w:tc>
          <w:tcPr>
            <w:tcW w:w="2995"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B22E925" w14:textId="77777777" w:rsidR="00E17191" w:rsidRDefault="00000000">
            <w:proofErr w:type="spellStart"/>
            <w:r>
              <w:rPr>
                <w:b/>
                <w:bCs/>
                <w:sz w:val="22"/>
                <w:szCs w:val="22"/>
              </w:rPr>
              <w:t>Collectibility</w:t>
            </w:r>
            <w:proofErr w:type="spellEnd"/>
            <w:r>
              <w:rPr>
                <w:b/>
                <w:bCs/>
                <w:sz w:val="22"/>
                <w:szCs w:val="22"/>
              </w:rPr>
              <w:t xml:space="preserve"> threshold</w:t>
            </w:r>
          </w:p>
        </w:tc>
        <w:tc>
          <w:tcPr>
            <w:tcW w:w="3851"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556F479" w14:textId="77777777" w:rsidR="00E17191" w:rsidRDefault="00000000">
            <w:r>
              <w:rPr>
                <w:sz w:val="22"/>
                <w:szCs w:val="22"/>
              </w:rPr>
              <w:t>Probable</w:t>
            </w:r>
          </w:p>
        </w:tc>
        <w:tc>
          <w:tcPr>
            <w:tcW w:w="385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3EDC377" w14:textId="77777777" w:rsidR="00E17191" w:rsidRDefault="00000000">
            <w:r>
              <w:rPr>
                <w:sz w:val="22"/>
                <w:szCs w:val="22"/>
              </w:rPr>
              <w:t>Probable</w:t>
            </w:r>
          </w:p>
        </w:tc>
      </w:tr>
      <w:tr w:rsidR="00E17191" w14:paraId="0BACC77C" w14:textId="77777777">
        <w:tblPrEx>
          <w:tblCellMar>
            <w:top w:w="0" w:type="dxa"/>
            <w:bottom w:w="0" w:type="dxa"/>
          </w:tblCellMar>
        </w:tblPrEx>
        <w:tc>
          <w:tcPr>
            <w:tcW w:w="2995"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A8463DF" w14:textId="77777777" w:rsidR="00E17191" w:rsidRDefault="00000000">
            <w:r>
              <w:rPr>
                <w:b/>
                <w:bCs/>
                <w:sz w:val="22"/>
                <w:szCs w:val="22"/>
              </w:rPr>
              <w:t>Disclosure requirements</w:t>
            </w:r>
          </w:p>
        </w:tc>
        <w:tc>
          <w:tcPr>
            <w:tcW w:w="3851"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3F84525" w14:textId="77777777" w:rsidR="00E17191" w:rsidRDefault="00000000">
            <w:r>
              <w:rPr>
                <w:sz w:val="22"/>
                <w:szCs w:val="22"/>
              </w:rPr>
              <w:t>Prescriptive and detailed</w:t>
            </w:r>
          </w:p>
        </w:tc>
        <w:tc>
          <w:tcPr>
            <w:tcW w:w="385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6815BD4" w14:textId="77777777" w:rsidR="00E17191" w:rsidRDefault="00000000">
            <w:r>
              <w:rPr>
                <w:sz w:val="22"/>
                <w:szCs w:val="22"/>
              </w:rPr>
              <w:t>Principles-based; flexible</w:t>
            </w:r>
          </w:p>
        </w:tc>
      </w:tr>
      <w:tr w:rsidR="00E17191" w14:paraId="2E03F38F" w14:textId="77777777">
        <w:tblPrEx>
          <w:tblCellMar>
            <w:top w:w="0" w:type="dxa"/>
            <w:bottom w:w="0" w:type="dxa"/>
          </w:tblCellMar>
        </w:tblPrEx>
        <w:tc>
          <w:tcPr>
            <w:tcW w:w="2995"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E6D8FFF" w14:textId="77777777" w:rsidR="00E17191" w:rsidRDefault="00000000">
            <w:r>
              <w:rPr>
                <w:b/>
                <w:bCs/>
                <w:sz w:val="22"/>
                <w:szCs w:val="22"/>
              </w:rPr>
              <w:t xml:space="preserve">Effective </w:t>
            </w:r>
            <w:proofErr w:type="gramStart"/>
            <w:r>
              <w:rPr>
                <w:b/>
                <w:bCs/>
                <w:sz w:val="22"/>
                <w:szCs w:val="22"/>
              </w:rPr>
              <w:t>date</w:t>
            </w:r>
            <w:proofErr w:type="gramEnd"/>
            <w:r>
              <w:rPr>
                <w:b/>
                <w:bCs/>
                <w:sz w:val="22"/>
                <w:szCs w:val="22"/>
              </w:rPr>
              <w:t xml:space="preserve"> (public co.)</w:t>
            </w:r>
          </w:p>
        </w:tc>
        <w:tc>
          <w:tcPr>
            <w:tcW w:w="3851"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C3A336E" w14:textId="77777777" w:rsidR="00E17191" w:rsidRDefault="00000000">
            <w:r>
              <w:rPr>
                <w:sz w:val="22"/>
                <w:szCs w:val="22"/>
              </w:rPr>
              <w:t>Dec. 15, 2017 (FY 2018)</w:t>
            </w:r>
          </w:p>
        </w:tc>
        <w:tc>
          <w:tcPr>
            <w:tcW w:w="385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FD3DE4C" w14:textId="77777777" w:rsidR="00E17191" w:rsidRDefault="00000000">
            <w:r>
              <w:rPr>
                <w:sz w:val="22"/>
                <w:szCs w:val="22"/>
              </w:rPr>
              <w:t>Jan. 1, 2018</w:t>
            </w:r>
          </w:p>
        </w:tc>
      </w:tr>
    </w:tbl>
    <w:p w14:paraId="68A388CB" w14:textId="77777777" w:rsidR="00E17191" w:rsidRDefault="00000000">
      <w:pPr>
        <w:spacing w:before="240" w:after="240"/>
      </w:pPr>
      <w:r>
        <w:rPr>
          <w:i/>
          <w:iCs/>
          <w:sz w:val="22"/>
          <w:szCs w:val="22"/>
        </w:rPr>
        <w:t>Note. Compiled by the author from FASB (2014), IASB (2014), Deloitte (2021), and PwC (2022).</w:t>
      </w:r>
    </w:p>
    <w:p w14:paraId="64C3B766" w14:textId="77777777" w:rsidR="00E17191" w:rsidRDefault="00000000">
      <w:pPr>
        <w:spacing w:before="240" w:after="240"/>
      </w:pPr>
      <w:r>
        <w:rPr>
          <w:b/>
          <w:bCs/>
          <w:sz w:val="28"/>
          <w:szCs w:val="28"/>
        </w:rPr>
        <w:t>3. RESULTS AND DISCUSSION</w:t>
      </w:r>
    </w:p>
    <w:p w14:paraId="435FB439" w14:textId="77777777" w:rsidR="00E17191" w:rsidRDefault="00000000">
      <w:pPr>
        <w:spacing w:before="240" w:after="240"/>
      </w:pPr>
      <w:r>
        <w:rPr>
          <w:b/>
          <w:bCs/>
        </w:rPr>
        <w:t>3.1 The Five-Step Model in Practice: Where Companies Struggle</w:t>
      </w:r>
    </w:p>
    <w:p w14:paraId="4991C553" w14:textId="77777777" w:rsidR="00E17191" w:rsidRDefault="00000000">
      <w:pPr>
        <w:spacing w:before="240" w:after="240"/>
        <w:jc w:val="both"/>
      </w:pPr>
      <w:r>
        <w:t>The five-step revenue recognition model is, at its core, a logic framework requiring accountants to think carefully about what has been promised to a customer and when that promise has been fulfilled. For straightforward transactions - a retailer selling goods at a point of sale - the model produces intuitive results. Complexity arises in contracts involving multiple deliverables, contingent pricing, or long performance timelines. These structures are most common in technology, software, construction, telecommunications, and entertainment - sectors that together account for a substantial portion of the market capitalization of U.S. public companies.</w:t>
      </w:r>
    </w:p>
    <w:p w14:paraId="784BDA17" w14:textId="77777777" w:rsidR="00E17191" w:rsidRDefault="00000000">
      <w:pPr>
        <w:spacing w:before="240" w:after="240"/>
        <w:jc w:val="both"/>
      </w:pPr>
      <w:r>
        <w:t>Step 2, identifying distinct performance obligations within a contract, has consistently generated the highest volume of SEC comment letters since adoption. The SEC's Division of Corporation Finance has noted in publicly available comment letters that many companies, particularly in software and technology, provide insufficient explanation of how they determined whether licenses, implementation services, and post-contract support are distinct obligations or should be bundled together [12]. This determination directly affects revenue timing - and therefore the reported earnings per share that investors use to value a company's stock.</w:t>
      </w:r>
    </w:p>
    <w:p w14:paraId="10FA9580" w14:textId="77777777" w:rsidR="00E17191" w:rsidRDefault="00000000">
      <w:pPr>
        <w:spacing w:before="240" w:after="240"/>
        <w:jc w:val="both"/>
      </w:pPr>
      <w:r>
        <w:t xml:space="preserve">Step 3, estimating variable consideration, has proven similarly challenging. Many contracts include performance bonuses, volume discounts, price concessions, and rights of return, each requiring a probability-weighted or </w:t>
      </w:r>
      <w:proofErr w:type="gramStart"/>
      <w:r>
        <w:t>most-likely</w:t>
      </w:r>
      <w:proofErr w:type="gramEnd"/>
      <w:r>
        <w:t xml:space="preserve">-amount estimate. ASC 606 requires companies to include variable amounts only to the extent it is </w:t>
      </w:r>
      <w:proofErr w:type="gramStart"/>
      <w:r>
        <w:t>probable</w:t>
      </w:r>
      <w:proofErr w:type="gramEnd"/>
      <w:r>
        <w:t xml:space="preserve"> a significant revenue reversal will not occur - a constraint requiring significant professional judgment. The FASB's post-implementation review, published in 2024, specifically flagged variable consideration estimation as an area where practice has not converged and investor understanding of company-specific policies remains limited [11].</w:t>
      </w:r>
    </w:p>
    <w:p w14:paraId="78460DC3" w14:textId="77777777" w:rsidR="00E17191" w:rsidRDefault="00000000">
      <w:pPr>
        <w:spacing w:before="240" w:after="240"/>
      </w:pPr>
      <w:r>
        <w:rPr>
          <w:b/>
          <w:bCs/>
        </w:rPr>
        <w:t>3.2 Disclosure Quality: Evidence from SEC Comment Letters and Academic Research</w:t>
      </w:r>
    </w:p>
    <w:p w14:paraId="328AEFDF" w14:textId="77777777" w:rsidR="00E17191" w:rsidRDefault="00000000">
      <w:pPr>
        <w:spacing w:before="240" w:after="240"/>
        <w:jc w:val="both"/>
      </w:pPr>
      <w:r>
        <w:t xml:space="preserve">The disclosure requirements of ASC 606 are contained in ASC 606-10-50 and are among the most extensive in U.S. GAAP. Companies must disclose disaggregated revenue information, opening and closing balances of </w:t>
      </w:r>
      <w:r>
        <w:lastRenderedPageBreak/>
        <w:t>contract assets and liabilities, performance obligation descriptions including timing of satisfaction, and significant judgments applied. Despite these requirements, academic research published after adoption has found that disclosure quality varies substantially by company size, industry, and auditor quality.</w:t>
      </w:r>
    </w:p>
    <w:p w14:paraId="17210592" w14:textId="77777777" w:rsidR="00E17191" w:rsidRDefault="00000000">
      <w:pPr>
        <w:spacing w:before="240" w:after="240"/>
        <w:jc w:val="both"/>
      </w:pPr>
      <w:r>
        <w:t xml:space="preserve">Bratten et al. [13], examining the relationship between fair value exposure, auditor specialization, and earnings management in banks, </w:t>
      </w:r>
      <w:proofErr w:type="gramStart"/>
      <w:r>
        <w:t>illustrate</w:t>
      </w:r>
      <w:proofErr w:type="gramEnd"/>
      <w:r>
        <w:t xml:space="preserve"> the broader pattern that larger firms engaging specialist auditors demonstrate more disciplined financial reporting - a dynamic equally relevant to revenue disclosure quality under ASC 606. Consistent with this, studies of early ASC 606 adoption found that disaggregated revenue disclosures - intended to provide investors insight into revenue's economic drivers - were often presented at a level of aggregation providing little incremental information beyond the segment reporting footnote. Large-capitalization companies with dedicated SEC reporting teams tended to provide more granular disclosures, while smaller reporting companies sometimes satisfied the technical letter of the standard without meaningfully serving its </w:t>
      </w:r>
      <w:proofErr w:type="gramStart"/>
      <w:r>
        <w:t>underlying purpose</w:t>
      </w:r>
      <w:proofErr w:type="gramEnd"/>
      <w:r>
        <w:t>.</w:t>
      </w:r>
    </w:p>
    <w:p w14:paraId="68DF776C" w14:textId="77777777" w:rsidR="00E17191" w:rsidRDefault="00000000">
      <w:pPr>
        <w:spacing w:before="240" w:after="240"/>
        <w:jc w:val="both"/>
      </w:pPr>
      <w:r>
        <w:t>A comparison with IFRS 15 practice reveals a notable contrast. Because IFRS 15's disclosure requirements are framed as principles rather than specific line items, IFRS reporters in the European Union have exhibited wider variation in their disaggregation choices - some providing highly detailed breakdowns by product line, geography, and contract type, while others present only what minimally satisfies the principle [6, 14]. From an investor standpoint, the absence of a prescriptive floor means comparing revenue compositions across IFRS reporters, or between IFRS and ASC 606 reporters, requires additional analytical effort.</w:t>
      </w:r>
    </w:p>
    <w:p w14:paraId="5FF54BB7" w14:textId="77777777" w:rsidR="00E17191" w:rsidRDefault="00000000">
      <w:pPr>
        <w:spacing w:before="240" w:after="240"/>
      </w:pPr>
      <w:r>
        <w:rPr>
          <w:b/>
          <w:bCs/>
        </w:rPr>
        <w:t>3.3 The National Interest Dimension: Why This Matters for the United States</w:t>
      </w:r>
    </w:p>
    <w:p w14:paraId="60669162" w14:textId="77777777" w:rsidR="00E17191" w:rsidRDefault="00000000">
      <w:pPr>
        <w:spacing w:before="240" w:after="240"/>
        <w:jc w:val="both"/>
      </w:pPr>
      <w:r>
        <w:t xml:space="preserve">Revenue is not merely an accounting figure; it is a primary input into corporate tax calculations, executive compensation formulas, debt covenant compliance tests, and the valuation models used by the U.S. equity market, whose listed domestic companies carried a combined market capitalization of approximately $44 trillion in 2023 [15]. When revenue disclosures are incomplete or inconsistent, capital allocation suffers. Investors may overpay for companies whose revenue quality is </w:t>
      </w:r>
      <w:proofErr w:type="gramStart"/>
      <w:r>
        <w:t>obscured, or</w:t>
      </w:r>
      <w:proofErr w:type="gramEnd"/>
      <w:r>
        <w:t xml:space="preserve"> underprice companies whose strong recurring revenue streams are buried in aggregated footnotes.</w:t>
      </w:r>
    </w:p>
    <w:p w14:paraId="59E437A3" w14:textId="77777777" w:rsidR="00E17191" w:rsidRDefault="00000000">
      <w:pPr>
        <w:spacing w:before="240" w:after="240"/>
        <w:jc w:val="both"/>
      </w:pPr>
      <w:r>
        <w:t xml:space="preserve">From a regulatory perspective, the SEC's core mandate under the Securities Exchange Act of 1934 is to ensure investors receive material information in a form permitting informed decisions. Revenue recognition policy is explicitly identified as a critical accounting estimate in the SEC's MD&amp;A guidance [16]. The evidence surveyed here suggests </w:t>
      </w:r>
      <w:proofErr w:type="gramStart"/>
      <w:r>
        <w:t>that,</w:t>
      </w:r>
      <w:proofErr w:type="gramEnd"/>
      <w:r>
        <w:t xml:space="preserve"> six years after adoption, a meaningful segment of U.S. public companies continues to fall short of this expectation in variable consideration and performance obligation disclosures.</w:t>
      </w:r>
    </w:p>
    <w:p w14:paraId="23375CA8" w14:textId="77777777" w:rsidR="00E17191" w:rsidRDefault="00000000">
      <w:pPr>
        <w:spacing w:before="240" w:after="240"/>
        <w:jc w:val="both"/>
      </w:pPr>
      <w:r>
        <w:t>There is also a financial stability dimension. Revenue manipulation has historically been the most common form of accounting fraud in SEC enforcement actions. The Committee of Sponsoring Organizations of the Treadway Commission found in its 2023 fraud risk framework update that revenue recognition remains among the leading areas of financial statement fraud by dollar magnitude [17]. A rigorously applied revenue standard with high-quality disclosures is therefore a structural safeguard for U.S. capital market integrity and the investor confidence on which those markets depend.</w:t>
      </w:r>
    </w:p>
    <w:p w14:paraId="1DEA56D9" w14:textId="77777777" w:rsidR="00E17191" w:rsidRDefault="00000000">
      <w:pPr>
        <w:spacing w:before="240" w:after="240"/>
      </w:pPr>
      <w:r>
        <w:rPr>
          <w:b/>
          <w:bCs/>
        </w:rPr>
        <w:t>3.4 Remaining Divergence Between ASC 606 and IFRS 15: Practical Implications</w:t>
      </w:r>
    </w:p>
    <w:p w14:paraId="4212970D" w14:textId="77777777" w:rsidR="00E17191" w:rsidRDefault="00000000">
      <w:pPr>
        <w:spacing w:before="240" w:after="240"/>
        <w:jc w:val="both"/>
      </w:pPr>
      <w:r>
        <w:t>The most significant divergence involves licenses of intellectual property. Under ASC 606, licenses are classified as either functional (recognized at the point in time when control transfers) or symbolic (recognized over time). IFRS 15 adopts a similar distinction but provides less prescriptive guidance, meaning a software or media company applying IFRS 15 may reach a different timing conclusion than under ASC 606 - even with identical facts and contract terms [5, 6].</w:t>
      </w:r>
    </w:p>
    <w:p w14:paraId="5E39ADDB" w14:textId="77777777" w:rsidR="00E17191" w:rsidRDefault="00000000">
      <w:pPr>
        <w:spacing w:before="240" w:after="240"/>
        <w:jc w:val="both"/>
      </w:pPr>
      <w:r>
        <w:t xml:space="preserve">For U.S. technology and entertainment companies, two globally prominent sectors, this divergence creates a comparability gap affecting both domestic investors comparing U.S. companies with international peers and foreign investors evaluating U.S. listings against home market alternatives. The IASB's post-implementation </w:t>
      </w:r>
      <w:r>
        <w:lastRenderedPageBreak/>
        <w:t>review of IFRS 15, completed in 2024, acknowledged the licenses divergence but did not propose an amendment, reflecting the difficulty of achieving consensus where the two boards hold genuinely different views [18].</w:t>
      </w:r>
    </w:p>
    <w:p w14:paraId="65CF861E" w14:textId="77777777" w:rsidR="00E17191" w:rsidRDefault="00000000">
      <w:pPr>
        <w:spacing w:before="240" w:after="240"/>
      </w:pPr>
      <w:r>
        <w:rPr>
          <w:b/>
          <w:bCs/>
          <w:sz w:val="28"/>
          <w:szCs w:val="28"/>
        </w:rPr>
        <w:t>4. CONCLUSION</w:t>
      </w:r>
    </w:p>
    <w:p w14:paraId="65592BC0" w14:textId="77777777" w:rsidR="00E17191" w:rsidRDefault="00000000">
      <w:pPr>
        <w:spacing w:before="240" w:after="240"/>
        <w:jc w:val="both"/>
      </w:pPr>
      <w:r>
        <w:t>This paper has examined the practical application of ASC 606 and IFRS 15 since full adoption by U.S. public companies, focusing on disclosure quality and the implications of remaining GAAP-to-IFRS divergences for investors and capital market integrity. Three principal conclusions emerge from the analysis.</w:t>
      </w:r>
    </w:p>
    <w:p w14:paraId="28F05272" w14:textId="77777777" w:rsidR="00E17191" w:rsidRDefault="00000000">
      <w:pPr>
        <w:spacing w:before="240" w:after="240"/>
        <w:jc w:val="both"/>
      </w:pPr>
      <w:r>
        <w:t>First, the shift from the old, fragmented U.S. GAAP revenue standards to the unified five-step model has been broadly positive. Companies across diverse industries now apply a consistent conceptual framework. However, consistency of framework has not translated uniformly into consistency of disclosure quality. Performance obligation identification and variable consideration estimation continue to generate SEC comment letters and investor confusion, suggesting the standard's disclosure requirements are not being fully realized in practice.</w:t>
      </w:r>
    </w:p>
    <w:p w14:paraId="2697B642" w14:textId="77777777" w:rsidR="00E17191" w:rsidRDefault="00000000">
      <w:pPr>
        <w:spacing w:before="240" w:after="240"/>
        <w:jc w:val="both"/>
      </w:pPr>
      <w:r>
        <w:t>Second, the divergence between ASC 606 and IFRS 15 in the treatment of intellectual property licenses has tangible consequences for the revenue timing and earnings patterns of U.S. technology, software, and media companies. Until the FASB and IASB resolve this through their post-implementation review processes, investors must exercise additional care when comparing U.S. GAAP reporters with IFRS 15 reporters in these sectors.</w:t>
      </w:r>
    </w:p>
    <w:p w14:paraId="2537C976" w14:textId="77777777" w:rsidR="00E17191" w:rsidRDefault="00000000">
      <w:pPr>
        <w:spacing w:before="240" w:after="240"/>
        <w:jc w:val="both"/>
      </w:pPr>
      <w:r>
        <w:t xml:space="preserve">Third, and most importantly from the standpoint of U.S. national interest, revenue recognition quality is inseparable from the integrity of U.S. capital markets. Every improvement in disclosure depth - more granular disaggregation, clearer explanation of variable consideration methods, more transparent performance obligation identification - directly enhances investor decision-making, reduces </w:t>
      </w:r>
      <w:proofErr w:type="spellStart"/>
      <w:r>
        <w:t>misvaluation</w:t>
      </w:r>
      <w:proofErr w:type="spellEnd"/>
      <w:r>
        <w:t xml:space="preserve"> risk, and strengthens the attractiveness of U.S. markets to domestic and foreign capital. These outcomes align with the SEC's statutory mandate, the FASB's investor-useful reporting mission, and the federal interest in maintaining U.S. financial markets as the most transparent and trusted in the world.</w:t>
      </w:r>
    </w:p>
    <w:p w14:paraId="68387248" w14:textId="77777777" w:rsidR="00E17191" w:rsidRDefault="00000000">
      <w:pPr>
        <w:spacing w:before="240" w:after="240"/>
        <w:jc w:val="both"/>
      </w:pPr>
      <w:r>
        <w:t>This study has limitations that warrant acknowledgment. The analysis relies on publicly available secondary data and published literature rather than a statistically representative sample of company filings. Future research employing structured content analysis of a large, randomly sampled set of 10-K disclosures - coded by industry, company size, and auditor - would provide a more rigorous empirical foundation for the disclosure quality conclusions advanced here.</w:t>
      </w:r>
    </w:p>
    <w:p w14:paraId="588519C2" w14:textId="77777777" w:rsidR="00E17191" w:rsidRDefault="00000000">
      <w:pPr>
        <w:spacing w:before="240" w:after="240"/>
      </w:pPr>
      <w:r>
        <w:rPr>
          <w:b/>
          <w:bCs/>
          <w:sz w:val="28"/>
          <w:szCs w:val="28"/>
        </w:rPr>
        <w:t>ETHICAL CONSIDERATIONS</w:t>
      </w:r>
    </w:p>
    <w:p w14:paraId="053A0D02" w14:textId="77777777" w:rsidR="00E17191" w:rsidRDefault="00000000">
      <w:pPr>
        <w:spacing w:before="240" w:after="240"/>
        <w:jc w:val="both"/>
      </w:pPr>
      <w:r>
        <w:rPr>
          <w:b/>
          <w:bCs/>
        </w:rPr>
        <w:t xml:space="preserve">Ethical Approval: </w:t>
      </w:r>
      <w:r>
        <w:t>This study is a qualitative and documentary analysis of publicly available standards, regulatory materials, and published academic literature. It does not involve the collection of primary data from human subjects or animals, and accordingly, no institutional ethical approval was required or sought.</w:t>
      </w:r>
    </w:p>
    <w:p w14:paraId="1F11BDED" w14:textId="77777777" w:rsidR="00E17191" w:rsidRDefault="00000000">
      <w:pPr>
        <w:spacing w:before="240" w:after="240"/>
        <w:jc w:val="both"/>
      </w:pPr>
      <w:r>
        <w:rPr>
          <w:b/>
          <w:bCs/>
        </w:rPr>
        <w:t xml:space="preserve">Conflict of Interest: </w:t>
      </w:r>
      <w:r>
        <w:t>The author declares no competing financial or personal interests that could have influenced the design or reporting of this research. No external funding was received.</w:t>
      </w:r>
    </w:p>
    <w:p w14:paraId="06AFE96B" w14:textId="77777777" w:rsidR="00E17191" w:rsidRDefault="00000000">
      <w:pPr>
        <w:spacing w:before="240" w:after="240"/>
      </w:pPr>
      <w:r>
        <w:rPr>
          <w:b/>
          <w:bCs/>
          <w:sz w:val="28"/>
          <w:szCs w:val="28"/>
        </w:rPr>
        <w:t>DATA AVAILABILITY STATEMENT</w:t>
      </w:r>
    </w:p>
    <w:p w14:paraId="259A69D1" w14:textId="77777777" w:rsidR="00E17191" w:rsidRDefault="00000000">
      <w:pPr>
        <w:spacing w:before="240" w:after="240"/>
        <w:jc w:val="both"/>
      </w:pPr>
      <w:r>
        <w:t>All primary documents referenced in this study are publicly available. SEC filings and comment letters are searchable at https://efts.sec.gov. FASB standards and post-implementation review materials are available at https://www.fasb.org. IFRS 15 and IASB publications are available at https://www.ifrs.org. No original datasets were generated or analyzed beyond those available in the cited publications.</w:t>
      </w:r>
    </w:p>
    <w:p w14:paraId="2FDA3664" w14:textId="77777777" w:rsidR="00E17191" w:rsidRDefault="00000000">
      <w:pPr>
        <w:spacing w:before="240" w:after="240"/>
      </w:pPr>
      <w:r>
        <w:rPr>
          <w:b/>
          <w:bCs/>
          <w:sz w:val="28"/>
          <w:szCs w:val="28"/>
        </w:rPr>
        <w:t>COPYRIGHT AND LICENSING</w:t>
      </w:r>
    </w:p>
    <w:p w14:paraId="61656E65" w14:textId="77777777" w:rsidR="00E17191" w:rsidRDefault="00000000">
      <w:pPr>
        <w:spacing w:before="240" w:after="240"/>
        <w:jc w:val="both"/>
      </w:pPr>
      <w:r>
        <w:t>This article is published under the Creative Commons Attribution License (CC BY 4.0), which permits unrestricted use, distribution, and reproduction in any medium, provided the original work is properly cited. For details, see https://creativecommons.org/licenses/by/4.0/</w:t>
      </w:r>
    </w:p>
    <w:p w14:paraId="0B491141" w14:textId="77777777" w:rsidR="00E17191" w:rsidRDefault="00000000">
      <w:pPr>
        <w:spacing w:before="240" w:after="240"/>
      </w:pPr>
      <w:r>
        <w:rPr>
          <w:b/>
          <w:bCs/>
          <w:sz w:val="28"/>
          <w:szCs w:val="28"/>
        </w:rPr>
        <w:lastRenderedPageBreak/>
        <w:t>REFERENCES</w:t>
      </w:r>
    </w:p>
    <w:p w14:paraId="0D27A80F" w14:textId="77777777" w:rsidR="00E17191" w:rsidRDefault="00000000">
      <w:pPr>
        <w:spacing w:before="240" w:after="240"/>
        <w:ind w:left="360" w:hanging="360"/>
        <w:jc w:val="both"/>
      </w:pPr>
      <w:r>
        <w:t>1. Securities and Exchange Commission (SEC). (2003). Release No. 33-8350: Commission Guidance Regarding Management's Discussion and Analysis. Washington, DC: SEC. https://www.sec.gov/rules/interp/33-8350.htm</w:t>
      </w:r>
    </w:p>
    <w:p w14:paraId="4566F8D4" w14:textId="77777777" w:rsidR="00E17191" w:rsidRDefault="00000000">
      <w:pPr>
        <w:spacing w:before="240" w:after="240"/>
        <w:ind w:left="360" w:hanging="360"/>
        <w:jc w:val="both"/>
      </w:pPr>
      <w:r>
        <w:t>2. Schipper, K. (2010). How can we measure the costs and benefits of changes in financial reporting standards? Accounting and Business Research, 40(3), 309-327. https://doi.org/10.1080/00014788.2010.9663406</w:t>
      </w:r>
    </w:p>
    <w:p w14:paraId="1A64AB65" w14:textId="77777777" w:rsidR="00E17191" w:rsidRDefault="00000000">
      <w:pPr>
        <w:spacing w:before="240" w:after="240"/>
        <w:ind w:left="360" w:hanging="360"/>
        <w:jc w:val="both"/>
      </w:pPr>
      <w:r>
        <w:t>3. Financial Accounting Standards Board (FASB). (2014). Accounting Standards Update No. 2014-09: Revenue from Contracts with Customers (Topic 606). Norwalk, CT: FASB. https://fasb.org</w:t>
      </w:r>
    </w:p>
    <w:p w14:paraId="230FF505" w14:textId="77777777" w:rsidR="00E17191" w:rsidRDefault="00000000">
      <w:pPr>
        <w:spacing w:before="240" w:after="240"/>
        <w:ind w:left="360" w:hanging="360"/>
        <w:jc w:val="both"/>
      </w:pPr>
      <w:r>
        <w:t>4. International Accounting Standards Board (IASB). (2014). IFRS 15: Revenue from Contracts with Customers. London: IFRS Foundation. https://www.ifrs.org/issued-standards/list-of-standards/ifrs-15-revenue-from-contracts-with-customers/</w:t>
      </w:r>
    </w:p>
    <w:p w14:paraId="3637848D" w14:textId="77777777" w:rsidR="00E17191" w:rsidRDefault="00000000">
      <w:pPr>
        <w:spacing w:before="240" w:after="240"/>
        <w:ind w:left="360" w:hanging="360"/>
        <w:jc w:val="both"/>
      </w:pPr>
      <w:r>
        <w:t>5. Deloitte LLP. (2021). A roadmap to comparing IFRS Standards and US GAAP: Bridging the differences. Deloitte Insights. https://www2.deloitte.com</w:t>
      </w:r>
    </w:p>
    <w:p w14:paraId="0AE4F6DC" w14:textId="77777777" w:rsidR="00E17191" w:rsidRDefault="00000000">
      <w:pPr>
        <w:spacing w:before="240" w:after="240"/>
        <w:ind w:left="360" w:hanging="360"/>
        <w:jc w:val="both"/>
      </w:pPr>
      <w:r>
        <w:t>6. Ernst &amp; Young (EY). (2022). IFRS 15 Revenue from Contracts with Customers: Updated considerations. EY Global. https://www.ey.com/en_gl/ifrs</w:t>
      </w:r>
    </w:p>
    <w:p w14:paraId="0CDEFD0A" w14:textId="77777777" w:rsidR="00E17191" w:rsidRDefault="00000000">
      <w:pPr>
        <w:spacing w:before="240" w:after="240"/>
        <w:ind w:left="360" w:hanging="360"/>
        <w:jc w:val="both"/>
      </w:pPr>
      <w:r>
        <w:t>7. Watts, R. L., &amp; Zimmerman, J. L. (1986). Positive accounting theory. Englewood Cliffs, NJ: Prentice Hall.</w:t>
      </w:r>
    </w:p>
    <w:p w14:paraId="619E1510" w14:textId="77777777" w:rsidR="00E17191" w:rsidRDefault="00000000">
      <w:pPr>
        <w:spacing w:before="240" w:after="240"/>
        <w:ind w:left="360" w:hanging="360"/>
        <w:jc w:val="both"/>
      </w:pPr>
      <w:r>
        <w:t>8. Holthausen, R. W., &amp; Watts, R. L. (2001). The relevance of the value-relevance literature for financial accounting standard setting. Journal of Accounting and Economics, 31(1-3), 3-75. https://doi.org/10.1016/S0165-4101(01)00029-5</w:t>
      </w:r>
    </w:p>
    <w:p w14:paraId="089AFC01" w14:textId="77777777" w:rsidR="00E17191" w:rsidRDefault="00000000">
      <w:pPr>
        <w:spacing w:before="240" w:after="240"/>
        <w:ind w:left="360" w:hanging="360"/>
        <w:jc w:val="both"/>
      </w:pPr>
      <w:r>
        <w:t>9. Financial Accounting Standards Board (FASB). (2021). Accounting Standards Update No. 2021-08: Business Combinations (Topic 805): Accounting for Contract Assets and Contract Liabilities. Norwalk, CT: FASB.</w:t>
      </w:r>
    </w:p>
    <w:p w14:paraId="3CC26923" w14:textId="77777777" w:rsidR="00E17191" w:rsidRDefault="00000000">
      <w:pPr>
        <w:spacing w:before="240" w:after="240"/>
        <w:ind w:left="360" w:hanging="360"/>
        <w:jc w:val="both"/>
      </w:pPr>
      <w:r>
        <w:t>10. International Accounting Standards Board (IASB). (2016). Clarifications to IFRS 15 Revenue from Contracts with Customers. London: IFRS Foundation.</w:t>
      </w:r>
    </w:p>
    <w:p w14:paraId="09483517" w14:textId="77777777" w:rsidR="00E17191" w:rsidRDefault="00000000">
      <w:pPr>
        <w:spacing w:before="240" w:after="240"/>
        <w:ind w:left="360" w:hanging="360"/>
        <w:jc w:val="both"/>
      </w:pPr>
      <w:r>
        <w:t>11. Financial Accounting Standards Board (FASB). (2024). Post-Implementation Review Report: Revenue from Contracts with Customers (Topic 606). Norwalk, CT: FASB. https://www.fasb.org/page/PageContent?pageId=/project/pir_asu201409.html</w:t>
      </w:r>
    </w:p>
    <w:p w14:paraId="322970DF" w14:textId="77777777" w:rsidR="00E17191" w:rsidRDefault="00000000">
      <w:pPr>
        <w:spacing w:before="240" w:after="240"/>
        <w:ind w:left="360" w:hanging="360"/>
        <w:jc w:val="both"/>
      </w:pPr>
      <w:r>
        <w:t>12. Securities and Exchange Commission (SEC). (2021). Staff observations from review of revenue recognition disclosures. Division of Corporation Finance. https://www.sec.gov/corpfin</w:t>
      </w:r>
    </w:p>
    <w:p w14:paraId="7ADBF9B8" w14:textId="77777777" w:rsidR="00E17191" w:rsidRDefault="00000000">
      <w:pPr>
        <w:spacing w:before="240" w:after="240"/>
        <w:ind w:left="360" w:hanging="360"/>
        <w:jc w:val="both"/>
      </w:pPr>
      <w:r>
        <w:t xml:space="preserve">13. Bratten, B., </w:t>
      </w:r>
      <w:proofErr w:type="spellStart"/>
      <w:r>
        <w:t>Causholli</w:t>
      </w:r>
      <w:proofErr w:type="spellEnd"/>
      <w:r>
        <w:t>, M., &amp; Myers, L. A. (2020). Fair value exposure, auditor specialization, and banks' discretionary use of the loan loss provision. Journal of Accounting, Auditing &amp; Finance, 35(2), 318-348. https://doi.org/10.1177/0148558X17742567</w:t>
      </w:r>
    </w:p>
    <w:p w14:paraId="6407F876" w14:textId="77777777" w:rsidR="00E17191" w:rsidRDefault="00000000">
      <w:pPr>
        <w:spacing w:before="240" w:after="240"/>
        <w:ind w:left="360" w:hanging="360"/>
        <w:jc w:val="both"/>
      </w:pPr>
      <w:r>
        <w:t>14. KPMG LLP. (2021). Revenue: IFRS 15 handbook: Practical application guidance. KPMG International. https://kpmg.com</w:t>
      </w:r>
    </w:p>
    <w:p w14:paraId="5098991D" w14:textId="0F8D7896" w:rsidR="00431F2D" w:rsidRDefault="00000000" w:rsidP="00431F2D">
      <w:pPr>
        <w:spacing w:before="240" w:after="240"/>
        <w:ind w:left="360" w:hanging="360"/>
        <w:jc w:val="both"/>
      </w:pPr>
      <w:r>
        <w:t>15. World Bank. (2023). Market capitalization of listed domestic companies: United States. World Bank Open Data.</w:t>
      </w:r>
      <w:r w:rsidRPr="00431F2D">
        <w:t xml:space="preserve"> </w:t>
      </w:r>
      <w:hyperlink r:id="rId7" w:history="1">
        <w:r w:rsidR="00431F2D" w:rsidRPr="00431F2D">
          <w:rPr>
            <w:rStyle w:val="Hyperlink"/>
            <w:color w:val="auto"/>
            <w:u w:val="none"/>
          </w:rPr>
          <w:t>https://data.worldbank.org/indicator/CM.MKT.LCAP.CD?locations=US</w:t>
        </w:r>
      </w:hyperlink>
    </w:p>
    <w:p w14:paraId="71D490E8" w14:textId="687DF193" w:rsidR="00E17191" w:rsidRDefault="00431F2D" w:rsidP="00431F2D">
      <w:pPr>
        <w:spacing w:before="240" w:after="240"/>
        <w:ind w:left="360" w:hanging="360"/>
        <w:jc w:val="both"/>
      </w:pPr>
      <w:r>
        <w:t xml:space="preserve">16. </w:t>
      </w:r>
      <w:r w:rsidR="00000000">
        <w:t>Securities and Exchange Commission (SEC). (2003). Release No. 33-8350: Commission Guidance Regarding Management's Discussion and Analysis. Washington, DC: SEC. https://www.sec.gov/rules/interp/33-8350.htm</w:t>
      </w:r>
    </w:p>
    <w:p w14:paraId="02C8038E" w14:textId="77777777" w:rsidR="00E17191" w:rsidRDefault="00000000">
      <w:pPr>
        <w:spacing w:before="240" w:after="240"/>
        <w:ind w:left="360" w:hanging="360"/>
        <w:jc w:val="both"/>
      </w:pPr>
      <w:r>
        <w:lastRenderedPageBreak/>
        <w:t>17. Committee of Sponsoring Organizations of the Treadway Commission (COSO). (2023). Fraud Risk Management Guide: Executive Summary (2nd ed.). COSO. https://www.coso.org</w:t>
      </w:r>
    </w:p>
    <w:p w14:paraId="4E3D0805" w14:textId="77777777" w:rsidR="00E17191" w:rsidRDefault="00000000">
      <w:pPr>
        <w:spacing w:before="240" w:after="240"/>
        <w:ind w:left="360" w:hanging="360"/>
        <w:jc w:val="both"/>
      </w:pPr>
      <w:r>
        <w:t>18. International Accounting Standards Board (IASB). (2024). Post-Implementation Review: IFRS 15: Project Summary and Feedback Statement. London: IFRS Foundation. https://www.ifrs.org/content/ifrs/home/projects/completed-projects/2024/post-implementation-review-of-ifrs-15-revenue-from-contracts-with-customers.html</w:t>
      </w:r>
    </w:p>
    <w:p w14:paraId="166992D2" w14:textId="77777777" w:rsidR="00E17191" w:rsidRDefault="00000000">
      <w:pPr>
        <w:spacing w:before="240" w:after="240"/>
        <w:ind w:left="360" w:hanging="360"/>
        <w:jc w:val="both"/>
      </w:pPr>
      <w:r>
        <w:t>19. PricewaterhouseCoopers (PwC). (2022). Revenue from contracts with customers: Global edition. PwC In Depth. https://www.pwc.com/gx/en/services/audit-assurance/ifrs-reporting/ifrs-15.html</w:t>
      </w:r>
    </w:p>
    <w:sectPr w:rsidR="00E17191">
      <w:headerReference w:type="default" r:id="rId8"/>
      <w:footerReference w:type="default" r:id="rId9"/>
      <w:pgSz w:w="11906" w:h="16838"/>
      <w:pgMar w:top="1094"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AB0F9" w14:textId="77777777" w:rsidR="006666BC" w:rsidRDefault="006666BC">
      <w:r>
        <w:separator/>
      </w:r>
    </w:p>
  </w:endnote>
  <w:endnote w:type="continuationSeparator" w:id="0">
    <w:p w14:paraId="5A5E61BC" w14:textId="77777777" w:rsidR="006666BC" w:rsidRDefault="00666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9469C" w14:textId="77777777" w:rsidR="00E17191" w:rsidRDefault="00000000">
    <w:pPr>
      <w:pBdr>
        <w:top w:val="single" w:sz="6" w:space="1" w:color="000000"/>
      </w:pBdr>
      <w:tabs>
        <w:tab w:val="right" w:pos="9026"/>
      </w:tabs>
    </w:pPr>
    <w:r>
      <w:rPr>
        <w:sz w:val="20"/>
        <w:szCs w:val="20"/>
      </w:rPr>
      <w:t>www.rsisinternational.org</w:t>
    </w:r>
    <w:r>
      <w:tab/>
    </w:r>
    <w:r>
      <w:rPr>
        <w:sz w:val="20"/>
        <w:szCs w:val="20"/>
      </w:rPr>
      <w:t xml:space="preserve">Page </w:t>
    </w:r>
    <w:r>
      <w:rPr>
        <w:sz w:val="20"/>
        <w:szCs w:val="20"/>
      </w:rPr>
      <w:fldChar w:fldCharType="begin"/>
    </w:r>
    <w:r>
      <w:rPr>
        <w:sz w:val="20"/>
        <w:szCs w:val="20"/>
      </w:rPr>
      <w:instrText>PAGE</w:instrText>
    </w:r>
    <w:r>
      <w:rPr>
        <w:sz w:val="20"/>
        <w:szCs w:val="20"/>
      </w:rPr>
      <w:fldChar w:fldCharType="separate"/>
    </w:r>
    <w:r w:rsidR="00431F2D">
      <w:rPr>
        <w:noProof/>
        <w:sz w:val="20"/>
        <w:szCs w:val="20"/>
      </w:rPr>
      <w:t>1</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B38E7" w14:textId="77777777" w:rsidR="006666BC" w:rsidRDefault="006666BC">
      <w:r>
        <w:separator/>
      </w:r>
    </w:p>
  </w:footnote>
  <w:footnote w:type="continuationSeparator" w:id="0">
    <w:p w14:paraId="3215702F" w14:textId="77777777" w:rsidR="006666BC" w:rsidRDefault="006666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2A00F" w14:textId="77777777" w:rsidR="00E17191" w:rsidRDefault="00000000">
    <w:pPr>
      <w:pBdr>
        <w:bottom w:val="single" w:sz="6" w:space="1" w:color="000000"/>
      </w:pBdr>
      <w:tabs>
        <w:tab w:val="right" w:pos="9026"/>
      </w:tabs>
    </w:pPr>
    <w:r>
      <w:rPr>
        <w:i/>
        <w:iCs/>
        <w:sz w:val="20"/>
        <w:szCs w:val="20"/>
      </w:rPr>
      <w:t>International Journal of Research and Innovation in Social Science (IJRISS)</w:t>
    </w:r>
    <w:r>
      <w:tab/>
    </w:r>
    <w:r>
      <w:rPr>
        <w:i/>
        <w:iCs/>
        <w:sz w:val="20"/>
        <w:szCs w:val="20"/>
      </w:rPr>
      <w:t>ISSN: 2454-6186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D56CBD"/>
    <w:multiLevelType w:val="hybridMultilevel"/>
    <w:tmpl w:val="D16234BA"/>
    <w:lvl w:ilvl="0" w:tplc="4170F6B4">
      <w:start w:val="1"/>
      <w:numFmt w:val="bullet"/>
      <w:lvlText w:val="●"/>
      <w:lvlJc w:val="left"/>
      <w:pPr>
        <w:ind w:left="720" w:hanging="360"/>
      </w:pPr>
    </w:lvl>
    <w:lvl w:ilvl="1" w:tplc="FCB2F176">
      <w:start w:val="1"/>
      <w:numFmt w:val="bullet"/>
      <w:lvlText w:val="○"/>
      <w:lvlJc w:val="left"/>
      <w:pPr>
        <w:ind w:left="1440" w:hanging="360"/>
      </w:pPr>
    </w:lvl>
    <w:lvl w:ilvl="2" w:tplc="E39444DE">
      <w:start w:val="1"/>
      <w:numFmt w:val="bullet"/>
      <w:lvlText w:val="■"/>
      <w:lvlJc w:val="left"/>
      <w:pPr>
        <w:ind w:left="2160" w:hanging="360"/>
      </w:pPr>
    </w:lvl>
    <w:lvl w:ilvl="3" w:tplc="6C7A275C">
      <w:start w:val="1"/>
      <w:numFmt w:val="bullet"/>
      <w:lvlText w:val="●"/>
      <w:lvlJc w:val="left"/>
      <w:pPr>
        <w:ind w:left="2880" w:hanging="360"/>
      </w:pPr>
    </w:lvl>
    <w:lvl w:ilvl="4" w:tplc="7CDA423A">
      <w:start w:val="1"/>
      <w:numFmt w:val="bullet"/>
      <w:lvlText w:val="○"/>
      <w:lvlJc w:val="left"/>
      <w:pPr>
        <w:ind w:left="3600" w:hanging="360"/>
      </w:pPr>
    </w:lvl>
    <w:lvl w:ilvl="5" w:tplc="27429AB2">
      <w:start w:val="1"/>
      <w:numFmt w:val="bullet"/>
      <w:lvlText w:val="■"/>
      <w:lvlJc w:val="left"/>
      <w:pPr>
        <w:ind w:left="4320" w:hanging="360"/>
      </w:pPr>
    </w:lvl>
    <w:lvl w:ilvl="6" w:tplc="372E2FFE">
      <w:start w:val="1"/>
      <w:numFmt w:val="bullet"/>
      <w:lvlText w:val="●"/>
      <w:lvlJc w:val="left"/>
      <w:pPr>
        <w:ind w:left="5040" w:hanging="360"/>
      </w:pPr>
    </w:lvl>
    <w:lvl w:ilvl="7" w:tplc="9F40E52A">
      <w:start w:val="1"/>
      <w:numFmt w:val="bullet"/>
      <w:lvlText w:val="●"/>
      <w:lvlJc w:val="left"/>
      <w:pPr>
        <w:ind w:left="5760" w:hanging="360"/>
      </w:pPr>
    </w:lvl>
    <w:lvl w:ilvl="8" w:tplc="1DFA5582">
      <w:start w:val="1"/>
      <w:numFmt w:val="bullet"/>
      <w:lvlText w:val="●"/>
      <w:lvlJc w:val="left"/>
      <w:pPr>
        <w:ind w:left="6480" w:hanging="360"/>
      </w:pPr>
    </w:lvl>
  </w:abstractNum>
  <w:num w:numId="1" w16cid:durableId="115017286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191"/>
    <w:rsid w:val="00431F2D"/>
    <w:rsid w:val="006666BC"/>
    <w:rsid w:val="006733D8"/>
    <w:rsid w:val="00E171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1B33B"/>
  <w15:docId w15:val="{697646BA-0024-42EB-8C0A-B5AA2AEA5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NoSpacing">
    <w:name w:val="No Spacing"/>
    <w:uiPriority w:val="1"/>
    <w:qFormat/>
    <w:rsid w:val="00431F2D"/>
  </w:style>
  <w:style w:type="character" w:styleId="UnresolvedMention">
    <w:name w:val="Unresolved Mention"/>
    <w:basedOn w:val="DefaultParagraphFont"/>
    <w:uiPriority w:val="99"/>
    <w:semiHidden/>
    <w:unhideWhenUsed/>
    <w:rsid w:val="00431F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ata.worldbank.org/indicator/CM.MKT.LCAP.CD?locations=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3419</Words>
  <Characters>19492</Characters>
  <Application>Microsoft Office Word</Application>
  <DocSecurity>0</DocSecurity>
  <Lines>162</Lines>
  <Paragraphs>45</Paragraphs>
  <ScaleCrop>false</ScaleCrop>
  <Company/>
  <LinksUpToDate>false</LinksUpToDate>
  <CharactersWithSpaces>22866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Bosede Adisa</cp:lastModifiedBy>
  <cp:revision>2</cp:revision>
  <dcterms:created xsi:type="dcterms:W3CDTF">2026-06-10T18:35:00Z</dcterms:created>
  <dcterms:modified xsi:type="dcterms:W3CDTF">2026-06-10T18:35:00Z</dcterms:modified>
</cp:coreProperties>
</file>