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5B61D" w14:textId="5A4B15CF" w:rsidR="00CB70E3" w:rsidRDefault="00777A6A" w:rsidP="00CA3F76">
      <w:pPr>
        <w:tabs>
          <w:tab w:val="left" w:pos="1830"/>
        </w:tabs>
        <w:jc w:val="center"/>
        <w:rPr>
          <w:b/>
          <w:sz w:val="24"/>
          <w:szCs w:val="24"/>
        </w:rPr>
      </w:pPr>
      <w:r>
        <w:rPr>
          <w:rFonts w:eastAsia="Calibri"/>
          <w:b/>
          <w:noProof/>
          <w:sz w:val="24"/>
          <w:szCs w:val="24"/>
          <w:lang w:eastAsia="en-PH"/>
        </w:rPr>
        <w:t>N</w:t>
      </w:r>
      <w:r w:rsidRPr="00777A6A">
        <w:rPr>
          <w:b/>
          <w:sz w:val="24"/>
          <w:szCs w:val="24"/>
        </w:rPr>
        <w:t>URSING COMPETENCY AND PROFESSIONAL ATTITUDE AMONG NOVICE NURSES IN A DEPARTMENT OF HEALTH (</w:t>
      </w:r>
      <w:r w:rsidR="00E55CE5" w:rsidRPr="00777A6A">
        <w:rPr>
          <w:b/>
          <w:sz w:val="24"/>
          <w:szCs w:val="24"/>
        </w:rPr>
        <w:t xml:space="preserve">DOH) </w:t>
      </w:r>
      <w:r w:rsidR="00E55CE5">
        <w:rPr>
          <w:b/>
          <w:sz w:val="24"/>
          <w:szCs w:val="24"/>
        </w:rPr>
        <w:t>RETAINED</w:t>
      </w:r>
      <w:r w:rsidRPr="00777A6A">
        <w:rPr>
          <w:b/>
          <w:sz w:val="24"/>
          <w:szCs w:val="24"/>
        </w:rPr>
        <w:t xml:space="preserve"> HOSPITAL</w:t>
      </w:r>
    </w:p>
    <w:p w14:paraId="54F3FEAF" w14:textId="77777777" w:rsidR="000C58F3" w:rsidRPr="00167428" w:rsidRDefault="000C58F3" w:rsidP="000C58F3">
      <w:pPr>
        <w:tabs>
          <w:tab w:val="left" w:pos="1830"/>
        </w:tabs>
        <w:jc w:val="center"/>
        <w:rPr>
          <w:bCs/>
          <w:sz w:val="20"/>
        </w:rPr>
      </w:pPr>
    </w:p>
    <w:p w14:paraId="19DC93B4" w14:textId="37B68569" w:rsidR="00F86731" w:rsidRPr="00167428" w:rsidRDefault="00777A6A" w:rsidP="00F86731">
      <w:pPr>
        <w:jc w:val="center"/>
        <w:rPr>
          <w:bCs/>
          <w:sz w:val="20"/>
        </w:rPr>
      </w:pPr>
      <w:bookmarkStart w:id="0" w:name="_Hlk201398363"/>
      <w:r>
        <w:rPr>
          <w:bCs/>
          <w:sz w:val="20"/>
        </w:rPr>
        <w:t xml:space="preserve">Jova Christine C. </w:t>
      </w:r>
      <w:proofErr w:type="spellStart"/>
      <w:r>
        <w:rPr>
          <w:bCs/>
          <w:sz w:val="20"/>
        </w:rPr>
        <w:t>Dagcuta</w:t>
      </w:r>
      <w:proofErr w:type="spellEnd"/>
      <w:r w:rsidR="00DE6854">
        <w:rPr>
          <w:bCs/>
          <w:sz w:val="20"/>
        </w:rPr>
        <w:t>, RN and Joan P. Bacarisas, DM, MAN, RN</w:t>
      </w:r>
    </w:p>
    <w:bookmarkEnd w:id="0"/>
    <w:p w14:paraId="3E1B1AAF" w14:textId="77777777" w:rsidR="00F86731" w:rsidRPr="00167428" w:rsidRDefault="00F86731" w:rsidP="00F86731">
      <w:pPr>
        <w:jc w:val="center"/>
        <w:rPr>
          <w:bCs/>
          <w:sz w:val="20"/>
        </w:rPr>
      </w:pPr>
    </w:p>
    <w:p w14:paraId="30DB918E" w14:textId="77777777" w:rsidR="00F86731" w:rsidRPr="00167428" w:rsidRDefault="00F86731" w:rsidP="00F86731">
      <w:pPr>
        <w:spacing w:line="480" w:lineRule="auto"/>
        <w:jc w:val="center"/>
        <w:rPr>
          <w:bCs/>
          <w:i/>
          <w:sz w:val="20"/>
        </w:rPr>
      </w:pPr>
      <w:r w:rsidRPr="00167428">
        <w:rPr>
          <w:bCs/>
          <w:i/>
          <w:sz w:val="20"/>
        </w:rPr>
        <w:t>Graduate School of Allied Health Sciences, University of the Visayas</w:t>
      </w:r>
    </w:p>
    <w:p w14:paraId="6AC856BE" w14:textId="58527002" w:rsidR="007429CC" w:rsidRPr="00167428" w:rsidRDefault="00776E04" w:rsidP="00776E04">
      <w:pPr>
        <w:rPr>
          <w:b/>
          <w:bCs/>
          <w:sz w:val="24"/>
          <w:szCs w:val="24"/>
        </w:rPr>
      </w:pPr>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780F76F4" w14:textId="0BB8ABDC" w:rsidR="00195F61" w:rsidRPr="00E55CE5" w:rsidRDefault="00CA3F76" w:rsidP="00AE345C">
      <w:pPr>
        <w:jc w:val="both"/>
        <w:rPr>
          <w:sz w:val="24"/>
          <w:szCs w:val="24"/>
        </w:rPr>
      </w:pPr>
      <w:r w:rsidRPr="00E53689">
        <w:rPr>
          <w:sz w:val="24"/>
          <w:szCs w:val="24"/>
        </w:rPr>
        <w:t>This study assessed the level of nursing competency and professional attitude among novice nurses and examined their relationships with selected demographic characteristics. A quantitative descriptive–correlational design was employed</w:t>
      </w:r>
      <w:r>
        <w:rPr>
          <w:sz w:val="24"/>
          <w:szCs w:val="24"/>
        </w:rPr>
        <w:t xml:space="preserve"> in government </w:t>
      </w:r>
      <w:r w:rsidR="00D45A5B">
        <w:rPr>
          <w:sz w:val="24"/>
          <w:szCs w:val="24"/>
        </w:rPr>
        <w:t xml:space="preserve">retained </w:t>
      </w:r>
      <w:r>
        <w:rPr>
          <w:sz w:val="24"/>
          <w:szCs w:val="24"/>
        </w:rPr>
        <w:t>hospital in the Philippines</w:t>
      </w:r>
      <w:r w:rsidRPr="00E53689">
        <w:rPr>
          <w:sz w:val="24"/>
          <w:szCs w:val="24"/>
        </w:rPr>
        <w:t>. A complete enumeration of 126 newly hired registered nurses engaged in direct patient care participated. Data were collected using the Nursing Competency Scale (NCS) and the Professional Attitude Scale for Nurses (PASN). Descriptive statistics, Chi-square tests, Cramer’s V, and Pearson correlation coefficients analyzed the data. Ethical standards and informed consent were observed throughout the study. Most respondents were 18–35 years old, female, single, and held a bachelor’s degree. Overall, novice nurses demonstrated high nursing competency across all domains, excelling in Helping Role, Teaching-Coaching, and Therapeutic Interventions, with slightly lower performance in Diagnostic Functions. Professional attitude was predominantly high, indicating strong ethical awareness, accountability, and engagement in professional roles. Sex was significantly associated with both competency and professional attitude, while educational attainment correlated with professional attitude. A strong positive relationship was observed between competency and professional attitude (r = 0.692, p &lt; 0.001), suggesting that clinical skills and professional behavior are interdependent.</w:t>
      </w:r>
      <w:r>
        <w:rPr>
          <w:sz w:val="24"/>
          <w:szCs w:val="24"/>
        </w:rPr>
        <w:t xml:space="preserve"> </w:t>
      </w:r>
      <w:r w:rsidRPr="00E53689">
        <w:rPr>
          <w:sz w:val="24"/>
          <w:szCs w:val="24"/>
        </w:rPr>
        <w:t>Novice nurses in a DOH-retained hospital exhibit high competency and professional attitude, with gaps in diagnostic interpretation and complex decision-making. Targeted mentorship, structured training, and continuous professional development are recommended to strengthen readiness for high-acuity patient care.</w:t>
      </w:r>
    </w:p>
    <w:p w14:paraId="425B4E95" w14:textId="77777777" w:rsidR="007429CC" w:rsidRPr="00167428" w:rsidRDefault="007429CC" w:rsidP="007429CC">
      <w:pPr>
        <w:jc w:val="both"/>
        <w:rPr>
          <w:sz w:val="24"/>
          <w:szCs w:val="24"/>
        </w:rPr>
      </w:pPr>
    </w:p>
    <w:p w14:paraId="43E27954" w14:textId="596D637F" w:rsidR="007429CC" w:rsidRPr="00167428" w:rsidRDefault="007429CC" w:rsidP="007429CC">
      <w:pPr>
        <w:jc w:val="both"/>
        <w:rPr>
          <w:sz w:val="24"/>
          <w:szCs w:val="24"/>
        </w:rPr>
      </w:pPr>
      <w:r w:rsidRPr="004774BC">
        <w:rPr>
          <w:b/>
          <w:bCs/>
          <w:sz w:val="24"/>
          <w:szCs w:val="24"/>
        </w:rPr>
        <w:t>Keywords:</w:t>
      </w:r>
      <w:r w:rsidR="00195F61">
        <w:rPr>
          <w:b/>
          <w:bCs/>
          <w:sz w:val="24"/>
          <w:szCs w:val="24"/>
        </w:rPr>
        <w:t xml:space="preserve"> </w:t>
      </w:r>
      <w:r w:rsidR="00E55CE5">
        <w:rPr>
          <w:i/>
          <w:iCs/>
          <w:sz w:val="24"/>
          <w:szCs w:val="24"/>
        </w:rPr>
        <w:t>Novice</w:t>
      </w:r>
      <w:r w:rsidR="00CA3F76" w:rsidRPr="00E53689">
        <w:rPr>
          <w:i/>
          <w:iCs/>
          <w:sz w:val="24"/>
          <w:szCs w:val="24"/>
        </w:rPr>
        <w:t xml:space="preserve"> nurses, </w:t>
      </w:r>
      <w:r w:rsidR="00CA3F76">
        <w:rPr>
          <w:i/>
          <w:iCs/>
          <w:sz w:val="24"/>
          <w:szCs w:val="24"/>
        </w:rPr>
        <w:t>N</w:t>
      </w:r>
      <w:r w:rsidR="00CA3F76" w:rsidRPr="00E53689">
        <w:rPr>
          <w:i/>
          <w:iCs/>
          <w:sz w:val="24"/>
          <w:szCs w:val="24"/>
        </w:rPr>
        <w:t xml:space="preserve">ursing competency, </w:t>
      </w:r>
      <w:r w:rsidR="00CA3F76">
        <w:rPr>
          <w:i/>
          <w:iCs/>
          <w:sz w:val="24"/>
          <w:szCs w:val="24"/>
        </w:rPr>
        <w:t>P</w:t>
      </w:r>
      <w:r w:rsidR="00CA3F76" w:rsidRPr="00E53689">
        <w:rPr>
          <w:i/>
          <w:iCs/>
          <w:sz w:val="24"/>
          <w:szCs w:val="24"/>
        </w:rPr>
        <w:t xml:space="preserve">rofessional attitude, </w:t>
      </w:r>
      <w:r w:rsidR="00CA3F76">
        <w:rPr>
          <w:i/>
          <w:iCs/>
          <w:sz w:val="24"/>
          <w:szCs w:val="24"/>
        </w:rPr>
        <w:t>E</w:t>
      </w:r>
      <w:r w:rsidR="00CA3F76" w:rsidRPr="00E53689">
        <w:rPr>
          <w:i/>
          <w:iCs/>
          <w:sz w:val="24"/>
          <w:szCs w:val="24"/>
        </w:rPr>
        <w:t xml:space="preserve">arly-career nurses, </w:t>
      </w:r>
      <w:r w:rsidR="00CA3F76">
        <w:rPr>
          <w:i/>
          <w:iCs/>
          <w:sz w:val="24"/>
          <w:szCs w:val="24"/>
        </w:rPr>
        <w:t>H</w:t>
      </w:r>
      <w:r w:rsidR="00CA3F76" w:rsidRPr="00E53689">
        <w:rPr>
          <w:i/>
          <w:iCs/>
          <w:sz w:val="24"/>
          <w:szCs w:val="24"/>
        </w:rPr>
        <w:t>ospital practice</w:t>
      </w:r>
    </w:p>
    <w:p w14:paraId="62556521" w14:textId="77777777" w:rsidR="007429CC" w:rsidRPr="00167428" w:rsidRDefault="007429CC" w:rsidP="007429CC">
      <w:pPr>
        <w:jc w:val="both"/>
        <w:rPr>
          <w:i/>
          <w:iCs/>
          <w:sz w:val="24"/>
          <w:szCs w:val="24"/>
        </w:rPr>
      </w:pPr>
    </w:p>
    <w:p w14:paraId="0115861F" w14:textId="6355D485" w:rsidR="004774BC" w:rsidRDefault="00776E04" w:rsidP="004774BC">
      <w:pPr>
        <w:jc w:val="both"/>
        <w:rPr>
          <w:b/>
          <w:iCs/>
          <w:sz w:val="24"/>
          <w:szCs w:val="24"/>
        </w:rPr>
      </w:pPr>
      <w:r w:rsidRPr="00167428">
        <w:rPr>
          <w:b/>
          <w:iCs/>
          <w:sz w:val="24"/>
          <w:szCs w:val="24"/>
        </w:rPr>
        <w:t>INTRODUCTION</w:t>
      </w:r>
    </w:p>
    <w:p w14:paraId="74AA6665" w14:textId="77777777" w:rsidR="00AE345C" w:rsidRDefault="00AE345C" w:rsidP="00AE345C">
      <w:pPr>
        <w:ind w:right="98"/>
        <w:jc w:val="both"/>
        <w:rPr>
          <w:b/>
          <w:iCs/>
          <w:sz w:val="24"/>
          <w:szCs w:val="24"/>
        </w:rPr>
      </w:pPr>
    </w:p>
    <w:p w14:paraId="7BB73AA2" w14:textId="77777777" w:rsidR="00D45A5B" w:rsidRPr="00D45A5B" w:rsidRDefault="00D45A5B" w:rsidP="00D45A5B">
      <w:pPr>
        <w:ind w:right="98"/>
        <w:jc w:val="both"/>
        <w:rPr>
          <w:sz w:val="24"/>
          <w:szCs w:val="24"/>
        </w:rPr>
      </w:pPr>
      <w:r>
        <w:rPr>
          <w:sz w:val="24"/>
          <w:szCs w:val="24"/>
        </w:rPr>
        <w:t>E</w:t>
      </w:r>
      <w:r w:rsidRPr="00D45A5B">
        <w:rPr>
          <w:sz w:val="24"/>
          <w:szCs w:val="24"/>
        </w:rPr>
        <w:t>ntering the nursing profession as a novice nurse marks a significant transition from theoretical learning to clinical practice, where competence in fundamental nursing skills, ethical behavior, and safe patient care is essential. At this stage, novice nurses rely on guidance and supervision from experienced colleagues as they integrate classroom knowledge into real-world healthcare situations. Since their critical thinking and decision-making abilities are still developing, novice nurses often depend on established guidelines and mentorship to ensure safe and quality healthcare delivery (Sterner et al., 2022). Nursing competency serves as the cornerstone of effective nursing practice, involving the integration of knowledge, technical skills, attitudes, and critical judgment required to deliver safe, efficient, and patient-centered care (Numminen et al., 2022).</w:t>
      </w:r>
    </w:p>
    <w:p w14:paraId="3F516126" w14:textId="77777777" w:rsidR="00D45A5B" w:rsidRPr="00D45A5B" w:rsidRDefault="00D45A5B" w:rsidP="00D45A5B">
      <w:pPr>
        <w:ind w:right="98"/>
        <w:jc w:val="both"/>
        <w:rPr>
          <w:sz w:val="24"/>
          <w:szCs w:val="24"/>
        </w:rPr>
      </w:pPr>
    </w:p>
    <w:p w14:paraId="3008B1DE" w14:textId="77777777" w:rsidR="00D45A5B" w:rsidRPr="00D45A5B" w:rsidRDefault="00D45A5B" w:rsidP="00D45A5B">
      <w:pPr>
        <w:ind w:right="98"/>
        <w:jc w:val="both"/>
        <w:rPr>
          <w:sz w:val="24"/>
          <w:szCs w:val="24"/>
        </w:rPr>
      </w:pPr>
      <w:r w:rsidRPr="00D45A5B">
        <w:rPr>
          <w:sz w:val="24"/>
          <w:szCs w:val="24"/>
        </w:rPr>
        <w:t xml:space="preserve">Beyond clinical competency, professional attitude characterized by accountability, empathy, teamwork, and ethical commitment is equally vital in determining care quality and patient </w:t>
      </w:r>
      <w:r w:rsidRPr="00D45A5B">
        <w:rPr>
          <w:sz w:val="24"/>
          <w:szCs w:val="24"/>
        </w:rPr>
        <w:lastRenderedPageBreak/>
        <w:t xml:space="preserve">satisfaction. A positive professional attitude supports effective communication and collaborative practice. Choi et al. (2024) emphasized that managerial support and professional self-accomplishment influence retention and performance among novice nurses. In the Philippine context, </w:t>
      </w:r>
      <w:proofErr w:type="spellStart"/>
      <w:r w:rsidRPr="00D45A5B">
        <w:rPr>
          <w:sz w:val="24"/>
          <w:szCs w:val="24"/>
        </w:rPr>
        <w:t>Labrague</w:t>
      </w:r>
      <w:proofErr w:type="spellEnd"/>
      <w:r w:rsidRPr="00D45A5B">
        <w:rPr>
          <w:sz w:val="24"/>
          <w:szCs w:val="24"/>
        </w:rPr>
        <w:t xml:space="preserve"> et al. (2020) reported high intent to leave among nurses, highlighting the need for a supportive work environment that promotes engagement and well-being.</w:t>
      </w:r>
    </w:p>
    <w:p w14:paraId="589C5AED" w14:textId="77777777" w:rsidR="00D45A5B" w:rsidRPr="00D45A5B" w:rsidRDefault="00D45A5B" w:rsidP="00D45A5B">
      <w:pPr>
        <w:ind w:right="98"/>
        <w:jc w:val="both"/>
        <w:rPr>
          <w:sz w:val="24"/>
          <w:szCs w:val="24"/>
        </w:rPr>
      </w:pPr>
    </w:p>
    <w:p w14:paraId="015928AB" w14:textId="77777777" w:rsidR="00D45A5B" w:rsidRPr="00D45A5B" w:rsidRDefault="00D45A5B" w:rsidP="00D45A5B">
      <w:pPr>
        <w:ind w:right="98"/>
        <w:jc w:val="both"/>
        <w:rPr>
          <w:sz w:val="24"/>
          <w:szCs w:val="24"/>
        </w:rPr>
      </w:pPr>
      <w:r w:rsidRPr="00D45A5B">
        <w:rPr>
          <w:sz w:val="24"/>
          <w:szCs w:val="24"/>
        </w:rPr>
        <w:t xml:space="preserve">In many </w:t>
      </w:r>
      <w:proofErr w:type="gramStart"/>
      <w:r w:rsidRPr="00D45A5B">
        <w:rPr>
          <w:sz w:val="24"/>
          <w:szCs w:val="24"/>
        </w:rPr>
        <w:t>Department</w:t>
      </w:r>
      <w:proofErr w:type="gramEnd"/>
      <w:r w:rsidRPr="00D45A5B">
        <w:rPr>
          <w:sz w:val="24"/>
          <w:szCs w:val="24"/>
        </w:rPr>
        <w:t xml:space="preserve"> of Health (DOH)-retained hospitals, senior nurses serve as role models who provide mentorship aligned with Sustainable Development Goal (SDG) 3: Good Health and Well-Being. However, increasing workload, staff shortages, and emotional stressors may lead to burnout, affecting mentorship and creating gaps in the development of novice nurses’ competency and professional attitude. These challenges may hinder the acquisition of holistic skills necessary for ethical, compassionate, and sustainable nursing care.</w:t>
      </w:r>
    </w:p>
    <w:p w14:paraId="5479D12E" w14:textId="77777777" w:rsidR="00D45A5B" w:rsidRPr="00D45A5B" w:rsidRDefault="00D45A5B" w:rsidP="00D45A5B">
      <w:pPr>
        <w:ind w:right="98"/>
        <w:jc w:val="both"/>
        <w:rPr>
          <w:sz w:val="24"/>
          <w:szCs w:val="24"/>
        </w:rPr>
      </w:pPr>
    </w:p>
    <w:p w14:paraId="327DC1B2" w14:textId="605AC03B" w:rsidR="00FC0090" w:rsidRDefault="00D45A5B" w:rsidP="00D45A5B">
      <w:pPr>
        <w:ind w:right="98"/>
        <w:jc w:val="both"/>
        <w:rPr>
          <w:sz w:val="24"/>
          <w:szCs w:val="24"/>
          <w:lang w:val="en-PH"/>
        </w:rPr>
      </w:pPr>
      <w:r w:rsidRPr="00D45A5B">
        <w:rPr>
          <w:sz w:val="24"/>
          <w:szCs w:val="24"/>
        </w:rPr>
        <w:t>Therefore, this study aims to assess the nursing competency and professional attitude of novice nurses in a DOH-retained hospital. Specifically, it seeks to determine how effectively novice nurses integrate clinical skills, ethical behavior, and interpersonal values in practice. The findings are expected to provide evidence-based insights to guide hospital leaders, nurse educators, and policymakers in strengthening professional development programs and promoting high-quality, sustainable healthcare services</w:t>
      </w:r>
      <w:r w:rsidR="00AE345C">
        <w:rPr>
          <w:sz w:val="24"/>
          <w:szCs w:val="24"/>
          <w:lang w:val="en-PH"/>
        </w:rPr>
        <w:t xml:space="preserve">. </w:t>
      </w:r>
    </w:p>
    <w:p w14:paraId="5EB14496" w14:textId="77777777" w:rsidR="00195F61" w:rsidRDefault="00195F61" w:rsidP="00FC0090">
      <w:pPr>
        <w:ind w:right="98"/>
        <w:jc w:val="both"/>
        <w:rPr>
          <w:sz w:val="24"/>
          <w:szCs w:val="24"/>
          <w:lang w:val="en-PH"/>
        </w:rPr>
      </w:pPr>
    </w:p>
    <w:p w14:paraId="1D7CA29C" w14:textId="77777777" w:rsidR="00FA460F" w:rsidRDefault="00FA460F" w:rsidP="00FA460F">
      <w:pPr>
        <w:ind w:right="98"/>
        <w:jc w:val="both"/>
        <w:rPr>
          <w:b/>
          <w:bCs/>
          <w:sz w:val="24"/>
          <w:szCs w:val="24"/>
        </w:rPr>
      </w:pPr>
      <w:r w:rsidRPr="004774BC">
        <w:rPr>
          <w:b/>
          <w:bCs/>
          <w:sz w:val="24"/>
          <w:szCs w:val="24"/>
        </w:rPr>
        <w:t xml:space="preserve">RESEARCH QUESTIONS </w:t>
      </w:r>
    </w:p>
    <w:p w14:paraId="5176F617" w14:textId="77777777" w:rsidR="00FA460F" w:rsidRPr="004774BC" w:rsidRDefault="00FA460F" w:rsidP="00FA460F">
      <w:pPr>
        <w:ind w:right="98"/>
        <w:jc w:val="both"/>
        <w:rPr>
          <w:b/>
          <w:bCs/>
          <w:sz w:val="24"/>
          <w:szCs w:val="24"/>
        </w:rPr>
      </w:pPr>
    </w:p>
    <w:p w14:paraId="5BCBABC4" w14:textId="3B23A06C" w:rsidR="007B64B1" w:rsidRDefault="00946F29" w:rsidP="006B4DE6">
      <w:pPr>
        <w:ind w:right="4"/>
        <w:jc w:val="both"/>
        <w:rPr>
          <w:sz w:val="24"/>
          <w:szCs w:val="24"/>
        </w:rPr>
      </w:pPr>
      <w:r w:rsidRPr="00946F29">
        <w:rPr>
          <w:sz w:val="24"/>
          <w:szCs w:val="24"/>
        </w:rPr>
        <w:t xml:space="preserve">This study aimed to assess </w:t>
      </w:r>
      <w:r w:rsidR="00AE345C">
        <w:rPr>
          <w:sz w:val="24"/>
          <w:szCs w:val="24"/>
        </w:rPr>
        <w:t>the interrelationship amon</w:t>
      </w:r>
      <w:r w:rsidR="00D45A5B">
        <w:rPr>
          <w:sz w:val="24"/>
          <w:szCs w:val="24"/>
        </w:rPr>
        <w:t>g</w:t>
      </w:r>
      <w:r w:rsidR="00D45A5B" w:rsidRPr="00D45A5B">
        <w:rPr>
          <w:sz w:val="24"/>
          <w:szCs w:val="24"/>
        </w:rPr>
        <w:t xml:space="preserve"> profile, nursing competency and professional attitude</w:t>
      </w:r>
      <w:r w:rsidR="00D45A5B">
        <w:rPr>
          <w:sz w:val="24"/>
          <w:szCs w:val="24"/>
        </w:rPr>
        <w:t xml:space="preserve"> of</w:t>
      </w:r>
      <w:r w:rsidR="00D45A5B" w:rsidRPr="00D45A5B">
        <w:rPr>
          <w:sz w:val="24"/>
          <w:szCs w:val="24"/>
        </w:rPr>
        <w:t xml:space="preserve"> novice nurses in </w:t>
      </w:r>
      <w:r w:rsidR="00D45A5B">
        <w:rPr>
          <w:sz w:val="24"/>
          <w:szCs w:val="24"/>
        </w:rPr>
        <w:t xml:space="preserve">government </w:t>
      </w:r>
      <w:r w:rsidR="00D45A5B" w:rsidRPr="00D45A5B">
        <w:rPr>
          <w:sz w:val="24"/>
          <w:szCs w:val="24"/>
        </w:rPr>
        <w:t>retained hospital</w:t>
      </w:r>
      <w:r w:rsidRPr="00946F29">
        <w:rPr>
          <w:sz w:val="24"/>
          <w:szCs w:val="24"/>
        </w:rPr>
        <w:t>.</w:t>
      </w:r>
    </w:p>
    <w:p w14:paraId="2F896F1F" w14:textId="77777777" w:rsidR="007B64B1" w:rsidRDefault="007B64B1" w:rsidP="006B4DE6">
      <w:pPr>
        <w:ind w:right="4"/>
        <w:jc w:val="both"/>
        <w:rPr>
          <w:sz w:val="24"/>
          <w:szCs w:val="24"/>
        </w:rPr>
      </w:pPr>
    </w:p>
    <w:p w14:paraId="4678C7D6" w14:textId="77777777" w:rsidR="00FA460F" w:rsidRDefault="00946F29" w:rsidP="006B4DE6">
      <w:pPr>
        <w:ind w:right="4"/>
        <w:jc w:val="both"/>
        <w:rPr>
          <w:sz w:val="24"/>
          <w:szCs w:val="24"/>
        </w:rPr>
      </w:pPr>
      <w:r w:rsidRPr="00946F29">
        <w:rPr>
          <w:sz w:val="24"/>
          <w:szCs w:val="24"/>
        </w:rPr>
        <w:t>Specifically, it sought to answer the following question</w:t>
      </w:r>
      <w:r w:rsidR="00FA460F">
        <w:rPr>
          <w:sz w:val="24"/>
          <w:szCs w:val="24"/>
        </w:rPr>
        <w:t>:</w:t>
      </w:r>
    </w:p>
    <w:p w14:paraId="552B780A" w14:textId="0CF2F14B" w:rsidR="00AE345C" w:rsidRDefault="002E11CE" w:rsidP="00AE345C">
      <w:pPr>
        <w:pStyle w:val="ListParagraph"/>
        <w:widowControl/>
        <w:numPr>
          <w:ilvl w:val="0"/>
          <w:numId w:val="6"/>
        </w:numPr>
        <w:autoSpaceDE/>
        <w:autoSpaceDN/>
        <w:contextualSpacing/>
        <w:jc w:val="both"/>
        <w:rPr>
          <w:sz w:val="24"/>
          <w:szCs w:val="24"/>
        </w:rPr>
      </w:pPr>
      <w:r w:rsidRPr="002E11CE">
        <w:rPr>
          <w:sz w:val="24"/>
          <w:szCs w:val="24"/>
          <w:lang w:val="en-PH"/>
        </w:rPr>
        <w:t>W</w:t>
      </w:r>
      <w:proofErr w:type="spellStart"/>
      <w:r w:rsidR="00AE345C">
        <w:rPr>
          <w:sz w:val="24"/>
          <w:szCs w:val="24"/>
        </w:rPr>
        <w:t>hat</w:t>
      </w:r>
      <w:proofErr w:type="spellEnd"/>
      <w:r w:rsidR="00AE345C">
        <w:rPr>
          <w:sz w:val="24"/>
          <w:szCs w:val="24"/>
        </w:rPr>
        <w:t xml:space="preserve"> was the profile of the </w:t>
      </w:r>
      <w:r w:rsidR="00721E24">
        <w:rPr>
          <w:sz w:val="24"/>
          <w:szCs w:val="24"/>
        </w:rPr>
        <w:t xml:space="preserve">novice </w:t>
      </w:r>
      <w:r w:rsidR="00AE345C">
        <w:rPr>
          <w:sz w:val="24"/>
          <w:szCs w:val="24"/>
        </w:rPr>
        <w:t>nurses in terms of:</w:t>
      </w:r>
    </w:p>
    <w:p w14:paraId="7FA8FBCF" w14:textId="77777777" w:rsidR="00AE345C" w:rsidRDefault="00AE345C" w:rsidP="00AE345C">
      <w:pPr>
        <w:pStyle w:val="ListParagraph"/>
        <w:widowControl/>
        <w:numPr>
          <w:ilvl w:val="1"/>
          <w:numId w:val="6"/>
        </w:numPr>
        <w:autoSpaceDE/>
        <w:autoSpaceDN/>
        <w:contextualSpacing/>
        <w:jc w:val="both"/>
        <w:rPr>
          <w:sz w:val="24"/>
          <w:szCs w:val="24"/>
        </w:rPr>
      </w:pPr>
      <w:r>
        <w:rPr>
          <w:sz w:val="24"/>
          <w:szCs w:val="24"/>
        </w:rPr>
        <w:t>age;</w:t>
      </w:r>
    </w:p>
    <w:p w14:paraId="10D12EC9" w14:textId="32E768CC" w:rsidR="00AE345C" w:rsidRDefault="00721E24" w:rsidP="00AE345C">
      <w:pPr>
        <w:pStyle w:val="ListParagraph"/>
        <w:widowControl/>
        <w:numPr>
          <w:ilvl w:val="1"/>
          <w:numId w:val="6"/>
        </w:numPr>
        <w:autoSpaceDE/>
        <w:autoSpaceDN/>
        <w:contextualSpacing/>
        <w:jc w:val="both"/>
        <w:rPr>
          <w:sz w:val="24"/>
          <w:szCs w:val="24"/>
        </w:rPr>
      </w:pPr>
      <w:r>
        <w:rPr>
          <w:sz w:val="24"/>
          <w:szCs w:val="24"/>
        </w:rPr>
        <w:t>gender</w:t>
      </w:r>
      <w:r w:rsidR="00AE345C">
        <w:rPr>
          <w:sz w:val="24"/>
          <w:szCs w:val="24"/>
        </w:rPr>
        <w:t>;</w:t>
      </w:r>
    </w:p>
    <w:p w14:paraId="43FC8ECA" w14:textId="175C9700" w:rsidR="00AE345C" w:rsidRDefault="00721E24" w:rsidP="00AE345C">
      <w:pPr>
        <w:pStyle w:val="ListParagraph"/>
        <w:widowControl/>
        <w:numPr>
          <w:ilvl w:val="1"/>
          <w:numId w:val="6"/>
        </w:numPr>
        <w:autoSpaceDE/>
        <w:autoSpaceDN/>
        <w:contextualSpacing/>
        <w:jc w:val="both"/>
        <w:rPr>
          <w:sz w:val="24"/>
          <w:szCs w:val="24"/>
        </w:rPr>
      </w:pPr>
      <w:r>
        <w:rPr>
          <w:sz w:val="24"/>
          <w:szCs w:val="24"/>
        </w:rPr>
        <w:t>civil status</w:t>
      </w:r>
      <w:r w:rsidR="00AE345C">
        <w:rPr>
          <w:sz w:val="24"/>
          <w:szCs w:val="24"/>
        </w:rPr>
        <w:t>;</w:t>
      </w:r>
    </w:p>
    <w:p w14:paraId="4AFEB6F2" w14:textId="1FC6EE57" w:rsidR="00AE345C" w:rsidRDefault="00721E24" w:rsidP="00AE345C">
      <w:pPr>
        <w:pStyle w:val="ListParagraph"/>
        <w:widowControl/>
        <w:numPr>
          <w:ilvl w:val="1"/>
          <w:numId w:val="6"/>
        </w:numPr>
        <w:autoSpaceDE/>
        <w:autoSpaceDN/>
        <w:contextualSpacing/>
        <w:jc w:val="both"/>
        <w:rPr>
          <w:sz w:val="24"/>
          <w:szCs w:val="24"/>
        </w:rPr>
      </w:pPr>
      <w:r>
        <w:rPr>
          <w:sz w:val="24"/>
          <w:szCs w:val="24"/>
        </w:rPr>
        <w:t>h</w:t>
      </w:r>
      <w:r>
        <w:rPr>
          <w:sz w:val="24"/>
        </w:rPr>
        <w:t>ighest educational attainment</w:t>
      </w:r>
      <w:r w:rsidR="00AE345C">
        <w:rPr>
          <w:sz w:val="24"/>
          <w:szCs w:val="24"/>
        </w:rPr>
        <w:t>;</w:t>
      </w:r>
      <w:r>
        <w:rPr>
          <w:sz w:val="24"/>
          <w:szCs w:val="24"/>
        </w:rPr>
        <w:t xml:space="preserve"> and</w:t>
      </w:r>
    </w:p>
    <w:p w14:paraId="7E766F1C" w14:textId="58ADD4BB" w:rsidR="00AE345C" w:rsidRDefault="00721E24" w:rsidP="00721E24">
      <w:pPr>
        <w:pStyle w:val="ListParagraph"/>
        <w:widowControl/>
        <w:numPr>
          <w:ilvl w:val="1"/>
          <w:numId w:val="6"/>
        </w:numPr>
        <w:autoSpaceDE/>
        <w:autoSpaceDN/>
        <w:contextualSpacing/>
        <w:jc w:val="both"/>
        <w:rPr>
          <w:sz w:val="24"/>
          <w:szCs w:val="24"/>
        </w:rPr>
      </w:pPr>
      <w:r>
        <w:rPr>
          <w:sz w:val="24"/>
          <w:szCs w:val="24"/>
        </w:rPr>
        <w:t>area of assignment?</w:t>
      </w:r>
    </w:p>
    <w:p w14:paraId="650AEA8E" w14:textId="5D91B5CA" w:rsidR="00ED4C89" w:rsidRDefault="00ED4C89" w:rsidP="00293B1F">
      <w:pPr>
        <w:pStyle w:val="ListParagraph"/>
        <w:numPr>
          <w:ilvl w:val="0"/>
          <w:numId w:val="6"/>
        </w:numPr>
        <w:ind w:right="4"/>
        <w:jc w:val="both"/>
        <w:rPr>
          <w:sz w:val="24"/>
          <w:szCs w:val="24"/>
          <w:lang w:val="en-PH"/>
        </w:rPr>
      </w:pPr>
      <w:r w:rsidRPr="00ED4C89">
        <w:rPr>
          <w:sz w:val="24"/>
          <w:szCs w:val="24"/>
          <w:lang w:val="en-PH"/>
        </w:rPr>
        <w:t>W</w:t>
      </w:r>
      <w:r w:rsidR="00AE345C" w:rsidRPr="00AE345C">
        <w:rPr>
          <w:sz w:val="24"/>
          <w:szCs w:val="24"/>
          <w:lang w:val="en-PH"/>
        </w:rPr>
        <w:t>hat was th</w:t>
      </w:r>
      <w:r w:rsidR="00721E24">
        <w:rPr>
          <w:sz w:val="24"/>
          <w:szCs w:val="24"/>
          <w:lang w:val="en-PH"/>
        </w:rPr>
        <w:t>e</w:t>
      </w:r>
      <w:r w:rsidR="00721E24" w:rsidRPr="00721E24">
        <w:rPr>
          <w:sz w:val="24"/>
          <w:szCs w:val="24"/>
          <w:lang w:val="en-PH"/>
        </w:rPr>
        <w:t xml:space="preserve"> level of nurse competency among novice nurses in terms of:</w:t>
      </w:r>
    </w:p>
    <w:p w14:paraId="6DF629E6" w14:textId="77777777" w:rsidR="00721E24" w:rsidRPr="00721E24" w:rsidRDefault="00721E24" w:rsidP="00721E24">
      <w:pPr>
        <w:pStyle w:val="ListParagraph"/>
        <w:ind w:left="1134" w:right="4"/>
        <w:jc w:val="both"/>
        <w:rPr>
          <w:sz w:val="24"/>
          <w:szCs w:val="24"/>
          <w:lang w:val="en-PH"/>
        </w:rPr>
      </w:pPr>
      <w:r w:rsidRPr="00721E24">
        <w:rPr>
          <w:sz w:val="24"/>
          <w:szCs w:val="24"/>
          <w:lang w:val="en-PH"/>
        </w:rPr>
        <w:t>2.1</w:t>
      </w:r>
      <w:r w:rsidRPr="00721E24">
        <w:rPr>
          <w:sz w:val="24"/>
          <w:szCs w:val="24"/>
          <w:lang w:val="en-PH"/>
        </w:rPr>
        <w:tab/>
        <w:t>clinical competence;</w:t>
      </w:r>
    </w:p>
    <w:p w14:paraId="17B23F3D" w14:textId="77777777" w:rsidR="00721E24" w:rsidRPr="00721E24" w:rsidRDefault="00721E24" w:rsidP="00721E24">
      <w:pPr>
        <w:pStyle w:val="ListParagraph"/>
        <w:ind w:left="1134" w:right="4"/>
        <w:jc w:val="both"/>
        <w:rPr>
          <w:sz w:val="24"/>
          <w:szCs w:val="24"/>
          <w:lang w:val="en-PH"/>
        </w:rPr>
      </w:pPr>
      <w:r w:rsidRPr="00721E24">
        <w:rPr>
          <w:sz w:val="24"/>
          <w:szCs w:val="24"/>
          <w:lang w:val="en-PH"/>
        </w:rPr>
        <w:t>2.2</w:t>
      </w:r>
      <w:r w:rsidRPr="00721E24">
        <w:rPr>
          <w:sz w:val="24"/>
          <w:szCs w:val="24"/>
          <w:lang w:val="en-PH"/>
        </w:rPr>
        <w:tab/>
        <w:t>interpersonal and communication competence;</w:t>
      </w:r>
    </w:p>
    <w:p w14:paraId="2C30C32E" w14:textId="77777777" w:rsidR="00721E24" w:rsidRPr="00721E24" w:rsidRDefault="00721E24" w:rsidP="00721E24">
      <w:pPr>
        <w:pStyle w:val="ListParagraph"/>
        <w:ind w:left="1134" w:right="4"/>
        <w:jc w:val="both"/>
        <w:rPr>
          <w:sz w:val="24"/>
          <w:szCs w:val="24"/>
          <w:lang w:val="en-PH"/>
        </w:rPr>
      </w:pPr>
      <w:r w:rsidRPr="00721E24">
        <w:rPr>
          <w:sz w:val="24"/>
          <w:szCs w:val="24"/>
          <w:lang w:val="en-PH"/>
        </w:rPr>
        <w:t>2.3</w:t>
      </w:r>
      <w:r w:rsidRPr="00721E24">
        <w:rPr>
          <w:sz w:val="24"/>
          <w:szCs w:val="24"/>
          <w:lang w:val="en-PH"/>
        </w:rPr>
        <w:tab/>
        <w:t>ethical and professional competence;</w:t>
      </w:r>
    </w:p>
    <w:p w14:paraId="65BC8224" w14:textId="77777777" w:rsidR="00721E24" w:rsidRPr="00721E24" w:rsidRDefault="00721E24" w:rsidP="00721E24">
      <w:pPr>
        <w:pStyle w:val="ListParagraph"/>
        <w:ind w:left="1134" w:right="4"/>
        <w:jc w:val="both"/>
        <w:rPr>
          <w:sz w:val="24"/>
          <w:szCs w:val="24"/>
          <w:lang w:val="en-PH"/>
        </w:rPr>
      </w:pPr>
      <w:r w:rsidRPr="00721E24">
        <w:rPr>
          <w:sz w:val="24"/>
          <w:szCs w:val="24"/>
          <w:lang w:val="en-PH"/>
        </w:rPr>
        <w:t>2.4</w:t>
      </w:r>
      <w:r w:rsidRPr="00721E24">
        <w:rPr>
          <w:sz w:val="24"/>
          <w:szCs w:val="24"/>
          <w:lang w:val="en-PH"/>
        </w:rPr>
        <w:tab/>
        <w:t>adaptive and problem-solving competence; and</w:t>
      </w:r>
    </w:p>
    <w:p w14:paraId="776A04F8" w14:textId="6756EF43" w:rsidR="00721E24" w:rsidRPr="00ED4C89" w:rsidRDefault="00721E24" w:rsidP="00721E24">
      <w:pPr>
        <w:pStyle w:val="ListParagraph"/>
        <w:ind w:left="720" w:right="4" w:firstLine="0"/>
        <w:jc w:val="both"/>
        <w:rPr>
          <w:sz w:val="24"/>
          <w:szCs w:val="24"/>
          <w:lang w:val="en-PH"/>
        </w:rPr>
      </w:pPr>
      <w:r w:rsidRPr="00721E24">
        <w:rPr>
          <w:sz w:val="24"/>
          <w:szCs w:val="24"/>
          <w:lang w:val="en-PH"/>
        </w:rPr>
        <w:t>2.5</w:t>
      </w:r>
      <w:r>
        <w:rPr>
          <w:sz w:val="24"/>
          <w:szCs w:val="24"/>
          <w:lang w:val="en-PH"/>
        </w:rPr>
        <w:t xml:space="preserve">  </w:t>
      </w:r>
      <w:r w:rsidRPr="00721E24">
        <w:rPr>
          <w:sz w:val="24"/>
          <w:szCs w:val="24"/>
          <w:lang w:val="en-PH"/>
        </w:rPr>
        <w:t>leadership and collaborative competence?</w:t>
      </w:r>
    </w:p>
    <w:p w14:paraId="5EF6E926" w14:textId="0FA69EC3" w:rsidR="00293B1F" w:rsidRDefault="002E11CE" w:rsidP="00293B1F">
      <w:pPr>
        <w:pStyle w:val="ListParagraph"/>
        <w:widowControl/>
        <w:numPr>
          <w:ilvl w:val="0"/>
          <w:numId w:val="6"/>
        </w:numPr>
        <w:autoSpaceDE/>
        <w:autoSpaceDN/>
        <w:spacing w:after="160"/>
        <w:contextualSpacing/>
        <w:jc w:val="both"/>
        <w:rPr>
          <w:sz w:val="24"/>
          <w:szCs w:val="24"/>
        </w:rPr>
      </w:pPr>
      <w:r w:rsidRPr="002E11CE">
        <w:rPr>
          <w:sz w:val="24"/>
          <w:szCs w:val="24"/>
          <w:lang w:val="en-PH"/>
        </w:rPr>
        <w:t>W</w:t>
      </w:r>
      <w:proofErr w:type="spellStart"/>
      <w:r w:rsidR="00293B1F">
        <w:rPr>
          <w:sz w:val="24"/>
          <w:szCs w:val="24"/>
        </w:rPr>
        <w:t>hat</w:t>
      </w:r>
      <w:proofErr w:type="spellEnd"/>
      <w:r w:rsidR="00293B1F">
        <w:rPr>
          <w:sz w:val="24"/>
          <w:szCs w:val="24"/>
        </w:rPr>
        <w:t xml:space="preserve"> was th</w:t>
      </w:r>
      <w:r w:rsidR="00721E24">
        <w:rPr>
          <w:sz w:val="24"/>
          <w:szCs w:val="24"/>
        </w:rPr>
        <w:t xml:space="preserve">e </w:t>
      </w:r>
      <w:r w:rsidR="00721E24">
        <w:rPr>
          <w:sz w:val="24"/>
        </w:rPr>
        <w:t>Professional Attitude of the novice nurses?</w:t>
      </w:r>
    </w:p>
    <w:p w14:paraId="59863ABA" w14:textId="4898105F" w:rsidR="00293B1F" w:rsidRDefault="002E11CE" w:rsidP="00293B1F">
      <w:pPr>
        <w:pStyle w:val="ListParagraph"/>
        <w:widowControl/>
        <w:numPr>
          <w:ilvl w:val="0"/>
          <w:numId w:val="6"/>
        </w:numPr>
        <w:autoSpaceDE/>
        <w:autoSpaceDN/>
        <w:contextualSpacing/>
        <w:jc w:val="both"/>
        <w:rPr>
          <w:sz w:val="24"/>
          <w:szCs w:val="24"/>
        </w:rPr>
      </w:pPr>
      <w:r w:rsidRPr="002E11CE">
        <w:rPr>
          <w:sz w:val="24"/>
          <w:szCs w:val="24"/>
          <w:lang w:val="en-PH"/>
        </w:rPr>
        <w:t>W</w:t>
      </w:r>
      <w:r w:rsidR="00293B1F">
        <w:rPr>
          <w:sz w:val="24"/>
          <w:szCs w:val="24"/>
        </w:rPr>
        <w:t>as there a significant relationship between:</w:t>
      </w:r>
    </w:p>
    <w:p w14:paraId="34425BDD" w14:textId="77777777" w:rsidR="00721E24" w:rsidRPr="00721E24" w:rsidRDefault="00721E24" w:rsidP="00721E24">
      <w:pPr>
        <w:pStyle w:val="ListParagraph"/>
        <w:ind w:left="1134"/>
        <w:rPr>
          <w:bCs/>
          <w:sz w:val="24"/>
          <w:szCs w:val="24"/>
        </w:rPr>
      </w:pPr>
      <w:r w:rsidRPr="00721E24">
        <w:rPr>
          <w:bCs/>
          <w:sz w:val="24"/>
          <w:szCs w:val="24"/>
        </w:rPr>
        <w:t>4.1 profile and nursing competency;</w:t>
      </w:r>
    </w:p>
    <w:p w14:paraId="6A62798A" w14:textId="77777777" w:rsidR="00721E24" w:rsidRDefault="00721E24" w:rsidP="00721E24">
      <w:pPr>
        <w:pStyle w:val="ListParagraph"/>
        <w:ind w:left="1134"/>
        <w:rPr>
          <w:bCs/>
          <w:sz w:val="24"/>
          <w:szCs w:val="24"/>
        </w:rPr>
      </w:pPr>
      <w:r w:rsidRPr="00721E24">
        <w:rPr>
          <w:bCs/>
          <w:sz w:val="24"/>
          <w:szCs w:val="24"/>
        </w:rPr>
        <w:t xml:space="preserve">4.2 profile and professional attitude; and </w:t>
      </w:r>
    </w:p>
    <w:p w14:paraId="6500CF97" w14:textId="20D6C579" w:rsidR="00721E24" w:rsidRPr="00721E24" w:rsidRDefault="00721E24" w:rsidP="00721E24">
      <w:pPr>
        <w:pStyle w:val="ListParagraph"/>
        <w:ind w:left="1134"/>
        <w:rPr>
          <w:bCs/>
          <w:sz w:val="24"/>
          <w:szCs w:val="24"/>
        </w:rPr>
      </w:pPr>
      <w:r w:rsidRPr="00721E24">
        <w:rPr>
          <w:bCs/>
          <w:sz w:val="24"/>
          <w:szCs w:val="24"/>
        </w:rPr>
        <w:t>4.3 nursing competency and professional attitude among novice nurses?</w:t>
      </w:r>
    </w:p>
    <w:p w14:paraId="43A37D85" w14:textId="34A0D779" w:rsidR="00F86731" w:rsidRPr="00293B1F" w:rsidRDefault="00293B1F" w:rsidP="00293B1F">
      <w:pPr>
        <w:pStyle w:val="ListParagraph"/>
        <w:numPr>
          <w:ilvl w:val="0"/>
          <w:numId w:val="6"/>
        </w:numPr>
        <w:rPr>
          <w:b/>
          <w:sz w:val="24"/>
          <w:szCs w:val="24"/>
        </w:rPr>
      </w:pPr>
      <w:r>
        <w:rPr>
          <w:sz w:val="24"/>
          <w:szCs w:val="24"/>
          <w:lang w:val="en-PH"/>
        </w:rPr>
        <w:t>W</w:t>
      </w:r>
      <w:r w:rsidRPr="00293B1F">
        <w:rPr>
          <w:sz w:val="24"/>
          <w:szCs w:val="24"/>
          <w:lang w:val="en-PH"/>
        </w:rPr>
        <w:t xml:space="preserve">hat </w:t>
      </w:r>
      <w:r w:rsidR="00721E24">
        <w:rPr>
          <w:sz w:val="24"/>
        </w:rPr>
        <w:t>nursing competency enhancement program could be proposed based on the findings of the study?</w:t>
      </w:r>
    </w:p>
    <w:p w14:paraId="65392E77" w14:textId="77777777" w:rsidR="00293B1F" w:rsidRDefault="00293B1F" w:rsidP="00293B1F">
      <w:pPr>
        <w:pStyle w:val="ListParagraph"/>
        <w:ind w:left="720" w:firstLine="0"/>
        <w:rPr>
          <w:b/>
          <w:sz w:val="24"/>
          <w:szCs w:val="24"/>
        </w:rPr>
      </w:pPr>
    </w:p>
    <w:p w14:paraId="796CA855" w14:textId="5D5FEA11" w:rsidR="00EC4696" w:rsidRDefault="00927058" w:rsidP="006B4DE6">
      <w:pPr>
        <w:tabs>
          <w:tab w:val="left" w:pos="387"/>
        </w:tabs>
        <w:autoSpaceDE/>
        <w:autoSpaceDN/>
        <w:ind w:right="4"/>
        <w:rPr>
          <w:b/>
          <w:sz w:val="24"/>
          <w:szCs w:val="24"/>
        </w:rPr>
      </w:pPr>
      <w:r w:rsidRPr="00167428">
        <w:rPr>
          <w:b/>
          <w:sz w:val="24"/>
          <w:szCs w:val="24"/>
        </w:rPr>
        <w:lastRenderedPageBreak/>
        <w:t xml:space="preserve">Statement of </w:t>
      </w:r>
      <w:r w:rsidR="00EC4696" w:rsidRPr="00167428">
        <w:rPr>
          <w:b/>
          <w:sz w:val="24"/>
          <w:szCs w:val="24"/>
        </w:rPr>
        <w:t xml:space="preserve">Null </w:t>
      </w:r>
      <w:r w:rsidR="007B64B1" w:rsidRPr="00167428">
        <w:rPr>
          <w:b/>
          <w:sz w:val="24"/>
          <w:szCs w:val="24"/>
        </w:rPr>
        <w:t>Hypoth</w:t>
      </w:r>
      <w:r w:rsidR="007B64B1">
        <w:rPr>
          <w:b/>
          <w:sz w:val="24"/>
          <w:szCs w:val="24"/>
        </w:rPr>
        <w:t>es</w:t>
      </w:r>
      <w:r w:rsidR="007B64B1" w:rsidRPr="00167428">
        <w:rPr>
          <w:b/>
          <w:sz w:val="24"/>
          <w:szCs w:val="24"/>
        </w:rPr>
        <w:t>is</w:t>
      </w:r>
    </w:p>
    <w:p w14:paraId="5882AB3B" w14:textId="77777777" w:rsidR="007B64B1" w:rsidRPr="00167428" w:rsidRDefault="007B64B1" w:rsidP="006B4DE6">
      <w:pPr>
        <w:tabs>
          <w:tab w:val="left" w:pos="387"/>
        </w:tabs>
        <w:autoSpaceDE/>
        <w:autoSpaceDN/>
        <w:ind w:right="4"/>
        <w:rPr>
          <w:b/>
          <w:sz w:val="24"/>
          <w:szCs w:val="24"/>
        </w:rPr>
      </w:pPr>
    </w:p>
    <w:p w14:paraId="27EFD512" w14:textId="7B94B856" w:rsidR="00927058" w:rsidRPr="00721E24" w:rsidRDefault="00FA460F" w:rsidP="00ED4C89">
      <w:pPr>
        <w:ind w:left="567" w:right="4" w:hanging="567"/>
        <w:jc w:val="both"/>
        <w:rPr>
          <w:sz w:val="24"/>
          <w:szCs w:val="24"/>
        </w:rPr>
      </w:pPr>
      <w:r w:rsidRPr="00721E24">
        <w:rPr>
          <w:b/>
          <w:bCs/>
          <w:sz w:val="24"/>
          <w:szCs w:val="24"/>
        </w:rPr>
        <w:t>H</w:t>
      </w:r>
      <w:r w:rsidRPr="00721E24">
        <w:rPr>
          <w:b/>
          <w:bCs/>
          <w:sz w:val="24"/>
          <w:szCs w:val="24"/>
          <w:vertAlign w:val="subscript"/>
        </w:rPr>
        <w:t>o</w:t>
      </w:r>
      <w:r w:rsidR="00ED4C89" w:rsidRPr="00721E24">
        <w:rPr>
          <w:b/>
          <w:bCs/>
          <w:sz w:val="24"/>
          <w:szCs w:val="24"/>
          <w:vertAlign w:val="subscript"/>
        </w:rPr>
        <w:t>1</w:t>
      </w:r>
      <w:r w:rsidRPr="00721E24">
        <w:rPr>
          <w:b/>
          <w:bCs/>
          <w:sz w:val="24"/>
          <w:szCs w:val="24"/>
        </w:rPr>
        <w:t xml:space="preserve">: </w:t>
      </w:r>
      <w:r w:rsidR="00ED4C89" w:rsidRPr="00721E24">
        <w:rPr>
          <w:sz w:val="24"/>
          <w:szCs w:val="24"/>
        </w:rPr>
        <w:t>T</w:t>
      </w:r>
      <w:r w:rsidR="00293B1F" w:rsidRPr="00721E24">
        <w:rPr>
          <w:sz w:val="24"/>
          <w:szCs w:val="24"/>
        </w:rPr>
        <w:t xml:space="preserve">here was no significant relationship between </w:t>
      </w:r>
      <w:r w:rsidR="00721E24" w:rsidRPr="00721E24">
        <w:rPr>
          <w:sz w:val="24"/>
          <w:szCs w:val="24"/>
        </w:rPr>
        <w:t>profile and nursing competency among novice nurses.</w:t>
      </w:r>
    </w:p>
    <w:p w14:paraId="7B3E121F" w14:textId="7873DFAD" w:rsidR="00ED4C89" w:rsidRPr="00721E24" w:rsidRDefault="00ED4C89" w:rsidP="00293B1F">
      <w:pPr>
        <w:ind w:left="567" w:right="4" w:hanging="567"/>
        <w:jc w:val="both"/>
        <w:rPr>
          <w:sz w:val="24"/>
          <w:szCs w:val="24"/>
        </w:rPr>
      </w:pPr>
      <w:r w:rsidRPr="00721E24">
        <w:rPr>
          <w:b/>
          <w:bCs/>
          <w:sz w:val="24"/>
          <w:szCs w:val="24"/>
        </w:rPr>
        <w:t>H</w:t>
      </w:r>
      <w:r w:rsidRPr="00721E24">
        <w:rPr>
          <w:b/>
          <w:bCs/>
          <w:sz w:val="24"/>
          <w:szCs w:val="24"/>
          <w:vertAlign w:val="subscript"/>
        </w:rPr>
        <w:t>o2</w:t>
      </w:r>
      <w:r w:rsidRPr="00721E24">
        <w:rPr>
          <w:b/>
          <w:bCs/>
          <w:sz w:val="24"/>
          <w:szCs w:val="24"/>
        </w:rPr>
        <w:t xml:space="preserve">: </w:t>
      </w:r>
      <w:r w:rsidRPr="00721E24">
        <w:rPr>
          <w:sz w:val="24"/>
          <w:szCs w:val="24"/>
        </w:rPr>
        <w:t>T</w:t>
      </w:r>
      <w:r w:rsidR="00293B1F" w:rsidRPr="00721E24">
        <w:rPr>
          <w:sz w:val="24"/>
          <w:szCs w:val="24"/>
        </w:rPr>
        <w:t xml:space="preserve">here was no significant relationship between demographic </w:t>
      </w:r>
      <w:r w:rsidR="00721E24" w:rsidRPr="00721E24">
        <w:rPr>
          <w:sz w:val="24"/>
          <w:szCs w:val="24"/>
        </w:rPr>
        <w:t>profile and professional attitude among novice nurses.</w:t>
      </w:r>
    </w:p>
    <w:p w14:paraId="65F00BEF" w14:textId="4320D5B3" w:rsidR="00293B1F" w:rsidRPr="00721E24" w:rsidRDefault="00293B1F" w:rsidP="00293B1F">
      <w:pPr>
        <w:ind w:left="567" w:right="4" w:hanging="567"/>
        <w:jc w:val="both"/>
        <w:rPr>
          <w:sz w:val="24"/>
          <w:szCs w:val="24"/>
        </w:rPr>
      </w:pPr>
      <w:r w:rsidRPr="00721E24">
        <w:rPr>
          <w:b/>
          <w:bCs/>
          <w:sz w:val="24"/>
          <w:szCs w:val="24"/>
        </w:rPr>
        <w:t>H</w:t>
      </w:r>
      <w:r w:rsidRPr="00721E24">
        <w:rPr>
          <w:b/>
          <w:bCs/>
          <w:sz w:val="24"/>
          <w:szCs w:val="24"/>
          <w:vertAlign w:val="subscript"/>
        </w:rPr>
        <w:t>o3</w:t>
      </w:r>
      <w:r w:rsidRPr="00721E24">
        <w:rPr>
          <w:b/>
          <w:bCs/>
          <w:sz w:val="24"/>
          <w:szCs w:val="24"/>
        </w:rPr>
        <w:t xml:space="preserve">: </w:t>
      </w:r>
      <w:r w:rsidRPr="00721E24">
        <w:rPr>
          <w:sz w:val="24"/>
          <w:szCs w:val="24"/>
        </w:rPr>
        <w:t xml:space="preserve">There was no significant relationship between </w:t>
      </w:r>
      <w:r w:rsidR="00721E24" w:rsidRPr="00721E24">
        <w:rPr>
          <w:sz w:val="24"/>
          <w:szCs w:val="24"/>
        </w:rPr>
        <w:t>nursing competence and professional attitude among novice nurses.</w:t>
      </w:r>
    </w:p>
    <w:p w14:paraId="1D6658F3" w14:textId="77777777" w:rsidR="000F14F9" w:rsidRDefault="000F14F9" w:rsidP="00ED4C89">
      <w:pPr>
        <w:ind w:right="4"/>
        <w:jc w:val="both"/>
        <w:rPr>
          <w:sz w:val="24"/>
          <w:szCs w:val="24"/>
        </w:rPr>
      </w:pPr>
    </w:p>
    <w:p w14:paraId="11B73AD7" w14:textId="77777777" w:rsidR="00EC4696" w:rsidRPr="008A2A8E" w:rsidRDefault="007B64B1" w:rsidP="006B4DE6">
      <w:pPr>
        <w:tabs>
          <w:tab w:val="left" w:pos="387"/>
        </w:tabs>
        <w:ind w:right="4"/>
        <w:rPr>
          <w:b/>
          <w:bCs/>
          <w:sz w:val="24"/>
          <w:szCs w:val="24"/>
        </w:rPr>
      </w:pPr>
      <w:r w:rsidRPr="008A2A8E">
        <w:rPr>
          <w:b/>
          <w:bCs/>
          <w:sz w:val="24"/>
          <w:szCs w:val="24"/>
        </w:rPr>
        <w:t>REVIEW OF RELATED LITERATURE AND STUDIES</w:t>
      </w:r>
    </w:p>
    <w:p w14:paraId="3D5909F2" w14:textId="77777777" w:rsidR="007B64B1" w:rsidRPr="008A2A8E" w:rsidRDefault="007B64B1" w:rsidP="006B4DE6">
      <w:pPr>
        <w:tabs>
          <w:tab w:val="left" w:pos="387"/>
        </w:tabs>
        <w:ind w:right="4"/>
        <w:rPr>
          <w:b/>
          <w:bCs/>
          <w:sz w:val="24"/>
          <w:szCs w:val="24"/>
        </w:rPr>
      </w:pPr>
    </w:p>
    <w:p w14:paraId="20E084B0" w14:textId="77777777" w:rsidR="008A2A8E" w:rsidRPr="00E55CE5" w:rsidRDefault="008A2A8E" w:rsidP="008A2A8E">
      <w:pPr>
        <w:tabs>
          <w:tab w:val="left" w:pos="387"/>
        </w:tabs>
        <w:ind w:right="4"/>
        <w:jc w:val="both"/>
        <w:rPr>
          <w:sz w:val="24"/>
          <w:szCs w:val="24"/>
          <w:lang w:val="en-PH"/>
        </w:rPr>
      </w:pPr>
      <w:r>
        <w:rPr>
          <w:b/>
          <w:bCs/>
          <w:sz w:val="24"/>
          <w:szCs w:val="24"/>
        </w:rPr>
        <w:t>Nurse Competency</w:t>
      </w:r>
      <w:r w:rsidR="005801DA" w:rsidRPr="008A2A8E">
        <w:rPr>
          <w:b/>
          <w:bCs/>
          <w:sz w:val="24"/>
          <w:szCs w:val="24"/>
        </w:rPr>
        <w:t>.</w:t>
      </w:r>
      <w:r w:rsidR="00CC5567" w:rsidRPr="008A2A8E">
        <w:t xml:space="preserve"> </w:t>
      </w:r>
      <w:r w:rsidRPr="00E55CE5">
        <w:rPr>
          <w:sz w:val="24"/>
          <w:szCs w:val="24"/>
        </w:rPr>
        <w:t>N</w:t>
      </w:r>
      <w:proofErr w:type="spellStart"/>
      <w:r w:rsidRPr="00E55CE5">
        <w:rPr>
          <w:sz w:val="24"/>
          <w:szCs w:val="24"/>
          <w:lang w:val="en-PH"/>
        </w:rPr>
        <w:t>ursing</w:t>
      </w:r>
      <w:proofErr w:type="spellEnd"/>
      <w:r w:rsidRPr="00E55CE5">
        <w:rPr>
          <w:sz w:val="24"/>
          <w:szCs w:val="24"/>
          <w:lang w:val="en-PH"/>
        </w:rPr>
        <w:t xml:space="preserve"> competency is a multidimensional construct encompassing the knowledge, skills, attitudes, values, and abilities essential for high-quality professional performance. It reflects the nurse’s capacity to provide effective, safe, and compassionate care across various healthcare settings. According to Karami et al. (2017), professional competency is a combination of clinical skills, theoretical knowledge, ethical attitudes, and decision-making capabilities that enable effective performance in complex healthcare roles. The concept of nurse competency emphasizes not just technical proficiency but also critical thinking, communication, emotional regulation, and ethical decision-making (Pérez-Fuentes et al., 2020). Nurses are at the forefront of patient care, and their competencies directly influence care outcomes. The World Health Organization (WHO, 2018) underscores the importance of ensuring that nurses are educated, competent, motivated, and supported within responsive health systems.</w:t>
      </w:r>
    </w:p>
    <w:p w14:paraId="3B9B6C55" w14:textId="77777777" w:rsidR="008A2A8E" w:rsidRPr="00E55CE5" w:rsidRDefault="008A2A8E" w:rsidP="008A2A8E">
      <w:pPr>
        <w:tabs>
          <w:tab w:val="left" w:pos="387"/>
        </w:tabs>
        <w:ind w:right="4"/>
        <w:jc w:val="both"/>
        <w:rPr>
          <w:sz w:val="24"/>
          <w:szCs w:val="24"/>
          <w:lang w:val="en-PH"/>
        </w:rPr>
      </w:pPr>
    </w:p>
    <w:p w14:paraId="3ECD183A" w14:textId="567988EF" w:rsidR="00B20184" w:rsidRPr="00E55CE5" w:rsidRDefault="008A2A8E" w:rsidP="006B4DE6">
      <w:pPr>
        <w:tabs>
          <w:tab w:val="left" w:pos="387"/>
        </w:tabs>
        <w:ind w:right="4"/>
        <w:jc w:val="both"/>
        <w:rPr>
          <w:sz w:val="24"/>
          <w:szCs w:val="24"/>
          <w:lang w:val="en-PH"/>
        </w:rPr>
      </w:pPr>
      <w:r w:rsidRPr="008A2A8E">
        <w:rPr>
          <w:sz w:val="24"/>
          <w:szCs w:val="24"/>
          <w:lang w:val="en-PH"/>
        </w:rPr>
        <w:t xml:space="preserve">Competency is not a static attribute but one that evolves with practice, reflection, and education. Liu and </w:t>
      </w:r>
      <w:proofErr w:type="spellStart"/>
      <w:r w:rsidRPr="008A2A8E">
        <w:rPr>
          <w:sz w:val="24"/>
          <w:szCs w:val="24"/>
          <w:lang w:val="en-PH"/>
        </w:rPr>
        <w:t>Aungsuroch</w:t>
      </w:r>
      <w:proofErr w:type="spellEnd"/>
      <w:r w:rsidRPr="008A2A8E">
        <w:rPr>
          <w:sz w:val="24"/>
          <w:szCs w:val="24"/>
          <w:lang w:val="en-PH"/>
        </w:rPr>
        <w:t xml:space="preserve"> (2018) note that clinical competence is a foundational element of quality care and that its assessment must be continuous and systematic. Reflective practices such as self-assessment foster personal and professional growth (</w:t>
      </w:r>
      <w:proofErr w:type="spellStart"/>
      <w:r w:rsidRPr="008A2A8E">
        <w:rPr>
          <w:sz w:val="24"/>
          <w:szCs w:val="24"/>
          <w:lang w:val="en-PH"/>
        </w:rPr>
        <w:t>Elhami</w:t>
      </w:r>
      <w:proofErr w:type="spellEnd"/>
      <w:r w:rsidRPr="008A2A8E">
        <w:rPr>
          <w:sz w:val="24"/>
          <w:szCs w:val="24"/>
          <w:lang w:val="en-PH"/>
        </w:rPr>
        <w:t xml:space="preserve"> et al., 2018). Studies show that structured self-evaluation, feedback, re-education, and in-service training improve clinical performance, confidence, patient safety, and satisfaction (Çelik &amp; Hisar, 2020; Jho et al., 2023). The use of validated assessment tools strengthens accountability and aligns nursing practice with institutional standards (Khan et al., 2021)</w:t>
      </w:r>
      <w:r w:rsidRPr="00E55CE5">
        <w:rPr>
          <w:sz w:val="24"/>
          <w:szCs w:val="24"/>
          <w:lang w:val="en-PH"/>
        </w:rPr>
        <w:t>.</w:t>
      </w:r>
    </w:p>
    <w:p w14:paraId="4EA6F59D" w14:textId="77777777" w:rsidR="008A2A8E" w:rsidRPr="008A2A8E" w:rsidRDefault="008A2A8E" w:rsidP="006B4DE6">
      <w:pPr>
        <w:tabs>
          <w:tab w:val="left" w:pos="387"/>
        </w:tabs>
        <w:ind w:right="4"/>
        <w:jc w:val="both"/>
        <w:rPr>
          <w:lang w:val="en-PH"/>
        </w:rPr>
      </w:pPr>
    </w:p>
    <w:p w14:paraId="4900A756" w14:textId="77777777" w:rsidR="002C7222" w:rsidRDefault="008A2A8E" w:rsidP="002C7222">
      <w:pPr>
        <w:tabs>
          <w:tab w:val="left" w:pos="387"/>
        </w:tabs>
        <w:ind w:right="4"/>
        <w:jc w:val="both"/>
        <w:rPr>
          <w:sz w:val="24"/>
          <w:szCs w:val="24"/>
        </w:rPr>
      </w:pPr>
      <w:r>
        <w:rPr>
          <w:b/>
          <w:bCs/>
          <w:sz w:val="24"/>
          <w:szCs w:val="24"/>
        </w:rPr>
        <w:t>Novice Nurse Competency</w:t>
      </w:r>
      <w:r w:rsidR="00B20184" w:rsidRPr="005801DA">
        <w:rPr>
          <w:b/>
          <w:bCs/>
          <w:sz w:val="24"/>
          <w:szCs w:val="24"/>
        </w:rPr>
        <w:t>.</w:t>
      </w:r>
      <w:r w:rsidR="00722C3D">
        <w:rPr>
          <w:b/>
          <w:bCs/>
          <w:sz w:val="24"/>
          <w:szCs w:val="24"/>
        </w:rPr>
        <w:t xml:space="preserve"> </w:t>
      </w:r>
      <w:r>
        <w:rPr>
          <w:sz w:val="24"/>
          <w:szCs w:val="24"/>
        </w:rPr>
        <w:t>N</w:t>
      </w:r>
      <w:r w:rsidR="002C7222" w:rsidRPr="002C7222">
        <w:rPr>
          <w:sz w:val="24"/>
          <w:szCs w:val="24"/>
        </w:rPr>
        <w:t xml:space="preserve">ovice nurses refer to registered nurses with less than one year of clinical experience who are in the early transition from theoretical learning to actual nursing practice. Guided by McClelland’s Competency Theory (1973), novice nurses are still developing the underlying competencies, such as knowledge, skills, motives, values, and self-concept, that contribute to effective performance. At this stage, they often rely heavily on established protocols, supervision from senior nurses, and structured guidance to perform their roles safely and confidently. Recent studies have emphasized that clinical experience strongly influences nursing competence, reinforcing McClelland’s view that competencies are developed and refined through practice and feedback rather than innate ability. According to Pérez-García et al. (2023), nurses with greater exposure and years of experience demonstrate significantly higher self-perceived competence levels, highlighting the need to support novice nurses as they build their professional foundation. Studies across various healthcare settings have emphasized that the competency of novice nurses is crucial to patient safety and quality care outcomes. Kim and Kim (2024) found that novice perioperative nurses develop competence through continuous learning, risk management, and teamwork. Similarly, Salonen et al. (2022) discovered a significant gap between </w:t>
      </w:r>
      <w:r w:rsidR="002C7222" w:rsidRPr="002C7222">
        <w:rPr>
          <w:sz w:val="24"/>
          <w:szCs w:val="24"/>
        </w:rPr>
        <w:lastRenderedPageBreak/>
        <w:t>the expected and achieved competency levels among new graduate nurses, particularly in clinical decision-making and leadership skills. In the Philippine context, the transition of new nurses into hospital practice presents similar challenges. Dizon and Dela Cruz (2022) revealed that while communication and patient care competencies were strengths among public health nurses, leadership and systems thinking remained areas needing improvement. This reflects the need for structured competency enhancement programs tailored for new graduates in local hospital systems. Moreover, the study of Amparo (2023) highlighted that nurses’ competencies particularly cultural and interpersonal skills, contribute significantly to quality care and patient satisfaction in public hospitals in Mindanao</w:t>
      </w:r>
      <w:r w:rsidRPr="008A2A8E">
        <w:rPr>
          <w:sz w:val="24"/>
          <w:szCs w:val="24"/>
        </w:rPr>
        <w:t>.</w:t>
      </w:r>
      <w:r w:rsidR="002C7222">
        <w:rPr>
          <w:sz w:val="24"/>
          <w:szCs w:val="24"/>
        </w:rPr>
        <w:t xml:space="preserve"> </w:t>
      </w:r>
    </w:p>
    <w:p w14:paraId="6CD8C2D5" w14:textId="13C95809" w:rsidR="002C7222" w:rsidRPr="008A2A8E" w:rsidRDefault="002C7222" w:rsidP="002C7222">
      <w:pPr>
        <w:tabs>
          <w:tab w:val="left" w:pos="387"/>
        </w:tabs>
        <w:ind w:left="709" w:right="4"/>
        <w:jc w:val="both"/>
        <w:rPr>
          <w:sz w:val="24"/>
          <w:szCs w:val="24"/>
        </w:rPr>
      </w:pPr>
      <w:r>
        <w:rPr>
          <w:sz w:val="24"/>
          <w:szCs w:val="24"/>
        </w:rPr>
        <w:tab/>
      </w:r>
      <w:r>
        <w:rPr>
          <w:sz w:val="24"/>
          <w:szCs w:val="24"/>
        </w:rPr>
        <w:tab/>
      </w:r>
      <w:r w:rsidRPr="002C7222">
        <w:rPr>
          <w:b/>
          <w:bCs/>
          <w:sz w:val="24"/>
          <w:szCs w:val="24"/>
        </w:rPr>
        <w:t>Profile on Nurse Competency</w:t>
      </w:r>
      <w:r w:rsidRPr="002C7222">
        <w:rPr>
          <w:sz w:val="24"/>
          <w:szCs w:val="24"/>
        </w:rPr>
        <w:t>. Nursing competency is a multifaceted concept that reflects the capacity of a nurse to deliver safe, ethical, and effective care across diverse clinical contexts. Fukada (2018) categorized nursing competency under behaviorism, trait theory, and holism, with holism emphasizing the integration of knowledge, skills, attitudes, thinking ability, and values in practice. Nurses must integrate theoretical knowledge with empathy, ethical judgment, and adaptability to respond effectively in dynamic clinical environments (Alghamdi et al., 2021). Nursing competency has been defined as the ability to combine knowledge, skills, values, beliefs, and experience in professional practice (Nakayama et al., 2018) and to fulfill responsibilities through personal characteristics, professional values, and clinical knowledge (Takase &amp; Teraoka, 2020). Studies indicate that self-efficacy, education, clinical exposure, and organizational support influence nursing competence (Karami et al., 2019; Alshahrani et al., 2022). As healthcare becomes more complex, sustaining integrated and context-specific competence remains essential to ensure responsive and accountable nursing practice (Liu et al., 2023)</w:t>
      </w:r>
      <w:r>
        <w:rPr>
          <w:sz w:val="24"/>
          <w:szCs w:val="24"/>
        </w:rPr>
        <w:t>.</w:t>
      </w:r>
    </w:p>
    <w:p w14:paraId="23B8DDFB" w14:textId="77777777" w:rsidR="008A2A8E" w:rsidRPr="008A2A8E" w:rsidRDefault="008A2A8E" w:rsidP="008A2A8E">
      <w:pPr>
        <w:tabs>
          <w:tab w:val="left" w:pos="387"/>
        </w:tabs>
        <w:ind w:right="4"/>
        <w:jc w:val="both"/>
        <w:rPr>
          <w:sz w:val="24"/>
          <w:szCs w:val="24"/>
        </w:rPr>
      </w:pPr>
    </w:p>
    <w:p w14:paraId="611869F0" w14:textId="0E741C39" w:rsidR="00B20184" w:rsidRDefault="002C7222" w:rsidP="00CC5567">
      <w:pPr>
        <w:tabs>
          <w:tab w:val="left" w:pos="387"/>
        </w:tabs>
        <w:ind w:right="4"/>
        <w:jc w:val="both"/>
        <w:rPr>
          <w:sz w:val="24"/>
          <w:szCs w:val="24"/>
        </w:rPr>
      </w:pPr>
      <w:r>
        <w:rPr>
          <w:b/>
          <w:bCs/>
          <w:sz w:val="24"/>
          <w:szCs w:val="24"/>
        </w:rPr>
        <w:t>Professional Attitude</w:t>
      </w:r>
      <w:r w:rsidR="00BD60B4">
        <w:rPr>
          <w:b/>
          <w:bCs/>
          <w:sz w:val="24"/>
          <w:szCs w:val="24"/>
        </w:rPr>
        <w:t xml:space="preserve">. </w:t>
      </w:r>
      <w:r>
        <w:rPr>
          <w:sz w:val="24"/>
          <w:szCs w:val="24"/>
        </w:rPr>
        <w:t>Pr</w:t>
      </w:r>
      <w:r w:rsidRPr="002C7222">
        <w:rPr>
          <w:sz w:val="24"/>
          <w:szCs w:val="24"/>
        </w:rPr>
        <w:t xml:space="preserve">ofessional attitudes among nurses are foundational to the advancement and sustainability of nursing as a respected and autonomous profession, reflecting beliefs, motivations, and values that influence patient care, teamwork, and ethical decision-making (Ghaffari et al., 2020; </w:t>
      </w:r>
      <w:proofErr w:type="spellStart"/>
      <w:r w:rsidRPr="002C7222">
        <w:rPr>
          <w:sz w:val="24"/>
          <w:szCs w:val="24"/>
        </w:rPr>
        <w:t>Labrague</w:t>
      </w:r>
      <w:proofErr w:type="spellEnd"/>
      <w:r w:rsidRPr="002C7222">
        <w:rPr>
          <w:sz w:val="24"/>
          <w:szCs w:val="24"/>
        </w:rPr>
        <w:t xml:space="preserve"> et al., 2022). Professionalization involves the internalization of professional values, commitment to continuous development, and dedication to quality care (Shin et al., 2021; Lee &amp; Kim, 2023). Studies show that nurses view professionalization as meaningful and associated with holistic and compassionate care, yet systemic barriers such as poor working conditions, limited autonomy, and unsupportive organizational cultures hinder professional identity development (Ghaffari et al., 2020; </w:t>
      </w:r>
      <w:proofErr w:type="spellStart"/>
      <w:r w:rsidRPr="002C7222">
        <w:rPr>
          <w:sz w:val="24"/>
          <w:szCs w:val="24"/>
        </w:rPr>
        <w:t>Karamoozian</w:t>
      </w:r>
      <w:proofErr w:type="spellEnd"/>
      <w:r w:rsidRPr="002C7222">
        <w:rPr>
          <w:sz w:val="24"/>
          <w:szCs w:val="24"/>
        </w:rPr>
        <w:t xml:space="preserve"> et al., 2021; Wojtowicz et al., 2020). Professional attitude is influenced by the nursing work environment, where supportive leadership, continuing education, and recognition strengthen professional identity, while toxic environments weaken commitment and contribute to burnout and reduced care quality (</w:t>
      </w:r>
      <w:proofErr w:type="spellStart"/>
      <w:r w:rsidRPr="002C7222">
        <w:rPr>
          <w:sz w:val="24"/>
          <w:szCs w:val="24"/>
        </w:rPr>
        <w:t>Labrague</w:t>
      </w:r>
      <w:proofErr w:type="spellEnd"/>
      <w:r w:rsidRPr="002C7222">
        <w:rPr>
          <w:sz w:val="24"/>
          <w:szCs w:val="24"/>
        </w:rPr>
        <w:t xml:space="preserve"> et al., 2022). Reflective practice and critical thinking further support professional growth and accountability (Lee &amp; Kim, 2023). In light of the global nursing shortage, policies and institutional strategies that enhance professional autonomy and provide meaningful opportunities for development are essential for sustaining a highly professional nursing workforce (Shin et al., 2021)</w:t>
      </w:r>
      <w:r w:rsidR="00CC5567" w:rsidRPr="00CC5567">
        <w:rPr>
          <w:sz w:val="24"/>
          <w:szCs w:val="24"/>
        </w:rPr>
        <w:t>.</w:t>
      </w:r>
    </w:p>
    <w:p w14:paraId="77491173" w14:textId="470668F9" w:rsidR="00B20184" w:rsidRDefault="002C7222" w:rsidP="00093D17">
      <w:pPr>
        <w:pStyle w:val="NormalWeb"/>
        <w:ind w:left="720" w:right="4" w:firstLine="720"/>
        <w:jc w:val="both"/>
        <w:rPr>
          <w:lang w:val="en-PH"/>
        </w:rPr>
      </w:pPr>
      <w:r>
        <w:rPr>
          <w:b/>
        </w:rPr>
        <w:t>Profile on Professional Attitude</w:t>
      </w:r>
      <w:r w:rsidR="00BD60B4">
        <w:t xml:space="preserve">. </w:t>
      </w:r>
      <w:r>
        <w:rPr>
          <w:lang w:val="en-PH"/>
        </w:rPr>
        <w:t xml:space="preserve">A </w:t>
      </w:r>
      <w:r w:rsidRPr="002C7222">
        <w:t>professional attitude is a vital component of workplace success, particularly in healthcare settings where ethical behavior, collaboration, and quality care are essential. It extends beyond technical competence to include accountability, respect, integrity, effective communication, adaptability, and a strong work ethic (</w:t>
      </w:r>
      <w:proofErr w:type="spellStart"/>
      <w:r w:rsidRPr="002C7222">
        <w:t>Ghadirian</w:t>
      </w:r>
      <w:proofErr w:type="spellEnd"/>
      <w:r w:rsidRPr="002C7222">
        <w:t xml:space="preserve"> et al., 2020; Karami et al., 2020). Accountability, respect, and integrity strengthen trust, ethical practice, and teamwork (</w:t>
      </w:r>
      <w:proofErr w:type="spellStart"/>
      <w:r w:rsidRPr="002C7222">
        <w:t>Labrague</w:t>
      </w:r>
      <w:proofErr w:type="spellEnd"/>
      <w:r w:rsidRPr="002C7222">
        <w:t xml:space="preserve"> et al., 2020; Yilmaz et </w:t>
      </w:r>
      <w:r w:rsidRPr="002C7222">
        <w:lastRenderedPageBreak/>
        <w:t xml:space="preserve">al., 2022; Shin et al., 2021), while effective communication and adaptability support patient safety and responsiveness to change (Kim &amp; Lee, 2021; Salmond et al., 2021). A strong work ethic reflects reliability and commitment to quality care (Alshaer &amp; </w:t>
      </w:r>
      <w:proofErr w:type="spellStart"/>
      <w:r w:rsidRPr="002C7222">
        <w:t>Sowan</w:t>
      </w:r>
      <w:proofErr w:type="spellEnd"/>
      <w:r w:rsidRPr="002C7222">
        <w:t>, 2021). Maintaining a professional attitude enhances collaboration, workplace culture, and career development, while self-awareness, reflection, and constructive feedback support its continuous development (Shin et al., 2021)</w:t>
      </w:r>
      <w:r w:rsidR="00BD60B4" w:rsidRPr="00BD60B4">
        <w:rPr>
          <w:lang w:val="en-PH"/>
        </w:rPr>
        <w:t>.</w:t>
      </w:r>
    </w:p>
    <w:p w14:paraId="2AC29277" w14:textId="77777777" w:rsidR="00093D17" w:rsidRDefault="00093D17" w:rsidP="00093D17">
      <w:pPr>
        <w:pStyle w:val="NormalWeb"/>
        <w:ind w:left="720" w:right="4" w:firstLine="720"/>
        <w:jc w:val="both"/>
        <w:rPr>
          <w:lang w:val="en-PH"/>
        </w:rPr>
      </w:pPr>
    </w:p>
    <w:p w14:paraId="52A1F4E1" w14:textId="706B57EB" w:rsidR="00093D17" w:rsidRDefault="00093D17" w:rsidP="00093D17">
      <w:pPr>
        <w:pStyle w:val="NormalWeb"/>
        <w:ind w:left="720" w:right="4" w:firstLine="720"/>
        <w:jc w:val="both"/>
        <w:rPr>
          <w:lang w:val="en-PH"/>
        </w:rPr>
      </w:pPr>
      <w:r>
        <w:rPr>
          <w:b/>
        </w:rPr>
        <w:t>N</w:t>
      </w:r>
      <w:r w:rsidR="002C7222">
        <w:rPr>
          <w:b/>
        </w:rPr>
        <w:t>urse Competency on Profile Attitude</w:t>
      </w:r>
      <w:r>
        <w:t xml:space="preserve">. </w:t>
      </w:r>
      <w:r w:rsidR="002C7222">
        <w:t>N</w:t>
      </w:r>
      <w:r w:rsidR="002C7222" w:rsidRPr="002C7222">
        <w:t xml:space="preserve">ursing competency and professional attitude are closely interconnected, with studies showing that competency supports professional identity, caring behavior, patient safety, research engagement, and professional autonomy. Philippine research reports significant correlations between competency and caring efficacy, professional values, patient safety outcomes, research attitudes, and job satisfaction, indicating that competence extends beyond technical skills to include ethical practice and empowerment (Cañete et al., 2020; </w:t>
      </w:r>
      <w:proofErr w:type="spellStart"/>
      <w:r w:rsidR="002C7222" w:rsidRPr="002C7222">
        <w:t>Labrague</w:t>
      </w:r>
      <w:proofErr w:type="spellEnd"/>
      <w:r w:rsidR="002C7222" w:rsidRPr="002C7222">
        <w:t xml:space="preserve"> &amp; de </w:t>
      </w:r>
      <w:proofErr w:type="spellStart"/>
      <w:r w:rsidR="002C7222" w:rsidRPr="002C7222">
        <w:t>los</w:t>
      </w:r>
      <w:proofErr w:type="spellEnd"/>
      <w:r w:rsidR="002C7222" w:rsidRPr="002C7222">
        <w:t xml:space="preserve"> Santos, 2021; </w:t>
      </w:r>
      <w:proofErr w:type="spellStart"/>
      <w:r w:rsidR="002C7222" w:rsidRPr="002C7222">
        <w:t>Alibudbud</w:t>
      </w:r>
      <w:proofErr w:type="spellEnd"/>
      <w:r w:rsidR="002C7222" w:rsidRPr="002C7222">
        <w:t>, 2023; Espinosa et al., 2021; Navales et al., 2022; Baclig et al., 2020). These findings highlight the need for nursing education and healthcare institutions to strengthen professional development, mentorship, and supportive environments to enhance both competence and professional attitude, ultimately improving patient care quality and sustaining excellence in the nursing profession (Liu et al., 2021; Alshahrani et al., 2022; Tang et al., 2021)</w:t>
      </w:r>
      <w:r w:rsidR="0071391C" w:rsidRPr="0071391C">
        <w:t>)</w:t>
      </w:r>
      <w:r w:rsidRPr="00BD60B4">
        <w:rPr>
          <w:lang w:val="en-PH"/>
        </w:rPr>
        <w:t>.</w:t>
      </w:r>
    </w:p>
    <w:p w14:paraId="6A4EEAFB" w14:textId="77777777" w:rsidR="0071391C" w:rsidRDefault="0071391C" w:rsidP="00093D17">
      <w:pPr>
        <w:pStyle w:val="NormalWeb"/>
        <w:ind w:left="720" w:right="4" w:firstLine="720"/>
        <w:jc w:val="both"/>
        <w:rPr>
          <w:lang w:val="en-PH"/>
        </w:rPr>
      </w:pPr>
    </w:p>
    <w:p w14:paraId="03989F02" w14:textId="2BAA15E1" w:rsidR="00EC4696" w:rsidRPr="00167428" w:rsidRDefault="00482339" w:rsidP="006B4DE6">
      <w:pPr>
        <w:pStyle w:val="NormalWeb"/>
        <w:ind w:right="4"/>
        <w:rPr>
          <w:b/>
        </w:rPr>
      </w:pPr>
      <w:r>
        <w:rPr>
          <w:b/>
        </w:rPr>
        <w:t xml:space="preserve">RESEARCH </w:t>
      </w:r>
      <w:r w:rsidR="00EC4696" w:rsidRPr="00167428">
        <w:rPr>
          <w:b/>
        </w:rPr>
        <w:t>METHODOLOGY</w:t>
      </w:r>
    </w:p>
    <w:p w14:paraId="1118BC50" w14:textId="77777777" w:rsidR="00482339" w:rsidRDefault="00482339" w:rsidP="006B4DE6">
      <w:pPr>
        <w:ind w:right="4"/>
        <w:jc w:val="both"/>
        <w:rPr>
          <w:b/>
          <w:sz w:val="24"/>
          <w:szCs w:val="24"/>
        </w:rPr>
      </w:pPr>
    </w:p>
    <w:p w14:paraId="7CFCFF75" w14:textId="3090B9A2" w:rsidR="00EC4696" w:rsidRDefault="00EC4696" w:rsidP="006B4DE6">
      <w:pPr>
        <w:ind w:right="4"/>
        <w:jc w:val="both"/>
        <w:rPr>
          <w:sz w:val="24"/>
          <w:szCs w:val="24"/>
          <w:lang w:val="en-PH"/>
        </w:rPr>
      </w:pPr>
      <w:r w:rsidRPr="00167428">
        <w:rPr>
          <w:b/>
          <w:sz w:val="24"/>
          <w:szCs w:val="24"/>
        </w:rPr>
        <w:t>Design</w:t>
      </w:r>
      <w:r w:rsidR="00927058" w:rsidRPr="00167428">
        <w:rPr>
          <w:b/>
          <w:sz w:val="24"/>
          <w:szCs w:val="24"/>
        </w:rPr>
        <w:t xml:space="preserve">. </w:t>
      </w:r>
      <w:r w:rsidR="00DD0354" w:rsidRPr="00DD0354">
        <w:rPr>
          <w:sz w:val="24"/>
          <w:szCs w:val="24"/>
          <w:lang w:val="en-PH"/>
        </w:rPr>
        <w:t>T</w:t>
      </w:r>
      <w:r w:rsidR="00482339">
        <w:rPr>
          <w:sz w:val="24"/>
          <w:szCs w:val="24"/>
        </w:rPr>
        <w:t>he</w:t>
      </w:r>
      <w:r w:rsidR="00BD60B4">
        <w:t xml:space="preserve"> </w:t>
      </w:r>
      <w:r w:rsidR="00631704" w:rsidRPr="00631704">
        <w:t xml:space="preserve">study </w:t>
      </w:r>
      <w:r w:rsidR="00772476">
        <w:t xml:space="preserve">used </w:t>
      </w:r>
      <w:r w:rsidR="00631704" w:rsidRPr="00631704">
        <w:t>a quantitative approach utilizing the descriptive-correlational research design</w:t>
      </w:r>
      <w:r w:rsidR="00631704">
        <w:t xml:space="preserve">. </w:t>
      </w:r>
      <w:r w:rsidR="00482339">
        <w:rPr>
          <w:sz w:val="24"/>
          <w:szCs w:val="24"/>
        </w:rPr>
        <w:t xml:space="preserve"> </w:t>
      </w:r>
      <w:r w:rsidR="00772476" w:rsidRPr="00237AD2">
        <w:rPr>
          <w:sz w:val="24"/>
          <w:szCs w:val="24"/>
        </w:rPr>
        <w:t>In this study, the descriptive component was utilized to determine the demographic and professional profile of novice nurses in a DOH-retained</w:t>
      </w:r>
      <w:r w:rsidR="00772476" w:rsidRPr="00237AD2">
        <w:rPr>
          <w:bCs/>
          <w:sz w:val="24"/>
          <w:szCs w:val="24"/>
        </w:rPr>
        <w:t xml:space="preserve"> hospital. These characteristics </w:t>
      </w:r>
      <w:r w:rsidR="00772476" w:rsidRPr="00237AD2">
        <w:rPr>
          <w:sz w:val="24"/>
          <w:szCs w:val="24"/>
        </w:rPr>
        <w:t>included age, gender, civil status, educational attainment, and area of assignment. It also described the level of nurse competency and ethical professional attitude. Meanwhile, the correlational aspect of the design was used to assess the relationships among nurse competency, professional attitude, and the nurses’ profile variables</w:t>
      </w:r>
      <w:r w:rsidR="00482339">
        <w:rPr>
          <w:sz w:val="24"/>
          <w:szCs w:val="24"/>
          <w:lang w:val="en-PH"/>
        </w:rPr>
        <w:t>.</w:t>
      </w:r>
    </w:p>
    <w:p w14:paraId="10E126C4" w14:textId="77777777" w:rsidR="00482339" w:rsidRDefault="00482339" w:rsidP="006B4DE6">
      <w:pPr>
        <w:ind w:right="4"/>
        <w:jc w:val="both"/>
        <w:rPr>
          <w:sz w:val="24"/>
          <w:szCs w:val="24"/>
          <w:lang w:val="en-PH"/>
        </w:rPr>
      </w:pPr>
    </w:p>
    <w:p w14:paraId="2898D90A" w14:textId="67E6490D" w:rsidR="00482339" w:rsidRDefault="00482339" w:rsidP="006B4DE6">
      <w:pPr>
        <w:ind w:right="4"/>
        <w:jc w:val="both"/>
        <w:rPr>
          <w:sz w:val="24"/>
          <w:szCs w:val="24"/>
        </w:rPr>
      </w:pPr>
      <w:r>
        <w:rPr>
          <w:b/>
          <w:sz w:val="24"/>
          <w:szCs w:val="24"/>
        </w:rPr>
        <w:t>Environment</w:t>
      </w:r>
      <w:r w:rsidR="00927058" w:rsidRPr="00167428">
        <w:rPr>
          <w:b/>
          <w:sz w:val="24"/>
          <w:szCs w:val="24"/>
        </w:rPr>
        <w:t xml:space="preserve">. </w:t>
      </w:r>
      <w:r>
        <w:rPr>
          <w:sz w:val="24"/>
          <w:szCs w:val="24"/>
        </w:rPr>
        <w:t>This study was</w:t>
      </w:r>
      <w:r w:rsidR="00772476">
        <w:rPr>
          <w:sz w:val="24"/>
          <w:szCs w:val="24"/>
        </w:rPr>
        <w:t xml:space="preserve"> conducted in </w:t>
      </w:r>
      <w:r w:rsidR="00772476" w:rsidRPr="00772476">
        <w:rPr>
          <w:sz w:val="24"/>
          <w:szCs w:val="24"/>
        </w:rPr>
        <w:t>a Department of Health (DOH)–retained Level II hospital located in Surigao City, Surigao del Norte, Philippine</w:t>
      </w:r>
      <w:r w:rsidR="00772476">
        <w:rPr>
          <w:sz w:val="24"/>
          <w:szCs w:val="24"/>
        </w:rPr>
        <w:t xml:space="preserve">. </w:t>
      </w:r>
    </w:p>
    <w:p w14:paraId="0ACB1214" w14:textId="77777777" w:rsidR="00482339" w:rsidRDefault="00482339" w:rsidP="006B4DE6">
      <w:pPr>
        <w:ind w:right="4"/>
        <w:jc w:val="both"/>
        <w:rPr>
          <w:sz w:val="24"/>
          <w:szCs w:val="24"/>
          <w:lang w:val="en-PH"/>
        </w:rPr>
      </w:pPr>
    </w:p>
    <w:p w14:paraId="2B813AA5" w14:textId="06407C98" w:rsidR="00482339" w:rsidRDefault="00EC4696" w:rsidP="006B4DE6">
      <w:pPr>
        <w:ind w:right="4"/>
        <w:jc w:val="both"/>
        <w:rPr>
          <w:sz w:val="24"/>
          <w:szCs w:val="24"/>
        </w:rPr>
      </w:pPr>
      <w:r w:rsidRPr="00167428">
        <w:rPr>
          <w:b/>
          <w:sz w:val="24"/>
          <w:szCs w:val="24"/>
        </w:rPr>
        <w:t>Respondents</w:t>
      </w:r>
      <w:r w:rsidR="00927058" w:rsidRPr="00167428">
        <w:rPr>
          <w:b/>
          <w:sz w:val="24"/>
          <w:szCs w:val="24"/>
        </w:rPr>
        <w:t xml:space="preserve">. </w:t>
      </w:r>
      <w:r w:rsidRPr="00167428">
        <w:rPr>
          <w:sz w:val="24"/>
          <w:szCs w:val="24"/>
        </w:rPr>
        <w:tab/>
      </w:r>
      <w:r w:rsidR="00631704" w:rsidRPr="00C348E9">
        <w:rPr>
          <w:sz w:val="24"/>
          <w:szCs w:val="24"/>
        </w:rPr>
        <w:t>The respondents of th</w:t>
      </w:r>
      <w:r w:rsidR="00631704">
        <w:rPr>
          <w:sz w:val="24"/>
          <w:szCs w:val="24"/>
        </w:rPr>
        <w:t xml:space="preserve">is </w:t>
      </w:r>
      <w:r w:rsidR="00631704" w:rsidRPr="00C348E9">
        <w:rPr>
          <w:sz w:val="24"/>
          <w:szCs w:val="24"/>
        </w:rPr>
        <w:t>study were</w:t>
      </w:r>
      <w:r w:rsidR="00772476">
        <w:rPr>
          <w:sz w:val="24"/>
          <w:szCs w:val="24"/>
        </w:rPr>
        <w:t xml:space="preserve"> the</w:t>
      </w:r>
      <w:r w:rsidR="00772476" w:rsidRPr="00B34583">
        <w:rPr>
          <w:sz w:val="24"/>
          <w:szCs w:val="24"/>
        </w:rPr>
        <w:t xml:space="preserve"> 126 newly hired registered nurses in the hospital</w:t>
      </w:r>
    </w:p>
    <w:p w14:paraId="17B39A52" w14:textId="77777777" w:rsidR="00482339" w:rsidRPr="00167428" w:rsidRDefault="00482339" w:rsidP="006B4DE6">
      <w:pPr>
        <w:ind w:right="4"/>
        <w:jc w:val="both"/>
        <w:rPr>
          <w:sz w:val="24"/>
          <w:szCs w:val="24"/>
          <w:lang w:val="en-PH"/>
        </w:rPr>
      </w:pPr>
    </w:p>
    <w:p w14:paraId="6033EF1D" w14:textId="59601B71" w:rsidR="00EC4696" w:rsidRDefault="00EC4696" w:rsidP="006B4DE6">
      <w:pPr>
        <w:ind w:right="4"/>
        <w:jc w:val="both"/>
        <w:rPr>
          <w:sz w:val="24"/>
          <w:szCs w:val="24"/>
          <w:lang w:val="en-PH"/>
        </w:rPr>
      </w:pPr>
      <w:r w:rsidRPr="00167428">
        <w:rPr>
          <w:b/>
          <w:sz w:val="24"/>
          <w:szCs w:val="24"/>
        </w:rPr>
        <w:t>Sampling Design.</w:t>
      </w:r>
      <w:r w:rsidR="00F86731">
        <w:rPr>
          <w:b/>
          <w:sz w:val="24"/>
          <w:szCs w:val="24"/>
        </w:rPr>
        <w:t xml:space="preserve"> </w:t>
      </w:r>
      <w:r w:rsidR="00920F62" w:rsidRPr="00920F62">
        <w:rPr>
          <w:sz w:val="24"/>
          <w:szCs w:val="24"/>
        </w:rPr>
        <w:t>This study used a</w:t>
      </w:r>
      <w:r w:rsidR="00BD60B4">
        <w:rPr>
          <w:sz w:val="24"/>
          <w:szCs w:val="24"/>
        </w:rPr>
        <w:t xml:space="preserve"> </w:t>
      </w:r>
      <w:r w:rsidR="00631704">
        <w:rPr>
          <w:sz w:val="24"/>
          <w:szCs w:val="24"/>
        </w:rPr>
        <w:t>complete enumeration</w:t>
      </w:r>
      <w:r w:rsidR="00BD60B4">
        <w:rPr>
          <w:sz w:val="24"/>
          <w:szCs w:val="24"/>
        </w:rPr>
        <w:t xml:space="preserve">. </w:t>
      </w:r>
    </w:p>
    <w:p w14:paraId="436915A2" w14:textId="77777777" w:rsidR="00482339" w:rsidRPr="00167428" w:rsidRDefault="00482339" w:rsidP="006B4DE6">
      <w:pPr>
        <w:ind w:right="4"/>
        <w:jc w:val="both"/>
        <w:rPr>
          <w:sz w:val="24"/>
          <w:szCs w:val="24"/>
          <w:lang w:val="en-PH"/>
        </w:rPr>
      </w:pPr>
    </w:p>
    <w:p w14:paraId="316FC97C" w14:textId="4303B893" w:rsidR="00920F62" w:rsidRDefault="00EC4696" w:rsidP="00BD60B4">
      <w:pPr>
        <w:ind w:right="4"/>
        <w:jc w:val="both"/>
        <w:rPr>
          <w:rFonts w:eastAsia="Arial Unicode MS"/>
          <w:kern w:val="2"/>
          <w:sz w:val="24"/>
          <w:szCs w:val="24"/>
          <w:lang w:eastAsia="ja-JP"/>
        </w:rPr>
      </w:pPr>
      <w:r w:rsidRPr="00167428">
        <w:rPr>
          <w:b/>
          <w:sz w:val="24"/>
          <w:szCs w:val="24"/>
        </w:rPr>
        <w:t>Inclusion Criteria</w:t>
      </w:r>
      <w:r w:rsidR="00920F62">
        <w:rPr>
          <w:b/>
          <w:sz w:val="24"/>
          <w:szCs w:val="24"/>
        </w:rPr>
        <w:t xml:space="preserve"> and Exclusion Criteria</w:t>
      </w:r>
      <w:r w:rsidR="00927058" w:rsidRPr="00167428">
        <w:rPr>
          <w:b/>
          <w:sz w:val="24"/>
          <w:szCs w:val="24"/>
        </w:rPr>
        <w:t xml:space="preserve">. </w:t>
      </w:r>
      <w:r w:rsidR="00772476" w:rsidRPr="00B34583">
        <w:rPr>
          <w:sz w:val="24"/>
          <w:szCs w:val="24"/>
        </w:rPr>
        <w:t>The study included all newly hired nurses currently employed in the hospital, regardless of age, gender, civil status, educational attainment, and area of assignment. Eligible participants were required to have a valid professional nursing license, be actively involved in direct patient care, and have served in the institution for less than one year to ensure adequate clinical exposure. Regardless of employment status, nurses who voluntarily agreed to participate after being informed about the nature and objectives of the study were included</w:t>
      </w:r>
      <w:r w:rsidR="00772476">
        <w:rPr>
          <w:sz w:val="24"/>
          <w:szCs w:val="24"/>
        </w:rPr>
        <w:t xml:space="preserve">. </w:t>
      </w:r>
      <w:r w:rsidR="00772476" w:rsidRPr="00B34583">
        <w:rPr>
          <w:sz w:val="24"/>
          <w:szCs w:val="24"/>
        </w:rPr>
        <w:t xml:space="preserve">The study excluded nurses who were still within the hospital’s initial orientation or </w:t>
      </w:r>
      <w:r w:rsidR="00772476" w:rsidRPr="00B34583">
        <w:rPr>
          <w:sz w:val="24"/>
          <w:szCs w:val="24"/>
        </w:rPr>
        <w:lastRenderedPageBreak/>
        <w:t>training phase, as their adjustment experiences could have influenced their perception of competence and ethical behavior. Nurses who were on extended leave, under disciplinary review, or assigned to purely non-clinical or administrative support roles were also excluded, as they were not consistently engaged in direct patient care. In addition, nurses who had submitted a resignation or intent to transfer were not included, since their outlook and motivation toward work might have differed from those who intended to continue their employment. Nurses who were newly employed in the hospital but had prior work experience of at least one year in other healthcare institutions were excluded from the study</w:t>
      </w:r>
      <w:r w:rsidR="00772476">
        <w:rPr>
          <w:sz w:val="24"/>
          <w:szCs w:val="24"/>
        </w:rPr>
        <w:t xml:space="preserve">. </w:t>
      </w:r>
    </w:p>
    <w:p w14:paraId="28916786" w14:textId="77777777" w:rsidR="00920F62" w:rsidRDefault="00920F62" w:rsidP="006B4DE6">
      <w:pPr>
        <w:ind w:right="4"/>
        <w:jc w:val="both"/>
        <w:rPr>
          <w:bCs/>
          <w:sz w:val="24"/>
          <w:szCs w:val="24"/>
        </w:rPr>
      </w:pPr>
    </w:p>
    <w:p w14:paraId="6491E125" w14:textId="3B1674A2" w:rsidR="00920F62" w:rsidRDefault="00EC4696" w:rsidP="009739C8">
      <w:pPr>
        <w:ind w:right="4"/>
        <w:jc w:val="both"/>
        <w:rPr>
          <w:sz w:val="24"/>
          <w:szCs w:val="24"/>
        </w:rPr>
      </w:pPr>
      <w:r w:rsidRPr="00167428">
        <w:rPr>
          <w:b/>
          <w:sz w:val="24"/>
          <w:szCs w:val="24"/>
        </w:rPr>
        <w:t>Instrument</w:t>
      </w:r>
      <w:r w:rsidR="00927058" w:rsidRPr="00167428">
        <w:rPr>
          <w:b/>
          <w:sz w:val="24"/>
          <w:szCs w:val="24"/>
        </w:rPr>
        <w:t xml:space="preserve">. </w:t>
      </w:r>
      <w:r w:rsidR="00BD60B4" w:rsidRPr="00BD60B4">
        <w:rPr>
          <w:sz w:val="24"/>
          <w:szCs w:val="24"/>
          <w:lang w:val="en-PH"/>
        </w:rPr>
        <w:t xml:space="preserve">This study used a three-part questionnaire. </w:t>
      </w:r>
      <w:r w:rsidR="00772476">
        <w:rPr>
          <w:sz w:val="24"/>
          <w:szCs w:val="24"/>
          <w:lang w:val="en-PH"/>
        </w:rPr>
        <w:t xml:space="preserve"> </w:t>
      </w:r>
      <w:r w:rsidR="00772476" w:rsidRPr="00772476">
        <w:rPr>
          <w:sz w:val="24"/>
          <w:szCs w:val="24"/>
          <w:lang w:val="en-PH"/>
        </w:rPr>
        <w:t>Part I of the instrument determined the personal characteristics of the nurses in terms of age, gender, civil status, educational attainment, and area of assignment.</w:t>
      </w:r>
      <w:r w:rsidR="00772476">
        <w:rPr>
          <w:sz w:val="24"/>
          <w:szCs w:val="24"/>
          <w:lang w:val="en-PH"/>
        </w:rPr>
        <w:t xml:space="preserve"> </w:t>
      </w:r>
      <w:r w:rsidR="00772476" w:rsidRPr="00B34583">
        <w:rPr>
          <w:sz w:val="24"/>
          <w:szCs w:val="24"/>
        </w:rPr>
        <w:t>Parts II and III of the instruments were adopted from previous studies.</w:t>
      </w:r>
      <w:r w:rsidR="009739C8" w:rsidRPr="009739C8">
        <w:t xml:space="preserve"> </w:t>
      </w:r>
      <w:r w:rsidR="009739C8" w:rsidRPr="009739C8">
        <w:rPr>
          <w:sz w:val="24"/>
          <w:szCs w:val="24"/>
        </w:rPr>
        <w:t xml:space="preserve">Part II of the instrument was the Nursing Competency Scale (NCS) developed by </w:t>
      </w:r>
      <w:proofErr w:type="spellStart"/>
      <w:r w:rsidR="009739C8" w:rsidRPr="009739C8">
        <w:rPr>
          <w:sz w:val="24"/>
          <w:szCs w:val="24"/>
        </w:rPr>
        <w:t>Meretoja</w:t>
      </w:r>
      <w:proofErr w:type="spellEnd"/>
      <w:r w:rsidR="009739C8" w:rsidRPr="009739C8">
        <w:rPr>
          <w:sz w:val="24"/>
          <w:szCs w:val="24"/>
        </w:rPr>
        <w:t xml:space="preserve">, </w:t>
      </w:r>
      <w:proofErr w:type="spellStart"/>
      <w:r w:rsidR="009739C8" w:rsidRPr="009739C8">
        <w:rPr>
          <w:sz w:val="24"/>
          <w:szCs w:val="24"/>
        </w:rPr>
        <w:t>Isoaho</w:t>
      </w:r>
      <w:proofErr w:type="spellEnd"/>
      <w:r w:rsidR="009739C8" w:rsidRPr="009739C8">
        <w:rPr>
          <w:sz w:val="24"/>
          <w:szCs w:val="24"/>
        </w:rPr>
        <w:t>, and Leino-</w:t>
      </w:r>
      <w:proofErr w:type="spellStart"/>
      <w:r w:rsidR="009739C8" w:rsidRPr="009739C8">
        <w:rPr>
          <w:sz w:val="24"/>
          <w:szCs w:val="24"/>
        </w:rPr>
        <w:t>Kilpi</w:t>
      </w:r>
      <w:proofErr w:type="spellEnd"/>
      <w:r w:rsidR="009739C8" w:rsidRPr="009739C8">
        <w:rPr>
          <w:sz w:val="24"/>
          <w:szCs w:val="24"/>
        </w:rPr>
        <w:t xml:space="preserve"> (2004), used to assess the self-perceived level of nursing competence among respondents. Anchored on McClelland’s Competency Theory (1973), the NCS evaluated observable behaviors and abilities contributing to safe, efficient, and patient-centered care. The scale consisted of 21 items across seven competency domains: Helping Role, Teaching–Coaching, Diagnostic Functions, Managing Situations, Therapeutic Interventions, Ensuring Quality, and Work Role, rated on a seven-point Likert scale from 0 (Very Low Competence) to 6 (Very High Competence). Reliability coefficients showed good internal consistency, with subscale values of .91, .87, and .85, and a total scale reliability of .88 (Zimet et al., 1988). Parametric scoring ranged from extremely low to extremely </w:t>
      </w:r>
      <w:proofErr w:type="spellStart"/>
      <w:proofErr w:type="gramStart"/>
      <w:r w:rsidR="009739C8" w:rsidRPr="009739C8">
        <w:rPr>
          <w:sz w:val="24"/>
          <w:szCs w:val="24"/>
        </w:rPr>
        <w:t>high.Part</w:t>
      </w:r>
      <w:proofErr w:type="spellEnd"/>
      <w:proofErr w:type="gramEnd"/>
      <w:r w:rsidR="009739C8" w:rsidRPr="009739C8">
        <w:rPr>
          <w:sz w:val="24"/>
          <w:szCs w:val="24"/>
        </w:rPr>
        <w:t xml:space="preserve"> III of the instrument was the Professional Attitude Scale for Nurses (PASN) developed by Hisar, Karadağ, and Kan (2010), anchored on Ajzen’s (1991) Theory of Planned Behavior. The PASN assessed professional attitude through 10 items covering ethical practice, pride in the profession, self-improvement, autonomy, and accountability, rated on a five-point Likert scale from Strongly Disagree to Strongly Agree. Higher scores indicated a more positive professional attitude. Reliability coefficients were .88 for Compassion Satisfaction, .75 for Burnout, and .81 for Secondary Traumatic Stress (Stamm, 2009), with corresponding parametric interpretations for low, average, and high levels.</w:t>
      </w:r>
    </w:p>
    <w:p w14:paraId="7EA62C19" w14:textId="77777777" w:rsidR="009739C8" w:rsidRDefault="009739C8" w:rsidP="009739C8">
      <w:pPr>
        <w:ind w:right="4"/>
        <w:jc w:val="both"/>
        <w:rPr>
          <w:b/>
          <w:sz w:val="24"/>
          <w:szCs w:val="24"/>
        </w:rPr>
      </w:pPr>
    </w:p>
    <w:p w14:paraId="4C088189" w14:textId="2FC765D8" w:rsidR="005A7E20" w:rsidRDefault="00920F62" w:rsidP="006B4DE6">
      <w:pPr>
        <w:ind w:right="4"/>
        <w:jc w:val="both"/>
        <w:rPr>
          <w:sz w:val="24"/>
          <w:szCs w:val="24"/>
          <w:lang w:val="en-PH"/>
        </w:rPr>
      </w:pPr>
      <w:r w:rsidRPr="005A7E20">
        <w:rPr>
          <w:b/>
          <w:sz w:val="24"/>
          <w:szCs w:val="24"/>
        </w:rPr>
        <w:t>D</w:t>
      </w:r>
      <w:r w:rsidR="00EC4696" w:rsidRPr="005A7E20">
        <w:rPr>
          <w:b/>
          <w:sz w:val="24"/>
          <w:szCs w:val="24"/>
        </w:rPr>
        <w:t>ata Gathering Procedures</w:t>
      </w:r>
      <w:r w:rsidR="00927058" w:rsidRPr="005A7E20">
        <w:rPr>
          <w:b/>
          <w:sz w:val="24"/>
          <w:szCs w:val="24"/>
        </w:rPr>
        <w:t>.</w:t>
      </w:r>
      <w:r w:rsidR="00863613" w:rsidRPr="005A7E20">
        <w:rPr>
          <w:b/>
          <w:sz w:val="24"/>
          <w:szCs w:val="24"/>
        </w:rPr>
        <w:t xml:space="preserve"> </w:t>
      </w:r>
      <w:r w:rsidR="005A7E20" w:rsidRPr="005A7E20">
        <w:rPr>
          <w:sz w:val="24"/>
          <w:szCs w:val="24"/>
        </w:rPr>
        <w:t>At the beginning, th</w:t>
      </w:r>
      <w:r w:rsidR="00C304B4">
        <w:rPr>
          <w:sz w:val="24"/>
          <w:szCs w:val="24"/>
        </w:rPr>
        <w:t>i</w:t>
      </w:r>
      <w:r w:rsidR="005A7E20">
        <w:rPr>
          <w:sz w:val="24"/>
          <w:szCs w:val="24"/>
        </w:rPr>
        <w:t>s research</w:t>
      </w:r>
      <w:r w:rsidR="005A7E20" w:rsidRPr="005A7E20">
        <w:rPr>
          <w:sz w:val="24"/>
          <w:szCs w:val="24"/>
        </w:rPr>
        <w:t xml:space="preserve"> began with the submission of three different research titles for approval, followed by the selection of an advisor and the processing of transmittal letters to seek approval from the Dean of the College of Allied Health Sciences, the Chief of the hospital, and the Ethics Committee. The study underwent ethical review, and a design hearing with an expert panel was conducted to ensure technical and ethical soundness before ethical approval was processed. Once a notice to proceed was issued, recruitment began, and the researcher personally distributed questionnaires to nurses through face-to-face intercept methods and online gathering, allowing completion before shifts, during breaks, or after shifts in private areas. Completed questionnaires were checked for completeness and returned when incomplete until all nurses were recruited. All collected information was compiled in Excel and sent to the statistician for analysis, with results presented in tables along with interpretations, implications, and supporting studies. After manuscript completion, the study was presented for final defense before the same panel of experts, and all completed questionnaires were destroyed or shredded after the final defense.</w:t>
      </w:r>
    </w:p>
    <w:p w14:paraId="34E97024" w14:textId="664A1E42" w:rsidR="00920F62" w:rsidRDefault="00920F62" w:rsidP="006B4DE6">
      <w:pPr>
        <w:ind w:right="4"/>
        <w:jc w:val="both"/>
        <w:rPr>
          <w:b/>
          <w:sz w:val="24"/>
          <w:szCs w:val="24"/>
        </w:rPr>
      </w:pPr>
    </w:p>
    <w:p w14:paraId="5D242EA5" w14:textId="06CEF94E" w:rsidR="00034C61" w:rsidRPr="00034C61" w:rsidRDefault="00EC4696" w:rsidP="00034C61">
      <w:pPr>
        <w:ind w:right="4"/>
        <w:jc w:val="both"/>
        <w:rPr>
          <w:bCs/>
          <w:sz w:val="24"/>
          <w:szCs w:val="24"/>
          <w:lang w:val="en-PH"/>
        </w:rPr>
      </w:pPr>
      <w:r w:rsidRPr="00167428">
        <w:rPr>
          <w:b/>
          <w:sz w:val="24"/>
          <w:szCs w:val="24"/>
        </w:rPr>
        <w:t>Statistical Treatment of Data</w:t>
      </w:r>
      <w:r w:rsidR="00927058" w:rsidRPr="00167428">
        <w:rPr>
          <w:b/>
          <w:sz w:val="24"/>
          <w:szCs w:val="24"/>
        </w:rPr>
        <w:t xml:space="preserve">. </w:t>
      </w:r>
      <w:r w:rsidRPr="00167428">
        <w:rPr>
          <w:bCs/>
          <w:sz w:val="24"/>
          <w:szCs w:val="24"/>
        </w:rPr>
        <w:t>The</w:t>
      </w:r>
      <w:r w:rsidR="001E2F40" w:rsidRPr="00167428">
        <w:rPr>
          <w:bCs/>
          <w:sz w:val="24"/>
          <w:szCs w:val="24"/>
        </w:rPr>
        <w:t xml:space="preserve"> statistical data were analyzed. </w:t>
      </w:r>
      <w:r w:rsidR="00034C61">
        <w:rPr>
          <w:bCs/>
          <w:sz w:val="24"/>
          <w:szCs w:val="24"/>
          <w:lang w:val="en-PH"/>
        </w:rPr>
        <w:t>The f</w:t>
      </w:r>
      <w:r w:rsidR="00034C61" w:rsidRPr="00034C61">
        <w:rPr>
          <w:bCs/>
          <w:sz w:val="24"/>
          <w:szCs w:val="24"/>
          <w:lang w:val="en-PH"/>
        </w:rPr>
        <w:t xml:space="preserve">requency </w:t>
      </w:r>
      <w:r w:rsidR="00034C61">
        <w:rPr>
          <w:bCs/>
          <w:sz w:val="24"/>
          <w:szCs w:val="24"/>
          <w:lang w:val="en-PH"/>
        </w:rPr>
        <w:t>d</w:t>
      </w:r>
      <w:r w:rsidR="00034C61" w:rsidRPr="00034C61">
        <w:rPr>
          <w:bCs/>
          <w:sz w:val="24"/>
          <w:szCs w:val="24"/>
          <w:lang w:val="en-PH"/>
        </w:rPr>
        <w:t xml:space="preserve">istribution and </w:t>
      </w:r>
      <w:r w:rsidR="00034C61">
        <w:rPr>
          <w:bCs/>
          <w:sz w:val="24"/>
          <w:szCs w:val="24"/>
          <w:lang w:val="en-PH"/>
        </w:rPr>
        <w:lastRenderedPageBreak/>
        <w:t>s</w:t>
      </w:r>
      <w:r w:rsidR="00034C61" w:rsidRPr="00034C61">
        <w:rPr>
          <w:bCs/>
          <w:sz w:val="24"/>
          <w:szCs w:val="24"/>
          <w:lang w:val="en-PH"/>
        </w:rPr>
        <w:t xml:space="preserve">imple </w:t>
      </w:r>
      <w:r w:rsidR="00034C61">
        <w:rPr>
          <w:bCs/>
          <w:sz w:val="24"/>
          <w:szCs w:val="24"/>
          <w:lang w:val="en-PH"/>
        </w:rPr>
        <w:t>p</w:t>
      </w:r>
      <w:r w:rsidR="00034C61" w:rsidRPr="00034C61">
        <w:rPr>
          <w:bCs/>
          <w:sz w:val="24"/>
          <w:szCs w:val="24"/>
          <w:lang w:val="en-PH"/>
        </w:rPr>
        <w:t xml:space="preserve">ercentage were used </w:t>
      </w:r>
      <w:r w:rsidR="00C304B4" w:rsidRPr="00C304B4">
        <w:rPr>
          <w:bCs/>
          <w:sz w:val="24"/>
          <w:szCs w:val="24"/>
          <w:lang w:val="en-PH"/>
        </w:rPr>
        <w:t>to present the personal characteristics of the nurses.</w:t>
      </w:r>
      <w:r w:rsidR="00034C61">
        <w:rPr>
          <w:bCs/>
          <w:sz w:val="24"/>
          <w:szCs w:val="24"/>
          <w:lang w:val="en-PH"/>
        </w:rPr>
        <w:t xml:space="preserve"> The m</w:t>
      </w:r>
      <w:r w:rsidR="00034C61" w:rsidRPr="00034C61">
        <w:rPr>
          <w:bCs/>
          <w:sz w:val="24"/>
          <w:szCs w:val="24"/>
          <w:lang w:val="en-PH"/>
        </w:rPr>
        <w:t xml:space="preserve">ean </w:t>
      </w:r>
      <w:r w:rsidR="00034C61">
        <w:rPr>
          <w:bCs/>
          <w:sz w:val="24"/>
          <w:szCs w:val="24"/>
          <w:lang w:val="en-PH"/>
        </w:rPr>
        <w:t>s</w:t>
      </w:r>
      <w:r w:rsidR="00034C61" w:rsidRPr="00034C61">
        <w:rPr>
          <w:bCs/>
          <w:sz w:val="24"/>
          <w:szCs w:val="24"/>
          <w:lang w:val="en-PH"/>
        </w:rPr>
        <w:t xml:space="preserve">core and </w:t>
      </w:r>
      <w:r w:rsidR="00034C61">
        <w:rPr>
          <w:bCs/>
          <w:sz w:val="24"/>
          <w:szCs w:val="24"/>
          <w:lang w:val="en-PH"/>
        </w:rPr>
        <w:t>s</w:t>
      </w:r>
      <w:r w:rsidR="00034C61" w:rsidRPr="00034C61">
        <w:rPr>
          <w:bCs/>
          <w:sz w:val="24"/>
          <w:szCs w:val="24"/>
          <w:lang w:val="en-PH"/>
        </w:rPr>
        <w:t xml:space="preserve">tandard </w:t>
      </w:r>
      <w:r w:rsidR="00034C61">
        <w:rPr>
          <w:bCs/>
          <w:sz w:val="24"/>
          <w:szCs w:val="24"/>
          <w:lang w:val="en-PH"/>
        </w:rPr>
        <w:t>d</w:t>
      </w:r>
      <w:r w:rsidR="00034C61" w:rsidRPr="00034C61">
        <w:rPr>
          <w:bCs/>
          <w:sz w:val="24"/>
          <w:szCs w:val="24"/>
          <w:lang w:val="en-PH"/>
        </w:rPr>
        <w:t xml:space="preserve">eviation were </w:t>
      </w:r>
      <w:r w:rsidR="00C304B4" w:rsidRPr="00B34583">
        <w:rPr>
          <w:sz w:val="24"/>
          <w:szCs w:val="24"/>
        </w:rPr>
        <w:t>used to determine the level of nurse competency and professional attitude among the novice nurse respondents</w:t>
      </w:r>
      <w:r w:rsidR="00034C61" w:rsidRPr="00034C61">
        <w:rPr>
          <w:bCs/>
          <w:sz w:val="24"/>
          <w:szCs w:val="24"/>
          <w:lang w:val="en-PH"/>
        </w:rPr>
        <w:t>.</w:t>
      </w:r>
      <w:r w:rsidR="00034C61">
        <w:rPr>
          <w:bCs/>
          <w:sz w:val="24"/>
          <w:szCs w:val="24"/>
          <w:lang w:val="en-PH"/>
        </w:rPr>
        <w:t xml:space="preserve"> Then, C</w:t>
      </w:r>
      <w:r w:rsidR="00034C61" w:rsidRPr="00034C61">
        <w:rPr>
          <w:bCs/>
          <w:sz w:val="24"/>
          <w:szCs w:val="24"/>
          <w:lang w:val="en-PH"/>
        </w:rPr>
        <w:t>hi-Square and Cramer’s V</w:t>
      </w:r>
      <w:r w:rsidR="00C304B4">
        <w:rPr>
          <w:bCs/>
          <w:sz w:val="24"/>
          <w:szCs w:val="24"/>
          <w:lang w:val="en-PH"/>
        </w:rPr>
        <w:t xml:space="preserve"> were</w:t>
      </w:r>
      <w:r w:rsidR="00034C61" w:rsidRPr="00034C61">
        <w:rPr>
          <w:bCs/>
          <w:sz w:val="24"/>
          <w:szCs w:val="24"/>
          <w:lang w:val="en-PH"/>
        </w:rPr>
        <w:t xml:space="preserve"> </w:t>
      </w:r>
      <w:r w:rsidR="00C304B4" w:rsidRPr="00C304B4">
        <w:rPr>
          <w:bCs/>
          <w:sz w:val="24"/>
          <w:szCs w:val="24"/>
          <w:lang w:val="en-PH"/>
        </w:rPr>
        <w:t>used to assess the significant relationship between nurse competency and professional attitude among novice nurses in the DOH-retained hospital. Cramer’s V was used to assess the strength of the relationship if a significant association was found in the Chi-Square test.</w:t>
      </w:r>
      <w:r w:rsidR="00034C61">
        <w:rPr>
          <w:bCs/>
          <w:sz w:val="24"/>
          <w:szCs w:val="24"/>
          <w:lang w:val="en-PH"/>
        </w:rPr>
        <w:t xml:space="preserve"> And the </w:t>
      </w:r>
      <w:r w:rsidR="00034C61" w:rsidRPr="00034C61">
        <w:rPr>
          <w:bCs/>
          <w:sz w:val="24"/>
          <w:szCs w:val="24"/>
          <w:lang w:val="en-PH"/>
        </w:rPr>
        <w:t xml:space="preserve">Pearson r </w:t>
      </w:r>
      <w:r w:rsidR="00C304B4">
        <w:rPr>
          <w:bCs/>
          <w:sz w:val="24"/>
          <w:szCs w:val="24"/>
          <w:lang w:val="en-PH"/>
        </w:rPr>
        <w:t xml:space="preserve">was </w:t>
      </w:r>
      <w:r w:rsidR="00C304B4" w:rsidRPr="00B34583">
        <w:rPr>
          <w:sz w:val="24"/>
          <w:szCs w:val="24"/>
        </w:rPr>
        <w:t>used to assess whether nursing competency was significantly correlated with professional attitude among the novice nurse respondents</w:t>
      </w:r>
      <w:r w:rsidR="00034C61" w:rsidRPr="00034C61">
        <w:rPr>
          <w:bCs/>
          <w:sz w:val="24"/>
          <w:szCs w:val="24"/>
          <w:lang w:val="en-PH"/>
        </w:rPr>
        <w:t>.</w:t>
      </w:r>
    </w:p>
    <w:p w14:paraId="14BEEFEE" w14:textId="77777777" w:rsidR="00920F62" w:rsidRDefault="00920F62" w:rsidP="006B4DE6">
      <w:pPr>
        <w:ind w:right="4"/>
        <w:jc w:val="both"/>
        <w:rPr>
          <w:bCs/>
          <w:sz w:val="24"/>
          <w:szCs w:val="24"/>
        </w:rPr>
      </w:pPr>
    </w:p>
    <w:p w14:paraId="7C0747B6" w14:textId="6E6FB840" w:rsidR="00EC4696" w:rsidRDefault="00920F62" w:rsidP="006B4DE6">
      <w:pPr>
        <w:ind w:right="4"/>
        <w:jc w:val="both"/>
        <w:rPr>
          <w:bCs/>
          <w:sz w:val="24"/>
          <w:szCs w:val="24"/>
        </w:rPr>
      </w:pPr>
      <w:r w:rsidRPr="00920F62">
        <w:rPr>
          <w:b/>
          <w:sz w:val="24"/>
          <w:szCs w:val="24"/>
        </w:rPr>
        <w:t>Ethical Considerations</w:t>
      </w:r>
      <w:r>
        <w:rPr>
          <w:b/>
          <w:sz w:val="24"/>
          <w:szCs w:val="24"/>
        </w:rPr>
        <w:t xml:space="preserve">. </w:t>
      </w:r>
      <w:r w:rsidRPr="00920F62">
        <w:rPr>
          <w:bCs/>
          <w:sz w:val="24"/>
          <w:szCs w:val="24"/>
        </w:rPr>
        <w:t xml:space="preserve">Ethical considerations are an essential component of any research study. The </w:t>
      </w:r>
      <w:r w:rsidR="00C304B4" w:rsidRPr="00C304B4">
        <w:rPr>
          <w:bCs/>
          <w:sz w:val="24"/>
          <w:szCs w:val="24"/>
        </w:rPr>
        <w:t>study was submitted to the ethics committee of both the university and the hospital. Ethical approval was sought prior to the start of data gathering to ensure that the welfare of the respondents was protecte</w:t>
      </w:r>
      <w:r w:rsidR="00C304B4">
        <w:rPr>
          <w:bCs/>
          <w:sz w:val="24"/>
          <w:szCs w:val="24"/>
        </w:rPr>
        <w:t xml:space="preserve">d. </w:t>
      </w:r>
    </w:p>
    <w:p w14:paraId="19FE07C8" w14:textId="77777777" w:rsidR="006B4DE6" w:rsidRDefault="006B4DE6" w:rsidP="006B4DE6">
      <w:pPr>
        <w:ind w:right="4"/>
        <w:jc w:val="both"/>
        <w:rPr>
          <w:bCs/>
          <w:sz w:val="24"/>
          <w:szCs w:val="24"/>
        </w:rPr>
      </w:pPr>
    </w:p>
    <w:p w14:paraId="3E57118B" w14:textId="60E9A699" w:rsidR="00D94BDF" w:rsidRPr="00D66518" w:rsidRDefault="00D94BDF" w:rsidP="00C711C6">
      <w:pPr>
        <w:contextualSpacing/>
        <w:jc w:val="both"/>
        <w:rPr>
          <w:b/>
          <w:bCs/>
          <w:sz w:val="24"/>
          <w:szCs w:val="24"/>
          <w:lang w:val="en-PH"/>
        </w:rPr>
      </w:pPr>
      <w:r w:rsidRPr="00D66518">
        <w:rPr>
          <w:b/>
          <w:bCs/>
          <w:sz w:val="24"/>
          <w:szCs w:val="24"/>
          <w:lang w:val="en-PH"/>
        </w:rPr>
        <w:t xml:space="preserve">PRESENTATION, ANALYSIS, AND INTERPRETATION OF DATA </w:t>
      </w:r>
    </w:p>
    <w:p w14:paraId="2D48E839" w14:textId="77777777" w:rsidR="00D94BDF" w:rsidRPr="000F14F9" w:rsidRDefault="00D94BDF" w:rsidP="00C711C6">
      <w:pPr>
        <w:contextualSpacing/>
        <w:jc w:val="both"/>
        <w:rPr>
          <w:b/>
          <w:bCs/>
          <w:sz w:val="24"/>
          <w:szCs w:val="24"/>
          <w:highlight w:val="yellow"/>
          <w:lang w:val="en-PH"/>
        </w:rPr>
      </w:pPr>
    </w:p>
    <w:p w14:paraId="3D57F720" w14:textId="5EC5EBE4" w:rsidR="0046177F" w:rsidRDefault="0046177F" w:rsidP="0046177F">
      <w:pPr>
        <w:rPr>
          <w:sz w:val="24"/>
          <w:szCs w:val="24"/>
        </w:rPr>
      </w:pPr>
      <w:r w:rsidRPr="00715E8A">
        <w:rPr>
          <w:sz w:val="24"/>
          <w:szCs w:val="24"/>
        </w:rPr>
        <w:t xml:space="preserve">Table 1 </w:t>
      </w:r>
      <w:r w:rsidR="00C304B4">
        <w:rPr>
          <w:sz w:val="24"/>
          <w:szCs w:val="24"/>
        </w:rPr>
        <w:t>Profile of the Novice Nurses</w:t>
      </w:r>
    </w:p>
    <w:tbl>
      <w:tblPr>
        <w:tblStyle w:val="TableGrid"/>
        <w:tblW w:w="0" w:type="auto"/>
        <w:tblLook w:val="04A0" w:firstRow="1" w:lastRow="0" w:firstColumn="1" w:lastColumn="0" w:noHBand="0" w:noVBand="1"/>
      </w:tblPr>
      <w:tblGrid>
        <w:gridCol w:w="4673"/>
        <w:gridCol w:w="2268"/>
        <w:gridCol w:w="2256"/>
      </w:tblGrid>
      <w:tr w:rsidR="00C304B4" w:rsidRPr="00B60B0E" w14:paraId="40D5D8C5" w14:textId="77777777" w:rsidTr="008462A1">
        <w:tc>
          <w:tcPr>
            <w:tcW w:w="4673" w:type="dxa"/>
          </w:tcPr>
          <w:p w14:paraId="7CBF8B70" w14:textId="77777777" w:rsidR="00C304B4" w:rsidRPr="00B60B0E" w:rsidRDefault="00C304B4" w:rsidP="00716F7A">
            <w:pPr>
              <w:jc w:val="center"/>
              <w:rPr>
                <w:sz w:val="24"/>
                <w:szCs w:val="24"/>
              </w:rPr>
            </w:pPr>
            <w:r w:rsidRPr="00B60B0E">
              <w:rPr>
                <w:sz w:val="24"/>
                <w:szCs w:val="24"/>
              </w:rPr>
              <w:t>Profile</w:t>
            </w:r>
          </w:p>
        </w:tc>
        <w:tc>
          <w:tcPr>
            <w:tcW w:w="2268" w:type="dxa"/>
          </w:tcPr>
          <w:p w14:paraId="5B5534C8" w14:textId="77777777" w:rsidR="00C304B4" w:rsidRPr="00B60B0E" w:rsidRDefault="00C304B4" w:rsidP="00716F7A">
            <w:pPr>
              <w:jc w:val="center"/>
              <w:rPr>
                <w:i/>
                <w:sz w:val="24"/>
                <w:szCs w:val="24"/>
              </w:rPr>
            </w:pPr>
            <w:r w:rsidRPr="00B60B0E">
              <w:rPr>
                <w:i/>
                <w:sz w:val="24"/>
                <w:szCs w:val="24"/>
              </w:rPr>
              <w:t>f</w:t>
            </w:r>
          </w:p>
        </w:tc>
        <w:tc>
          <w:tcPr>
            <w:tcW w:w="2256" w:type="dxa"/>
          </w:tcPr>
          <w:p w14:paraId="6ED6C87A" w14:textId="77777777" w:rsidR="00C304B4" w:rsidRPr="00B60B0E" w:rsidRDefault="00C304B4" w:rsidP="00716F7A">
            <w:pPr>
              <w:jc w:val="center"/>
              <w:rPr>
                <w:i/>
                <w:sz w:val="24"/>
                <w:szCs w:val="24"/>
              </w:rPr>
            </w:pPr>
            <w:r w:rsidRPr="00B60B0E">
              <w:rPr>
                <w:i/>
                <w:sz w:val="24"/>
                <w:szCs w:val="24"/>
              </w:rPr>
              <w:t>%</w:t>
            </w:r>
          </w:p>
        </w:tc>
      </w:tr>
      <w:tr w:rsidR="00C304B4" w:rsidRPr="00B60B0E" w14:paraId="57F18687" w14:textId="77777777" w:rsidTr="008462A1">
        <w:tc>
          <w:tcPr>
            <w:tcW w:w="4673" w:type="dxa"/>
          </w:tcPr>
          <w:p w14:paraId="66E9DF7F" w14:textId="77777777" w:rsidR="00C304B4" w:rsidRPr="00B60B0E" w:rsidRDefault="00C304B4" w:rsidP="00716F7A">
            <w:pPr>
              <w:rPr>
                <w:sz w:val="24"/>
                <w:szCs w:val="24"/>
              </w:rPr>
            </w:pPr>
            <w:r w:rsidRPr="00B60B0E">
              <w:rPr>
                <w:sz w:val="24"/>
                <w:szCs w:val="24"/>
              </w:rPr>
              <w:t>Age</w:t>
            </w:r>
          </w:p>
        </w:tc>
        <w:tc>
          <w:tcPr>
            <w:tcW w:w="2268" w:type="dxa"/>
          </w:tcPr>
          <w:p w14:paraId="352FF47D" w14:textId="77777777" w:rsidR="00C304B4" w:rsidRPr="00B60B0E" w:rsidRDefault="00C304B4" w:rsidP="00716F7A">
            <w:pPr>
              <w:rPr>
                <w:sz w:val="24"/>
                <w:szCs w:val="24"/>
              </w:rPr>
            </w:pPr>
          </w:p>
        </w:tc>
        <w:tc>
          <w:tcPr>
            <w:tcW w:w="2256" w:type="dxa"/>
          </w:tcPr>
          <w:p w14:paraId="0BC321BA" w14:textId="77777777" w:rsidR="00C304B4" w:rsidRPr="00B60B0E" w:rsidRDefault="00C304B4" w:rsidP="00716F7A">
            <w:pPr>
              <w:rPr>
                <w:sz w:val="24"/>
                <w:szCs w:val="24"/>
              </w:rPr>
            </w:pPr>
          </w:p>
        </w:tc>
      </w:tr>
      <w:tr w:rsidR="00C304B4" w:rsidRPr="00B60B0E" w14:paraId="7B34E4A1" w14:textId="77777777" w:rsidTr="008462A1">
        <w:tc>
          <w:tcPr>
            <w:tcW w:w="4673" w:type="dxa"/>
          </w:tcPr>
          <w:p w14:paraId="67C2DE74" w14:textId="77777777" w:rsidR="00C304B4" w:rsidRPr="00B60B0E" w:rsidRDefault="00C304B4" w:rsidP="00716F7A">
            <w:pPr>
              <w:jc w:val="center"/>
              <w:rPr>
                <w:sz w:val="24"/>
                <w:szCs w:val="24"/>
              </w:rPr>
            </w:pPr>
            <w:r w:rsidRPr="00B60B0E">
              <w:rPr>
                <w:sz w:val="24"/>
                <w:szCs w:val="24"/>
              </w:rPr>
              <w:t>18 to 35 years old</w:t>
            </w:r>
          </w:p>
        </w:tc>
        <w:tc>
          <w:tcPr>
            <w:tcW w:w="2268" w:type="dxa"/>
            <w:vAlign w:val="center"/>
          </w:tcPr>
          <w:p w14:paraId="39DCFA2F" w14:textId="77777777" w:rsidR="00C304B4" w:rsidRPr="00B60B0E" w:rsidRDefault="00C304B4" w:rsidP="00716F7A">
            <w:pPr>
              <w:jc w:val="center"/>
              <w:rPr>
                <w:sz w:val="24"/>
                <w:szCs w:val="24"/>
              </w:rPr>
            </w:pPr>
            <w:r w:rsidRPr="00B60B0E">
              <w:rPr>
                <w:sz w:val="24"/>
                <w:szCs w:val="24"/>
              </w:rPr>
              <w:t>114</w:t>
            </w:r>
          </w:p>
        </w:tc>
        <w:tc>
          <w:tcPr>
            <w:tcW w:w="2256" w:type="dxa"/>
            <w:vAlign w:val="center"/>
          </w:tcPr>
          <w:p w14:paraId="6D76A215" w14:textId="77777777" w:rsidR="00C304B4" w:rsidRPr="00B60B0E" w:rsidRDefault="00C304B4" w:rsidP="00716F7A">
            <w:pPr>
              <w:jc w:val="center"/>
              <w:rPr>
                <w:sz w:val="24"/>
                <w:szCs w:val="24"/>
              </w:rPr>
            </w:pPr>
            <w:r w:rsidRPr="00B60B0E">
              <w:rPr>
                <w:sz w:val="24"/>
                <w:szCs w:val="24"/>
              </w:rPr>
              <w:t>90.50</w:t>
            </w:r>
          </w:p>
        </w:tc>
      </w:tr>
      <w:tr w:rsidR="00C304B4" w:rsidRPr="00B60B0E" w14:paraId="6EDCE589" w14:textId="77777777" w:rsidTr="008462A1">
        <w:tc>
          <w:tcPr>
            <w:tcW w:w="4673" w:type="dxa"/>
          </w:tcPr>
          <w:p w14:paraId="3733EEFF" w14:textId="77777777" w:rsidR="00C304B4" w:rsidRPr="00B60B0E" w:rsidRDefault="00C304B4" w:rsidP="00716F7A">
            <w:pPr>
              <w:jc w:val="center"/>
              <w:rPr>
                <w:sz w:val="24"/>
                <w:szCs w:val="24"/>
              </w:rPr>
            </w:pPr>
            <w:r w:rsidRPr="00B60B0E">
              <w:rPr>
                <w:sz w:val="24"/>
                <w:szCs w:val="24"/>
              </w:rPr>
              <w:t>36 to 55 years old</w:t>
            </w:r>
          </w:p>
        </w:tc>
        <w:tc>
          <w:tcPr>
            <w:tcW w:w="2268" w:type="dxa"/>
            <w:vAlign w:val="center"/>
          </w:tcPr>
          <w:p w14:paraId="5E6485E0" w14:textId="77777777" w:rsidR="00C304B4" w:rsidRPr="00B60B0E" w:rsidRDefault="00C304B4" w:rsidP="00716F7A">
            <w:pPr>
              <w:jc w:val="center"/>
              <w:rPr>
                <w:sz w:val="24"/>
                <w:szCs w:val="24"/>
              </w:rPr>
            </w:pPr>
            <w:r w:rsidRPr="00B60B0E">
              <w:rPr>
                <w:sz w:val="24"/>
                <w:szCs w:val="24"/>
              </w:rPr>
              <w:t>12</w:t>
            </w:r>
          </w:p>
        </w:tc>
        <w:tc>
          <w:tcPr>
            <w:tcW w:w="2256" w:type="dxa"/>
            <w:vAlign w:val="center"/>
          </w:tcPr>
          <w:p w14:paraId="5170C907" w14:textId="77777777" w:rsidR="00C304B4" w:rsidRPr="00B60B0E" w:rsidRDefault="00C304B4" w:rsidP="00716F7A">
            <w:pPr>
              <w:jc w:val="center"/>
              <w:rPr>
                <w:sz w:val="24"/>
                <w:szCs w:val="24"/>
              </w:rPr>
            </w:pPr>
            <w:r w:rsidRPr="00B60B0E">
              <w:rPr>
                <w:sz w:val="24"/>
                <w:szCs w:val="24"/>
              </w:rPr>
              <w:t>9.50</w:t>
            </w:r>
          </w:p>
        </w:tc>
      </w:tr>
      <w:tr w:rsidR="00C304B4" w:rsidRPr="00B60B0E" w14:paraId="4DA348EC" w14:textId="77777777" w:rsidTr="008462A1">
        <w:tc>
          <w:tcPr>
            <w:tcW w:w="4673" w:type="dxa"/>
          </w:tcPr>
          <w:p w14:paraId="2B5EAA5D" w14:textId="77777777" w:rsidR="00C304B4" w:rsidRPr="00B60B0E" w:rsidRDefault="00C304B4" w:rsidP="00716F7A">
            <w:pPr>
              <w:rPr>
                <w:sz w:val="24"/>
                <w:szCs w:val="24"/>
              </w:rPr>
            </w:pPr>
            <w:r w:rsidRPr="00B60B0E">
              <w:rPr>
                <w:sz w:val="24"/>
                <w:szCs w:val="24"/>
              </w:rPr>
              <w:t>Sex</w:t>
            </w:r>
          </w:p>
        </w:tc>
        <w:tc>
          <w:tcPr>
            <w:tcW w:w="2268" w:type="dxa"/>
          </w:tcPr>
          <w:p w14:paraId="69BA7358" w14:textId="77777777" w:rsidR="00C304B4" w:rsidRPr="00B60B0E" w:rsidRDefault="00C304B4" w:rsidP="00716F7A">
            <w:pPr>
              <w:jc w:val="center"/>
              <w:rPr>
                <w:sz w:val="24"/>
                <w:szCs w:val="24"/>
              </w:rPr>
            </w:pPr>
          </w:p>
        </w:tc>
        <w:tc>
          <w:tcPr>
            <w:tcW w:w="2256" w:type="dxa"/>
          </w:tcPr>
          <w:p w14:paraId="30E7F4B3" w14:textId="77777777" w:rsidR="00C304B4" w:rsidRPr="00B60B0E" w:rsidRDefault="00C304B4" w:rsidP="00716F7A">
            <w:pPr>
              <w:jc w:val="center"/>
              <w:rPr>
                <w:sz w:val="24"/>
                <w:szCs w:val="24"/>
              </w:rPr>
            </w:pPr>
          </w:p>
        </w:tc>
      </w:tr>
      <w:tr w:rsidR="00C304B4" w:rsidRPr="00B60B0E" w14:paraId="545978D3" w14:textId="77777777" w:rsidTr="008462A1">
        <w:tc>
          <w:tcPr>
            <w:tcW w:w="4673" w:type="dxa"/>
          </w:tcPr>
          <w:p w14:paraId="0C317408" w14:textId="77777777" w:rsidR="00C304B4" w:rsidRPr="00B60B0E" w:rsidRDefault="00C304B4" w:rsidP="00716F7A">
            <w:pPr>
              <w:jc w:val="center"/>
              <w:rPr>
                <w:sz w:val="24"/>
                <w:szCs w:val="24"/>
              </w:rPr>
            </w:pPr>
            <w:r w:rsidRPr="00B60B0E">
              <w:rPr>
                <w:sz w:val="24"/>
                <w:szCs w:val="24"/>
              </w:rPr>
              <w:t>Male</w:t>
            </w:r>
          </w:p>
        </w:tc>
        <w:tc>
          <w:tcPr>
            <w:tcW w:w="2268" w:type="dxa"/>
            <w:vAlign w:val="center"/>
          </w:tcPr>
          <w:p w14:paraId="603D18C4" w14:textId="77777777" w:rsidR="00C304B4" w:rsidRPr="00B60B0E" w:rsidRDefault="00C304B4" w:rsidP="00716F7A">
            <w:pPr>
              <w:jc w:val="center"/>
              <w:rPr>
                <w:sz w:val="24"/>
                <w:szCs w:val="24"/>
              </w:rPr>
            </w:pPr>
            <w:r w:rsidRPr="00B60B0E">
              <w:rPr>
                <w:sz w:val="24"/>
                <w:szCs w:val="24"/>
              </w:rPr>
              <w:t>56</w:t>
            </w:r>
          </w:p>
        </w:tc>
        <w:tc>
          <w:tcPr>
            <w:tcW w:w="2256" w:type="dxa"/>
            <w:vAlign w:val="center"/>
          </w:tcPr>
          <w:p w14:paraId="22EC0A72" w14:textId="77777777" w:rsidR="00C304B4" w:rsidRPr="00B60B0E" w:rsidRDefault="00C304B4" w:rsidP="00716F7A">
            <w:pPr>
              <w:jc w:val="center"/>
              <w:rPr>
                <w:sz w:val="24"/>
                <w:szCs w:val="24"/>
              </w:rPr>
            </w:pPr>
            <w:r w:rsidRPr="00B60B0E">
              <w:rPr>
                <w:sz w:val="24"/>
                <w:szCs w:val="24"/>
              </w:rPr>
              <w:t>44.40</w:t>
            </w:r>
          </w:p>
        </w:tc>
      </w:tr>
      <w:tr w:rsidR="00C304B4" w:rsidRPr="00B60B0E" w14:paraId="76B2C978" w14:textId="77777777" w:rsidTr="008462A1">
        <w:tc>
          <w:tcPr>
            <w:tcW w:w="4673" w:type="dxa"/>
          </w:tcPr>
          <w:p w14:paraId="077D2673" w14:textId="77777777" w:rsidR="00C304B4" w:rsidRPr="00B60B0E" w:rsidRDefault="00C304B4" w:rsidP="00716F7A">
            <w:pPr>
              <w:jc w:val="center"/>
              <w:rPr>
                <w:sz w:val="24"/>
                <w:szCs w:val="24"/>
              </w:rPr>
            </w:pPr>
            <w:r w:rsidRPr="00B60B0E">
              <w:rPr>
                <w:sz w:val="24"/>
                <w:szCs w:val="24"/>
              </w:rPr>
              <w:t>Female</w:t>
            </w:r>
          </w:p>
        </w:tc>
        <w:tc>
          <w:tcPr>
            <w:tcW w:w="2268" w:type="dxa"/>
            <w:vAlign w:val="center"/>
          </w:tcPr>
          <w:p w14:paraId="6738BD8D" w14:textId="77777777" w:rsidR="00C304B4" w:rsidRPr="00B60B0E" w:rsidRDefault="00C304B4" w:rsidP="00716F7A">
            <w:pPr>
              <w:jc w:val="center"/>
              <w:rPr>
                <w:sz w:val="24"/>
                <w:szCs w:val="24"/>
              </w:rPr>
            </w:pPr>
            <w:r w:rsidRPr="00B60B0E">
              <w:rPr>
                <w:sz w:val="24"/>
                <w:szCs w:val="24"/>
              </w:rPr>
              <w:t>70</w:t>
            </w:r>
          </w:p>
        </w:tc>
        <w:tc>
          <w:tcPr>
            <w:tcW w:w="2256" w:type="dxa"/>
            <w:vAlign w:val="center"/>
          </w:tcPr>
          <w:p w14:paraId="06CCB7C6" w14:textId="77777777" w:rsidR="00C304B4" w:rsidRPr="00B60B0E" w:rsidRDefault="00C304B4" w:rsidP="00716F7A">
            <w:pPr>
              <w:jc w:val="center"/>
              <w:rPr>
                <w:sz w:val="24"/>
                <w:szCs w:val="24"/>
              </w:rPr>
            </w:pPr>
            <w:r w:rsidRPr="00B60B0E">
              <w:rPr>
                <w:sz w:val="24"/>
                <w:szCs w:val="24"/>
              </w:rPr>
              <w:t>55.60</w:t>
            </w:r>
          </w:p>
        </w:tc>
      </w:tr>
      <w:tr w:rsidR="00C304B4" w:rsidRPr="00B60B0E" w14:paraId="653A5436" w14:textId="77777777" w:rsidTr="008462A1">
        <w:tc>
          <w:tcPr>
            <w:tcW w:w="4673" w:type="dxa"/>
          </w:tcPr>
          <w:p w14:paraId="43E7F6AE" w14:textId="77777777" w:rsidR="00C304B4" w:rsidRPr="00B60B0E" w:rsidRDefault="00C304B4" w:rsidP="00716F7A">
            <w:pPr>
              <w:rPr>
                <w:sz w:val="24"/>
                <w:szCs w:val="24"/>
              </w:rPr>
            </w:pPr>
            <w:r w:rsidRPr="00B60B0E">
              <w:rPr>
                <w:sz w:val="24"/>
                <w:szCs w:val="24"/>
              </w:rPr>
              <w:t>Civil Status</w:t>
            </w:r>
          </w:p>
        </w:tc>
        <w:tc>
          <w:tcPr>
            <w:tcW w:w="2268" w:type="dxa"/>
          </w:tcPr>
          <w:p w14:paraId="34EF553E" w14:textId="77777777" w:rsidR="00C304B4" w:rsidRPr="00B60B0E" w:rsidRDefault="00C304B4" w:rsidP="00716F7A">
            <w:pPr>
              <w:jc w:val="center"/>
              <w:rPr>
                <w:sz w:val="24"/>
                <w:szCs w:val="24"/>
              </w:rPr>
            </w:pPr>
          </w:p>
        </w:tc>
        <w:tc>
          <w:tcPr>
            <w:tcW w:w="2256" w:type="dxa"/>
          </w:tcPr>
          <w:p w14:paraId="5CA5F1CE" w14:textId="77777777" w:rsidR="00C304B4" w:rsidRPr="00B60B0E" w:rsidRDefault="00C304B4" w:rsidP="00716F7A">
            <w:pPr>
              <w:jc w:val="center"/>
              <w:rPr>
                <w:sz w:val="24"/>
                <w:szCs w:val="24"/>
              </w:rPr>
            </w:pPr>
          </w:p>
        </w:tc>
      </w:tr>
      <w:tr w:rsidR="00C304B4" w:rsidRPr="00B60B0E" w14:paraId="00F30187" w14:textId="77777777" w:rsidTr="008462A1">
        <w:tc>
          <w:tcPr>
            <w:tcW w:w="4673" w:type="dxa"/>
          </w:tcPr>
          <w:p w14:paraId="09BD766F" w14:textId="77777777" w:rsidR="00C304B4" w:rsidRPr="00B60B0E" w:rsidRDefault="00C304B4" w:rsidP="00716F7A">
            <w:pPr>
              <w:jc w:val="center"/>
              <w:rPr>
                <w:sz w:val="24"/>
                <w:szCs w:val="24"/>
              </w:rPr>
            </w:pPr>
            <w:r w:rsidRPr="00B60B0E">
              <w:rPr>
                <w:sz w:val="24"/>
                <w:szCs w:val="24"/>
              </w:rPr>
              <w:t>Single</w:t>
            </w:r>
          </w:p>
        </w:tc>
        <w:tc>
          <w:tcPr>
            <w:tcW w:w="2268" w:type="dxa"/>
            <w:vAlign w:val="center"/>
          </w:tcPr>
          <w:p w14:paraId="4475397F" w14:textId="77777777" w:rsidR="00C304B4" w:rsidRPr="00B60B0E" w:rsidRDefault="00C304B4" w:rsidP="00716F7A">
            <w:pPr>
              <w:jc w:val="center"/>
              <w:rPr>
                <w:sz w:val="24"/>
                <w:szCs w:val="24"/>
              </w:rPr>
            </w:pPr>
            <w:r w:rsidRPr="00B60B0E">
              <w:rPr>
                <w:sz w:val="24"/>
                <w:szCs w:val="24"/>
              </w:rPr>
              <w:t>99</w:t>
            </w:r>
          </w:p>
        </w:tc>
        <w:tc>
          <w:tcPr>
            <w:tcW w:w="2256" w:type="dxa"/>
            <w:vAlign w:val="center"/>
          </w:tcPr>
          <w:p w14:paraId="602B8750" w14:textId="77777777" w:rsidR="00C304B4" w:rsidRPr="00B60B0E" w:rsidRDefault="00C304B4" w:rsidP="00716F7A">
            <w:pPr>
              <w:jc w:val="center"/>
              <w:rPr>
                <w:sz w:val="24"/>
                <w:szCs w:val="24"/>
              </w:rPr>
            </w:pPr>
            <w:r w:rsidRPr="00B60B0E">
              <w:rPr>
                <w:sz w:val="24"/>
                <w:szCs w:val="24"/>
              </w:rPr>
              <w:t>78.60</w:t>
            </w:r>
          </w:p>
        </w:tc>
      </w:tr>
      <w:tr w:rsidR="00C304B4" w:rsidRPr="00B60B0E" w14:paraId="66BEC12F" w14:textId="77777777" w:rsidTr="008462A1">
        <w:tc>
          <w:tcPr>
            <w:tcW w:w="4673" w:type="dxa"/>
          </w:tcPr>
          <w:p w14:paraId="058E3605" w14:textId="77777777" w:rsidR="00C304B4" w:rsidRPr="00B60B0E" w:rsidRDefault="00C304B4" w:rsidP="00716F7A">
            <w:pPr>
              <w:jc w:val="center"/>
              <w:rPr>
                <w:sz w:val="24"/>
                <w:szCs w:val="24"/>
              </w:rPr>
            </w:pPr>
            <w:r w:rsidRPr="00B60B0E">
              <w:rPr>
                <w:sz w:val="24"/>
                <w:szCs w:val="24"/>
              </w:rPr>
              <w:t>Married</w:t>
            </w:r>
          </w:p>
        </w:tc>
        <w:tc>
          <w:tcPr>
            <w:tcW w:w="2268" w:type="dxa"/>
            <w:vAlign w:val="center"/>
          </w:tcPr>
          <w:p w14:paraId="3BBB041B" w14:textId="77777777" w:rsidR="00C304B4" w:rsidRPr="00B60B0E" w:rsidRDefault="00C304B4" w:rsidP="00716F7A">
            <w:pPr>
              <w:jc w:val="center"/>
              <w:rPr>
                <w:sz w:val="24"/>
                <w:szCs w:val="24"/>
              </w:rPr>
            </w:pPr>
            <w:r w:rsidRPr="00B60B0E">
              <w:rPr>
                <w:sz w:val="24"/>
                <w:szCs w:val="24"/>
              </w:rPr>
              <w:t>27</w:t>
            </w:r>
          </w:p>
        </w:tc>
        <w:tc>
          <w:tcPr>
            <w:tcW w:w="2256" w:type="dxa"/>
            <w:vAlign w:val="center"/>
          </w:tcPr>
          <w:p w14:paraId="10995E2E" w14:textId="77777777" w:rsidR="00C304B4" w:rsidRPr="00B60B0E" w:rsidRDefault="00C304B4" w:rsidP="00716F7A">
            <w:pPr>
              <w:jc w:val="center"/>
              <w:rPr>
                <w:sz w:val="24"/>
                <w:szCs w:val="24"/>
              </w:rPr>
            </w:pPr>
            <w:r w:rsidRPr="00B60B0E">
              <w:rPr>
                <w:sz w:val="24"/>
                <w:szCs w:val="24"/>
              </w:rPr>
              <w:t>21.40</w:t>
            </w:r>
          </w:p>
        </w:tc>
      </w:tr>
      <w:tr w:rsidR="00C304B4" w:rsidRPr="00B60B0E" w14:paraId="27B48AA6" w14:textId="77777777" w:rsidTr="008462A1">
        <w:tc>
          <w:tcPr>
            <w:tcW w:w="4673" w:type="dxa"/>
          </w:tcPr>
          <w:p w14:paraId="3F0603F0" w14:textId="77777777" w:rsidR="00C304B4" w:rsidRPr="00B60B0E" w:rsidRDefault="00C304B4" w:rsidP="00716F7A">
            <w:pPr>
              <w:rPr>
                <w:sz w:val="24"/>
                <w:szCs w:val="24"/>
              </w:rPr>
            </w:pPr>
            <w:r w:rsidRPr="00B60B0E">
              <w:rPr>
                <w:sz w:val="24"/>
                <w:szCs w:val="24"/>
              </w:rPr>
              <w:t>Highest Educational Attainment</w:t>
            </w:r>
          </w:p>
        </w:tc>
        <w:tc>
          <w:tcPr>
            <w:tcW w:w="2268" w:type="dxa"/>
            <w:vAlign w:val="center"/>
          </w:tcPr>
          <w:p w14:paraId="64D1DC30" w14:textId="77777777" w:rsidR="00C304B4" w:rsidRPr="00B60B0E" w:rsidRDefault="00C304B4" w:rsidP="00716F7A">
            <w:pPr>
              <w:jc w:val="center"/>
              <w:rPr>
                <w:sz w:val="24"/>
                <w:szCs w:val="24"/>
              </w:rPr>
            </w:pPr>
          </w:p>
        </w:tc>
        <w:tc>
          <w:tcPr>
            <w:tcW w:w="2256" w:type="dxa"/>
            <w:vAlign w:val="center"/>
          </w:tcPr>
          <w:p w14:paraId="61F8FAA6" w14:textId="77777777" w:rsidR="00C304B4" w:rsidRPr="00B60B0E" w:rsidRDefault="00C304B4" w:rsidP="00716F7A">
            <w:pPr>
              <w:jc w:val="center"/>
              <w:rPr>
                <w:sz w:val="24"/>
                <w:szCs w:val="24"/>
              </w:rPr>
            </w:pPr>
          </w:p>
        </w:tc>
      </w:tr>
      <w:tr w:rsidR="00C304B4" w:rsidRPr="00B60B0E" w14:paraId="39ACC887" w14:textId="77777777" w:rsidTr="008462A1">
        <w:tc>
          <w:tcPr>
            <w:tcW w:w="4673" w:type="dxa"/>
          </w:tcPr>
          <w:p w14:paraId="5437BBB3" w14:textId="77777777" w:rsidR="00C304B4" w:rsidRPr="00B60B0E" w:rsidRDefault="00C304B4" w:rsidP="00716F7A">
            <w:pPr>
              <w:jc w:val="center"/>
              <w:rPr>
                <w:sz w:val="24"/>
                <w:szCs w:val="24"/>
              </w:rPr>
            </w:pPr>
            <w:r w:rsidRPr="00B60B0E">
              <w:rPr>
                <w:sz w:val="24"/>
                <w:szCs w:val="24"/>
              </w:rPr>
              <w:t>Bachelor’s Degree</w:t>
            </w:r>
          </w:p>
        </w:tc>
        <w:tc>
          <w:tcPr>
            <w:tcW w:w="2268" w:type="dxa"/>
            <w:vAlign w:val="center"/>
          </w:tcPr>
          <w:p w14:paraId="7928A11C" w14:textId="77777777" w:rsidR="00C304B4" w:rsidRPr="00B60B0E" w:rsidRDefault="00C304B4" w:rsidP="00716F7A">
            <w:pPr>
              <w:jc w:val="center"/>
              <w:rPr>
                <w:sz w:val="24"/>
                <w:szCs w:val="24"/>
              </w:rPr>
            </w:pPr>
            <w:r w:rsidRPr="00B60B0E">
              <w:rPr>
                <w:sz w:val="24"/>
                <w:szCs w:val="24"/>
              </w:rPr>
              <w:t>117</w:t>
            </w:r>
          </w:p>
        </w:tc>
        <w:tc>
          <w:tcPr>
            <w:tcW w:w="2256" w:type="dxa"/>
            <w:vAlign w:val="center"/>
          </w:tcPr>
          <w:p w14:paraId="26B99C45" w14:textId="77777777" w:rsidR="00C304B4" w:rsidRPr="00B60B0E" w:rsidRDefault="00C304B4" w:rsidP="00716F7A">
            <w:pPr>
              <w:jc w:val="center"/>
              <w:rPr>
                <w:sz w:val="24"/>
                <w:szCs w:val="24"/>
              </w:rPr>
            </w:pPr>
            <w:r w:rsidRPr="00B60B0E">
              <w:rPr>
                <w:sz w:val="24"/>
                <w:szCs w:val="24"/>
              </w:rPr>
              <w:t>92.90</w:t>
            </w:r>
          </w:p>
        </w:tc>
      </w:tr>
      <w:tr w:rsidR="00C304B4" w:rsidRPr="00B60B0E" w14:paraId="09712BBE" w14:textId="77777777" w:rsidTr="008462A1">
        <w:tc>
          <w:tcPr>
            <w:tcW w:w="4673" w:type="dxa"/>
          </w:tcPr>
          <w:p w14:paraId="3495A521" w14:textId="77777777" w:rsidR="00C304B4" w:rsidRPr="00B60B0E" w:rsidRDefault="00C304B4" w:rsidP="00716F7A">
            <w:pPr>
              <w:jc w:val="center"/>
              <w:rPr>
                <w:sz w:val="24"/>
                <w:szCs w:val="24"/>
              </w:rPr>
            </w:pPr>
            <w:r w:rsidRPr="00B60B0E">
              <w:rPr>
                <w:sz w:val="24"/>
                <w:szCs w:val="24"/>
              </w:rPr>
              <w:t>With Masteral Units</w:t>
            </w:r>
          </w:p>
        </w:tc>
        <w:tc>
          <w:tcPr>
            <w:tcW w:w="2268" w:type="dxa"/>
            <w:vAlign w:val="center"/>
          </w:tcPr>
          <w:p w14:paraId="6BECC4C4" w14:textId="77777777" w:rsidR="00C304B4" w:rsidRPr="00B60B0E" w:rsidRDefault="00C304B4" w:rsidP="00716F7A">
            <w:pPr>
              <w:jc w:val="center"/>
              <w:rPr>
                <w:sz w:val="24"/>
                <w:szCs w:val="24"/>
              </w:rPr>
            </w:pPr>
            <w:r w:rsidRPr="00B60B0E">
              <w:rPr>
                <w:sz w:val="24"/>
                <w:szCs w:val="24"/>
              </w:rPr>
              <w:t>6</w:t>
            </w:r>
          </w:p>
        </w:tc>
        <w:tc>
          <w:tcPr>
            <w:tcW w:w="2256" w:type="dxa"/>
            <w:vAlign w:val="center"/>
          </w:tcPr>
          <w:p w14:paraId="754594FA" w14:textId="77777777" w:rsidR="00C304B4" w:rsidRPr="00B60B0E" w:rsidRDefault="00C304B4" w:rsidP="00716F7A">
            <w:pPr>
              <w:jc w:val="center"/>
              <w:rPr>
                <w:sz w:val="24"/>
                <w:szCs w:val="24"/>
              </w:rPr>
            </w:pPr>
            <w:r w:rsidRPr="00B60B0E">
              <w:rPr>
                <w:sz w:val="24"/>
                <w:szCs w:val="24"/>
              </w:rPr>
              <w:t>4.80</w:t>
            </w:r>
          </w:p>
        </w:tc>
      </w:tr>
      <w:tr w:rsidR="00C304B4" w:rsidRPr="00B60B0E" w14:paraId="13659987" w14:textId="77777777" w:rsidTr="008462A1">
        <w:tc>
          <w:tcPr>
            <w:tcW w:w="4673" w:type="dxa"/>
          </w:tcPr>
          <w:p w14:paraId="55A7C14F" w14:textId="77777777" w:rsidR="00C304B4" w:rsidRPr="00B60B0E" w:rsidRDefault="00C304B4" w:rsidP="00716F7A">
            <w:pPr>
              <w:jc w:val="center"/>
              <w:rPr>
                <w:sz w:val="24"/>
                <w:szCs w:val="24"/>
              </w:rPr>
            </w:pPr>
            <w:r w:rsidRPr="00B60B0E">
              <w:rPr>
                <w:sz w:val="24"/>
                <w:szCs w:val="24"/>
              </w:rPr>
              <w:t>Master’s Degre</w:t>
            </w:r>
          </w:p>
        </w:tc>
        <w:tc>
          <w:tcPr>
            <w:tcW w:w="2268" w:type="dxa"/>
            <w:vAlign w:val="center"/>
          </w:tcPr>
          <w:p w14:paraId="1FAFD0C3" w14:textId="77777777" w:rsidR="00C304B4" w:rsidRPr="00B60B0E" w:rsidRDefault="00C304B4" w:rsidP="00716F7A">
            <w:pPr>
              <w:jc w:val="center"/>
              <w:rPr>
                <w:sz w:val="24"/>
                <w:szCs w:val="24"/>
              </w:rPr>
            </w:pPr>
            <w:r w:rsidRPr="00B60B0E">
              <w:rPr>
                <w:sz w:val="24"/>
                <w:szCs w:val="24"/>
              </w:rPr>
              <w:t>3</w:t>
            </w:r>
          </w:p>
        </w:tc>
        <w:tc>
          <w:tcPr>
            <w:tcW w:w="2256" w:type="dxa"/>
            <w:vAlign w:val="center"/>
          </w:tcPr>
          <w:p w14:paraId="36E8933F" w14:textId="77777777" w:rsidR="00C304B4" w:rsidRPr="00B60B0E" w:rsidRDefault="00C304B4" w:rsidP="00716F7A">
            <w:pPr>
              <w:jc w:val="center"/>
              <w:rPr>
                <w:sz w:val="24"/>
                <w:szCs w:val="24"/>
              </w:rPr>
            </w:pPr>
            <w:r w:rsidRPr="00B60B0E">
              <w:rPr>
                <w:sz w:val="24"/>
                <w:szCs w:val="24"/>
              </w:rPr>
              <w:t>2.40</w:t>
            </w:r>
          </w:p>
        </w:tc>
      </w:tr>
      <w:tr w:rsidR="00C304B4" w:rsidRPr="00B60B0E" w14:paraId="082C815E" w14:textId="77777777" w:rsidTr="008462A1">
        <w:tc>
          <w:tcPr>
            <w:tcW w:w="4673" w:type="dxa"/>
          </w:tcPr>
          <w:p w14:paraId="3BBF8804" w14:textId="77777777" w:rsidR="00C304B4" w:rsidRPr="00B60B0E" w:rsidRDefault="00C304B4" w:rsidP="00716F7A">
            <w:pPr>
              <w:rPr>
                <w:sz w:val="24"/>
                <w:szCs w:val="24"/>
              </w:rPr>
            </w:pPr>
            <w:r w:rsidRPr="00B60B0E">
              <w:rPr>
                <w:sz w:val="24"/>
                <w:szCs w:val="24"/>
              </w:rPr>
              <w:t>Area of Assignment</w:t>
            </w:r>
          </w:p>
        </w:tc>
        <w:tc>
          <w:tcPr>
            <w:tcW w:w="2268" w:type="dxa"/>
            <w:vAlign w:val="center"/>
          </w:tcPr>
          <w:p w14:paraId="3DD1CF3B" w14:textId="77777777" w:rsidR="00C304B4" w:rsidRPr="00B60B0E" w:rsidRDefault="00C304B4" w:rsidP="00716F7A">
            <w:pPr>
              <w:jc w:val="center"/>
              <w:rPr>
                <w:sz w:val="24"/>
                <w:szCs w:val="24"/>
              </w:rPr>
            </w:pPr>
          </w:p>
        </w:tc>
        <w:tc>
          <w:tcPr>
            <w:tcW w:w="2256" w:type="dxa"/>
            <w:vAlign w:val="center"/>
          </w:tcPr>
          <w:p w14:paraId="3507D2BE" w14:textId="77777777" w:rsidR="00C304B4" w:rsidRPr="00B60B0E" w:rsidRDefault="00C304B4" w:rsidP="00716F7A">
            <w:pPr>
              <w:jc w:val="center"/>
              <w:rPr>
                <w:sz w:val="24"/>
                <w:szCs w:val="24"/>
              </w:rPr>
            </w:pPr>
          </w:p>
        </w:tc>
      </w:tr>
      <w:tr w:rsidR="00C304B4" w:rsidRPr="00B60B0E" w14:paraId="016889C8" w14:textId="77777777" w:rsidTr="008462A1">
        <w:tc>
          <w:tcPr>
            <w:tcW w:w="4673" w:type="dxa"/>
            <w:vAlign w:val="center"/>
          </w:tcPr>
          <w:p w14:paraId="2E6BAB6C" w14:textId="77777777" w:rsidR="00C304B4" w:rsidRPr="00B60B0E" w:rsidRDefault="00C304B4" w:rsidP="00716F7A">
            <w:pPr>
              <w:jc w:val="center"/>
              <w:rPr>
                <w:sz w:val="24"/>
                <w:szCs w:val="24"/>
              </w:rPr>
            </w:pPr>
            <w:r w:rsidRPr="00B60B0E">
              <w:rPr>
                <w:color w:val="000000"/>
                <w:sz w:val="24"/>
                <w:szCs w:val="24"/>
              </w:rPr>
              <w:t>Emergency Department</w:t>
            </w:r>
          </w:p>
        </w:tc>
        <w:tc>
          <w:tcPr>
            <w:tcW w:w="2268" w:type="dxa"/>
            <w:vAlign w:val="center"/>
          </w:tcPr>
          <w:p w14:paraId="739C1184" w14:textId="77777777" w:rsidR="00C304B4" w:rsidRPr="00B60B0E" w:rsidRDefault="00C304B4" w:rsidP="00716F7A">
            <w:pPr>
              <w:jc w:val="center"/>
              <w:rPr>
                <w:sz w:val="24"/>
                <w:szCs w:val="24"/>
              </w:rPr>
            </w:pPr>
            <w:r w:rsidRPr="00B60B0E">
              <w:rPr>
                <w:sz w:val="24"/>
                <w:szCs w:val="24"/>
              </w:rPr>
              <w:t>30</w:t>
            </w:r>
          </w:p>
        </w:tc>
        <w:tc>
          <w:tcPr>
            <w:tcW w:w="2256" w:type="dxa"/>
            <w:vAlign w:val="center"/>
          </w:tcPr>
          <w:p w14:paraId="4558F980" w14:textId="77777777" w:rsidR="00C304B4" w:rsidRPr="00B60B0E" w:rsidRDefault="00C304B4" w:rsidP="00716F7A">
            <w:pPr>
              <w:jc w:val="center"/>
              <w:rPr>
                <w:sz w:val="24"/>
                <w:szCs w:val="24"/>
              </w:rPr>
            </w:pPr>
            <w:r w:rsidRPr="00B60B0E">
              <w:rPr>
                <w:sz w:val="24"/>
                <w:szCs w:val="24"/>
              </w:rPr>
              <w:t>23.80</w:t>
            </w:r>
          </w:p>
        </w:tc>
      </w:tr>
      <w:tr w:rsidR="00C304B4" w:rsidRPr="00B60B0E" w14:paraId="1D758718" w14:textId="77777777" w:rsidTr="008462A1">
        <w:tc>
          <w:tcPr>
            <w:tcW w:w="4673" w:type="dxa"/>
            <w:vAlign w:val="center"/>
          </w:tcPr>
          <w:p w14:paraId="227A6ED0" w14:textId="77777777" w:rsidR="00C304B4" w:rsidRPr="00B60B0E" w:rsidRDefault="00C304B4" w:rsidP="00716F7A">
            <w:pPr>
              <w:jc w:val="center"/>
              <w:rPr>
                <w:sz w:val="24"/>
                <w:szCs w:val="24"/>
              </w:rPr>
            </w:pPr>
            <w:r w:rsidRPr="00B60B0E">
              <w:rPr>
                <w:color w:val="000000"/>
                <w:sz w:val="24"/>
                <w:szCs w:val="24"/>
              </w:rPr>
              <w:t>ICU</w:t>
            </w:r>
          </w:p>
        </w:tc>
        <w:tc>
          <w:tcPr>
            <w:tcW w:w="2268" w:type="dxa"/>
            <w:vAlign w:val="center"/>
          </w:tcPr>
          <w:p w14:paraId="4DF9DB08" w14:textId="77777777" w:rsidR="00C304B4" w:rsidRPr="00B60B0E" w:rsidRDefault="00C304B4" w:rsidP="00716F7A">
            <w:pPr>
              <w:jc w:val="center"/>
              <w:rPr>
                <w:sz w:val="24"/>
                <w:szCs w:val="24"/>
              </w:rPr>
            </w:pPr>
            <w:r w:rsidRPr="00B60B0E">
              <w:rPr>
                <w:sz w:val="24"/>
                <w:szCs w:val="24"/>
              </w:rPr>
              <w:t>9</w:t>
            </w:r>
          </w:p>
        </w:tc>
        <w:tc>
          <w:tcPr>
            <w:tcW w:w="2256" w:type="dxa"/>
            <w:vAlign w:val="center"/>
          </w:tcPr>
          <w:p w14:paraId="0554B377" w14:textId="77777777" w:rsidR="00C304B4" w:rsidRPr="00B60B0E" w:rsidRDefault="00C304B4" w:rsidP="00716F7A">
            <w:pPr>
              <w:jc w:val="center"/>
              <w:rPr>
                <w:sz w:val="24"/>
                <w:szCs w:val="24"/>
              </w:rPr>
            </w:pPr>
            <w:r w:rsidRPr="00B60B0E">
              <w:rPr>
                <w:sz w:val="24"/>
                <w:szCs w:val="24"/>
              </w:rPr>
              <w:t>7.10</w:t>
            </w:r>
          </w:p>
        </w:tc>
      </w:tr>
      <w:tr w:rsidR="00C304B4" w:rsidRPr="00B60B0E" w14:paraId="48FFB51C" w14:textId="77777777" w:rsidTr="008462A1">
        <w:tc>
          <w:tcPr>
            <w:tcW w:w="4673" w:type="dxa"/>
            <w:vAlign w:val="center"/>
          </w:tcPr>
          <w:p w14:paraId="40CC534C" w14:textId="77777777" w:rsidR="00C304B4" w:rsidRPr="00B60B0E" w:rsidRDefault="00C304B4" w:rsidP="00716F7A">
            <w:pPr>
              <w:jc w:val="center"/>
              <w:rPr>
                <w:sz w:val="24"/>
                <w:szCs w:val="24"/>
              </w:rPr>
            </w:pPr>
            <w:r w:rsidRPr="00B60B0E">
              <w:rPr>
                <w:color w:val="000000"/>
                <w:sz w:val="24"/>
                <w:szCs w:val="24"/>
              </w:rPr>
              <w:t>Medical Ward</w:t>
            </w:r>
          </w:p>
        </w:tc>
        <w:tc>
          <w:tcPr>
            <w:tcW w:w="2268" w:type="dxa"/>
            <w:vAlign w:val="center"/>
          </w:tcPr>
          <w:p w14:paraId="79A4718F" w14:textId="77777777" w:rsidR="00C304B4" w:rsidRPr="00B60B0E" w:rsidRDefault="00C304B4" w:rsidP="00716F7A">
            <w:pPr>
              <w:jc w:val="center"/>
              <w:rPr>
                <w:sz w:val="24"/>
                <w:szCs w:val="24"/>
              </w:rPr>
            </w:pPr>
            <w:r w:rsidRPr="00B60B0E">
              <w:rPr>
                <w:sz w:val="24"/>
                <w:szCs w:val="24"/>
              </w:rPr>
              <w:t>35</w:t>
            </w:r>
          </w:p>
        </w:tc>
        <w:tc>
          <w:tcPr>
            <w:tcW w:w="2256" w:type="dxa"/>
            <w:vAlign w:val="center"/>
          </w:tcPr>
          <w:p w14:paraId="34A56AD1" w14:textId="77777777" w:rsidR="00C304B4" w:rsidRPr="00B60B0E" w:rsidRDefault="00C304B4" w:rsidP="00716F7A">
            <w:pPr>
              <w:jc w:val="center"/>
              <w:rPr>
                <w:sz w:val="24"/>
                <w:szCs w:val="24"/>
              </w:rPr>
            </w:pPr>
            <w:r w:rsidRPr="00B60B0E">
              <w:rPr>
                <w:sz w:val="24"/>
                <w:szCs w:val="24"/>
              </w:rPr>
              <w:t>27.80</w:t>
            </w:r>
          </w:p>
        </w:tc>
      </w:tr>
      <w:tr w:rsidR="00C304B4" w:rsidRPr="00B60B0E" w14:paraId="1C0D79E1" w14:textId="77777777" w:rsidTr="008462A1">
        <w:tc>
          <w:tcPr>
            <w:tcW w:w="4673" w:type="dxa"/>
            <w:vAlign w:val="center"/>
          </w:tcPr>
          <w:p w14:paraId="14D3BD34" w14:textId="77777777" w:rsidR="00C304B4" w:rsidRPr="00B60B0E" w:rsidRDefault="00C304B4" w:rsidP="00716F7A">
            <w:pPr>
              <w:jc w:val="center"/>
              <w:rPr>
                <w:sz w:val="24"/>
                <w:szCs w:val="24"/>
              </w:rPr>
            </w:pPr>
            <w:r w:rsidRPr="00B60B0E">
              <w:rPr>
                <w:color w:val="000000"/>
                <w:sz w:val="24"/>
                <w:szCs w:val="24"/>
              </w:rPr>
              <w:t>OB-GYNE Ward</w:t>
            </w:r>
          </w:p>
        </w:tc>
        <w:tc>
          <w:tcPr>
            <w:tcW w:w="2268" w:type="dxa"/>
            <w:vAlign w:val="center"/>
          </w:tcPr>
          <w:p w14:paraId="1A0E390D" w14:textId="77777777" w:rsidR="00C304B4" w:rsidRPr="00B60B0E" w:rsidRDefault="00C304B4" w:rsidP="00716F7A">
            <w:pPr>
              <w:jc w:val="center"/>
              <w:rPr>
                <w:sz w:val="24"/>
                <w:szCs w:val="24"/>
              </w:rPr>
            </w:pPr>
            <w:r w:rsidRPr="00B60B0E">
              <w:rPr>
                <w:sz w:val="24"/>
                <w:szCs w:val="24"/>
              </w:rPr>
              <w:t>13</w:t>
            </w:r>
          </w:p>
        </w:tc>
        <w:tc>
          <w:tcPr>
            <w:tcW w:w="2256" w:type="dxa"/>
            <w:vAlign w:val="center"/>
          </w:tcPr>
          <w:p w14:paraId="2EAF744D" w14:textId="77777777" w:rsidR="00C304B4" w:rsidRPr="00B60B0E" w:rsidRDefault="00C304B4" w:rsidP="00716F7A">
            <w:pPr>
              <w:jc w:val="center"/>
              <w:rPr>
                <w:sz w:val="24"/>
                <w:szCs w:val="24"/>
              </w:rPr>
            </w:pPr>
            <w:r w:rsidRPr="00B60B0E">
              <w:rPr>
                <w:sz w:val="24"/>
                <w:szCs w:val="24"/>
              </w:rPr>
              <w:t>10.30</w:t>
            </w:r>
          </w:p>
        </w:tc>
      </w:tr>
      <w:tr w:rsidR="00C304B4" w:rsidRPr="00B60B0E" w14:paraId="0A2864E1" w14:textId="77777777" w:rsidTr="008462A1">
        <w:tc>
          <w:tcPr>
            <w:tcW w:w="4673" w:type="dxa"/>
            <w:vAlign w:val="center"/>
          </w:tcPr>
          <w:p w14:paraId="4C09604A" w14:textId="77777777" w:rsidR="00C304B4" w:rsidRPr="00B60B0E" w:rsidRDefault="00C304B4" w:rsidP="00716F7A">
            <w:pPr>
              <w:jc w:val="center"/>
              <w:rPr>
                <w:sz w:val="24"/>
                <w:szCs w:val="24"/>
              </w:rPr>
            </w:pPr>
            <w:r w:rsidRPr="00B60B0E">
              <w:rPr>
                <w:color w:val="000000"/>
                <w:sz w:val="24"/>
                <w:szCs w:val="24"/>
              </w:rPr>
              <w:t>Out-Patient Department</w:t>
            </w:r>
          </w:p>
        </w:tc>
        <w:tc>
          <w:tcPr>
            <w:tcW w:w="2268" w:type="dxa"/>
            <w:vAlign w:val="center"/>
          </w:tcPr>
          <w:p w14:paraId="1EBFCF86" w14:textId="77777777" w:rsidR="00C304B4" w:rsidRPr="00B60B0E" w:rsidRDefault="00C304B4" w:rsidP="00716F7A">
            <w:pPr>
              <w:jc w:val="center"/>
              <w:rPr>
                <w:sz w:val="24"/>
                <w:szCs w:val="24"/>
              </w:rPr>
            </w:pPr>
            <w:r w:rsidRPr="00B60B0E">
              <w:rPr>
                <w:sz w:val="24"/>
                <w:szCs w:val="24"/>
              </w:rPr>
              <w:t>4</w:t>
            </w:r>
          </w:p>
        </w:tc>
        <w:tc>
          <w:tcPr>
            <w:tcW w:w="2256" w:type="dxa"/>
            <w:vAlign w:val="center"/>
          </w:tcPr>
          <w:p w14:paraId="3F891CF3" w14:textId="77777777" w:rsidR="00C304B4" w:rsidRPr="00B60B0E" w:rsidRDefault="00C304B4" w:rsidP="00716F7A">
            <w:pPr>
              <w:jc w:val="center"/>
              <w:rPr>
                <w:sz w:val="24"/>
                <w:szCs w:val="24"/>
              </w:rPr>
            </w:pPr>
            <w:r w:rsidRPr="00B60B0E">
              <w:rPr>
                <w:sz w:val="24"/>
                <w:szCs w:val="24"/>
              </w:rPr>
              <w:t>3.20</w:t>
            </w:r>
          </w:p>
        </w:tc>
      </w:tr>
      <w:tr w:rsidR="00C304B4" w:rsidRPr="00B60B0E" w14:paraId="30F5B7D8" w14:textId="77777777" w:rsidTr="008462A1">
        <w:tc>
          <w:tcPr>
            <w:tcW w:w="4673" w:type="dxa"/>
            <w:vAlign w:val="center"/>
          </w:tcPr>
          <w:p w14:paraId="4AB2D3F8" w14:textId="77777777" w:rsidR="00C304B4" w:rsidRPr="00B60B0E" w:rsidRDefault="00C304B4" w:rsidP="00716F7A">
            <w:pPr>
              <w:jc w:val="center"/>
              <w:rPr>
                <w:sz w:val="24"/>
                <w:szCs w:val="24"/>
              </w:rPr>
            </w:pPr>
            <w:r w:rsidRPr="00B60B0E">
              <w:rPr>
                <w:color w:val="000000"/>
                <w:sz w:val="24"/>
                <w:szCs w:val="24"/>
              </w:rPr>
              <w:t>Operating Room</w:t>
            </w:r>
          </w:p>
        </w:tc>
        <w:tc>
          <w:tcPr>
            <w:tcW w:w="2268" w:type="dxa"/>
            <w:vAlign w:val="center"/>
          </w:tcPr>
          <w:p w14:paraId="497AAED4" w14:textId="77777777" w:rsidR="00C304B4" w:rsidRPr="00B60B0E" w:rsidRDefault="00C304B4" w:rsidP="00716F7A">
            <w:pPr>
              <w:jc w:val="center"/>
              <w:rPr>
                <w:sz w:val="24"/>
                <w:szCs w:val="24"/>
              </w:rPr>
            </w:pPr>
            <w:r w:rsidRPr="00B60B0E">
              <w:rPr>
                <w:sz w:val="24"/>
                <w:szCs w:val="24"/>
              </w:rPr>
              <w:t>5</w:t>
            </w:r>
          </w:p>
        </w:tc>
        <w:tc>
          <w:tcPr>
            <w:tcW w:w="2256" w:type="dxa"/>
            <w:vAlign w:val="center"/>
          </w:tcPr>
          <w:p w14:paraId="0291DDC6" w14:textId="77777777" w:rsidR="00C304B4" w:rsidRPr="00B60B0E" w:rsidRDefault="00C304B4" w:rsidP="00716F7A">
            <w:pPr>
              <w:jc w:val="center"/>
              <w:rPr>
                <w:sz w:val="24"/>
                <w:szCs w:val="24"/>
              </w:rPr>
            </w:pPr>
            <w:r w:rsidRPr="00B60B0E">
              <w:rPr>
                <w:sz w:val="24"/>
                <w:szCs w:val="24"/>
              </w:rPr>
              <w:t>4.00</w:t>
            </w:r>
          </w:p>
        </w:tc>
      </w:tr>
      <w:tr w:rsidR="00C304B4" w:rsidRPr="00B60B0E" w14:paraId="0482EE0E" w14:textId="77777777" w:rsidTr="008462A1">
        <w:tc>
          <w:tcPr>
            <w:tcW w:w="4673" w:type="dxa"/>
            <w:vAlign w:val="center"/>
          </w:tcPr>
          <w:p w14:paraId="5D9A94D0" w14:textId="77777777" w:rsidR="00C304B4" w:rsidRPr="00B60B0E" w:rsidRDefault="00C304B4" w:rsidP="00716F7A">
            <w:pPr>
              <w:jc w:val="center"/>
              <w:rPr>
                <w:sz w:val="24"/>
                <w:szCs w:val="24"/>
              </w:rPr>
            </w:pPr>
            <w:proofErr w:type="spellStart"/>
            <w:r w:rsidRPr="00B60B0E">
              <w:rPr>
                <w:color w:val="000000"/>
                <w:sz w:val="24"/>
                <w:szCs w:val="24"/>
              </w:rPr>
              <w:t>Pedia</w:t>
            </w:r>
            <w:proofErr w:type="spellEnd"/>
            <w:r w:rsidRPr="00B60B0E">
              <w:rPr>
                <w:color w:val="000000"/>
                <w:sz w:val="24"/>
                <w:szCs w:val="24"/>
              </w:rPr>
              <w:t xml:space="preserve"> Ward</w:t>
            </w:r>
          </w:p>
        </w:tc>
        <w:tc>
          <w:tcPr>
            <w:tcW w:w="2268" w:type="dxa"/>
            <w:vAlign w:val="center"/>
          </w:tcPr>
          <w:p w14:paraId="0E4BDB03" w14:textId="77777777" w:rsidR="00C304B4" w:rsidRPr="00B60B0E" w:rsidRDefault="00C304B4" w:rsidP="00716F7A">
            <w:pPr>
              <w:jc w:val="center"/>
              <w:rPr>
                <w:sz w:val="24"/>
                <w:szCs w:val="24"/>
              </w:rPr>
            </w:pPr>
            <w:r w:rsidRPr="00B60B0E">
              <w:rPr>
                <w:sz w:val="24"/>
                <w:szCs w:val="24"/>
              </w:rPr>
              <w:t>14</w:t>
            </w:r>
          </w:p>
        </w:tc>
        <w:tc>
          <w:tcPr>
            <w:tcW w:w="2256" w:type="dxa"/>
            <w:vAlign w:val="center"/>
          </w:tcPr>
          <w:p w14:paraId="0F1DC7B4" w14:textId="77777777" w:rsidR="00C304B4" w:rsidRPr="00B60B0E" w:rsidRDefault="00C304B4" w:rsidP="00716F7A">
            <w:pPr>
              <w:jc w:val="center"/>
              <w:rPr>
                <w:sz w:val="24"/>
                <w:szCs w:val="24"/>
              </w:rPr>
            </w:pPr>
            <w:r w:rsidRPr="00B60B0E">
              <w:rPr>
                <w:sz w:val="24"/>
                <w:szCs w:val="24"/>
              </w:rPr>
              <w:t>11.10</w:t>
            </w:r>
          </w:p>
        </w:tc>
      </w:tr>
      <w:tr w:rsidR="00C304B4" w:rsidRPr="00B60B0E" w14:paraId="576CC79A" w14:textId="77777777" w:rsidTr="008462A1">
        <w:tc>
          <w:tcPr>
            <w:tcW w:w="4673" w:type="dxa"/>
            <w:vAlign w:val="center"/>
          </w:tcPr>
          <w:p w14:paraId="2DF34243" w14:textId="77777777" w:rsidR="00C304B4" w:rsidRPr="00B60B0E" w:rsidRDefault="00C304B4" w:rsidP="00716F7A">
            <w:pPr>
              <w:jc w:val="center"/>
              <w:rPr>
                <w:sz w:val="24"/>
                <w:szCs w:val="24"/>
              </w:rPr>
            </w:pPr>
            <w:r w:rsidRPr="00B60B0E">
              <w:rPr>
                <w:color w:val="000000"/>
                <w:sz w:val="24"/>
                <w:szCs w:val="24"/>
              </w:rPr>
              <w:t>PICU</w:t>
            </w:r>
          </w:p>
        </w:tc>
        <w:tc>
          <w:tcPr>
            <w:tcW w:w="2268" w:type="dxa"/>
            <w:vAlign w:val="center"/>
          </w:tcPr>
          <w:p w14:paraId="6841E080" w14:textId="77777777" w:rsidR="00C304B4" w:rsidRPr="00B60B0E" w:rsidRDefault="00C304B4" w:rsidP="00716F7A">
            <w:pPr>
              <w:jc w:val="center"/>
              <w:rPr>
                <w:sz w:val="24"/>
                <w:szCs w:val="24"/>
              </w:rPr>
            </w:pPr>
            <w:r w:rsidRPr="00B60B0E">
              <w:rPr>
                <w:sz w:val="24"/>
                <w:szCs w:val="24"/>
              </w:rPr>
              <w:t>9</w:t>
            </w:r>
          </w:p>
        </w:tc>
        <w:tc>
          <w:tcPr>
            <w:tcW w:w="2256" w:type="dxa"/>
            <w:vAlign w:val="center"/>
          </w:tcPr>
          <w:p w14:paraId="424E7860" w14:textId="77777777" w:rsidR="00C304B4" w:rsidRPr="00B60B0E" w:rsidRDefault="00C304B4" w:rsidP="00716F7A">
            <w:pPr>
              <w:jc w:val="center"/>
              <w:rPr>
                <w:sz w:val="24"/>
                <w:szCs w:val="24"/>
              </w:rPr>
            </w:pPr>
            <w:r w:rsidRPr="00B60B0E">
              <w:rPr>
                <w:sz w:val="24"/>
                <w:szCs w:val="24"/>
              </w:rPr>
              <w:t>7.10</w:t>
            </w:r>
          </w:p>
        </w:tc>
      </w:tr>
      <w:tr w:rsidR="00C304B4" w:rsidRPr="00B60B0E" w14:paraId="5C307687" w14:textId="77777777" w:rsidTr="008462A1">
        <w:tc>
          <w:tcPr>
            <w:tcW w:w="4673" w:type="dxa"/>
            <w:vAlign w:val="center"/>
          </w:tcPr>
          <w:p w14:paraId="033238CA" w14:textId="77777777" w:rsidR="00C304B4" w:rsidRPr="00B60B0E" w:rsidRDefault="00C304B4" w:rsidP="00716F7A">
            <w:pPr>
              <w:jc w:val="center"/>
              <w:rPr>
                <w:sz w:val="24"/>
                <w:szCs w:val="24"/>
              </w:rPr>
            </w:pPr>
            <w:r w:rsidRPr="00B60B0E">
              <w:rPr>
                <w:sz w:val="24"/>
                <w:szCs w:val="24"/>
              </w:rPr>
              <w:t>Surgical Ward</w:t>
            </w:r>
          </w:p>
        </w:tc>
        <w:tc>
          <w:tcPr>
            <w:tcW w:w="2268" w:type="dxa"/>
            <w:vAlign w:val="center"/>
          </w:tcPr>
          <w:p w14:paraId="38B948B1" w14:textId="77777777" w:rsidR="00C304B4" w:rsidRPr="00B60B0E" w:rsidRDefault="00C304B4" w:rsidP="00716F7A">
            <w:pPr>
              <w:jc w:val="center"/>
              <w:rPr>
                <w:sz w:val="24"/>
                <w:szCs w:val="24"/>
              </w:rPr>
            </w:pPr>
            <w:r w:rsidRPr="00B60B0E">
              <w:rPr>
                <w:sz w:val="24"/>
                <w:szCs w:val="24"/>
              </w:rPr>
              <w:t>7</w:t>
            </w:r>
          </w:p>
        </w:tc>
        <w:tc>
          <w:tcPr>
            <w:tcW w:w="2256" w:type="dxa"/>
            <w:vAlign w:val="center"/>
          </w:tcPr>
          <w:p w14:paraId="372687B2" w14:textId="77777777" w:rsidR="00C304B4" w:rsidRPr="00B60B0E" w:rsidRDefault="00C304B4" w:rsidP="00716F7A">
            <w:pPr>
              <w:jc w:val="center"/>
              <w:rPr>
                <w:sz w:val="24"/>
                <w:szCs w:val="24"/>
              </w:rPr>
            </w:pPr>
            <w:r w:rsidRPr="00B60B0E">
              <w:rPr>
                <w:sz w:val="24"/>
                <w:szCs w:val="24"/>
              </w:rPr>
              <w:t>5.60</w:t>
            </w:r>
          </w:p>
        </w:tc>
      </w:tr>
    </w:tbl>
    <w:p w14:paraId="1771E00F" w14:textId="2A3A0FE2" w:rsidR="0046177F" w:rsidRDefault="0046177F" w:rsidP="0046177F">
      <w:pPr>
        <w:rPr>
          <w:i/>
          <w:sz w:val="20"/>
        </w:rPr>
      </w:pPr>
      <w:r w:rsidRPr="0046177F">
        <w:rPr>
          <w:iCs/>
          <w:sz w:val="20"/>
        </w:rPr>
        <w:t>Note.</w:t>
      </w:r>
      <w:r w:rsidRPr="0046177F">
        <w:rPr>
          <w:iCs/>
          <w:spacing w:val="-1"/>
          <w:sz w:val="20"/>
        </w:rPr>
        <w:t xml:space="preserve"> </w:t>
      </w:r>
      <w:r>
        <w:rPr>
          <w:i/>
          <w:spacing w:val="-2"/>
          <w:sz w:val="20"/>
        </w:rPr>
        <w:t>n=</w:t>
      </w:r>
      <w:r w:rsidR="00C304B4">
        <w:rPr>
          <w:i/>
          <w:spacing w:val="-2"/>
          <w:sz w:val="20"/>
        </w:rPr>
        <w:t>126</w:t>
      </w:r>
      <w:r>
        <w:rPr>
          <w:i/>
          <w:spacing w:val="-2"/>
          <w:sz w:val="20"/>
        </w:rPr>
        <w:t>.</w:t>
      </w:r>
    </w:p>
    <w:p w14:paraId="5F73E302" w14:textId="77777777" w:rsidR="0015088E" w:rsidRDefault="0015088E" w:rsidP="0046177F"/>
    <w:p w14:paraId="260D16FF" w14:textId="714DBAF1" w:rsidR="00D94BDF" w:rsidRDefault="0046177F" w:rsidP="00781E1E">
      <w:pPr>
        <w:contextualSpacing/>
        <w:jc w:val="both"/>
        <w:rPr>
          <w:iCs/>
          <w:sz w:val="24"/>
          <w:szCs w:val="32"/>
          <w:lang w:val="en-PH"/>
        </w:rPr>
      </w:pPr>
      <w:r w:rsidRPr="0046177F">
        <w:rPr>
          <w:iCs/>
          <w:sz w:val="24"/>
          <w:szCs w:val="32"/>
          <w:lang w:val="en-PH"/>
        </w:rPr>
        <w:t>As</w:t>
      </w:r>
      <w:r w:rsidR="008462A1">
        <w:rPr>
          <w:iCs/>
          <w:sz w:val="24"/>
          <w:szCs w:val="32"/>
          <w:lang w:val="en-PH"/>
        </w:rPr>
        <w:t xml:space="preserve"> </w:t>
      </w:r>
      <w:r w:rsidR="008462A1" w:rsidRPr="008462A1">
        <w:rPr>
          <w:iCs/>
          <w:sz w:val="24"/>
          <w:szCs w:val="32"/>
          <w:lang w:val="en-PH"/>
        </w:rPr>
        <w:t xml:space="preserve">shown in Table 1, the respondents are predominantly young, early-career nurses, indicating that the hospital’s nursing workforce is largely composed of individuals in the formative stage of professional practice who are still developing clinical judgment, confidence, and professional </w:t>
      </w:r>
      <w:r w:rsidR="008462A1" w:rsidRPr="008462A1">
        <w:rPr>
          <w:iCs/>
          <w:sz w:val="24"/>
          <w:szCs w:val="32"/>
          <w:lang w:val="en-PH"/>
        </w:rPr>
        <w:lastRenderedPageBreak/>
        <w:t>identity, highlighting the need for supervision, mentoring, and structured learning opportunities to ensure safe and effective patient care. The distribution by sex shows a fairly balanced mix of male and female nurses, reflecting increasing gender diversity in the profession and implying the need for inclusive training and management strategies. Most respondents being single suggests greater flexibility in work schedules and assignments, while also indicating the importance of institutional support systems to manage stress and maintain work–life balance. While most respondents are bachelor’s degree holders, some have master’s units or completed a master’s degree, showing advanced academic preparation but limited clinical exposure, consistent with Benner’s Novice to Expert Theory, where novice status is defined by experience rather than educational level. The assignment of many novice nurses to high-demand areas such as medical and emergency units provides valuable learning opportunities but also increases the risk of stress and role strain without adequate supervision. Overall, the respondent profile highlights a young, academically qualified but professionally developing nursing workforce, underscoring the need for structured competency enhancement, strong mentorship, and continuous ethical and professional formation to support their transition into independent practitioners</w:t>
      </w:r>
      <w:r w:rsidRPr="0046177F">
        <w:rPr>
          <w:iCs/>
          <w:sz w:val="24"/>
          <w:szCs w:val="32"/>
          <w:lang w:val="en-PH"/>
        </w:rPr>
        <w:t>.</w:t>
      </w:r>
    </w:p>
    <w:p w14:paraId="2F56DA25" w14:textId="77777777" w:rsidR="00D66518" w:rsidRDefault="00D66518" w:rsidP="0046177F">
      <w:pPr>
        <w:contextualSpacing/>
        <w:jc w:val="both"/>
        <w:rPr>
          <w:iCs/>
          <w:sz w:val="24"/>
          <w:szCs w:val="32"/>
          <w:lang w:val="en-PH"/>
        </w:rPr>
      </w:pPr>
    </w:p>
    <w:p w14:paraId="112861AA" w14:textId="3619F6C5" w:rsidR="00D66518" w:rsidRPr="00715E8A" w:rsidRDefault="00D66518" w:rsidP="00D66518">
      <w:pPr>
        <w:rPr>
          <w:sz w:val="24"/>
          <w:szCs w:val="24"/>
        </w:rPr>
      </w:pPr>
      <w:r w:rsidRPr="00715E8A">
        <w:rPr>
          <w:sz w:val="24"/>
          <w:szCs w:val="24"/>
        </w:rPr>
        <w:t xml:space="preserve">Table 2 </w:t>
      </w:r>
      <w:r w:rsidR="005C26E8">
        <w:rPr>
          <w:sz w:val="24"/>
          <w:szCs w:val="24"/>
        </w:rPr>
        <w:t>Level of Competency among Novice Nurse</w:t>
      </w:r>
    </w:p>
    <w:tbl>
      <w:tblPr>
        <w:tblStyle w:val="TableGrid"/>
        <w:tblW w:w="9382" w:type="dxa"/>
        <w:tblLook w:val="04A0" w:firstRow="1" w:lastRow="0" w:firstColumn="1" w:lastColumn="0" w:noHBand="0" w:noVBand="1"/>
      </w:tblPr>
      <w:tblGrid>
        <w:gridCol w:w="5382"/>
        <w:gridCol w:w="850"/>
        <w:gridCol w:w="756"/>
        <w:gridCol w:w="2394"/>
      </w:tblGrid>
      <w:tr w:rsidR="008462A1" w:rsidRPr="003744A7" w14:paraId="6FCDB451" w14:textId="77777777" w:rsidTr="00E55CE5">
        <w:tc>
          <w:tcPr>
            <w:tcW w:w="5382" w:type="dxa"/>
            <w:vAlign w:val="center"/>
          </w:tcPr>
          <w:p w14:paraId="43DF5F3A" w14:textId="77777777" w:rsidR="008462A1" w:rsidRPr="003744A7" w:rsidRDefault="008462A1" w:rsidP="00716F7A">
            <w:pPr>
              <w:jc w:val="center"/>
              <w:rPr>
                <w:sz w:val="24"/>
              </w:rPr>
            </w:pPr>
            <w:r>
              <w:rPr>
                <w:sz w:val="24"/>
              </w:rPr>
              <w:t>Dimensions</w:t>
            </w:r>
          </w:p>
        </w:tc>
        <w:tc>
          <w:tcPr>
            <w:tcW w:w="850" w:type="dxa"/>
            <w:vAlign w:val="center"/>
          </w:tcPr>
          <w:p w14:paraId="6B550058" w14:textId="77777777" w:rsidR="008462A1" w:rsidRPr="003744A7" w:rsidRDefault="008462A1" w:rsidP="00716F7A">
            <w:pPr>
              <w:jc w:val="center"/>
              <w:rPr>
                <w:sz w:val="24"/>
              </w:rPr>
            </w:pPr>
            <w:r>
              <w:rPr>
                <w:sz w:val="24"/>
              </w:rPr>
              <w:t>Mean score</w:t>
            </w:r>
          </w:p>
        </w:tc>
        <w:tc>
          <w:tcPr>
            <w:tcW w:w="756" w:type="dxa"/>
            <w:vAlign w:val="center"/>
          </w:tcPr>
          <w:p w14:paraId="36FB2CBA" w14:textId="77777777" w:rsidR="008462A1" w:rsidRPr="003744A7" w:rsidRDefault="008462A1" w:rsidP="00716F7A">
            <w:pPr>
              <w:jc w:val="center"/>
              <w:rPr>
                <w:sz w:val="24"/>
              </w:rPr>
            </w:pPr>
            <w:r>
              <w:rPr>
                <w:sz w:val="24"/>
              </w:rPr>
              <w:t>SD</w:t>
            </w:r>
          </w:p>
        </w:tc>
        <w:tc>
          <w:tcPr>
            <w:tcW w:w="2394" w:type="dxa"/>
            <w:vAlign w:val="center"/>
          </w:tcPr>
          <w:p w14:paraId="5CEF9FAE" w14:textId="77777777" w:rsidR="008462A1" w:rsidRPr="003744A7" w:rsidRDefault="008462A1" w:rsidP="00716F7A">
            <w:pPr>
              <w:jc w:val="center"/>
              <w:rPr>
                <w:sz w:val="24"/>
              </w:rPr>
            </w:pPr>
            <w:r>
              <w:rPr>
                <w:sz w:val="24"/>
              </w:rPr>
              <w:t>Interpretation</w:t>
            </w:r>
          </w:p>
        </w:tc>
      </w:tr>
      <w:tr w:rsidR="008462A1" w:rsidRPr="003744A7" w14:paraId="03F8B2EA" w14:textId="77777777" w:rsidTr="00E55CE5">
        <w:tc>
          <w:tcPr>
            <w:tcW w:w="5382" w:type="dxa"/>
          </w:tcPr>
          <w:p w14:paraId="418B8D06" w14:textId="77777777" w:rsidR="008462A1" w:rsidRPr="003744A7" w:rsidRDefault="008462A1" w:rsidP="00716F7A">
            <w:pPr>
              <w:rPr>
                <w:sz w:val="24"/>
              </w:rPr>
            </w:pPr>
            <w:bookmarkStart w:id="1" w:name="_Hlk166369257"/>
            <w:r w:rsidRPr="006C36B5">
              <w:rPr>
                <w:bCs/>
                <w:sz w:val="24"/>
              </w:rPr>
              <w:t>Helping Role</w:t>
            </w:r>
          </w:p>
        </w:tc>
        <w:tc>
          <w:tcPr>
            <w:tcW w:w="850" w:type="dxa"/>
            <w:vAlign w:val="center"/>
          </w:tcPr>
          <w:p w14:paraId="21ADF3ED" w14:textId="77777777" w:rsidR="008462A1" w:rsidRPr="00F449E4" w:rsidRDefault="008462A1" w:rsidP="00716F7A">
            <w:pPr>
              <w:spacing w:line="320" w:lineRule="atLeast"/>
              <w:jc w:val="center"/>
              <w:rPr>
                <w:sz w:val="24"/>
                <w:szCs w:val="24"/>
              </w:rPr>
            </w:pPr>
          </w:p>
        </w:tc>
        <w:tc>
          <w:tcPr>
            <w:tcW w:w="756" w:type="dxa"/>
            <w:vAlign w:val="center"/>
          </w:tcPr>
          <w:p w14:paraId="29738F49" w14:textId="77777777" w:rsidR="008462A1" w:rsidRPr="00F449E4" w:rsidRDefault="008462A1" w:rsidP="00716F7A">
            <w:pPr>
              <w:spacing w:line="320" w:lineRule="atLeast"/>
              <w:jc w:val="center"/>
              <w:rPr>
                <w:sz w:val="24"/>
                <w:szCs w:val="24"/>
              </w:rPr>
            </w:pPr>
          </w:p>
        </w:tc>
        <w:tc>
          <w:tcPr>
            <w:tcW w:w="2394" w:type="dxa"/>
            <w:vAlign w:val="center"/>
          </w:tcPr>
          <w:p w14:paraId="514CA23C" w14:textId="77777777" w:rsidR="008462A1" w:rsidRPr="003744A7" w:rsidRDefault="008462A1" w:rsidP="00716F7A">
            <w:pPr>
              <w:jc w:val="center"/>
              <w:rPr>
                <w:sz w:val="24"/>
              </w:rPr>
            </w:pPr>
          </w:p>
        </w:tc>
      </w:tr>
      <w:bookmarkEnd w:id="1"/>
      <w:tr w:rsidR="008462A1" w:rsidRPr="003744A7" w14:paraId="782D623F" w14:textId="77777777" w:rsidTr="00E55CE5">
        <w:tc>
          <w:tcPr>
            <w:tcW w:w="5382" w:type="dxa"/>
          </w:tcPr>
          <w:p w14:paraId="76F469AF" w14:textId="77777777" w:rsidR="008462A1" w:rsidRPr="003744A7" w:rsidRDefault="008462A1" w:rsidP="00716F7A">
            <w:pPr>
              <w:rPr>
                <w:sz w:val="24"/>
              </w:rPr>
            </w:pPr>
            <w:r w:rsidRPr="006C36B5">
              <w:rPr>
                <w:bCs/>
                <w:sz w:val="24"/>
              </w:rPr>
              <w:t>1. Establishing patient trust and safety</w:t>
            </w:r>
          </w:p>
        </w:tc>
        <w:tc>
          <w:tcPr>
            <w:tcW w:w="850" w:type="dxa"/>
            <w:vAlign w:val="center"/>
          </w:tcPr>
          <w:p w14:paraId="19876500" w14:textId="77777777" w:rsidR="008462A1" w:rsidRPr="0067669D" w:rsidRDefault="008462A1" w:rsidP="00716F7A">
            <w:pPr>
              <w:spacing w:line="320" w:lineRule="atLeast"/>
              <w:jc w:val="center"/>
              <w:rPr>
                <w:sz w:val="24"/>
                <w:szCs w:val="24"/>
              </w:rPr>
            </w:pPr>
            <w:r w:rsidRPr="0067669D">
              <w:rPr>
                <w:color w:val="000000"/>
                <w:sz w:val="24"/>
                <w:szCs w:val="24"/>
              </w:rPr>
              <w:t>5.13</w:t>
            </w:r>
          </w:p>
        </w:tc>
        <w:tc>
          <w:tcPr>
            <w:tcW w:w="756" w:type="dxa"/>
            <w:vAlign w:val="center"/>
          </w:tcPr>
          <w:p w14:paraId="7A3A5F61" w14:textId="77777777" w:rsidR="008462A1" w:rsidRPr="0067669D" w:rsidRDefault="008462A1" w:rsidP="00716F7A">
            <w:pPr>
              <w:spacing w:line="320" w:lineRule="atLeast"/>
              <w:jc w:val="center"/>
              <w:rPr>
                <w:sz w:val="24"/>
                <w:szCs w:val="24"/>
              </w:rPr>
            </w:pPr>
            <w:r w:rsidRPr="0067669D">
              <w:rPr>
                <w:color w:val="000000"/>
                <w:sz w:val="24"/>
                <w:szCs w:val="24"/>
              </w:rPr>
              <w:t>0.991</w:t>
            </w:r>
          </w:p>
        </w:tc>
        <w:tc>
          <w:tcPr>
            <w:tcW w:w="2394" w:type="dxa"/>
            <w:vAlign w:val="center"/>
          </w:tcPr>
          <w:p w14:paraId="2C69F6CA" w14:textId="77777777" w:rsidR="008462A1" w:rsidRPr="003744A7" w:rsidRDefault="008462A1" w:rsidP="00716F7A">
            <w:pPr>
              <w:jc w:val="center"/>
              <w:rPr>
                <w:sz w:val="24"/>
              </w:rPr>
            </w:pPr>
            <w:r>
              <w:rPr>
                <w:sz w:val="24"/>
              </w:rPr>
              <w:t>High competence</w:t>
            </w:r>
          </w:p>
        </w:tc>
      </w:tr>
      <w:tr w:rsidR="008462A1" w:rsidRPr="003744A7" w14:paraId="561F301B" w14:textId="77777777" w:rsidTr="00E55CE5">
        <w:tc>
          <w:tcPr>
            <w:tcW w:w="5382" w:type="dxa"/>
          </w:tcPr>
          <w:p w14:paraId="001EF3F1" w14:textId="77777777" w:rsidR="008462A1" w:rsidRPr="003744A7" w:rsidRDefault="008462A1" w:rsidP="00716F7A">
            <w:pPr>
              <w:rPr>
                <w:sz w:val="24"/>
              </w:rPr>
            </w:pPr>
            <w:r w:rsidRPr="006C36B5">
              <w:rPr>
                <w:bCs/>
                <w:sz w:val="24"/>
              </w:rPr>
              <w:t>2. Supporting patients emotionally and socially</w:t>
            </w:r>
          </w:p>
        </w:tc>
        <w:tc>
          <w:tcPr>
            <w:tcW w:w="850" w:type="dxa"/>
            <w:vAlign w:val="center"/>
          </w:tcPr>
          <w:p w14:paraId="3E810B24" w14:textId="77777777" w:rsidR="008462A1" w:rsidRPr="0067669D" w:rsidRDefault="008462A1" w:rsidP="00716F7A">
            <w:pPr>
              <w:spacing w:line="320" w:lineRule="atLeast"/>
              <w:jc w:val="center"/>
              <w:rPr>
                <w:sz w:val="24"/>
                <w:szCs w:val="24"/>
              </w:rPr>
            </w:pPr>
            <w:r w:rsidRPr="0067669D">
              <w:rPr>
                <w:color w:val="000000"/>
                <w:sz w:val="24"/>
                <w:szCs w:val="24"/>
              </w:rPr>
              <w:t>4.87</w:t>
            </w:r>
          </w:p>
        </w:tc>
        <w:tc>
          <w:tcPr>
            <w:tcW w:w="756" w:type="dxa"/>
            <w:vAlign w:val="center"/>
          </w:tcPr>
          <w:p w14:paraId="77952C75" w14:textId="77777777" w:rsidR="008462A1" w:rsidRPr="0067669D" w:rsidRDefault="008462A1" w:rsidP="00716F7A">
            <w:pPr>
              <w:spacing w:line="320" w:lineRule="atLeast"/>
              <w:jc w:val="center"/>
              <w:rPr>
                <w:sz w:val="24"/>
                <w:szCs w:val="24"/>
              </w:rPr>
            </w:pPr>
            <w:r w:rsidRPr="0067669D">
              <w:rPr>
                <w:color w:val="000000"/>
                <w:sz w:val="24"/>
                <w:szCs w:val="24"/>
              </w:rPr>
              <w:t>1.043</w:t>
            </w:r>
          </w:p>
        </w:tc>
        <w:tc>
          <w:tcPr>
            <w:tcW w:w="2394" w:type="dxa"/>
            <w:vAlign w:val="center"/>
          </w:tcPr>
          <w:p w14:paraId="30D77E90" w14:textId="77777777" w:rsidR="008462A1" w:rsidRPr="003744A7" w:rsidRDefault="008462A1" w:rsidP="00716F7A">
            <w:pPr>
              <w:jc w:val="center"/>
              <w:rPr>
                <w:sz w:val="24"/>
              </w:rPr>
            </w:pPr>
            <w:r>
              <w:rPr>
                <w:sz w:val="24"/>
              </w:rPr>
              <w:t>High competence</w:t>
            </w:r>
          </w:p>
        </w:tc>
      </w:tr>
      <w:tr w:rsidR="008462A1" w:rsidRPr="003744A7" w14:paraId="167BC42A" w14:textId="77777777" w:rsidTr="00E55CE5">
        <w:tc>
          <w:tcPr>
            <w:tcW w:w="5382" w:type="dxa"/>
          </w:tcPr>
          <w:p w14:paraId="058554D4" w14:textId="77777777" w:rsidR="008462A1" w:rsidRPr="003744A7" w:rsidRDefault="008462A1" w:rsidP="00716F7A">
            <w:pPr>
              <w:rPr>
                <w:sz w:val="24"/>
              </w:rPr>
            </w:pPr>
            <w:r w:rsidRPr="006C36B5">
              <w:rPr>
                <w:bCs/>
                <w:sz w:val="24"/>
              </w:rPr>
              <w:t>3. Advocating for patients' needs and rights</w:t>
            </w:r>
          </w:p>
        </w:tc>
        <w:tc>
          <w:tcPr>
            <w:tcW w:w="850" w:type="dxa"/>
            <w:vAlign w:val="center"/>
          </w:tcPr>
          <w:p w14:paraId="6713F466" w14:textId="77777777" w:rsidR="008462A1" w:rsidRPr="0067669D" w:rsidRDefault="008462A1" w:rsidP="00716F7A">
            <w:pPr>
              <w:spacing w:line="320" w:lineRule="atLeast"/>
              <w:jc w:val="center"/>
              <w:rPr>
                <w:sz w:val="24"/>
                <w:szCs w:val="24"/>
              </w:rPr>
            </w:pPr>
            <w:r w:rsidRPr="0067669D">
              <w:rPr>
                <w:color w:val="000000"/>
                <w:sz w:val="24"/>
                <w:szCs w:val="24"/>
              </w:rPr>
              <w:t>5.17</w:t>
            </w:r>
          </w:p>
        </w:tc>
        <w:tc>
          <w:tcPr>
            <w:tcW w:w="756" w:type="dxa"/>
            <w:vAlign w:val="center"/>
          </w:tcPr>
          <w:p w14:paraId="0393CD6B" w14:textId="77777777" w:rsidR="008462A1" w:rsidRPr="0067669D" w:rsidRDefault="008462A1" w:rsidP="00716F7A">
            <w:pPr>
              <w:spacing w:line="320" w:lineRule="atLeast"/>
              <w:jc w:val="center"/>
              <w:rPr>
                <w:sz w:val="24"/>
                <w:szCs w:val="24"/>
              </w:rPr>
            </w:pPr>
            <w:r w:rsidRPr="0067669D">
              <w:rPr>
                <w:color w:val="000000"/>
                <w:sz w:val="24"/>
                <w:szCs w:val="24"/>
              </w:rPr>
              <w:t>0.994</w:t>
            </w:r>
          </w:p>
        </w:tc>
        <w:tc>
          <w:tcPr>
            <w:tcW w:w="2394" w:type="dxa"/>
            <w:vAlign w:val="center"/>
          </w:tcPr>
          <w:p w14:paraId="583C259C" w14:textId="77777777" w:rsidR="008462A1" w:rsidRPr="003744A7" w:rsidRDefault="008462A1" w:rsidP="00716F7A">
            <w:pPr>
              <w:jc w:val="center"/>
              <w:rPr>
                <w:sz w:val="24"/>
              </w:rPr>
            </w:pPr>
            <w:r>
              <w:rPr>
                <w:sz w:val="24"/>
              </w:rPr>
              <w:t>Very high competence</w:t>
            </w:r>
          </w:p>
        </w:tc>
      </w:tr>
      <w:tr w:rsidR="008462A1" w:rsidRPr="003744A7" w14:paraId="6143ED80" w14:textId="77777777" w:rsidTr="00E55CE5">
        <w:tc>
          <w:tcPr>
            <w:tcW w:w="5382" w:type="dxa"/>
          </w:tcPr>
          <w:p w14:paraId="252147B7" w14:textId="77777777" w:rsidR="008462A1" w:rsidRPr="003744A7" w:rsidRDefault="008462A1" w:rsidP="00716F7A">
            <w:pPr>
              <w:jc w:val="right"/>
              <w:rPr>
                <w:sz w:val="24"/>
              </w:rPr>
            </w:pPr>
            <w:r w:rsidRPr="006C36B5">
              <w:rPr>
                <w:bCs/>
                <w:sz w:val="24"/>
              </w:rPr>
              <w:t>Factor mean</w:t>
            </w:r>
          </w:p>
        </w:tc>
        <w:tc>
          <w:tcPr>
            <w:tcW w:w="850" w:type="dxa"/>
            <w:vAlign w:val="center"/>
          </w:tcPr>
          <w:p w14:paraId="08C903C3" w14:textId="77777777" w:rsidR="008462A1" w:rsidRPr="0067669D" w:rsidRDefault="008462A1" w:rsidP="00716F7A">
            <w:pPr>
              <w:spacing w:line="320" w:lineRule="atLeast"/>
              <w:jc w:val="center"/>
              <w:rPr>
                <w:sz w:val="24"/>
                <w:szCs w:val="24"/>
              </w:rPr>
            </w:pPr>
            <w:r w:rsidRPr="0067669D">
              <w:rPr>
                <w:color w:val="000000"/>
                <w:sz w:val="24"/>
                <w:szCs w:val="24"/>
              </w:rPr>
              <w:t>5.06</w:t>
            </w:r>
          </w:p>
        </w:tc>
        <w:tc>
          <w:tcPr>
            <w:tcW w:w="756" w:type="dxa"/>
            <w:vAlign w:val="center"/>
          </w:tcPr>
          <w:p w14:paraId="22A1FFDF" w14:textId="77777777" w:rsidR="008462A1" w:rsidRPr="0067669D" w:rsidRDefault="008462A1" w:rsidP="00716F7A">
            <w:pPr>
              <w:spacing w:line="320" w:lineRule="atLeast"/>
              <w:jc w:val="center"/>
              <w:rPr>
                <w:sz w:val="24"/>
                <w:szCs w:val="24"/>
              </w:rPr>
            </w:pPr>
            <w:r w:rsidRPr="0067669D">
              <w:rPr>
                <w:color w:val="000000"/>
                <w:sz w:val="24"/>
                <w:szCs w:val="24"/>
              </w:rPr>
              <w:t>0.908</w:t>
            </w:r>
          </w:p>
        </w:tc>
        <w:tc>
          <w:tcPr>
            <w:tcW w:w="2394" w:type="dxa"/>
            <w:vAlign w:val="center"/>
          </w:tcPr>
          <w:p w14:paraId="3BE1D20C" w14:textId="77777777" w:rsidR="008462A1" w:rsidRPr="003744A7" w:rsidRDefault="008462A1" w:rsidP="00716F7A">
            <w:pPr>
              <w:jc w:val="center"/>
              <w:rPr>
                <w:sz w:val="24"/>
              </w:rPr>
            </w:pPr>
            <w:r>
              <w:rPr>
                <w:sz w:val="24"/>
              </w:rPr>
              <w:t>High competence</w:t>
            </w:r>
          </w:p>
        </w:tc>
      </w:tr>
      <w:tr w:rsidR="008462A1" w:rsidRPr="003744A7" w14:paraId="54EF5F96" w14:textId="77777777" w:rsidTr="00E55CE5">
        <w:tc>
          <w:tcPr>
            <w:tcW w:w="5382" w:type="dxa"/>
          </w:tcPr>
          <w:p w14:paraId="05FB2ADC" w14:textId="77777777" w:rsidR="008462A1" w:rsidRPr="003744A7" w:rsidRDefault="008462A1" w:rsidP="00716F7A">
            <w:pPr>
              <w:rPr>
                <w:sz w:val="24"/>
              </w:rPr>
            </w:pPr>
            <w:r w:rsidRPr="006C36B5">
              <w:rPr>
                <w:bCs/>
                <w:sz w:val="24"/>
              </w:rPr>
              <w:t>Teaching-Coaching</w:t>
            </w:r>
          </w:p>
        </w:tc>
        <w:tc>
          <w:tcPr>
            <w:tcW w:w="850" w:type="dxa"/>
            <w:vAlign w:val="center"/>
          </w:tcPr>
          <w:p w14:paraId="0FA7E7DB" w14:textId="77777777" w:rsidR="008462A1" w:rsidRPr="0067669D" w:rsidRDefault="008462A1" w:rsidP="00716F7A">
            <w:pPr>
              <w:spacing w:line="320" w:lineRule="atLeast"/>
              <w:jc w:val="center"/>
              <w:rPr>
                <w:sz w:val="24"/>
                <w:szCs w:val="24"/>
              </w:rPr>
            </w:pPr>
            <w:r w:rsidRPr="0067669D">
              <w:rPr>
                <w:color w:val="000000"/>
                <w:sz w:val="24"/>
                <w:szCs w:val="24"/>
              </w:rPr>
              <w:t> </w:t>
            </w:r>
          </w:p>
        </w:tc>
        <w:tc>
          <w:tcPr>
            <w:tcW w:w="756" w:type="dxa"/>
            <w:vAlign w:val="center"/>
          </w:tcPr>
          <w:p w14:paraId="37767D4C" w14:textId="77777777" w:rsidR="008462A1" w:rsidRPr="0067669D" w:rsidRDefault="008462A1" w:rsidP="00716F7A">
            <w:pPr>
              <w:spacing w:line="320" w:lineRule="atLeast"/>
              <w:jc w:val="center"/>
              <w:rPr>
                <w:sz w:val="24"/>
                <w:szCs w:val="24"/>
              </w:rPr>
            </w:pPr>
            <w:r w:rsidRPr="0067669D">
              <w:rPr>
                <w:color w:val="000000"/>
                <w:sz w:val="24"/>
                <w:szCs w:val="24"/>
              </w:rPr>
              <w:t> </w:t>
            </w:r>
          </w:p>
        </w:tc>
        <w:tc>
          <w:tcPr>
            <w:tcW w:w="2394" w:type="dxa"/>
            <w:vAlign w:val="center"/>
          </w:tcPr>
          <w:p w14:paraId="57B1A40D" w14:textId="77777777" w:rsidR="008462A1" w:rsidRPr="003744A7" w:rsidRDefault="008462A1" w:rsidP="00716F7A">
            <w:pPr>
              <w:jc w:val="center"/>
              <w:rPr>
                <w:sz w:val="24"/>
              </w:rPr>
            </w:pPr>
          </w:p>
        </w:tc>
      </w:tr>
      <w:tr w:rsidR="008462A1" w:rsidRPr="003744A7" w14:paraId="4E90CB89" w14:textId="77777777" w:rsidTr="00E55CE5">
        <w:tc>
          <w:tcPr>
            <w:tcW w:w="5382" w:type="dxa"/>
          </w:tcPr>
          <w:p w14:paraId="7E32E7A9" w14:textId="77777777" w:rsidR="008462A1" w:rsidRPr="003744A7" w:rsidRDefault="008462A1" w:rsidP="00716F7A">
            <w:pPr>
              <w:rPr>
                <w:sz w:val="24"/>
              </w:rPr>
            </w:pPr>
            <w:r w:rsidRPr="006C36B5">
              <w:rPr>
                <w:bCs/>
                <w:sz w:val="24"/>
              </w:rPr>
              <w:t>4. Providing patient and family education</w:t>
            </w:r>
          </w:p>
        </w:tc>
        <w:tc>
          <w:tcPr>
            <w:tcW w:w="850" w:type="dxa"/>
            <w:vAlign w:val="center"/>
          </w:tcPr>
          <w:p w14:paraId="01EE4D5D" w14:textId="77777777" w:rsidR="008462A1" w:rsidRPr="0067669D" w:rsidRDefault="008462A1" w:rsidP="00716F7A">
            <w:pPr>
              <w:spacing w:line="320" w:lineRule="atLeast"/>
              <w:jc w:val="center"/>
              <w:rPr>
                <w:sz w:val="24"/>
                <w:szCs w:val="24"/>
              </w:rPr>
            </w:pPr>
            <w:r w:rsidRPr="0067669D">
              <w:rPr>
                <w:color w:val="000000"/>
                <w:sz w:val="24"/>
                <w:szCs w:val="24"/>
              </w:rPr>
              <w:t>4.89</w:t>
            </w:r>
          </w:p>
        </w:tc>
        <w:tc>
          <w:tcPr>
            <w:tcW w:w="756" w:type="dxa"/>
            <w:vAlign w:val="center"/>
          </w:tcPr>
          <w:p w14:paraId="2E1A8BC7" w14:textId="77777777" w:rsidR="008462A1" w:rsidRPr="0067669D" w:rsidRDefault="008462A1" w:rsidP="00716F7A">
            <w:pPr>
              <w:spacing w:line="320" w:lineRule="atLeast"/>
              <w:jc w:val="center"/>
              <w:rPr>
                <w:sz w:val="24"/>
                <w:szCs w:val="24"/>
              </w:rPr>
            </w:pPr>
            <w:r w:rsidRPr="0067669D">
              <w:rPr>
                <w:color w:val="000000"/>
                <w:sz w:val="24"/>
                <w:szCs w:val="24"/>
              </w:rPr>
              <w:t>0.957</w:t>
            </w:r>
          </w:p>
        </w:tc>
        <w:tc>
          <w:tcPr>
            <w:tcW w:w="2394" w:type="dxa"/>
            <w:vAlign w:val="center"/>
          </w:tcPr>
          <w:p w14:paraId="4B712477" w14:textId="77777777" w:rsidR="008462A1" w:rsidRPr="003744A7" w:rsidRDefault="008462A1" w:rsidP="00716F7A">
            <w:pPr>
              <w:jc w:val="center"/>
              <w:rPr>
                <w:sz w:val="24"/>
              </w:rPr>
            </w:pPr>
            <w:r>
              <w:rPr>
                <w:sz w:val="24"/>
              </w:rPr>
              <w:t>High competence</w:t>
            </w:r>
          </w:p>
        </w:tc>
      </w:tr>
      <w:tr w:rsidR="008462A1" w:rsidRPr="003744A7" w14:paraId="06042CF9" w14:textId="77777777" w:rsidTr="00E55CE5">
        <w:tc>
          <w:tcPr>
            <w:tcW w:w="5382" w:type="dxa"/>
          </w:tcPr>
          <w:p w14:paraId="23DD2C99" w14:textId="77777777" w:rsidR="008462A1" w:rsidRPr="003744A7" w:rsidRDefault="008462A1" w:rsidP="00716F7A">
            <w:pPr>
              <w:rPr>
                <w:sz w:val="24"/>
              </w:rPr>
            </w:pPr>
            <w:r w:rsidRPr="006C36B5">
              <w:rPr>
                <w:bCs/>
                <w:sz w:val="24"/>
              </w:rPr>
              <w:t>5. Encouraging self-care and adherence</w:t>
            </w:r>
          </w:p>
        </w:tc>
        <w:tc>
          <w:tcPr>
            <w:tcW w:w="850" w:type="dxa"/>
            <w:vAlign w:val="center"/>
          </w:tcPr>
          <w:p w14:paraId="7704BDA6" w14:textId="77777777" w:rsidR="008462A1" w:rsidRPr="0067669D" w:rsidRDefault="008462A1" w:rsidP="00716F7A">
            <w:pPr>
              <w:spacing w:line="320" w:lineRule="atLeast"/>
              <w:jc w:val="center"/>
              <w:rPr>
                <w:sz w:val="24"/>
                <w:szCs w:val="24"/>
              </w:rPr>
            </w:pPr>
            <w:r w:rsidRPr="0067669D">
              <w:rPr>
                <w:color w:val="000000"/>
                <w:sz w:val="24"/>
                <w:szCs w:val="24"/>
              </w:rPr>
              <w:t>4.99</w:t>
            </w:r>
          </w:p>
        </w:tc>
        <w:tc>
          <w:tcPr>
            <w:tcW w:w="756" w:type="dxa"/>
            <w:vAlign w:val="center"/>
          </w:tcPr>
          <w:p w14:paraId="0BEC81DE" w14:textId="77777777" w:rsidR="008462A1" w:rsidRPr="0067669D" w:rsidRDefault="008462A1" w:rsidP="00716F7A">
            <w:pPr>
              <w:spacing w:line="320" w:lineRule="atLeast"/>
              <w:jc w:val="center"/>
              <w:rPr>
                <w:sz w:val="24"/>
                <w:szCs w:val="24"/>
              </w:rPr>
            </w:pPr>
            <w:r w:rsidRPr="0067669D">
              <w:rPr>
                <w:color w:val="000000"/>
                <w:sz w:val="24"/>
                <w:szCs w:val="24"/>
              </w:rPr>
              <w:t>1.039</w:t>
            </w:r>
          </w:p>
        </w:tc>
        <w:tc>
          <w:tcPr>
            <w:tcW w:w="2394" w:type="dxa"/>
            <w:vAlign w:val="center"/>
          </w:tcPr>
          <w:p w14:paraId="0B3EDF2B" w14:textId="77777777" w:rsidR="008462A1" w:rsidRPr="003744A7" w:rsidRDefault="008462A1" w:rsidP="00716F7A">
            <w:pPr>
              <w:jc w:val="center"/>
              <w:rPr>
                <w:sz w:val="24"/>
              </w:rPr>
            </w:pPr>
            <w:r>
              <w:rPr>
                <w:sz w:val="24"/>
              </w:rPr>
              <w:t>High competence</w:t>
            </w:r>
          </w:p>
        </w:tc>
      </w:tr>
      <w:tr w:rsidR="008462A1" w:rsidRPr="003744A7" w14:paraId="789C6D11" w14:textId="77777777" w:rsidTr="00E55CE5">
        <w:tc>
          <w:tcPr>
            <w:tcW w:w="5382" w:type="dxa"/>
          </w:tcPr>
          <w:p w14:paraId="693DF058" w14:textId="77777777" w:rsidR="008462A1" w:rsidRPr="003744A7" w:rsidRDefault="008462A1" w:rsidP="00716F7A">
            <w:pPr>
              <w:rPr>
                <w:sz w:val="24"/>
              </w:rPr>
            </w:pPr>
            <w:r w:rsidRPr="006C36B5">
              <w:rPr>
                <w:bCs/>
                <w:sz w:val="24"/>
              </w:rPr>
              <w:t>6. Using evidence-based practices in teaching</w:t>
            </w:r>
          </w:p>
        </w:tc>
        <w:tc>
          <w:tcPr>
            <w:tcW w:w="850" w:type="dxa"/>
            <w:vAlign w:val="center"/>
          </w:tcPr>
          <w:p w14:paraId="083A6066" w14:textId="77777777" w:rsidR="008462A1" w:rsidRPr="0067669D" w:rsidRDefault="008462A1" w:rsidP="00716F7A">
            <w:pPr>
              <w:spacing w:line="320" w:lineRule="atLeast"/>
              <w:jc w:val="center"/>
              <w:rPr>
                <w:sz w:val="24"/>
                <w:szCs w:val="24"/>
              </w:rPr>
            </w:pPr>
            <w:r w:rsidRPr="0067669D">
              <w:rPr>
                <w:color w:val="000000"/>
                <w:sz w:val="24"/>
                <w:szCs w:val="24"/>
              </w:rPr>
              <w:t>5.02</w:t>
            </w:r>
          </w:p>
        </w:tc>
        <w:tc>
          <w:tcPr>
            <w:tcW w:w="756" w:type="dxa"/>
            <w:vAlign w:val="center"/>
          </w:tcPr>
          <w:p w14:paraId="4290E945" w14:textId="77777777" w:rsidR="008462A1" w:rsidRPr="0067669D" w:rsidRDefault="008462A1" w:rsidP="00716F7A">
            <w:pPr>
              <w:spacing w:line="320" w:lineRule="atLeast"/>
              <w:jc w:val="center"/>
              <w:rPr>
                <w:sz w:val="24"/>
                <w:szCs w:val="24"/>
              </w:rPr>
            </w:pPr>
            <w:r w:rsidRPr="0067669D">
              <w:rPr>
                <w:color w:val="000000"/>
                <w:sz w:val="24"/>
                <w:szCs w:val="24"/>
              </w:rPr>
              <w:t>0.984</w:t>
            </w:r>
          </w:p>
        </w:tc>
        <w:tc>
          <w:tcPr>
            <w:tcW w:w="2394" w:type="dxa"/>
            <w:vAlign w:val="center"/>
          </w:tcPr>
          <w:p w14:paraId="4C51C918" w14:textId="77777777" w:rsidR="008462A1" w:rsidRPr="003744A7" w:rsidRDefault="008462A1" w:rsidP="00716F7A">
            <w:pPr>
              <w:jc w:val="center"/>
              <w:rPr>
                <w:sz w:val="24"/>
              </w:rPr>
            </w:pPr>
            <w:r>
              <w:rPr>
                <w:sz w:val="24"/>
              </w:rPr>
              <w:t>High competence</w:t>
            </w:r>
          </w:p>
        </w:tc>
      </w:tr>
      <w:tr w:rsidR="008462A1" w:rsidRPr="003744A7" w14:paraId="6EE1B1E5" w14:textId="77777777" w:rsidTr="00E55CE5">
        <w:tc>
          <w:tcPr>
            <w:tcW w:w="5382" w:type="dxa"/>
          </w:tcPr>
          <w:p w14:paraId="24110CBB" w14:textId="77777777" w:rsidR="008462A1" w:rsidRPr="003744A7" w:rsidRDefault="008462A1" w:rsidP="00716F7A">
            <w:pPr>
              <w:jc w:val="right"/>
              <w:rPr>
                <w:sz w:val="24"/>
              </w:rPr>
            </w:pPr>
            <w:r w:rsidRPr="006C36B5">
              <w:rPr>
                <w:bCs/>
                <w:sz w:val="24"/>
              </w:rPr>
              <w:t>Factor mean</w:t>
            </w:r>
          </w:p>
        </w:tc>
        <w:tc>
          <w:tcPr>
            <w:tcW w:w="850" w:type="dxa"/>
            <w:vAlign w:val="center"/>
          </w:tcPr>
          <w:p w14:paraId="3D22169C" w14:textId="77777777" w:rsidR="008462A1" w:rsidRPr="0067669D" w:rsidRDefault="008462A1" w:rsidP="00716F7A">
            <w:pPr>
              <w:spacing w:line="320" w:lineRule="atLeast"/>
              <w:jc w:val="center"/>
              <w:rPr>
                <w:sz w:val="24"/>
                <w:szCs w:val="24"/>
              </w:rPr>
            </w:pPr>
            <w:r w:rsidRPr="0067669D">
              <w:rPr>
                <w:color w:val="000000"/>
                <w:sz w:val="24"/>
                <w:szCs w:val="24"/>
              </w:rPr>
              <w:t>4.97</w:t>
            </w:r>
          </w:p>
        </w:tc>
        <w:tc>
          <w:tcPr>
            <w:tcW w:w="756" w:type="dxa"/>
            <w:vAlign w:val="center"/>
          </w:tcPr>
          <w:p w14:paraId="5FCA2CBF" w14:textId="77777777" w:rsidR="008462A1" w:rsidRPr="0067669D" w:rsidRDefault="008462A1" w:rsidP="00716F7A">
            <w:pPr>
              <w:spacing w:line="320" w:lineRule="atLeast"/>
              <w:jc w:val="center"/>
              <w:rPr>
                <w:sz w:val="24"/>
                <w:szCs w:val="24"/>
              </w:rPr>
            </w:pPr>
            <w:r w:rsidRPr="0067669D">
              <w:rPr>
                <w:color w:val="000000"/>
                <w:sz w:val="24"/>
                <w:szCs w:val="24"/>
              </w:rPr>
              <w:t>0.920</w:t>
            </w:r>
          </w:p>
        </w:tc>
        <w:tc>
          <w:tcPr>
            <w:tcW w:w="2394" w:type="dxa"/>
            <w:vAlign w:val="center"/>
          </w:tcPr>
          <w:p w14:paraId="6A237F90" w14:textId="77777777" w:rsidR="008462A1" w:rsidRPr="003744A7" w:rsidRDefault="008462A1" w:rsidP="00716F7A">
            <w:pPr>
              <w:jc w:val="center"/>
              <w:rPr>
                <w:sz w:val="24"/>
              </w:rPr>
            </w:pPr>
            <w:r>
              <w:rPr>
                <w:sz w:val="24"/>
              </w:rPr>
              <w:t>High competence</w:t>
            </w:r>
          </w:p>
        </w:tc>
      </w:tr>
      <w:tr w:rsidR="008462A1" w:rsidRPr="003744A7" w14:paraId="5426806D" w14:textId="77777777" w:rsidTr="00E55CE5">
        <w:tc>
          <w:tcPr>
            <w:tcW w:w="5382" w:type="dxa"/>
          </w:tcPr>
          <w:p w14:paraId="63727E53" w14:textId="77777777" w:rsidR="008462A1" w:rsidRPr="003744A7" w:rsidRDefault="008462A1" w:rsidP="00716F7A">
            <w:pPr>
              <w:rPr>
                <w:sz w:val="24"/>
              </w:rPr>
            </w:pPr>
            <w:r w:rsidRPr="006C36B5">
              <w:rPr>
                <w:bCs/>
                <w:sz w:val="24"/>
              </w:rPr>
              <w:t>Diagnostic Functions</w:t>
            </w:r>
          </w:p>
        </w:tc>
        <w:tc>
          <w:tcPr>
            <w:tcW w:w="850" w:type="dxa"/>
            <w:vAlign w:val="center"/>
          </w:tcPr>
          <w:p w14:paraId="3A6511CA" w14:textId="77777777" w:rsidR="008462A1" w:rsidRPr="0067669D" w:rsidRDefault="008462A1" w:rsidP="00716F7A">
            <w:pPr>
              <w:spacing w:line="320" w:lineRule="atLeast"/>
              <w:jc w:val="center"/>
              <w:rPr>
                <w:sz w:val="24"/>
                <w:szCs w:val="24"/>
              </w:rPr>
            </w:pPr>
            <w:r w:rsidRPr="0067669D">
              <w:rPr>
                <w:color w:val="000000"/>
                <w:sz w:val="24"/>
                <w:szCs w:val="24"/>
              </w:rPr>
              <w:t> </w:t>
            </w:r>
          </w:p>
        </w:tc>
        <w:tc>
          <w:tcPr>
            <w:tcW w:w="756" w:type="dxa"/>
            <w:vAlign w:val="center"/>
          </w:tcPr>
          <w:p w14:paraId="526851D7" w14:textId="77777777" w:rsidR="008462A1" w:rsidRPr="0067669D" w:rsidRDefault="008462A1" w:rsidP="00716F7A">
            <w:pPr>
              <w:spacing w:line="320" w:lineRule="atLeast"/>
              <w:jc w:val="center"/>
              <w:rPr>
                <w:sz w:val="24"/>
                <w:szCs w:val="24"/>
              </w:rPr>
            </w:pPr>
            <w:r w:rsidRPr="0067669D">
              <w:rPr>
                <w:color w:val="000000"/>
                <w:sz w:val="24"/>
                <w:szCs w:val="24"/>
              </w:rPr>
              <w:t> </w:t>
            </w:r>
          </w:p>
        </w:tc>
        <w:tc>
          <w:tcPr>
            <w:tcW w:w="2394" w:type="dxa"/>
            <w:vAlign w:val="center"/>
          </w:tcPr>
          <w:p w14:paraId="07188EAF" w14:textId="77777777" w:rsidR="008462A1" w:rsidRPr="003744A7" w:rsidRDefault="008462A1" w:rsidP="00716F7A">
            <w:pPr>
              <w:jc w:val="center"/>
              <w:rPr>
                <w:sz w:val="24"/>
              </w:rPr>
            </w:pPr>
          </w:p>
        </w:tc>
      </w:tr>
      <w:tr w:rsidR="008462A1" w:rsidRPr="003744A7" w14:paraId="071BAE51" w14:textId="77777777" w:rsidTr="00E55CE5">
        <w:tc>
          <w:tcPr>
            <w:tcW w:w="5382" w:type="dxa"/>
          </w:tcPr>
          <w:p w14:paraId="6419BFEB" w14:textId="77777777" w:rsidR="008462A1" w:rsidRPr="003744A7" w:rsidRDefault="008462A1" w:rsidP="00716F7A">
            <w:pPr>
              <w:rPr>
                <w:sz w:val="24"/>
              </w:rPr>
            </w:pPr>
            <w:r w:rsidRPr="006C36B5">
              <w:rPr>
                <w:bCs/>
                <w:sz w:val="24"/>
              </w:rPr>
              <w:t>7. Recognizing clinical symptoms and changes</w:t>
            </w:r>
          </w:p>
        </w:tc>
        <w:tc>
          <w:tcPr>
            <w:tcW w:w="850" w:type="dxa"/>
            <w:vAlign w:val="center"/>
          </w:tcPr>
          <w:p w14:paraId="4AE490E8" w14:textId="77777777" w:rsidR="008462A1" w:rsidRPr="0067669D" w:rsidRDefault="008462A1" w:rsidP="00716F7A">
            <w:pPr>
              <w:spacing w:line="320" w:lineRule="atLeast"/>
              <w:jc w:val="center"/>
              <w:rPr>
                <w:sz w:val="24"/>
                <w:szCs w:val="24"/>
              </w:rPr>
            </w:pPr>
            <w:r w:rsidRPr="0067669D">
              <w:rPr>
                <w:color w:val="000000"/>
                <w:sz w:val="24"/>
                <w:szCs w:val="24"/>
              </w:rPr>
              <w:t>4.47</w:t>
            </w:r>
          </w:p>
        </w:tc>
        <w:tc>
          <w:tcPr>
            <w:tcW w:w="756" w:type="dxa"/>
            <w:vAlign w:val="center"/>
          </w:tcPr>
          <w:p w14:paraId="3D97FBC2" w14:textId="77777777" w:rsidR="008462A1" w:rsidRPr="0067669D" w:rsidRDefault="008462A1" w:rsidP="00716F7A">
            <w:pPr>
              <w:spacing w:line="320" w:lineRule="atLeast"/>
              <w:jc w:val="center"/>
              <w:rPr>
                <w:sz w:val="24"/>
                <w:szCs w:val="24"/>
              </w:rPr>
            </w:pPr>
            <w:r w:rsidRPr="0067669D">
              <w:rPr>
                <w:color w:val="000000"/>
                <w:sz w:val="24"/>
                <w:szCs w:val="24"/>
              </w:rPr>
              <w:t>1.093</w:t>
            </w:r>
          </w:p>
        </w:tc>
        <w:tc>
          <w:tcPr>
            <w:tcW w:w="2394" w:type="dxa"/>
            <w:vAlign w:val="center"/>
          </w:tcPr>
          <w:p w14:paraId="0AA21566" w14:textId="77777777" w:rsidR="008462A1" w:rsidRPr="003744A7" w:rsidRDefault="008462A1" w:rsidP="00716F7A">
            <w:pPr>
              <w:jc w:val="center"/>
              <w:rPr>
                <w:sz w:val="24"/>
              </w:rPr>
            </w:pPr>
            <w:r>
              <w:rPr>
                <w:sz w:val="24"/>
              </w:rPr>
              <w:t>High competence</w:t>
            </w:r>
          </w:p>
        </w:tc>
      </w:tr>
      <w:tr w:rsidR="008462A1" w:rsidRPr="003744A7" w14:paraId="2D8736F4" w14:textId="77777777" w:rsidTr="00E55CE5">
        <w:tc>
          <w:tcPr>
            <w:tcW w:w="5382" w:type="dxa"/>
          </w:tcPr>
          <w:p w14:paraId="4BFB1F1C" w14:textId="77777777" w:rsidR="008462A1" w:rsidRPr="003744A7" w:rsidRDefault="008462A1" w:rsidP="00716F7A">
            <w:pPr>
              <w:rPr>
                <w:sz w:val="24"/>
              </w:rPr>
            </w:pPr>
            <w:r w:rsidRPr="006C36B5">
              <w:rPr>
                <w:bCs/>
                <w:sz w:val="24"/>
              </w:rPr>
              <w:t>8. Assessing health status effectively</w:t>
            </w:r>
          </w:p>
        </w:tc>
        <w:tc>
          <w:tcPr>
            <w:tcW w:w="850" w:type="dxa"/>
            <w:vAlign w:val="center"/>
          </w:tcPr>
          <w:p w14:paraId="7BE54C29" w14:textId="77777777" w:rsidR="008462A1" w:rsidRPr="0067669D" w:rsidRDefault="008462A1" w:rsidP="00716F7A">
            <w:pPr>
              <w:spacing w:line="320" w:lineRule="atLeast"/>
              <w:jc w:val="center"/>
              <w:rPr>
                <w:sz w:val="24"/>
                <w:szCs w:val="24"/>
              </w:rPr>
            </w:pPr>
            <w:r w:rsidRPr="0067669D">
              <w:rPr>
                <w:color w:val="000000"/>
                <w:sz w:val="24"/>
                <w:szCs w:val="24"/>
              </w:rPr>
              <w:t>4.60</w:t>
            </w:r>
          </w:p>
        </w:tc>
        <w:tc>
          <w:tcPr>
            <w:tcW w:w="756" w:type="dxa"/>
            <w:vAlign w:val="center"/>
          </w:tcPr>
          <w:p w14:paraId="26A7BCAE" w14:textId="77777777" w:rsidR="008462A1" w:rsidRPr="0067669D" w:rsidRDefault="008462A1" w:rsidP="00716F7A">
            <w:pPr>
              <w:spacing w:line="320" w:lineRule="atLeast"/>
              <w:jc w:val="center"/>
              <w:rPr>
                <w:sz w:val="24"/>
                <w:szCs w:val="24"/>
              </w:rPr>
            </w:pPr>
            <w:r w:rsidRPr="0067669D">
              <w:rPr>
                <w:color w:val="000000"/>
                <w:sz w:val="24"/>
                <w:szCs w:val="24"/>
              </w:rPr>
              <w:t>1.044</w:t>
            </w:r>
          </w:p>
        </w:tc>
        <w:tc>
          <w:tcPr>
            <w:tcW w:w="2394" w:type="dxa"/>
            <w:vAlign w:val="center"/>
          </w:tcPr>
          <w:p w14:paraId="0BFE1563" w14:textId="77777777" w:rsidR="008462A1" w:rsidRPr="003744A7" w:rsidRDefault="008462A1" w:rsidP="00716F7A">
            <w:pPr>
              <w:jc w:val="center"/>
              <w:rPr>
                <w:sz w:val="24"/>
              </w:rPr>
            </w:pPr>
            <w:r>
              <w:rPr>
                <w:sz w:val="24"/>
              </w:rPr>
              <w:t>High competence</w:t>
            </w:r>
          </w:p>
        </w:tc>
      </w:tr>
      <w:tr w:rsidR="008462A1" w:rsidRPr="003744A7" w14:paraId="0B2CE0FF" w14:textId="77777777" w:rsidTr="00E55CE5">
        <w:tc>
          <w:tcPr>
            <w:tcW w:w="5382" w:type="dxa"/>
          </w:tcPr>
          <w:p w14:paraId="37540D20" w14:textId="77777777" w:rsidR="008462A1" w:rsidRPr="003744A7" w:rsidRDefault="008462A1" w:rsidP="00716F7A">
            <w:pPr>
              <w:rPr>
                <w:sz w:val="24"/>
              </w:rPr>
            </w:pPr>
            <w:r w:rsidRPr="006C36B5">
              <w:rPr>
                <w:bCs/>
                <w:sz w:val="24"/>
              </w:rPr>
              <w:t>9. Interpreting lab and diagnostic results</w:t>
            </w:r>
          </w:p>
        </w:tc>
        <w:tc>
          <w:tcPr>
            <w:tcW w:w="850" w:type="dxa"/>
            <w:vAlign w:val="center"/>
          </w:tcPr>
          <w:p w14:paraId="2E886057" w14:textId="77777777" w:rsidR="008462A1" w:rsidRPr="0067669D" w:rsidRDefault="008462A1" w:rsidP="00716F7A">
            <w:pPr>
              <w:spacing w:line="320" w:lineRule="atLeast"/>
              <w:jc w:val="center"/>
              <w:rPr>
                <w:sz w:val="24"/>
                <w:szCs w:val="24"/>
              </w:rPr>
            </w:pPr>
            <w:r w:rsidRPr="0067669D">
              <w:rPr>
                <w:color w:val="000000"/>
                <w:sz w:val="24"/>
                <w:szCs w:val="24"/>
              </w:rPr>
              <w:t>4.34</w:t>
            </w:r>
          </w:p>
        </w:tc>
        <w:tc>
          <w:tcPr>
            <w:tcW w:w="756" w:type="dxa"/>
            <w:vAlign w:val="center"/>
          </w:tcPr>
          <w:p w14:paraId="40E4A9AB" w14:textId="77777777" w:rsidR="008462A1" w:rsidRPr="0067669D" w:rsidRDefault="008462A1" w:rsidP="00716F7A">
            <w:pPr>
              <w:spacing w:line="320" w:lineRule="atLeast"/>
              <w:jc w:val="center"/>
              <w:rPr>
                <w:sz w:val="24"/>
                <w:szCs w:val="24"/>
              </w:rPr>
            </w:pPr>
            <w:r w:rsidRPr="0067669D">
              <w:rPr>
                <w:color w:val="000000"/>
                <w:sz w:val="24"/>
                <w:szCs w:val="24"/>
              </w:rPr>
              <w:t>1.194</w:t>
            </w:r>
          </w:p>
        </w:tc>
        <w:tc>
          <w:tcPr>
            <w:tcW w:w="2394" w:type="dxa"/>
            <w:vAlign w:val="center"/>
          </w:tcPr>
          <w:p w14:paraId="1F4DEA94" w14:textId="77777777" w:rsidR="008462A1" w:rsidRPr="003744A7" w:rsidRDefault="008462A1" w:rsidP="00716F7A">
            <w:pPr>
              <w:jc w:val="center"/>
              <w:rPr>
                <w:sz w:val="24"/>
              </w:rPr>
            </w:pPr>
            <w:r>
              <w:rPr>
                <w:sz w:val="24"/>
              </w:rPr>
              <w:t>High competence</w:t>
            </w:r>
          </w:p>
        </w:tc>
      </w:tr>
      <w:tr w:rsidR="008462A1" w:rsidRPr="003744A7" w14:paraId="62F40648" w14:textId="77777777" w:rsidTr="00E55CE5">
        <w:tc>
          <w:tcPr>
            <w:tcW w:w="5382" w:type="dxa"/>
          </w:tcPr>
          <w:p w14:paraId="53C05713" w14:textId="77777777" w:rsidR="008462A1" w:rsidRPr="003744A7" w:rsidRDefault="008462A1" w:rsidP="00716F7A">
            <w:pPr>
              <w:jc w:val="right"/>
              <w:rPr>
                <w:sz w:val="24"/>
              </w:rPr>
            </w:pPr>
            <w:r w:rsidRPr="006C36B5">
              <w:rPr>
                <w:bCs/>
                <w:sz w:val="24"/>
              </w:rPr>
              <w:t>Factor mean</w:t>
            </w:r>
          </w:p>
        </w:tc>
        <w:tc>
          <w:tcPr>
            <w:tcW w:w="850" w:type="dxa"/>
            <w:vAlign w:val="center"/>
          </w:tcPr>
          <w:p w14:paraId="14D955D6" w14:textId="77777777" w:rsidR="008462A1" w:rsidRPr="0067669D" w:rsidRDefault="008462A1" w:rsidP="00716F7A">
            <w:pPr>
              <w:spacing w:line="320" w:lineRule="atLeast"/>
              <w:jc w:val="center"/>
              <w:rPr>
                <w:sz w:val="24"/>
                <w:szCs w:val="24"/>
              </w:rPr>
            </w:pPr>
            <w:r w:rsidRPr="0067669D">
              <w:rPr>
                <w:color w:val="000000"/>
                <w:sz w:val="24"/>
                <w:szCs w:val="24"/>
              </w:rPr>
              <w:t>4.47</w:t>
            </w:r>
          </w:p>
        </w:tc>
        <w:tc>
          <w:tcPr>
            <w:tcW w:w="756" w:type="dxa"/>
            <w:vAlign w:val="center"/>
          </w:tcPr>
          <w:p w14:paraId="70BEB5BA" w14:textId="77777777" w:rsidR="008462A1" w:rsidRPr="0067669D" w:rsidRDefault="008462A1" w:rsidP="00716F7A">
            <w:pPr>
              <w:spacing w:line="320" w:lineRule="atLeast"/>
              <w:jc w:val="center"/>
              <w:rPr>
                <w:sz w:val="24"/>
                <w:szCs w:val="24"/>
              </w:rPr>
            </w:pPr>
            <w:r w:rsidRPr="0067669D">
              <w:rPr>
                <w:color w:val="000000"/>
                <w:sz w:val="24"/>
                <w:szCs w:val="24"/>
              </w:rPr>
              <w:t>1.031</w:t>
            </w:r>
          </w:p>
        </w:tc>
        <w:tc>
          <w:tcPr>
            <w:tcW w:w="2394" w:type="dxa"/>
            <w:vAlign w:val="center"/>
          </w:tcPr>
          <w:p w14:paraId="5F4E893E" w14:textId="77777777" w:rsidR="008462A1" w:rsidRPr="003744A7" w:rsidRDefault="008462A1" w:rsidP="00716F7A">
            <w:pPr>
              <w:jc w:val="center"/>
              <w:rPr>
                <w:sz w:val="24"/>
              </w:rPr>
            </w:pPr>
            <w:r>
              <w:rPr>
                <w:sz w:val="24"/>
              </w:rPr>
              <w:t>High competence</w:t>
            </w:r>
          </w:p>
        </w:tc>
      </w:tr>
      <w:tr w:rsidR="008462A1" w:rsidRPr="003744A7" w14:paraId="7CF22E0F" w14:textId="77777777" w:rsidTr="00E55CE5">
        <w:tc>
          <w:tcPr>
            <w:tcW w:w="5382" w:type="dxa"/>
          </w:tcPr>
          <w:p w14:paraId="46A1F48A" w14:textId="77777777" w:rsidR="008462A1" w:rsidRPr="003744A7" w:rsidRDefault="008462A1" w:rsidP="00716F7A">
            <w:pPr>
              <w:rPr>
                <w:sz w:val="24"/>
              </w:rPr>
            </w:pPr>
            <w:r w:rsidRPr="006C36B5">
              <w:rPr>
                <w:bCs/>
                <w:sz w:val="24"/>
              </w:rPr>
              <w:t>Managing Situations</w:t>
            </w:r>
          </w:p>
        </w:tc>
        <w:tc>
          <w:tcPr>
            <w:tcW w:w="850" w:type="dxa"/>
            <w:vAlign w:val="center"/>
          </w:tcPr>
          <w:p w14:paraId="4E2F19B0" w14:textId="77777777" w:rsidR="008462A1" w:rsidRPr="0067669D" w:rsidRDefault="008462A1" w:rsidP="00716F7A">
            <w:pPr>
              <w:spacing w:line="320" w:lineRule="atLeast"/>
              <w:jc w:val="center"/>
              <w:rPr>
                <w:sz w:val="24"/>
                <w:szCs w:val="24"/>
              </w:rPr>
            </w:pPr>
            <w:r w:rsidRPr="0067669D">
              <w:rPr>
                <w:color w:val="000000"/>
                <w:sz w:val="24"/>
                <w:szCs w:val="24"/>
              </w:rPr>
              <w:t> </w:t>
            </w:r>
          </w:p>
        </w:tc>
        <w:tc>
          <w:tcPr>
            <w:tcW w:w="756" w:type="dxa"/>
            <w:vAlign w:val="center"/>
          </w:tcPr>
          <w:p w14:paraId="7FF960AE" w14:textId="77777777" w:rsidR="008462A1" w:rsidRPr="0067669D" w:rsidRDefault="008462A1" w:rsidP="00716F7A">
            <w:pPr>
              <w:spacing w:line="320" w:lineRule="atLeast"/>
              <w:jc w:val="center"/>
              <w:rPr>
                <w:sz w:val="24"/>
                <w:szCs w:val="24"/>
              </w:rPr>
            </w:pPr>
            <w:r w:rsidRPr="0067669D">
              <w:rPr>
                <w:color w:val="000000"/>
                <w:sz w:val="24"/>
                <w:szCs w:val="24"/>
              </w:rPr>
              <w:t> </w:t>
            </w:r>
          </w:p>
        </w:tc>
        <w:tc>
          <w:tcPr>
            <w:tcW w:w="2394" w:type="dxa"/>
            <w:vAlign w:val="center"/>
          </w:tcPr>
          <w:p w14:paraId="1CFEFB0F" w14:textId="77777777" w:rsidR="008462A1" w:rsidRPr="003744A7" w:rsidRDefault="008462A1" w:rsidP="00716F7A">
            <w:pPr>
              <w:jc w:val="center"/>
              <w:rPr>
                <w:sz w:val="24"/>
              </w:rPr>
            </w:pPr>
          </w:p>
        </w:tc>
      </w:tr>
      <w:tr w:rsidR="008462A1" w:rsidRPr="003744A7" w14:paraId="55850A05" w14:textId="77777777" w:rsidTr="00E55CE5">
        <w:tc>
          <w:tcPr>
            <w:tcW w:w="5382" w:type="dxa"/>
          </w:tcPr>
          <w:p w14:paraId="71DDFDD1" w14:textId="77777777" w:rsidR="008462A1" w:rsidRPr="003744A7" w:rsidRDefault="008462A1" w:rsidP="00716F7A">
            <w:pPr>
              <w:rPr>
                <w:sz w:val="24"/>
              </w:rPr>
            </w:pPr>
            <w:r w:rsidRPr="006C36B5">
              <w:rPr>
                <w:bCs/>
                <w:sz w:val="24"/>
              </w:rPr>
              <w:t>10. Responding to emergencies appropriately</w:t>
            </w:r>
          </w:p>
        </w:tc>
        <w:tc>
          <w:tcPr>
            <w:tcW w:w="850" w:type="dxa"/>
            <w:vAlign w:val="center"/>
          </w:tcPr>
          <w:p w14:paraId="6C5F2B3E" w14:textId="77777777" w:rsidR="008462A1" w:rsidRPr="0067669D" w:rsidRDefault="008462A1" w:rsidP="00716F7A">
            <w:pPr>
              <w:spacing w:line="320" w:lineRule="atLeast"/>
              <w:jc w:val="center"/>
              <w:rPr>
                <w:sz w:val="24"/>
                <w:szCs w:val="24"/>
              </w:rPr>
            </w:pPr>
            <w:r w:rsidRPr="0067669D">
              <w:rPr>
                <w:color w:val="000000"/>
                <w:sz w:val="24"/>
                <w:szCs w:val="24"/>
              </w:rPr>
              <w:t>4.73</w:t>
            </w:r>
          </w:p>
        </w:tc>
        <w:tc>
          <w:tcPr>
            <w:tcW w:w="756" w:type="dxa"/>
            <w:vAlign w:val="center"/>
          </w:tcPr>
          <w:p w14:paraId="1A0ACE28" w14:textId="77777777" w:rsidR="008462A1" w:rsidRPr="0067669D" w:rsidRDefault="008462A1" w:rsidP="00716F7A">
            <w:pPr>
              <w:spacing w:line="320" w:lineRule="atLeast"/>
              <w:jc w:val="center"/>
              <w:rPr>
                <w:sz w:val="24"/>
                <w:szCs w:val="24"/>
              </w:rPr>
            </w:pPr>
            <w:r w:rsidRPr="0067669D">
              <w:rPr>
                <w:color w:val="000000"/>
                <w:sz w:val="24"/>
                <w:szCs w:val="24"/>
              </w:rPr>
              <w:t>1.141</w:t>
            </w:r>
          </w:p>
        </w:tc>
        <w:tc>
          <w:tcPr>
            <w:tcW w:w="2394" w:type="dxa"/>
            <w:vAlign w:val="center"/>
          </w:tcPr>
          <w:p w14:paraId="2B9385E9" w14:textId="77777777" w:rsidR="008462A1" w:rsidRPr="003744A7" w:rsidRDefault="008462A1" w:rsidP="00716F7A">
            <w:pPr>
              <w:jc w:val="center"/>
              <w:rPr>
                <w:sz w:val="24"/>
              </w:rPr>
            </w:pPr>
            <w:r>
              <w:rPr>
                <w:sz w:val="24"/>
              </w:rPr>
              <w:t>High competence</w:t>
            </w:r>
          </w:p>
        </w:tc>
      </w:tr>
      <w:tr w:rsidR="008462A1" w:rsidRPr="003744A7" w14:paraId="1681EC1E" w14:textId="77777777" w:rsidTr="00E55CE5">
        <w:tc>
          <w:tcPr>
            <w:tcW w:w="5382" w:type="dxa"/>
          </w:tcPr>
          <w:p w14:paraId="6BDE3B81" w14:textId="77777777" w:rsidR="008462A1" w:rsidRPr="003744A7" w:rsidRDefault="008462A1" w:rsidP="00716F7A">
            <w:pPr>
              <w:rPr>
                <w:sz w:val="24"/>
              </w:rPr>
            </w:pPr>
            <w:r w:rsidRPr="006C36B5">
              <w:rPr>
                <w:bCs/>
                <w:sz w:val="24"/>
              </w:rPr>
              <w:t>11. Prioritizing and managing multiple patients</w:t>
            </w:r>
          </w:p>
        </w:tc>
        <w:tc>
          <w:tcPr>
            <w:tcW w:w="850" w:type="dxa"/>
            <w:vAlign w:val="center"/>
          </w:tcPr>
          <w:p w14:paraId="479DADF6" w14:textId="77777777" w:rsidR="008462A1" w:rsidRPr="0067669D" w:rsidRDefault="008462A1" w:rsidP="00716F7A">
            <w:pPr>
              <w:spacing w:line="320" w:lineRule="atLeast"/>
              <w:jc w:val="center"/>
              <w:rPr>
                <w:sz w:val="24"/>
                <w:szCs w:val="24"/>
              </w:rPr>
            </w:pPr>
            <w:r w:rsidRPr="0067669D">
              <w:rPr>
                <w:color w:val="000000"/>
                <w:sz w:val="24"/>
                <w:szCs w:val="24"/>
              </w:rPr>
              <w:t>4.80</w:t>
            </w:r>
          </w:p>
        </w:tc>
        <w:tc>
          <w:tcPr>
            <w:tcW w:w="756" w:type="dxa"/>
            <w:vAlign w:val="center"/>
          </w:tcPr>
          <w:p w14:paraId="07279801" w14:textId="77777777" w:rsidR="008462A1" w:rsidRPr="0067669D" w:rsidRDefault="008462A1" w:rsidP="00716F7A">
            <w:pPr>
              <w:spacing w:line="320" w:lineRule="atLeast"/>
              <w:jc w:val="center"/>
              <w:rPr>
                <w:sz w:val="24"/>
                <w:szCs w:val="24"/>
              </w:rPr>
            </w:pPr>
            <w:r w:rsidRPr="0067669D">
              <w:rPr>
                <w:color w:val="000000"/>
                <w:sz w:val="24"/>
                <w:szCs w:val="24"/>
              </w:rPr>
              <w:t>1.043</w:t>
            </w:r>
          </w:p>
        </w:tc>
        <w:tc>
          <w:tcPr>
            <w:tcW w:w="2394" w:type="dxa"/>
            <w:vAlign w:val="center"/>
          </w:tcPr>
          <w:p w14:paraId="14FF057B" w14:textId="77777777" w:rsidR="008462A1" w:rsidRPr="003744A7" w:rsidRDefault="008462A1" w:rsidP="00716F7A">
            <w:pPr>
              <w:jc w:val="center"/>
              <w:rPr>
                <w:sz w:val="24"/>
              </w:rPr>
            </w:pPr>
            <w:r>
              <w:rPr>
                <w:sz w:val="24"/>
              </w:rPr>
              <w:t>High competence</w:t>
            </w:r>
          </w:p>
        </w:tc>
      </w:tr>
      <w:tr w:rsidR="008462A1" w:rsidRPr="003744A7" w14:paraId="3B8D9CD5" w14:textId="77777777" w:rsidTr="00E55CE5">
        <w:tc>
          <w:tcPr>
            <w:tcW w:w="5382" w:type="dxa"/>
          </w:tcPr>
          <w:p w14:paraId="114C09BA" w14:textId="77777777" w:rsidR="008462A1" w:rsidRPr="003744A7" w:rsidRDefault="008462A1" w:rsidP="00716F7A">
            <w:pPr>
              <w:rPr>
                <w:sz w:val="24"/>
              </w:rPr>
            </w:pPr>
            <w:r w:rsidRPr="006C36B5">
              <w:rPr>
                <w:bCs/>
                <w:sz w:val="24"/>
              </w:rPr>
              <w:t>12. Making decisions in complex situations</w:t>
            </w:r>
          </w:p>
        </w:tc>
        <w:tc>
          <w:tcPr>
            <w:tcW w:w="850" w:type="dxa"/>
            <w:vAlign w:val="center"/>
          </w:tcPr>
          <w:p w14:paraId="2D1DDB58" w14:textId="77777777" w:rsidR="008462A1" w:rsidRPr="0067669D" w:rsidRDefault="008462A1" w:rsidP="00716F7A">
            <w:pPr>
              <w:spacing w:line="320" w:lineRule="atLeast"/>
              <w:jc w:val="center"/>
              <w:rPr>
                <w:sz w:val="24"/>
                <w:szCs w:val="24"/>
              </w:rPr>
            </w:pPr>
            <w:r w:rsidRPr="0067669D">
              <w:rPr>
                <w:color w:val="000000"/>
                <w:sz w:val="24"/>
                <w:szCs w:val="24"/>
              </w:rPr>
              <w:t>4.59</w:t>
            </w:r>
          </w:p>
        </w:tc>
        <w:tc>
          <w:tcPr>
            <w:tcW w:w="756" w:type="dxa"/>
            <w:vAlign w:val="center"/>
          </w:tcPr>
          <w:p w14:paraId="6D749057" w14:textId="77777777" w:rsidR="008462A1" w:rsidRPr="0067669D" w:rsidRDefault="008462A1" w:rsidP="00716F7A">
            <w:pPr>
              <w:spacing w:line="320" w:lineRule="atLeast"/>
              <w:jc w:val="center"/>
              <w:rPr>
                <w:sz w:val="24"/>
                <w:szCs w:val="24"/>
              </w:rPr>
            </w:pPr>
            <w:r w:rsidRPr="0067669D">
              <w:rPr>
                <w:color w:val="000000"/>
                <w:sz w:val="24"/>
                <w:szCs w:val="24"/>
              </w:rPr>
              <w:t>1.133</w:t>
            </w:r>
          </w:p>
        </w:tc>
        <w:tc>
          <w:tcPr>
            <w:tcW w:w="2394" w:type="dxa"/>
            <w:vAlign w:val="center"/>
          </w:tcPr>
          <w:p w14:paraId="2BD23D7D" w14:textId="77777777" w:rsidR="008462A1" w:rsidRPr="003744A7" w:rsidRDefault="008462A1" w:rsidP="00716F7A">
            <w:pPr>
              <w:jc w:val="center"/>
              <w:rPr>
                <w:sz w:val="24"/>
              </w:rPr>
            </w:pPr>
            <w:r>
              <w:rPr>
                <w:sz w:val="24"/>
              </w:rPr>
              <w:t>High competence</w:t>
            </w:r>
          </w:p>
        </w:tc>
      </w:tr>
      <w:tr w:rsidR="008462A1" w:rsidRPr="003744A7" w14:paraId="04A385FC" w14:textId="77777777" w:rsidTr="00E55CE5">
        <w:tc>
          <w:tcPr>
            <w:tcW w:w="5382" w:type="dxa"/>
          </w:tcPr>
          <w:p w14:paraId="42C6689A" w14:textId="77777777" w:rsidR="008462A1" w:rsidRPr="003744A7" w:rsidRDefault="008462A1" w:rsidP="00716F7A">
            <w:pPr>
              <w:jc w:val="right"/>
              <w:rPr>
                <w:sz w:val="24"/>
              </w:rPr>
            </w:pPr>
            <w:r w:rsidRPr="006C36B5">
              <w:rPr>
                <w:bCs/>
                <w:sz w:val="24"/>
              </w:rPr>
              <w:t>Factor mean</w:t>
            </w:r>
          </w:p>
        </w:tc>
        <w:tc>
          <w:tcPr>
            <w:tcW w:w="850" w:type="dxa"/>
            <w:vAlign w:val="center"/>
          </w:tcPr>
          <w:p w14:paraId="50A7B1E3" w14:textId="77777777" w:rsidR="008462A1" w:rsidRPr="0067669D" w:rsidRDefault="008462A1" w:rsidP="00716F7A">
            <w:pPr>
              <w:spacing w:line="320" w:lineRule="atLeast"/>
              <w:jc w:val="center"/>
              <w:rPr>
                <w:sz w:val="24"/>
                <w:szCs w:val="24"/>
              </w:rPr>
            </w:pPr>
            <w:r w:rsidRPr="0067669D">
              <w:rPr>
                <w:color w:val="000000"/>
                <w:sz w:val="24"/>
                <w:szCs w:val="24"/>
              </w:rPr>
              <w:t>4.71</w:t>
            </w:r>
          </w:p>
        </w:tc>
        <w:tc>
          <w:tcPr>
            <w:tcW w:w="756" w:type="dxa"/>
            <w:vAlign w:val="center"/>
          </w:tcPr>
          <w:p w14:paraId="4C60386A" w14:textId="77777777" w:rsidR="008462A1" w:rsidRPr="0067669D" w:rsidRDefault="008462A1" w:rsidP="00716F7A">
            <w:pPr>
              <w:spacing w:line="320" w:lineRule="atLeast"/>
              <w:jc w:val="center"/>
              <w:rPr>
                <w:sz w:val="24"/>
                <w:szCs w:val="24"/>
              </w:rPr>
            </w:pPr>
            <w:r w:rsidRPr="0067669D">
              <w:rPr>
                <w:color w:val="000000"/>
                <w:sz w:val="24"/>
                <w:szCs w:val="24"/>
              </w:rPr>
              <w:t>1.042</w:t>
            </w:r>
          </w:p>
        </w:tc>
        <w:tc>
          <w:tcPr>
            <w:tcW w:w="2394" w:type="dxa"/>
            <w:vAlign w:val="center"/>
          </w:tcPr>
          <w:p w14:paraId="22612A61" w14:textId="77777777" w:rsidR="008462A1" w:rsidRPr="003744A7" w:rsidRDefault="008462A1" w:rsidP="00716F7A">
            <w:pPr>
              <w:jc w:val="center"/>
              <w:rPr>
                <w:sz w:val="24"/>
              </w:rPr>
            </w:pPr>
            <w:r>
              <w:rPr>
                <w:sz w:val="24"/>
              </w:rPr>
              <w:t>High competence</w:t>
            </w:r>
          </w:p>
        </w:tc>
      </w:tr>
      <w:tr w:rsidR="008462A1" w:rsidRPr="003744A7" w14:paraId="3FE80259" w14:textId="77777777" w:rsidTr="00E55CE5">
        <w:tc>
          <w:tcPr>
            <w:tcW w:w="5382" w:type="dxa"/>
          </w:tcPr>
          <w:p w14:paraId="1057D79C" w14:textId="77777777" w:rsidR="008462A1" w:rsidRPr="003744A7" w:rsidRDefault="008462A1" w:rsidP="00716F7A">
            <w:pPr>
              <w:rPr>
                <w:sz w:val="24"/>
              </w:rPr>
            </w:pPr>
            <w:r w:rsidRPr="006C36B5">
              <w:rPr>
                <w:bCs/>
                <w:sz w:val="24"/>
              </w:rPr>
              <w:t>Therapeutic Interventions</w:t>
            </w:r>
          </w:p>
        </w:tc>
        <w:tc>
          <w:tcPr>
            <w:tcW w:w="850" w:type="dxa"/>
            <w:vAlign w:val="center"/>
          </w:tcPr>
          <w:p w14:paraId="14F744F4" w14:textId="77777777" w:rsidR="008462A1" w:rsidRPr="0067669D" w:rsidRDefault="008462A1" w:rsidP="00716F7A">
            <w:pPr>
              <w:spacing w:line="320" w:lineRule="atLeast"/>
              <w:jc w:val="center"/>
              <w:rPr>
                <w:sz w:val="24"/>
                <w:szCs w:val="24"/>
              </w:rPr>
            </w:pPr>
            <w:r w:rsidRPr="0067669D">
              <w:rPr>
                <w:color w:val="000000"/>
                <w:sz w:val="24"/>
                <w:szCs w:val="24"/>
              </w:rPr>
              <w:t> </w:t>
            </w:r>
          </w:p>
        </w:tc>
        <w:tc>
          <w:tcPr>
            <w:tcW w:w="756" w:type="dxa"/>
            <w:vAlign w:val="center"/>
          </w:tcPr>
          <w:p w14:paraId="6D1D10D7" w14:textId="77777777" w:rsidR="008462A1" w:rsidRPr="0067669D" w:rsidRDefault="008462A1" w:rsidP="00716F7A">
            <w:pPr>
              <w:spacing w:line="320" w:lineRule="atLeast"/>
              <w:jc w:val="center"/>
              <w:rPr>
                <w:sz w:val="24"/>
                <w:szCs w:val="24"/>
              </w:rPr>
            </w:pPr>
            <w:r w:rsidRPr="0067669D">
              <w:rPr>
                <w:color w:val="000000"/>
                <w:sz w:val="24"/>
                <w:szCs w:val="24"/>
              </w:rPr>
              <w:t> </w:t>
            </w:r>
          </w:p>
        </w:tc>
        <w:tc>
          <w:tcPr>
            <w:tcW w:w="2394" w:type="dxa"/>
            <w:vAlign w:val="center"/>
          </w:tcPr>
          <w:p w14:paraId="0F1BFDE5" w14:textId="77777777" w:rsidR="008462A1" w:rsidRPr="003744A7" w:rsidRDefault="008462A1" w:rsidP="00716F7A">
            <w:pPr>
              <w:jc w:val="center"/>
              <w:rPr>
                <w:sz w:val="24"/>
              </w:rPr>
            </w:pPr>
          </w:p>
        </w:tc>
      </w:tr>
      <w:tr w:rsidR="008462A1" w:rsidRPr="003744A7" w14:paraId="5D16B27D" w14:textId="77777777" w:rsidTr="00E55CE5">
        <w:tc>
          <w:tcPr>
            <w:tcW w:w="5382" w:type="dxa"/>
          </w:tcPr>
          <w:p w14:paraId="42AEE719" w14:textId="77777777" w:rsidR="008462A1" w:rsidRPr="003744A7" w:rsidRDefault="008462A1" w:rsidP="00716F7A">
            <w:pPr>
              <w:rPr>
                <w:sz w:val="24"/>
              </w:rPr>
            </w:pPr>
            <w:r w:rsidRPr="006C36B5">
              <w:rPr>
                <w:bCs/>
                <w:sz w:val="24"/>
              </w:rPr>
              <w:t>13. Administering medications safely and correctly</w:t>
            </w:r>
          </w:p>
        </w:tc>
        <w:tc>
          <w:tcPr>
            <w:tcW w:w="850" w:type="dxa"/>
            <w:vAlign w:val="center"/>
          </w:tcPr>
          <w:p w14:paraId="4AE490F5" w14:textId="77777777" w:rsidR="008462A1" w:rsidRPr="0067669D" w:rsidRDefault="008462A1" w:rsidP="00716F7A">
            <w:pPr>
              <w:spacing w:line="320" w:lineRule="atLeast"/>
              <w:jc w:val="center"/>
              <w:rPr>
                <w:sz w:val="24"/>
                <w:szCs w:val="24"/>
              </w:rPr>
            </w:pPr>
            <w:r w:rsidRPr="0067669D">
              <w:rPr>
                <w:color w:val="000000"/>
                <w:sz w:val="24"/>
                <w:szCs w:val="24"/>
              </w:rPr>
              <w:t>5.24</w:t>
            </w:r>
          </w:p>
        </w:tc>
        <w:tc>
          <w:tcPr>
            <w:tcW w:w="756" w:type="dxa"/>
            <w:vAlign w:val="center"/>
          </w:tcPr>
          <w:p w14:paraId="3D99EFE7" w14:textId="77777777" w:rsidR="008462A1" w:rsidRPr="0067669D" w:rsidRDefault="008462A1" w:rsidP="00716F7A">
            <w:pPr>
              <w:spacing w:line="320" w:lineRule="atLeast"/>
              <w:jc w:val="center"/>
              <w:rPr>
                <w:sz w:val="24"/>
                <w:szCs w:val="24"/>
              </w:rPr>
            </w:pPr>
            <w:r w:rsidRPr="0067669D">
              <w:rPr>
                <w:color w:val="000000"/>
                <w:sz w:val="24"/>
                <w:szCs w:val="24"/>
              </w:rPr>
              <w:t>0.959</w:t>
            </w:r>
          </w:p>
        </w:tc>
        <w:tc>
          <w:tcPr>
            <w:tcW w:w="2394" w:type="dxa"/>
            <w:vAlign w:val="center"/>
          </w:tcPr>
          <w:p w14:paraId="55955625" w14:textId="77777777" w:rsidR="008462A1" w:rsidRPr="003744A7" w:rsidRDefault="008462A1" w:rsidP="00716F7A">
            <w:pPr>
              <w:jc w:val="center"/>
              <w:rPr>
                <w:sz w:val="24"/>
              </w:rPr>
            </w:pPr>
            <w:r>
              <w:rPr>
                <w:sz w:val="24"/>
              </w:rPr>
              <w:t>Very high competence</w:t>
            </w:r>
          </w:p>
        </w:tc>
      </w:tr>
      <w:tr w:rsidR="008462A1" w:rsidRPr="003744A7" w14:paraId="57410CAB" w14:textId="77777777" w:rsidTr="00E55CE5">
        <w:tc>
          <w:tcPr>
            <w:tcW w:w="5382" w:type="dxa"/>
          </w:tcPr>
          <w:p w14:paraId="4ACA5893" w14:textId="77777777" w:rsidR="008462A1" w:rsidRPr="003744A7" w:rsidRDefault="008462A1" w:rsidP="00716F7A">
            <w:pPr>
              <w:rPr>
                <w:sz w:val="24"/>
              </w:rPr>
            </w:pPr>
            <w:r w:rsidRPr="006C36B5">
              <w:rPr>
                <w:bCs/>
                <w:sz w:val="24"/>
              </w:rPr>
              <w:t>14. Performing procedures with skill</w:t>
            </w:r>
          </w:p>
        </w:tc>
        <w:tc>
          <w:tcPr>
            <w:tcW w:w="850" w:type="dxa"/>
            <w:vAlign w:val="center"/>
          </w:tcPr>
          <w:p w14:paraId="4FB4E036" w14:textId="77777777" w:rsidR="008462A1" w:rsidRPr="0067669D" w:rsidRDefault="008462A1" w:rsidP="00716F7A">
            <w:pPr>
              <w:spacing w:line="320" w:lineRule="atLeast"/>
              <w:jc w:val="center"/>
              <w:rPr>
                <w:sz w:val="24"/>
                <w:szCs w:val="24"/>
              </w:rPr>
            </w:pPr>
            <w:r w:rsidRPr="0067669D">
              <w:rPr>
                <w:color w:val="000000"/>
                <w:sz w:val="24"/>
                <w:szCs w:val="24"/>
              </w:rPr>
              <w:t>4.94</w:t>
            </w:r>
          </w:p>
        </w:tc>
        <w:tc>
          <w:tcPr>
            <w:tcW w:w="756" w:type="dxa"/>
            <w:vAlign w:val="center"/>
          </w:tcPr>
          <w:p w14:paraId="690A452A" w14:textId="77777777" w:rsidR="008462A1" w:rsidRPr="0067669D" w:rsidRDefault="008462A1" w:rsidP="00716F7A">
            <w:pPr>
              <w:spacing w:line="320" w:lineRule="atLeast"/>
              <w:jc w:val="center"/>
              <w:rPr>
                <w:sz w:val="24"/>
                <w:szCs w:val="24"/>
              </w:rPr>
            </w:pPr>
            <w:r w:rsidRPr="0067669D">
              <w:rPr>
                <w:color w:val="000000"/>
                <w:sz w:val="24"/>
                <w:szCs w:val="24"/>
              </w:rPr>
              <w:t>0.953</w:t>
            </w:r>
          </w:p>
        </w:tc>
        <w:tc>
          <w:tcPr>
            <w:tcW w:w="2394" w:type="dxa"/>
            <w:vAlign w:val="center"/>
          </w:tcPr>
          <w:p w14:paraId="4A0C5C63" w14:textId="77777777" w:rsidR="008462A1" w:rsidRPr="003744A7" w:rsidRDefault="008462A1" w:rsidP="00716F7A">
            <w:pPr>
              <w:jc w:val="center"/>
              <w:rPr>
                <w:sz w:val="24"/>
              </w:rPr>
            </w:pPr>
            <w:r>
              <w:rPr>
                <w:sz w:val="24"/>
              </w:rPr>
              <w:t>High competence</w:t>
            </w:r>
          </w:p>
        </w:tc>
      </w:tr>
      <w:tr w:rsidR="008462A1" w:rsidRPr="003744A7" w14:paraId="76A79981" w14:textId="77777777" w:rsidTr="00E55CE5">
        <w:tc>
          <w:tcPr>
            <w:tcW w:w="5382" w:type="dxa"/>
          </w:tcPr>
          <w:p w14:paraId="758FD9A1" w14:textId="77777777" w:rsidR="008462A1" w:rsidRPr="003744A7" w:rsidRDefault="008462A1" w:rsidP="00716F7A">
            <w:pPr>
              <w:rPr>
                <w:sz w:val="24"/>
              </w:rPr>
            </w:pPr>
            <w:r w:rsidRPr="006C36B5">
              <w:rPr>
                <w:bCs/>
                <w:sz w:val="24"/>
              </w:rPr>
              <w:lastRenderedPageBreak/>
              <w:t>15. Preventing complications</w:t>
            </w:r>
          </w:p>
        </w:tc>
        <w:tc>
          <w:tcPr>
            <w:tcW w:w="850" w:type="dxa"/>
            <w:vAlign w:val="center"/>
          </w:tcPr>
          <w:p w14:paraId="2A9CE9B4" w14:textId="77777777" w:rsidR="008462A1" w:rsidRPr="0067669D" w:rsidRDefault="008462A1" w:rsidP="00716F7A">
            <w:pPr>
              <w:spacing w:line="320" w:lineRule="atLeast"/>
              <w:jc w:val="center"/>
              <w:rPr>
                <w:sz w:val="24"/>
                <w:szCs w:val="24"/>
              </w:rPr>
            </w:pPr>
            <w:r w:rsidRPr="0067669D">
              <w:rPr>
                <w:color w:val="000000"/>
                <w:sz w:val="24"/>
                <w:szCs w:val="24"/>
              </w:rPr>
              <w:t>4.87</w:t>
            </w:r>
          </w:p>
        </w:tc>
        <w:tc>
          <w:tcPr>
            <w:tcW w:w="756" w:type="dxa"/>
            <w:vAlign w:val="center"/>
          </w:tcPr>
          <w:p w14:paraId="60BE6DBD" w14:textId="77777777" w:rsidR="008462A1" w:rsidRPr="0067669D" w:rsidRDefault="008462A1" w:rsidP="00716F7A">
            <w:pPr>
              <w:spacing w:line="320" w:lineRule="atLeast"/>
              <w:jc w:val="center"/>
              <w:rPr>
                <w:sz w:val="24"/>
                <w:szCs w:val="24"/>
              </w:rPr>
            </w:pPr>
            <w:r w:rsidRPr="0067669D">
              <w:rPr>
                <w:color w:val="000000"/>
                <w:sz w:val="24"/>
                <w:szCs w:val="24"/>
              </w:rPr>
              <w:t>1.023</w:t>
            </w:r>
          </w:p>
        </w:tc>
        <w:tc>
          <w:tcPr>
            <w:tcW w:w="2394" w:type="dxa"/>
            <w:vAlign w:val="center"/>
          </w:tcPr>
          <w:p w14:paraId="0484D337" w14:textId="77777777" w:rsidR="008462A1" w:rsidRPr="003744A7" w:rsidRDefault="008462A1" w:rsidP="00716F7A">
            <w:pPr>
              <w:jc w:val="center"/>
              <w:rPr>
                <w:sz w:val="24"/>
              </w:rPr>
            </w:pPr>
            <w:r>
              <w:rPr>
                <w:sz w:val="24"/>
              </w:rPr>
              <w:t>High competence</w:t>
            </w:r>
          </w:p>
        </w:tc>
      </w:tr>
      <w:tr w:rsidR="008462A1" w:rsidRPr="003744A7" w14:paraId="1497AE04" w14:textId="77777777" w:rsidTr="00E55CE5">
        <w:tc>
          <w:tcPr>
            <w:tcW w:w="5382" w:type="dxa"/>
          </w:tcPr>
          <w:p w14:paraId="16B8D05E" w14:textId="77777777" w:rsidR="008462A1" w:rsidRPr="003744A7" w:rsidRDefault="008462A1" w:rsidP="00716F7A">
            <w:pPr>
              <w:jc w:val="right"/>
              <w:rPr>
                <w:sz w:val="24"/>
              </w:rPr>
            </w:pPr>
            <w:r w:rsidRPr="006C36B5">
              <w:rPr>
                <w:bCs/>
                <w:sz w:val="24"/>
              </w:rPr>
              <w:t>Factor mean</w:t>
            </w:r>
          </w:p>
        </w:tc>
        <w:tc>
          <w:tcPr>
            <w:tcW w:w="850" w:type="dxa"/>
            <w:vAlign w:val="center"/>
          </w:tcPr>
          <w:p w14:paraId="4B1E6C35" w14:textId="77777777" w:rsidR="008462A1" w:rsidRPr="0067669D" w:rsidRDefault="008462A1" w:rsidP="00716F7A">
            <w:pPr>
              <w:spacing w:line="320" w:lineRule="atLeast"/>
              <w:jc w:val="center"/>
              <w:rPr>
                <w:sz w:val="24"/>
                <w:szCs w:val="24"/>
              </w:rPr>
            </w:pPr>
            <w:r w:rsidRPr="0067669D">
              <w:rPr>
                <w:color w:val="000000"/>
                <w:sz w:val="24"/>
                <w:szCs w:val="24"/>
              </w:rPr>
              <w:t>5.01</w:t>
            </w:r>
          </w:p>
        </w:tc>
        <w:tc>
          <w:tcPr>
            <w:tcW w:w="756" w:type="dxa"/>
            <w:vAlign w:val="center"/>
          </w:tcPr>
          <w:p w14:paraId="692A00B9" w14:textId="77777777" w:rsidR="008462A1" w:rsidRPr="0067669D" w:rsidRDefault="008462A1" w:rsidP="00716F7A">
            <w:pPr>
              <w:spacing w:line="320" w:lineRule="atLeast"/>
              <w:jc w:val="center"/>
              <w:rPr>
                <w:sz w:val="24"/>
                <w:szCs w:val="24"/>
              </w:rPr>
            </w:pPr>
            <w:r w:rsidRPr="0067669D">
              <w:rPr>
                <w:color w:val="000000"/>
                <w:sz w:val="24"/>
                <w:szCs w:val="24"/>
              </w:rPr>
              <w:t>0.903</w:t>
            </w:r>
          </w:p>
        </w:tc>
        <w:tc>
          <w:tcPr>
            <w:tcW w:w="2394" w:type="dxa"/>
            <w:vAlign w:val="center"/>
          </w:tcPr>
          <w:p w14:paraId="0B6AA063" w14:textId="77777777" w:rsidR="008462A1" w:rsidRPr="003744A7" w:rsidRDefault="008462A1" w:rsidP="00716F7A">
            <w:pPr>
              <w:jc w:val="center"/>
              <w:rPr>
                <w:sz w:val="24"/>
              </w:rPr>
            </w:pPr>
            <w:r>
              <w:rPr>
                <w:sz w:val="24"/>
              </w:rPr>
              <w:t>High competence</w:t>
            </w:r>
          </w:p>
        </w:tc>
      </w:tr>
      <w:tr w:rsidR="008462A1" w:rsidRPr="003744A7" w14:paraId="6A5EBFE9" w14:textId="77777777" w:rsidTr="00E55CE5">
        <w:tc>
          <w:tcPr>
            <w:tcW w:w="5382" w:type="dxa"/>
          </w:tcPr>
          <w:p w14:paraId="19FB7DD6" w14:textId="77777777" w:rsidR="008462A1" w:rsidRPr="003744A7" w:rsidRDefault="008462A1" w:rsidP="00716F7A">
            <w:pPr>
              <w:rPr>
                <w:sz w:val="24"/>
              </w:rPr>
            </w:pPr>
            <w:r w:rsidRPr="006C36B5">
              <w:rPr>
                <w:bCs/>
                <w:sz w:val="24"/>
              </w:rPr>
              <w:t>Ensuring Quality</w:t>
            </w:r>
          </w:p>
        </w:tc>
        <w:tc>
          <w:tcPr>
            <w:tcW w:w="850" w:type="dxa"/>
            <w:vAlign w:val="center"/>
          </w:tcPr>
          <w:p w14:paraId="60173EED" w14:textId="77777777" w:rsidR="008462A1" w:rsidRPr="0067669D" w:rsidRDefault="008462A1" w:rsidP="00716F7A">
            <w:pPr>
              <w:spacing w:line="320" w:lineRule="atLeast"/>
              <w:jc w:val="center"/>
              <w:rPr>
                <w:sz w:val="24"/>
                <w:szCs w:val="24"/>
              </w:rPr>
            </w:pPr>
            <w:r w:rsidRPr="0067669D">
              <w:rPr>
                <w:color w:val="000000"/>
                <w:sz w:val="24"/>
                <w:szCs w:val="24"/>
              </w:rPr>
              <w:t> </w:t>
            </w:r>
          </w:p>
        </w:tc>
        <w:tc>
          <w:tcPr>
            <w:tcW w:w="756" w:type="dxa"/>
            <w:vAlign w:val="center"/>
          </w:tcPr>
          <w:p w14:paraId="76D5EF2C" w14:textId="77777777" w:rsidR="008462A1" w:rsidRPr="0067669D" w:rsidRDefault="008462A1" w:rsidP="00716F7A">
            <w:pPr>
              <w:spacing w:line="320" w:lineRule="atLeast"/>
              <w:jc w:val="center"/>
              <w:rPr>
                <w:sz w:val="24"/>
                <w:szCs w:val="24"/>
              </w:rPr>
            </w:pPr>
            <w:r w:rsidRPr="0067669D">
              <w:rPr>
                <w:color w:val="000000"/>
                <w:sz w:val="24"/>
                <w:szCs w:val="24"/>
              </w:rPr>
              <w:t> </w:t>
            </w:r>
          </w:p>
        </w:tc>
        <w:tc>
          <w:tcPr>
            <w:tcW w:w="2394" w:type="dxa"/>
            <w:vAlign w:val="center"/>
          </w:tcPr>
          <w:p w14:paraId="08456C77" w14:textId="77777777" w:rsidR="008462A1" w:rsidRPr="003744A7" w:rsidRDefault="008462A1" w:rsidP="00716F7A">
            <w:pPr>
              <w:jc w:val="center"/>
              <w:rPr>
                <w:sz w:val="24"/>
              </w:rPr>
            </w:pPr>
          </w:p>
        </w:tc>
      </w:tr>
      <w:tr w:rsidR="008462A1" w:rsidRPr="003744A7" w14:paraId="7E02428E" w14:textId="77777777" w:rsidTr="00E55CE5">
        <w:tc>
          <w:tcPr>
            <w:tcW w:w="5382" w:type="dxa"/>
          </w:tcPr>
          <w:p w14:paraId="4FF52DB4" w14:textId="77777777" w:rsidR="008462A1" w:rsidRPr="003744A7" w:rsidRDefault="008462A1" w:rsidP="00716F7A">
            <w:pPr>
              <w:rPr>
                <w:sz w:val="24"/>
              </w:rPr>
            </w:pPr>
            <w:r w:rsidRPr="006C36B5">
              <w:rPr>
                <w:bCs/>
                <w:sz w:val="24"/>
              </w:rPr>
              <w:t>16. Following standards and protocols</w:t>
            </w:r>
          </w:p>
        </w:tc>
        <w:tc>
          <w:tcPr>
            <w:tcW w:w="850" w:type="dxa"/>
            <w:vAlign w:val="center"/>
          </w:tcPr>
          <w:p w14:paraId="0BE726FD" w14:textId="77777777" w:rsidR="008462A1" w:rsidRPr="0067669D" w:rsidRDefault="008462A1" w:rsidP="00716F7A">
            <w:pPr>
              <w:spacing w:line="320" w:lineRule="atLeast"/>
              <w:jc w:val="center"/>
              <w:rPr>
                <w:sz w:val="24"/>
                <w:szCs w:val="24"/>
              </w:rPr>
            </w:pPr>
            <w:r w:rsidRPr="0067669D">
              <w:rPr>
                <w:color w:val="000000"/>
                <w:sz w:val="24"/>
                <w:szCs w:val="24"/>
              </w:rPr>
              <w:t>5.19</w:t>
            </w:r>
          </w:p>
        </w:tc>
        <w:tc>
          <w:tcPr>
            <w:tcW w:w="756" w:type="dxa"/>
            <w:vAlign w:val="center"/>
          </w:tcPr>
          <w:p w14:paraId="3DCF6E29" w14:textId="77777777" w:rsidR="008462A1" w:rsidRPr="0067669D" w:rsidRDefault="008462A1" w:rsidP="00716F7A">
            <w:pPr>
              <w:spacing w:line="320" w:lineRule="atLeast"/>
              <w:jc w:val="center"/>
              <w:rPr>
                <w:sz w:val="24"/>
                <w:szCs w:val="24"/>
              </w:rPr>
            </w:pPr>
            <w:r w:rsidRPr="0067669D">
              <w:rPr>
                <w:color w:val="000000"/>
                <w:sz w:val="24"/>
                <w:szCs w:val="24"/>
              </w:rPr>
              <w:t>0.969</w:t>
            </w:r>
          </w:p>
        </w:tc>
        <w:tc>
          <w:tcPr>
            <w:tcW w:w="2394" w:type="dxa"/>
            <w:vAlign w:val="center"/>
          </w:tcPr>
          <w:p w14:paraId="59C1E1DA" w14:textId="77777777" w:rsidR="008462A1" w:rsidRPr="003744A7" w:rsidRDefault="008462A1" w:rsidP="00716F7A">
            <w:pPr>
              <w:jc w:val="center"/>
              <w:rPr>
                <w:sz w:val="24"/>
              </w:rPr>
            </w:pPr>
            <w:r>
              <w:rPr>
                <w:sz w:val="24"/>
              </w:rPr>
              <w:t>Very high competence</w:t>
            </w:r>
          </w:p>
        </w:tc>
      </w:tr>
      <w:tr w:rsidR="008462A1" w:rsidRPr="003744A7" w14:paraId="5727D7E3" w14:textId="77777777" w:rsidTr="00E55CE5">
        <w:tc>
          <w:tcPr>
            <w:tcW w:w="5382" w:type="dxa"/>
          </w:tcPr>
          <w:p w14:paraId="37C04409" w14:textId="77777777" w:rsidR="008462A1" w:rsidRPr="003744A7" w:rsidRDefault="008462A1" w:rsidP="00716F7A">
            <w:pPr>
              <w:rPr>
                <w:sz w:val="24"/>
              </w:rPr>
            </w:pPr>
            <w:r w:rsidRPr="006C36B5">
              <w:rPr>
                <w:bCs/>
                <w:sz w:val="24"/>
              </w:rPr>
              <w:t>17. Identifying areas for improvement</w:t>
            </w:r>
          </w:p>
        </w:tc>
        <w:tc>
          <w:tcPr>
            <w:tcW w:w="850" w:type="dxa"/>
            <w:vAlign w:val="center"/>
          </w:tcPr>
          <w:p w14:paraId="65FEF03F" w14:textId="77777777" w:rsidR="008462A1" w:rsidRPr="0067669D" w:rsidRDefault="008462A1" w:rsidP="00716F7A">
            <w:pPr>
              <w:spacing w:line="320" w:lineRule="atLeast"/>
              <w:jc w:val="center"/>
              <w:rPr>
                <w:sz w:val="24"/>
                <w:szCs w:val="24"/>
              </w:rPr>
            </w:pPr>
            <w:r w:rsidRPr="0067669D">
              <w:rPr>
                <w:color w:val="000000"/>
                <w:sz w:val="24"/>
                <w:szCs w:val="24"/>
              </w:rPr>
              <w:t>5.02</w:t>
            </w:r>
          </w:p>
        </w:tc>
        <w:tc>
          <w:tcPr>
            <w:tcW w:w="756" w:type="dxa"/>
            <w:vAlign w:val="center"/>
          </w:tcPr>
          <w:p w14:paraId="00539F12" w14:textId="77777777" w:rsidR="008462A1" w:rsidRPr="0067669D" w:rsidRDefault="008462A1" w:rsidP="00716F7A">
            <w:pPr>
              <w:spacing w:line="320" w:lineRule="atLeast"/>
              <w:jc w:val="center"/>
              <w:rPr>
                <w:sz w:val="24"/>
                <w:szCs w:val="24"/>
              </w:rPr>
            </w:pPr>
            <w:r w:rsidRPr="0067669D">
              <w:rPr>
                <w:color w:val="000000"/>
                <w:sz w:val="24"/>
                <w:szCs w:val="24"/>
              </w:rPr>
              <w:t>0.967</w:t>
            </w:r>
          </w:p>
        </w:tc>
        <w:tc>
          <w:tcPr>
            <w:tcW w:w="2394" w:type="dxa"/>
            <w:vAlign w:val="center"/>
          </w:tcPr>
          <w:p w14:paraId="230A2485" w14:textId="77777777" w:rsidR="008462A1" w:rsidRPr="003744A7" w:rsidRDefault="008462A1" w:rsidP="00716F7A">
            <w:pPr>
              <w:jc w:val="center"/>
              <w:rPr>
                <w:sz w:val="24"/>
              </w:rPr>
            </w:pPr>
            <w:r>
              <w:rPr>
                <w:sz w:val="24"/>
              </w:rPr>
              <w:t>High competence</w:t>
            </w:r>
          </w:p>
        </w:tc>
      </w:tr>
      <w:tr w:rsidR="008462A1" w:rsidRPr="003744A7" w14:paraId="77FCC75D" w14:textId="77777777" w:rsidTr="00E55CE5">
        <w:tc>
          <w:tcPr>
            <w:tcW w:w="5382" w:type="dxa"/>
          </w:tcPr>
          <w:p w14:paraId="2E91F1F6" w14:textId="77777777" w:rsidR="008462A1" w:rsidRPr="003744A7" w:rsidRDefault="008462A1" w:rsidP="00716F7A">
            <w:pPr>
              <w:rPr>
                <w:sz w:val="24"/>
              </w:rPr>
            </w:pPr>
            <w:r w:rsidRPr="006C36B5">
              <w:rPr>
                <w:bCs/>
                <w:sz w:val="24"/>
              </w:rPr>
              <w:t>18. Reporting errors or incidents responsibly</w:t>
            </w:r>
          </w:p>
        </w:tc>
        <w:tc>
          <w:tcPr>
            <w:tcW w:w="850" w:type="dxa"/>
            <w:vAlign w:val="center"/>
          </w:tcPr>
          <w:p w14:paraId="2FFC43AF" w14:textId="77777777" w:rsidR="008462A1" w:rsidRPr="0067669D" w:rsidRDefault="008462A1" w:rsidP="00716F7A">
            <w:pPr>
              <w:spacing w:line="320" w:lineRule="atLeast"/>
              <w:jc w:val="center"/>
              <w:rPr>
                <w:sz w:val="24"/>
                <w:szCs w:val="24"/>
              </w:rPr>
            </w:pPr>
            <w:r w:rsidRPr="0067669D">
              <w:rPr>
                <w:color w:val="000000"/>
                <w:sz w:val="24"/>
                <w:szCs w:val="24"/>
              </w:rPr>
              <w:t>5.06</w:t>
            </w:r>
          </w:p>
        </w:tc>
        <w:tc>
          <w:tcPr>
            <w:tcW w:w="756" w:type="dxa"/>
            <w:vAlign w:val="center"/>
          </w:tcPr>
          <w:p w14:paraId="7BBD57D4" w14:textId="77777777" w:rsidR="008462A1" w:rsidRPr="0067669D" w:rsidRDefault="008462A1" w:rsidP="00716F7A">
            <w:pPr>
              <w:spacing w:line="320" w:lineRule="atLeast"/>
              <w:jc w:val="center"/>
              <w:rPr>
                <w:sz w:val="24"/>
                <w:szCs w:val="24"/>
              </w:rPr>
            </w:pPr>
            <w:r w:rsidRPr="0067669D">
              <w:rPr>
                <w:color w:val="000000"/>
                <w:sz w:val="24"/>
                <w:szCs w:val="24"/>
              </w:rPr>
              <w:t>1.049</w:t>
            </w:r>
          </w:p>
        </w:tc>
        <w:tc>
          <w:tcPr>
            <w:tcW w:w="2394" w:type="dxa"/>
            <w:vAlign w:val="center"/>
          </w:tcPr>
          <w:p w14:paraId="29DF5641" w14:textId="77777777" w:rsidR="008462A1" w:rsidRPr="003744A7" w:rsidRDefault="008462A1" w:rsidP="00716F7A">
            <w:pPr>
              <w:jc w:val="center"/>
              <w:rPr>
                <w:sz w:val="24"/>
              </w:rPr>
            </w:pPr>
            <w:r>
              <w:rPr>
                <w:sz w:val="24"/>
              </w:rPr>
              <w:t>High competence</w:t>
            </w:r>
          </w:p>
        </w:tc>
      </w:tr>
      <w:tr w:rsidR="008462A1" w:rsidRPr="003744A7" w14:paraId="03863F65" w14:textId="77777777" w:rsidTr="00E55CE5">
        <w:tc>
          <w:tcPr>
            <w:tcW w:w="5382" w:type="dxa"/>
          </w:tcPr>
          <w:p w14:paraId="37792D20" w14:textId="77777777" w:rsidR="008462A1" w:rsidRPr="003744A7" w:rsidRDefault="008462A1" w:rsidP="00716F7A">
            <w:pPr>
              <w:jc w:val="right"/>
              <w:rPr>
                <w:sz w:val="24"/>
              </w:rPr>
            </w:pPr>
            <w:r w:rsidRPr="006C36B5">
              <w:rPr>
                <w:bCs/>
                <w:sz w:val="24"/>
              </w:rPr>
              <w:t>Factor mean</w:t>
            </w:r>
          </w:p>
        </w:tc>
        <w:tc>
          <w:tcPr>
            <w:tcW w:w="850" w:type="dxa"/>
            <w:vAlign w:val="center"/>
          </w:tcPr>
          <w:p w14:paraId="3EC505A8" w14:textId="77777777" w:rsidR="008462A1" w:rsidRPr="0067669D" w:rsidRDefault="008462A1" w:rsidP="00716F7A">
            <w:pPr>
              <w:spacing w:line="320" w:lineRule="atLeast"/>
              <w:jc w:val="center"/>
              <w:rPr>
                <w:sz w:val="24"/>
                <w:szCs w:val="24"/>
              </w:rPr>
            </w:pPr>
            <w:r w:rsidRPr="0067669D">
              <w:rPr>
                <w:color w:val="000000"/>
                <w:sz w:val="24"/>
                <w:szCs w:val="24"/>
              </w:rPr>
              <w:t>5.09</w:t>
            </w:r>
          </w:p>
        </w:tc>
        <w:tc>
          <w:tcPr>
            <w:tcW w:w="756" w:type="dxa"/>
            <w:vAlign w:val="center"/>
          </w:tcPr>
          <w:p w14:paraId="2776E07D" w14:textId="77777777" w:rsidR="008462A1" w:rsidRPr="0067669D" w:rsidRDefault="008462A1" w:rsidP="00716F7A">
            <w:pPr>
              <w:spacing w:line="320" w:lineRule="atLeast"/>
              <w:jc w:val="center"/>
              <w:rPr>
                <w:sz w:val="24"/>
                <w:szCs w:val="24"/>
              </w:rPr>
            </w:pPr>
            <w:r w:rsidRPr="0067669D">
              <w:rPr>
                <w:color w:val="000000"/>
                <w:sz w:val="24"/>
                <w:szCs w:val="24"/>
              </w:rPr>
              <w:t>0.921</w:t>
            </w:r>
          </w:p>
        </w:tc>
        <w:tc>
          <w:tcPr>
            <w:tcW w:w="2394" w:type="dxa"/>
            <w:vAlign w:val="center"/>
          </w:tcPr>
          <w:p w14:paraId="168EE8D0" w14:textId="77777777" w:rsidR="008462A1" w:rsidRPr="003744A7" w:rsidRDefault="008462A1" w:rsidP="00716F7A">
            <w:pPr>
              <w:jc w:val="center"/>
              <w:rPr>
                <w:sz w:val="24"/>
              </w:rPr>
            </w:pPr>
            <w:r>
              <w:rPr>
                <w:sz w:val="24"/>
              </w:rPr>
              <w:t>High competence</w:t>
            </w:r>
          </w:p>
        </w:tc>
      </w:tr>
      <w:tr w:rsidR="008462A1" w:rsidRPr="003744A7" w14:paraId="21DB41BB" w14:textId="77777777" w:rsidTr="00E55CE5">
        <w:tc>
          <w:tcPr>
            <w:tcW w:w="5382" w:type="dxa"/>
          </w:tcPr>
          <w:p w14:paraId="503AB246" w14:textId="77777777" w:rsidR="008462A1" w:rsidRPr="003744A7" w:rsidRDefault="008462A1" w:rsidP="00716F7A">
            <w:pPr>
              <w:rPr>
                <w:sz w:val="24"/>
              </w:rPr>
            </w:pPr>
            <w:r w:rsidRPr="006C36B5">
              <w:rPr>
                <w:bCs/>
                <w:sz w:val="24"/>
              </w:rPr>
              <w:t>Work Role</w:t>
            </w:r>
          </w:p>
        </w:tc>
        <w:tc>
          <w:tcPr>
            <w:tcW w:w="850" w:type="dxa"/>
            <w:vAlign w:val="center"/>
          </w:tcPr>
          <w:p w14:paraId="76D60430" w14:textId="77777777" w:rsidR="008462A1" w:rsidRPr="0067669D" w:rsidRDefault="008462A1" w:rsidP="00716F7A">
            <w:pPr>
              <w:spacing w:line="320" w:lineRule="atLeast"/>
              <w:jc w:val="center"/>
              <w:rPr>
                <w:sz w:val="24"/>
                <w:szCs w:val="24"/>
              </w:rPr>
            </w:pPr>
            <w:r w:rsidRPr="0067669D">
              <w:rPr>
                <w:color w:val="000000"/>
                <w:sz w:val="24"/>
                <w:szCs w:val="24"/>
              </w:rPr>
              <w:t> </w:t>
            </w:r>
          </w:p>
        </w:tc>
        <w:tc>
          <w:tcPr>
            <w:tcW w:w="756" w:type="dxa"/>
            <w:vAlign w:val="center"/>
          </w:tcPr>
          <w:p w14:paraId="0B6BA0B3" w14:textId="77777777" w:rsidR="008462A1" w:rsidRPr="0067669D" w:rsidRDefault="008462A1" w:rsidP="00716F7A">
            <w:pPr>
              <w:spacing w:line="320" w:lineRule="atLeast"/>
              <w:jc w:val="center"/>
              <w:rPr>
                <w:sz w:val="24"/>
                <w:szCs w:val="24"/>
              </w:rPr>
            </w:pPr>
            <w:r w:rsidRPr="0067669D">
              <w:rPr>
                <w:color w:val="000000"/>
                <w:sz w:val="24"/>
                <w:szCs w:val="24"/>
              </w:rPr>
              <w:t> </w:t>
            </w:r>
          </w:p>
        </w:tc>
        <w:tc>
          <w:tcPr>
            <w:tcW w:w="2394" w:type="dxa"/>
            <w:vAlign w:val="center"/>
          </w:tcPr>
          <w:p w14:paraId="3B009EDC" w14:textId="77777777" w:rsidR="008462A1" w:rsidRPr="003744A7" w:rsidRDefault="008462A1" w:rsidP="00716F7A">
            <w:pPr>
              <w:jc w:val="center"/>
              <w:rPr>
                <w:sz w:val="24"/>
              </w:rPr>
            </w:pPr>
          </w:p>
        </w:tc>
      </w:tr>
      <w:tr w:rsidR="008462A1" w:rsidRPr="003744A7" w14:paraId="157C3EBE" w14:textId="77777777" w:rsidTr="00E55CE5">
        <w:tc>
          <w:tcPr>
            <w:tcW w:w="5382" w:type="dxa"/>
          </w:tcPr>
          <w:p w14:paraId="7375544F" w14:textId="77777777" w:rsidR="008462A1" w:rsidRPr="003744A7" w:rsidRDefault="008462A1" w:rsidP="00716F7A">
            <w:pPr>
              <w:rPr>
                <w:sz w:val="24"/>
              </w:rPr>
            </w:pPr>
            <w:r w:rsidRPr="006C36B5">
              <w:rPr>
                <w:bCs/>
                <w:sz w:val="24"/>
              </w:rPr>
              <w:t>19. Collaborating with other healthcare professionals</w:t>
            </w:r>
          </w:p>
        </w:tc>
        <w:tc>
          <w:tcPr>
            <w:tcW w:w="850" w:type="dxa"/>
            <w:vAlign w:val="center"/>
          </w:tcPr>
          <w:p w14:paraId="77304F6F" w14:textId="77777777" w:rsidR="008462A1" w:rsidRPr="0067669D" w:rsidRDefault="008462A1" w:rsidP="00716F7A">
            <w:pPr>
              <w:spacing w:line="320" w:lineRule="atLeast"/>
              <w:jc w:val="center"/>
              <w:rPr>
                <w:sz w:val="24"/>
                <w:szCs w:val="24"/>
              </w:rPr>
            </w:pPr>
            <w:r w:rsidRPr="0067669D">
              <w:rPr>
                <w:color w:val="000000"/>
                <w:sz w:val="24"/>
                <w:szCs w:val="24"/>
              </w:rPr>
              <w:t>5.03</w:t>
            </w:r>
          </w:p>
        </w:tc>
        <w:tc>
          <w:tcPr>
            <w:tcW w:w="756" w:type="dxa"/>
            <w:vAlign w:val="center"/>
          </w:tcPr>
          <w:p w14:paraId="13645588" w14:textId="77777777" w:rsidR="008462A1" w:rsidRPr="0067669D" w:rsidRDefault="008462A1" w:rsidP="00716F7A">
            <w:pPr>
              <w:spacing w:line="320" w:lineRule="atLeast"/>
              <w:jc w:val="center"/>
              <w:rPr>
                <w:sz w:val="24"/>
                <w:szCs w:val="24"/>
              </w:rPr>
            </w:pPr>
            <w:r w:rsidRPr="0067669D">
              <w:rPr>
                <w:color w:val="000000"/>
                <w:sz w:val="24"/>
                <w:szCs w:val="24"/>
              </w:rPr>
              <w:t>1.011</w:t>
            </w:r>
          </w:p>
        </w:tc>
        <w:tc>
          <w:tcPr>
            <w:tcW w:w="2394" w:type="dxa"/>
            <w:vAlign w:val="center"/>
          </w:tcPr>
          <w:p w14:paraId="0B31EDCB" w14:textId="77777777" w:rsidR="008462A1" w:rsidRPr="003744A7" w:rsidRDefault="008462A1" w:rsidP="00716F7A">
            <w:pPr>
              <w:jc w:val="center"/>
              <w:rPr>
                <w:sz w:val="24"/>
              </w:rPr>
            </w:pPr>
            <w:r>
              <w:rPr>
                <w:sz w:val="24"/>
              </w:rPr>
              <w:t>High competence</w:t>
            </w:r>
          </w:p>
        </w:tc>
      </w:tr>
      <w:tr w:rsidR="008462A1" w:rsidRPr="003744A7" w14:paraId="45277A95" w14:textId="77777777" w:rsidTr="00E55CE5">
        <w:tc>
          <w:tcPr>
            <w:tcW w:w="5382" w:type="dxa"/>
          </w:tcPr>
          <w:p w14:paraId="5A7FC920" w14:textId="77777777" w:rsidR="008462A1" w:rsidRPr="003744A7" w:rsidRDefault="008462A1" w:rsidP="00716F7A">
            <w:pPr>
              <w:rPr>
                <w:sz w:val="24"/>
              </w:rPr>
            </w:pPr>
            <w:r w:rsidRPr="006C36B5">
              <w:rPr>
                <w:bCs/>
                <w:sz w:val="24"/>
              </w:rPr>
              <w:t>20. Organizing and planning nursing care</w:t>
            </w:r>
          </w:p>
        </w:tc>
        <w:tc>
          <w:tcPr>
            <w:tcW w:w="850" w:type="dxa"/>
            <w:vAlign w:val="center"/>
          </w:tcPr>
          <w:p w14:paraId="7353C31D" w14:textId="77777777" w:rsidR="008462A1" w:rsidRPr="0067669D" w:rsidRDefault="008462A1" w:rsidP="00716F7A">
            <w:pPr>
              <w:spacing w:line="320" w:lineRule="atLeast"/>
              <w:jc w:val="center"/>
              <w:rPr>
                <w:sz w:val="24"/>
                <w:szCs w:val="24"/>
              </w:rPr>
            </w:pPr>
            <w:r w:rsidRPr="0067669D">
              <w:rPr>
                <w:color w:val="000000"/>
                <w:sz w:val="24"/>
                <w:szCs w:val="24"/>
              </w:rPr>
              <w:t>4.89</w:t>
            </w:r>
          </w:p>
        </w:tc>
        <w:tc>
          <w:tcPr>
            <w:tcW w:w="756" w:type="dxa"/>
            <w:vAlign w:val="center"/>
          </w:tcPr>
          <w:p w14:paraId="6F711E5A" w14:textId="77777777" w:rsidR="008462A1" w:rsidRPr="0067669D" w:rsidRDefault="008462A1" w:rsidP="00716F7A">
            <w:pPr>
              <w:spacing w:line="320" w:lineRule="atLeast"/>
              <w:jc w:val="center"/>
              <w:rPr>
                <w:sz w:val="24"/>
                <w:szCs w:val="24"/>
              </w:rPr>
            </w:pPr>
            <w:r w:rsidRPr="0067669D">
              <w:rPr>
                <w:color w:val="000000"/>
                <w:sz w:val="24"/>
                <w:szCs w:val="24"/>
              </w:rPr>
              <w:t>1.022</w:t>
            </w:r>
          </w:p>
        </w:tc>
        <w:tc>
          <w:tcPr>
            <w:tcW w:w="2394" w:type="dxa"/>
            <w:vAlign w:val="center"/>
          </w:tcPr>
          <w:p w14:paraId="61A65569" w14:textId="77777777" w:rsidR="008462A1" w:rsidRPr="003744A7" w:rsidRDefault="008462A1" w:rsidP="00716F7A">
            <w:pPr>
              <w:jc w:val="center"/>
              <w:rPr>
                <w:sz w:val="24"/>
              </w:rPr>
            </w:pPr>
            <w:r>
              <w:rPr>
                <w:sz w:val="24"/>
              </w:rPr>
              <w:t>High competence</w:t>
            </w:r>
          </w:p>
        </w:tc>
      </w:tr>
      <w:tr w:rsidR="008462A1" w:rsidRPr="003744A7" w14:paraId="4CBAB7CF" w14:textId="77777777" w:rsidTr="00E55CE5">
        <w:tc>
          <w:tcPr>
            <w:tcW w:w="5382" w:type="dxa"/>
          </w:tcPr>
          <w:p w14:paraId="16966D04" w14:textId="77777777" w:rsidR="008462A1" w:rsidRPr="003744A7" w:rsidRDefault="008462A1" w:rsidP="00716F7A">
            <w:pPr>
              <w:rPr>
                <w:sz w:val="24"/>
              </w:rPr>
            </w:pPr>
            <w:r w:rsidRPr="006C36B5">
              <w:rPr>
                <w:bCs/>
                <w:sz w:val="24"/>
              </w:rPr>
              <w:t>21. Engaging in professional development</w:t>
            </w:r>
          </w:p>
        </w:tc>
        <w:tc>
          <w:tcPr>
            <w:tcW w:w="850" w:type="dxa"/>
            <w:vAlign w:val="center"/>
          </w:tcPr>
          <w:p w14:paraId="23E0DF7D" w14:textId="77777777" w:rsidR="008462A1" w:rsidRPr="0067669D" w:rsidRDefault="008462A1" w:rsidP="00716F7A">
            <w:pPr>
              <w:spacing w:line="320" w:lineRule="atLeast"/>
              <w:jc w:val="center"/>
              <w:rPr>
                <w:sz w:val="24"/>
                <w:szCs w:val="24"/>
              </w:rPr>
            </w:pPr>
            <w:r w:rsidRPr="0067669D">
              <w:rPr>
                <w:color w:val="000000"/>
                <w:sz w:val="24"/>
                <w:szCs w:val="24"/>
              </w:rPr>
              <w:t>4.90</w:t>
            </w:r>
          </w:p>
        </w:tc>
        <w:tc>
          <w:tcPr>
            <w:tcW w:w="756" w:type="dxa"/>
            <w:vAlign w:val="center"/>
          </w:tcPr>
          <w:p w14:paraId="04EA7842" w14:textId="77777777" w:rsidR="008462A1" w:rsidRPr="0067669D" w:rsidRDefault="008462A1" w:rsidP="00716F7A">
            <w:pPr>
              <w:spacing w:line="320" w:lineRule="atLeast"/>
              <w:jc w:val="center"/>
              <w:rPr>
                <w:sz w:val="24"/>
                <w:szCs w:val="24"/>
              </w:rPr>
            </w:pPr>
            <w:r w:rsidRPr="0067669D">
              <w:rPr>
                <w:color w:val="000000"/>
                <w:sz w:val="24"/>
                <w:szCs w:val="24"/>
              </w:rPr>
              <w:t>1.003</w:t>
            </w:r>
          </w:p>
        </w:tc>
        <w:tc>
          <w:tcPr>
            <w:tcW w:w="2394" w:type="dxa"/>
            <w:vAlign w:val="center"/>
          </w:tcPr>
          <w:p w14:paraId="32143825" w14:textId="77777777" w:rsidR="008462A1" w:rsidRPr="003744A7" w:rsidRDefault="008462A1" w:rsidP="00716F7A">
            <w:pPr>
              <w:jc w:val="center"/>
              <w:rPr>
                <w:sz w:val="24"/>
              </w:rPr>
            </w:pPr>
            <w:r>
              <w:rPr>
                <w:sz w:val="24"/>
              </w:rPr>
              <w:t>High competence</w:t>
            </w:r>
          </w:p>
        </w:tc>
      </w:tr>
      <w:tr w:rsidR="008462A1" w:rsidRPr="003744A7" w14:paraId="5304FC7D" w14:textId="77777777" w:rsidTr="00E55CE5">
        <w:tc>
          <w:tcPr>
            <w:tcW w:w="5382" w:type="dxa"/>
          </w:tcPr>
          <w:p w14:paraId="322A6E45" w14:textId="77777777" w:rsidR="008462A1" w:rsidRPr="006C36B5" w:rsidRDefault="008462A1" w:rsidP="00716F7A">
            <w:pPr>
              <w:jc w:val="right"/>
              <w:rPr>
                <w:bCs/>
                <w:sz w:val="24"/>
              </w:rPr>
            </w:pPr>
            <w:r>
              <w:rPr>
                <w:bCs/>
                <w:sz w:val="24"/>
              </w:rPr>
              <w:t>Factor mean</w:t>
            </w:r>
          </w:p>
        </w:tc>
        <w:tc>
          <w:tcPr>
            <w:tcW w:w="850" w:type="dxa"/>
            <w:vAlign w:val="center"/>
          </w:tcPr>
          <w:p w14:paraId="20D52064" w14:textId="77777777" w:rsidR="008462A1" w:rsidRPr="0067669D" w:rsidRDefault="008462A1" w:rsidP="00716F7A">
            <w:pPr>
              <w:spacing w:line="320" w:lineRule="atLeast"/>
              <w:jc w:val="center"/>
              <w:rPr>
                <w:sz w:val="24"/>
                <w:szCs w:val="24"/>
              </w:rPr>
            </w:pPr>
            <w:r w:rsidRPr="0067669D">
              <w:rPr>
                <w:color w:val="000000"/>
                <w:sz w:val="24"/>
                <w:szCs w:val="24"/>
              </w:rPr>
              <w:t>4.94</w:t>
            </w:r>
          </w:p>
        </w:tc>
        <w:tc>
          <w:tcPr>
            <w:tcW w:w="756" w:type="dxa"/>
            <w:vAlign w:val="center"/>
          </w:tcPr>
          <w:p w14:paraId="2B484F35" w14:textId="77777777" w:rsidR="008462A1" w:rsidRPr="0067669D" w:rsidRDefault="008462A1" w:rsidP="00716F7A">
            <w:pPr>
              <w:spacing w:line="320" w:lineRule="atLeast"/>
              <w:jc w:val="center"/>
              <w:rPr>
                <w:sz w:val="24"/>
                <w:szCs w:val="24"/>
              </w:rPr>
            </w:pPr>
            <w:r w:rsidRPr="0067669D">
              <w:rPr>
                <w:color w:val="000000"/>
                <w:sz w:val="24"/>
                <w:szCs w:val="24"/>
              </w:rPr>
              <w:t>0.947</w:t>
            </w:r>
          </w:p>
        </w:tc>
        <w:tc>
          <w:tcPr>
            <w:tcW w:w="2394" w:type="dxa"/>
            <w:vAlign w:val="center"/>
          </w:tcPr>
          <w:p w14:paraId="1013648C" w14:textId="77777777" w:rsidR="008462A1" w:rsidRPr="003744A7" w:rsidRDefault="008462A1" w:rsidP="00716F7A">
            <w:pPr>
              <w:jc w:val="center"/>
              <w:rPr>
                <w:sz w:val="24"/>
              </w:rPr>
            </w:pPr>
            <w:r>
              <w:rPr>
                <w:sz w:val="24"/>
              </w:rPr>
              <w:t>High competence</w:t>
            </w:r>
          </w:p>
        </w:tc>
      </w:tr>
      <w:tr w:rsidR="008462A1" w:rsidRPr="003744A7" w14:paraId="45BB201B" w14:textId="77777777" w:rsidTr="00E55CE5">
        <w:tc>
          <w:tcPr>
            <w:tcW w:w="5382" w:type="dxa"/>
            <w:vAlign w:val="center"/>
          </w:tcPr>
          <w:p w14:paraId="01573901" w14:textId="77777777" w:rsidR="008462A1" w:rsidRPr="003744A7" w:rsidRDefault="008462A1" w:rsidP="00716F7A">
            <w:pPr>
              <w:jc w:val="right"/>
              <w:rPr>
                <w:sz w:val="24"/>
              </w:rPr>
            </w:pPr>
            <w:r>
              <w:rPr>
                <w:sz w:val="24"/>
              </w:rPr>
              <w:t>Grand mean</w:t>
            </w:r>
          </w:p>
        </w:tc>
        <w:tc>
          <w:tcPr>
            <w:tcW w:w="850" w:type="dxa"/>
            <w:vAlign w:val="center"/>
          </w:tcPr>
          <w:p w14:paraId="0A329CEE" w14:textId="77777777" w:rsidR="008462A1" w:rsidRPr="0067669D" w:rsidRDefault="008462A1" w:rsidP="00716F7A">
            <w:pPr>
              <w:spacing w:line="320" w:lineRule="atLeast"/>
              <w:jc w:val="center"/>
              <w:rPr>
                <w:sz w:val="24"/>
                <w:szCs w:val="24"/>
              </w:rPr>
            </w:pPr>
            <w:r w:rsidRPr="0067669D">
              <w:rPr>
                <w:color w:val="000000"/>
                <w:sz w:val="24"/>
                <w:szCs w:val="24"/>
              </w:rPr>
              <w:t>4.89</w:t>
            </w:r>
          </w:p>
        </w:tc>
        <w:tc>
          <w:tcPr>
            <w:tcW w:w="756" w:type="dxa"/>
            <w:vAlign w:val="center"/>
          </w:tcPr>
          <w:p w14:paraId="52BB0777" w14:textId="77777777" w:rsidR="008462A1" w:rsidRPr="0067669D" w:rsidRDefault="008462A1" w:rsidP="00716F7A">
            <w:pPr>
              <w:spacing w:line="320" w:lineRule="atLeast"/>
              <w:jc w:val="center"/>
              <w:rPr>
                <w:sz w:val="24"/>
                <w:szCs w:val="24"/>
              </w:rPr>
            </w:pPr>
            <w:r w:rsidRPr="0067669D">
              <w:rPr>
                <w:color w:val="000000"/>
                <w:sz w:val="24"/>
                <w:szCs w:val="24"/>
              </w:rPr>
              <w:t>0.828</w:t>
            </w:r>
          </w:p>
        </w:tc>
        <w:tc>
          <w:tcPr>
            <w:tcW w:w="2394" w:type="dxa"/>
            <w:vAlign w:val="center"/>
          </w:tcPr>
          <w:p w14:paraId="6C1A3DA0" w14:textId="77777777" w:rsidR="008462A1" w:rsidRPr="003744A7" w:rsidRDefault="008462A1" w:rsidP="00716F7A">
            <w:pPr>
              <w:jc w:val="center"/>
              <w:rPr>
                <w:sz w:val="24"/>
              </w:rPr>
            </w:pPr>
            <w:r>
              <w:rPr>
                <w:sz w:val="24"/>
              </w:rPr>
              <w:t>High competence</w:t>
            </w:r>
          </w:p>
        </w:tc>
      </w:tr>
    </w:tbl>
    <w:p w14:paraId="6479C4A3" w14:textId="76A0C089" w:rsidR="00D66518" w:rsidRPr="0015088E" w:rsidRDefault="00D66518" w:rsidP="00D66518">
      <w:pPr>
        <w:spacing w:line="229" w:lineRule="exact"/>
        <w:rPr>
          <w:iCs/>
          <w:sz w:val="20"/>
        </w:rPr>
      </w:pPr>
      <w:r w:rsidRPr="0015088E">
        <w:rPr>
          <w:iCs/>
          <w:sz w:val="20"/>
        </w:rPr>
        <w:t>Note.</w:t>
      </w:r>
      <w:r w:rsidRPr="0015088E">
        <w:rPr>
          <w:iCs/>
          <w:spacing w:val="-1"/>
          <w:sz w:val="20"/>
        </w:rPr>
        <w:t xml:space="preserve"> </w:t>
      </w:r>
      <w:r w:rsidRPr="0015088E">
        <w:rPr>
          <w:i/>
          <w:spacing w:val="-2"/>
          <w:sz w:val="20"/>
        </w:rPr>
        <w:t>n=</w:t>
      </w:r>
      <w:r w:rsidR="008462A1">
        <w:rPr>
          <w:i/>
          <w:spacing w:val="-2"/>
          <w:sz w:val="20"/>
        </w:rPr>
        <w:t>126</w:t>
      </w:r>
      <w:r w:rsidRPr="0015088E">
        <w:rPr>
          <w:i/>
          <w:spacing w:val="-2"/>
          <w:sz w:val="20"/>
        </w:rPr>
        <w:t>.</w:t>
      </w:r>
    </w:p>
    <w:p w14:paraId="7E2DDD91" w14:textId="77777777" w:rsidR="008462A1" w:rsidRDefault="008462A1" w:rsidP="00781E1E">
      <w:pPr>
        <w:spacing w:line="229" w:lineRule="exact"/>
        <w:rPr>
          <w:iCs/>
          <w:sz w:val="20"/>
        </w:rPr>
      </w:pPr>
    </w:p>
    <w:p w14:paraId="430B1714" w14:textId="4C2CEC2E" w:rsidR="00781E1E" w:rsidRDefault="00781E1E" w:rsidP="00781E1E">
      <w:pPr>
        <w:spacing w:line="229" w:lineRule="exact"/>
        <w:rPr>
          <w:sz w:val="20"/>
        </w:rPr>
      </w:pPr>
      <w:r w:rsidRPr="00781E1E">
        <w:rPr>
          <w:iCs/>
          <w:sz w:val="20"/>
        </w:rPr>
        <w:t xml:space="preserve">Legend: </w:t>
      </w:r>
      <w:r w:rsidR="008462A1" w:rsidRPr="0067669D">
        <w:rPr>
          <w:sz w:val="20"/>
        </w:rPr>
        <w:t>0</w:t>
      </w:r>
      <w:r w:rsidR="008462A1">
        <w:rPr>
          <w:sz w:val="20"/>
        </w:rPr>
        <w:t>.00 - 0.86 is</w:t>
      </w:r>
      <w:r w:rsidR="008462A1" w:rsidRPr="0067669D">
        <w:rPr>
          <w:sz w:val="20"/>
        </w:rPr>
        <w:t xml:space="preserve"> Very Low Competence</w:t>
      </w:r>
      <w:r w:rsidR="008462A1">
        <w:rPr>
          <w:sz w:val="20"/>
        </w:rPr>
        <w:t>, 0.87 – 1.72 is</w:t>
      </w:r>
      <w:r w:rsidR="008462A1" w:rsidRPr="0067669D">
        <w:rPr>
          <w:sz w:val="20"/>
        </w:rPr>
        <w:t xml:space="preserve"> Low Competence</w:t>
      </w:r>
      <w:r w:rsidR="008462A1">
        <w:rPr>
          <w:sz w:val="20"/>
        </w:rPr>
        <w:t xml:space="preserve">, 1.73 - 2.58 is </w:t>
      </w:r>
      <w:r w:rsidR="008462A1" w:rsidRPr="0067669D">
        <w:rPr>
          <w:sz w:val="20"/>
        </w:rPr>
        <w:t>Below Average</w:t>
      </w:r>
      <w:r w:rsidR="008462A1">
        <w:rPr>
          <w:sz w:val="20"/>
        </w:rPr>
        <w:t>, 2.59 – 3.44 is</w:t>
      </w:r>
      <w:r w:rsidR="008462A1" w:rsidRPr="0067669D">
        <w:rPr>
          <w:sz w:val="20"/>
        </w:rPr>
        <w:t xml:space="preserve"> Average</w:t>
      </w:r>
      <w:r w:rsidR="008462A1">
        <w:rPr>
          <w:sz w:val="20"/>
        </w:rPr>
        <w:t xml:space="preserve">, 3.45 – 4.30 is </w:t>
      </w:r>
      <w:r w:rsidR="008462A1" w:rsidRPr="0067669D">
        <w:rPr>
          <w:sz w:val="20"/>
        </w:rPr>
        <w:t>Above Average</w:t>
      </w:r>
      <w:r w:rsidR="008462A1">
        <w:rPr>
          <w:sz w:val="20"/>
        </w:rPr>
        <w:t>, 4.31 – 5.16 is</w:t>
      </w:r>
      <w:r w:rsidR="008462A1" w:rsidRPr="0067669D">
        <w:rPr>
          <w:sz w:val="20"/>
        </w:rPr>
        <w:t xml:space="preserve"> High Competence</w:t>
      </w:r>
      <w:r w:rsidR="008462A1">
        <w:rPr>
          <w:sz w:val="20"/>
        </w:rPr>
        <w:t xml:space="preserve">, and 5.62 – </w:t>
      </w:r>
      <w:r w:rsidR="008462A1" w:rsidRPr="0067669D">
        <w:rPr>
          <w:sz w:val="20"/>
        </w:rPr>
        <w:t>6</w:t>
      </w:r>
      <w:r w:rsidR="008462A1">
        <w:rPr>
          <w:sz w:val="20"/>
        </w:rPr>
        <w:t xml:space="preserve">.00 is </w:t>
      </w:r>
      <w:r w:rsidR="008462A1" w:rsidRPr="0067669D">
        <w:rPr>
          <w:sz w:val="20"/>
        </w:rPr>
        <w:t>Very High Competence</w:t>
      </w:r>
      <w:r w:rsidR="008462A1">
        <w:rPr>
          <w:sz w:val="20"/>
        </w:rPr>
        <w:t>.</w:t>
      </w:r>
    </w:p>
    <w:p w14:paraId="61513EAB" w14:textId="77777777" w:rsidR="008462A1" w:rsidRPr="0015088E" w:rsidRDefault="008462A1" w:rsidP="00781E1E">
      <w:pPr>
        <w:spacing w:line="229" w:lineRule="exact"/>
        <w:rPr>
          <w:iCs/>
          <w:sz w:val="20"/>
        </w:rPr>
      </w:pPr>
    </w:p>
    <w:p w14:paraId="1AC15DB1" w14:textId="0578C4CE" w:rsidR="00815EEA" w:rsidRDefault="00781E1E" w:rsidP="00D66518">
      <w:pPr>
        <w:ind w:right="4"/>
        <w:jc w:val="both"/>
        <w:rPr>
          <w:sz w:val="24"/>
          <w:szCs w:val="24"/>
        </w:rPr>
      </w:pPr>
      <w:r w:rsidRPr="00781E1E">
        <w:rPr>
          <w:sz w:val="24"/>
          <w:szCs w:val="24"/>
        </w:rPr>
        <w:t>The</w:t>
      </w:r>
      <w:r w:rsidR="008462A1">
        <w:rPr>
          <w:sz w:val="24"/>
          <w:szCs w:val="24"/>
        </w:rPr>
        <w:t xml:space="preserve"> results</w:t>
      </w:r>
      <w:r w:rsidR="008462A1" w:rsidRPr="008462A1">
        <w:rPr>
          <w:sz w:val="24"/>
          <w:szCs w:val="24"/>
        </w:rPr>
        <w:t xml:space="preserve"> in Table 2, novice nurses exhibited generally high levels of competency across all dimensions, indicating a solid foundation in core nursing skills and readiness to deliver safe, effective, and patient-centered care while benefiting from ongoing mentorship and experience. High competence was observed in helping role and teaching–coaching, reflecting strong interpersonal skills, patient advocacy, and education that enhance patient cooperation, self-management, and clinical outcomes. Diagnostic functions showed strong symptom recognition but slightly lower confidence in interpreting laboratory data, suggesting the need for continued mentoring and collaborative practice. Novice nurses also demonstrated high competence in managing situations, therapeutic interventions, ensuring quality, and work role, highlighting their ability to respond to emergencies, perform procedures safely, follow quality standards, and collaborate effectively within healthcare teams. Overall, these findings indicate that novice nurses are not only performing clinical tasks effectively but also contributing to patient safety, hospital efficiency, and quality care, while structured mentorship and continuous professional development remain essential for strengthening advanced clinical judgment and sustained professional growth</w:t>
      </w:r>
      <w:r w:rsidR="00D66518" w:rsidRPr="00D66518">
        <w:rPr>
          <w:sz w:val="24"/>
          <w:szCs w:val="24"/>
        </w:rPr>
        <w:t>.</w:t>
      </w:r>
    </w:p>
    <w:p w14:paraId="5D1EDD0A" w14:textId="77777777" w:rsidR="00715E8A" w:rsidRDefault="00715E8A" w:rsidP="00D66518">
      <w:pPr>
        <w:ind w:right="4"/>
        <w:jc w:val="both"/>
        <w:rPr>
          <w:sz w:val="24"/>
          <w:szCs w:val="24"/>
        </w:rPr>
      </w:pPr>
    </w:p>
    <w:p w14:paraId="0F65CCB4" w14:textId="35AFDCD2" w:rsidR="00715E8A" w:rsidRDefault="0015088E" w:rsidP="0015088E">
      <w:r w:rsidRPr="00715E8A">
        <w:rPr>
          <w:sz w:val="24"/>
          <w:szCs w:val="24"/>
        </w:rPr>
        <w:t xml:space="preserve">Table 3 </w:t>
      </w:r>
      <w:r w:rsidR="005C26E8">
        <w:rPr>
          <w:sz w:val="24"/>
          <w:szCs w:val="24"/>
        </w:rPr>
        <w:t>Professional Attitude of Novice Nurses</w:t>
      </w:r>
    </w:p>
    <w:tbl>
      <w:tblP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0"/>
        <w:gridCol w:w="2267"/>
        <w:gridCol w:w="960"/>
        <w:gridCol w:w="2600"/>
      </w:tblGrid>
      <w:tr w:rsidR="005C26E8" w:rsidRPr="003C64E4" w14:paraId="0F072A47" w14:textId="77777777" w:rsidTr="004F41A7">
        <w:trPr>
          <w:trHeight w:val="310"/>
        </w:trPr>
        <w:tc>
          <w:tcPr>
            <w:tcW w:w="3540" w:type="dxa"/>
            <w:noWrap/>
            <w:vAlign w:val="center"/>
            <w:hideMark/>
          </w:tcPr>
          <w:p w14:paraId="715D7A2F" w14:textId="77777777" w:rsidR="005C26E8" w:rsidRPr="003C64E4" w:rsidRDefault="005C26E8" w:rsidP="00716F7A">
            <w:pPr>
              <w:jc w:val="center"/>
              <w:rPr>
                <w:color w:val="000000"/>
                <w:sz w:val="24"/>
                <w:szCs w:val="24"/>
              </w:rPr>
            </w:pPr>
            <w:r>
              <w:rPr>
                <w:color w:val="000000"/>
                <w:sz w:val="24"/>
                <w:szCs w:val="24"/>
              </w:rPr>
              <w:t xml:space="preserve">Professional </w:t>
            </w:r>
            <w:r w:rsidRPr="003C64E4">
              <w:rPr>
                <w:color w:val="000000"/>
                <w:sz w:val="24"/>
                <w:szCs w:val="24"/>
              </w:rPr>
              <w:t>Attitude</w:t>
            </w:r>
          </w:p>
        </w:tc>
        <w:tc>
          <w:tcPr>
            <w:tcW w:w="2267" w:type="dxa"/>
            <w:noWrap/>
            <w:vAlign w:val="center"/>
            <w:hideMark/>
          </w:tcPr>
          <w:p w14:paraId="2A254381" w14:textId="77777777" w:rsidR="005C26E8" w:rsidRPr="003C64E4" w:rsidRDefault="005C26E8" w:rsidP="00716F7A">
            <w:pPr>
              <w:jc w:val="center"/>
              <w:rPr>
                <w:color w:val="000000"/>
                <w:sz w:val="24"/>
                <w:szCs w:val="24"/>
              </w:rPr>
            </w:pPr>
            <w:r w:rsidRPr="003C64E4">
              <w:rPr>
                <w:color w:val="000000"/>
                <w:sz w:val="24"/>
                <w:szCs w:val="24"/>
              </w:rPr>
              <w:t>Average Score</w:t>
            </w:r>
          </w:p>
        </w:tc>
        <w:tc>
          <w:tcPr>
            <w:tcW w:w="960" w:type="dxa"/>
            <w:noWrap/>
            <w:vAlign w:val="center"/>
            <w:hideMark/>
          </w:tcPr>
          <w:p w14:paraId="729B6B06" w14:textId="77777777" w:rsidR="005C26E8" w:rsidRPr="003C64E4" w:rsidRDefault="005C26E8" w:rsidP="00716F7A">
            <w:pPr>
              <w:jc w:val="center"/>
              <w:rPr>
                <w:i/>
                <w:iCs/>
                <w:color w:val="000000"/>
                <w:sz w:val="24"/>
                <w:szCs w:val="24"/>
              </w:rPr>
            </w:pPr>
            <w:r w:rsidRPr="003C64E4">
              <w:rPr>
                <w:i/>
                <w:iCs/>
                <w:color w:val="000000"/>
                <w:sz w:val="24"/>
                <w:szCs w:val="24"/>
              </w:rPr>
              <w:t>f</w:t>
            </w:r>
          </w:p>
        </w:tc>
        <w:tc>
          <w:tcPr>
            <w:tcW w:w="2600" w:type="dxa"/>
            <w:noWrap/>
            <w:vAlign w:val="center"/>
            <w:hideMark/>
          </w:tcPr>
          <w:p w14:paraId="4F65CA1A" w14:textId="77777777" w:rsidR="005C26E8" w:rsidRPr="003C64E4" w:rsidRDefault="005C26E8" w:rsidP="00716F7A">
            <w:pPr>
              <w:jc w:val="center"/>
              <w:rPr>
                <w:i/>
                <w:iCs/>
                <w:color w:val="000000"/>
                <w:sz w:val="24"/>
                <w:szCs w:val="24"/>
              </w:rPr>
            </w:pPr>
            <w:r w:rsidRPr="003C64E4">
              <w:rPr>
                <w:i/>
                <w:iCs/>
                <w:color w:val="000000"/>
                <w:sz w:val="24"/>
                <w:szCs w:val="24"/>
              </w:rPr>
              <w:t>%</w:t>
            </w:r>
          </w:p>
        </w:tc>
      </w:tr>
      <w:tr w:rsidR="005C26E8" w:rsidRPr="003C64E4" w14:paraId="1BF4BE5D" w14:textId="77777777" w:rsidTr="004F41A7">
        <w:trPr>
          <w:trHeight w:val="310"/>
        </w:trPr>
        <w:tc>
          <w:tcPr>
            <w:tcW w:w="3540" w:type="dxa"/>
            <w:noWrap/>
            <w:vAlign w:val="bottom"/>
            <w:hideMark/>
          </w:tcPr>
          <w:p w14:paraId="20EDAFAD" w14:textId="77777777" w:rsidR="005C26E8" w:rsidRPr="003C64E4" w:rsidRDefault="005C26E8" w:rsidP="00716F7A">
            <w:pPr>
              <w:jc w:val="center"/>
              <w:rPr>
                <w:color w:val="000000"/>
                <w:sz w:val="24"/>
                <w:szCs w:val="24"/>
              </w:rPr>
            </w:pPr>
            <w:r w:rsidRPr="003C64E4">
              <w:rPr>
                <w:color w:val="000000"/>
                <w:sz w:val="24"/>
                <w:szCs w:val="24"/>
              </w:rPr>
              <w:t>Low professional attitude</w:t>
            </w:r>
          </w:p>
        </w:tc>
        <w:tc>
          <w:tcPr>
            <w:tcW w:w="2267" w:type="dxa"/>
            <w:noWrap/>
            <w:vAlign w:val="bottom"/>
            <w:hideMark/>
          </w:tcPr>
          <w:p w14:paraId="59793712" w14:textId="77777777" w:rsidR="005C26E8" w:rsidRPr="003C64E4" w:rsidRDefault="005C26E8" w:rsidP="00716F7A">
            <w:pPr>
              <w:jc w:val="center"/>
              <w:rPr>
                <w:color w:val="000000"/>
                <w:sz w:val="24"/>
                <w:szCs w:val="24"/>
              </w:rPr>
            </w:pPr>
            <w:r w:rsidRPr="003C64E4">
              <w:rPr>
                <w:color w:val="000000"/>
                <w:sz w:val="24"/>
                <w:szCs w:val="24"/>
              </w:rPr>
              <w:t>16.00</w:t>
            </w:r>
          </w:p>
        </w:tc>
        <w:tc>
          <w:tcPr>
            <w:tcW w:w="960" w:type="dxa"/>
            <w:noWrap/>
            <w:vAlign w:val="bottom"/>
            <w:hideMark/>
          </w:tcPr>
          <w:p w14:paraId="1A42825C" w14:textId="77777777" w:rsidR="005C26E8" w:rsidRPr="003C64E4" w:rsidRDefault="005C26E8" w:rsidP="00716F7A">
            <w:pPr>
              <w:jc w:val="center"/>
              <w:rPr>
                <w:color w:val="000000"/>
                <w:sz w:val="24"/>
                <w:szCs w:val="24"/>
              </w:rPr>
            </w:pPr>
            <w:r w:rsidRPr="003C64E4">
              <w:rPr>
                <w:color w:val="000000"/>
                <w:sz w:val="24"/>
                <w:szCs w:val="24"/>
              </w:rPr>
              <w:t>1</w:t>
            </w:r>
          </w:p>
        </w:tc>
        <w:tc>
          <w:tcPr>
            <w:tcW w:w="2600" w:type="dxa"/>
            <w:noWrap/>
            <w:vAlign w:val="bottom"/>
            <w:hideMark/>
          </w:tcPr>
          <w:p w14:paraId="048FCE94" w14:textId="77777777" w:rsidR="005C26E8" w:rsidRPr="003C64E4" w:rsidRDefault="005C26E8" w:rsidP="00716F7A">
            <w:pPr>
              <w:jc w:val="center"/>
              <w:rPr>
                <w:color w:val="000000"/>
                <w:sz w:val="24"/>
                <w:szCs w:val="24"/>
              </w:rPr>
            </w:pPr>
            <w:r w:rsidRPr="003C64E4">
              <w:rPr>
                <w:color w:val="000000"/>
                <w:sz w:val="24"/>
                <w:szCs w:val="24"/>
              </w:rPr>
              <w:t>0.79</w:t>
            </w:r>
          </w:p>
        </w:tc>
      </w:tr>
      <w:tr w:rsidR="005C26E8" w:rsidRPr="003C64E4" w14:paraId="1D91F584" w14:textId="77777777" w:rsidTr="004F41A7">
        <w:trPr>
          <w:trHeight w:val="310"/>
        </w:trPr>
        <w:tc>
          <w:tcPr>
            <w:tcW w:w="3540" w:type="dxa"/>
            <w:noWrap/>
            <w:vAlign w:val="bottom"/>
            <w:hideMark/>
          </w:tcPr>
          <w:p w14:paraId="1737AAEA" w14:textId="77777777" w:rsidR="005C26E8" w:rsidRPr="003C64E4" w:rsidRDefault="005C26E8" w:rsidP="00716F7A">
            <w:pPr>
              <w:jc w:val="center"/>
              <w:rPr>
                <w:color w:val="000000"/>
                <w:sz w:val="24"/>
                <w:szCs w:val="24"/>
              </w:rPr>
            </w:pPr>
            <w:r w:rsidRPr="003C64E4">
              <w:rPr>
                <w:color w:val="000000"/>
                <w:sz w:val="24"/>
                <w:szCs w:val="24"/>
              </w:rPr>
              <w:t>Moderate professional attitude</w:t>
            </w:r>
          </w:p>
        </w:tc>
        <w:tc>
          <w:tcPr>
            <w:tcW w:w="2267" w:type="dxa"/>
            <w:noWrap/>
            <w:vAlign w:val="bottom"/>
            <w:hideMark/>
          </w:tcPr>
          <w:p w14:paraId="4DA47E2A" w14:textId="77777777" w:rsidR="005C26E8" w:rsidRPr="003C64E4" w:rsidRDefault="005C26E8" w:rsidP="00716F7A">
            <w:pPr>
              <w:jc w:val="center"/>
              <w:rPr>
                <w:color w:val="000000"/>
                <w:sz w:val="24"/>
                <w:szCs w:val="24"/>
              </w:rPr>
            </w:pPr>
            <w:r w:rsidRPr="003C64E4">
              <w:rPr>
                <w:color w:val="000000"/>
                <w:sz w:val="24"/>
                <w:szCs w:val="24"/>
              </w:rPr>
              <w:t>35.82</w:t>
            </w:r>
          </w:p>
        </w:tc>
        <w:tc>
          <w:tcPr>
            <w:tcW w:w="960" w:type="dxa"/>
            <w:noWrap/>
            <w:vAlign w:val="bottom"/>
            <w:hideMark/>
          </w:tcPr>
          <w:p w14:paraId="3A890313" w14:textId="77777777" w:rsidR="005C26E8" w:rsidRPr="003C64E4" w:rsidRDefault="005C26E8" w:rsidP="00716F7A">
            <w:pPr>
              <w:jc w:val="center"/>
              <w:rPr>
                <w:color w:val="000000"/>
                <w:sz w:val="24"/>
                <w:szCs w:val="24"/>
              </w:rPr>
            </w:pPr>
            <w:r w:rsidRPr="003C64E4">
              <w:rPr>
                <w:color w:val="000000"/>
                <w:sz w:val="24"/>
                <w:szCs w:val="24"/>
              </w:rPr>
              <w:t>22</w:t>
            </w:r>
          </w:p>
        </w:tc>
        <w:tc>
          <w:tcPr>
            <w:tcW w:w="2600" w:type="dxa"/>
            <w:noWrap/>
            <w:vAlign w:val="bottom"/>
            <w:hideMark/>
          </w:tcPr>
          <w:p w14:paraId="3547C65F" w14:textId="77777777" w:rsidR="005C26E8" w:rsidRPr="003C64E4" w:rsidRDefault="005C26E8" w:rsidP="00716F7A">
            <w:pPr>
              <w:jc w:val="center"/>
              <w:rPr>
                <w:color w:val="000000"/>
                <w:sz w:val="24"/>
                <w:szCs w:val="24"/>
              </w:rPr>
            </w:pPr>
            <w:r w:rsidRPr="003C64E4">
              <w:rPr>
                <w:color w:val="000000"/>
                <w:sz w:val="24"/>
                <w:szCs w:val="24"/>
              </w:rPr>
              <w:t>17.46</w:t>
            </w:r>
          </w:p>
        </w:tc>
      </w:tr>
      <w:tr w:rsidR="005C26E8" w:rsidRPr="003C64E4" w14:paraId="48D054D9" w14:textId="77777777" w:rsidTr="004F41A7">
        <w:trPr>
          <w:trHeight w:val="310"/>
        </w:trPr>
        <w:tc>
          <w:tcPr>
            <w:tcW w:w="3540" w:type="dxa"/>
            <w:noWrap/>
            <w:vAlign w:val="bottom"/>
            <w:hideMark/>
          </w:tcPr>
          <w:p w14:paraId="03849BFA" w14:textId="77777777" w:rsidR="005C26E8" w:rsidRPr="003C64E4" w:rsidRDefault="005C26E8" w:rsidP="00716F7A">
            <w:pPr>
              <w:jc w:val="center"/>
              <w:rPr>
                <w:color w:val="000000"/>
                <w:sz w:val="24"/>
                <w:szCs w:val="24"/>
              </w:rPr>
            </w:pPr>
            <w:r w:rsidRPr="003C64E4">
              <w:rPr>
                <w:color w:val="000000"/>
                <w:sz w:val="24"/>
                <w:szCs w:val="24"/>
              </w:rPr>
              <w:t>High professional attitude</w:t>
            </w:r>
          </w:p>
        </w:tc>
        <w:tc>
          <w:tcPr>
            <w:tcW w:w="2267" w:type="dxa"/>
            <w:noWrap/>
            <w:vAlign w:val="bottom"/>
            <w:hideMark/>
          </w:tcPr>
          <w:p w14:paraId="11608331" w14:textId="77777777" w:rsidR="005C26E8" w:rsidRPr="003C64E4" w:rsidRDefault="005C26E8" w:rsidP="00716F7A">
            <w:pPr>
              <w:jc w:val="center"/>
              <w:rPr>
                <w:color w:val="000000"/>
                <w:sz w:val="24"/>
                <w:szCs w:val="24"/>
              </w:rPr>
            </w:pPr>
            <w:r w:rsidRPr="003C64E4">
              <w:rPr>
                <w:color w:val="000000"/>
                <w:sz w:val="24"/>
                <w:szCs w:val="24"/>
              </w:rPr>
              <w:t>47.52</w:t>
            </w:r>
          </w:p>
        </w:tc>
        <w:tc>
          <w:tcPr>
            <w:tcW w:w="960" w:type="dxa"/>
            <w:noWrap/>
            <w:vAlign w:val="bottom"/>
            <w:hideMark/>
          </w:tcPr>
          <w:p w14:paraId="3E959936" w14:textId="77777777" w:rsidR="005C26E8" w:rsidRPr="003C64E4" w:rsidRDefault="005C26E8" w:rsidP="00716F7A">
            <w:pPr>
              <w:jc w:val="center"/>
              <w:rPr>
                <w:color w:val="000000"/>
                <w:sz w:val="24"/>
                <w:szCs w:val="24"/>
              </w:rPr>
            </w:pPr>
            <w:r w:rsidRPr="003C64E4">
              <w:rPr>
                <w:color w:val="000000"/>
                <w:sz w:val="24"/>
                <w:szCs w:val="24"/>
              </w:rPr>
              <w:t>103</w:t>
            </w:r>
          </w:p>
        </w:tc>
        <w:tc>
          <w:tcPr>
            <w:tcW w:w="2600" w:type="dxa"/>
            <w:noWrap/>
            <w:vAlign w:val="bottom"/>
            <w:hideMark/>
          </w:tcPr>
          <w:p w14:paraId="0C237F1E" w14:textId="77777777" w:rsidR="005C26E8" w:rsidRPr="003C64E4" w:rsidRDefault="005C26E8" w:rsidP="00716F7A">
            <w:pPr>
              <w:jc w:val="center"/>
              <w:rPr>
                <w:color w:val="000000"/>
                <w:sz w:val="24"/>
                <w:szCs w:val="24"/>
              </w:rPr>
            </w:pPr>
            <w:r w:rsidRPr="003C64E4">
              <w:rPr>
                <w:color w:val="000000"/>
                <w:sz w:val="24"/>
                <w:szCs w:val="24"/>
              </w:rPr>
              <w:t>81.75</w:t>
            </w:r>
          </w:p>
        </w:tc>
      </w:tr>
      <w:tr w:rsidR="005C26E8" w:rsidRPr="003C64E4" w14:paraId="12637E3C" w14:textId="77777777" w:rsidTr="004F41A7">
        <w:trPr>
          <w:trHeight w:val="310"/>
        </w:trPr>
        <w:tc>
          <w:tcPr>
            <w:tcW w:w="3540" w:type="dxa"/>
            <w:noWrap/>
            <w:vAlign w:val="bottom"/>
            <w:hideMark/>
          </w:tcPr>
          <w:p w14:paraId="7B53F673" w14:textId="77777777" w:rsidR="005C26E8" w:rsidRPr="003C64E4" w:rsidRDefault="005C26E8" w:rsidP="00716F7A">
            <w:pPr>
              <w:jc w:val="right"/>
              <w:rPr>
                <w:color w:val="000000"/>
                <w:sz w:val="24"/>
                <w:szCs w:val="24"/>
              </w:rPr>
            </w:pPr>
            <w:r w:rsidRPr="003C64E4">
              <w:rPr>
                <w:color w:val="000000"/>
                <w:sz w:val="24"/>
                <w:szCs w:val="24"/>
              </w:rPr>
              <w:t>Overall score</w:t>
            </w:r>
          </w:p>
        </w:tc>
        <w:tc>
          <w:tcPr>
            <w:tcW w:w="2267" w:type="dxa"/>
            <w:noWrap/>
            <w:vAlign w:val="bottom"/>
            <w:hideMark/>
          </w:tcPr>
          <w:p w14:paraId="5F229003" w14:textId="77777777" w:rsidR="005C26E8" w:rsidRPr="003C64E4" w:rsidRDefault="005C26E8" w:rsidP="00716F7A">
            <w:pPr>
              <w:jc w:val="center"/>
              <w:rPr>
                <w:color w:val="000000"/>
                <w:sz w:val="24"/>
                <w:szCs w:val="24"/>
              </w:rPr>
            </w:pPr>
            <w:r w:rsidRPr="003C64E4">
              <w:rPr>
                <w:color w:val="000000"/>
                <w:sz w:val="24"/>
                <w:szCs w:val="24"/>
              </w:rPr>
              <w:t>45.23</w:t>
            </w:r>
          </w:p>
        </w:tc>
        <w:tc>
          <w:tcPr>
            <w:tcW w:w="3560" w:type="dxa"/>
            <w:gridSpan w:val="2"/>
            <w:noWrap/>
            <w:vAlign w:val="bottom"/>
            <w:hideMark/>
          </w:tcPr>
          <w:p w14:paraId="4BFBB535" w14:textId="77777777" w:rsidR="005C26E8" w:rsidRPr="003C64E4" w:rsidRDefault="005C26E8" w:rsidP="00716F7A">
            <w:pPr>
              <w:rPr>
                <w:color w:val="000000"/>
                <w:sz w:val="24"/>
                <w:szCs w:val="24"/>
              </w:rPr>
            </w:pPr>
            <w:r w:rsidRPr="003C64E4">
              <w:rPr>
                <w:color w:val="000000"/>
                <w:sz w:val="24"/>
                <w:szCs w:val="24"/>
              </w:rPr>
              <w:t>High professional attitude</w:t>
            </w:r>
          </w:p>
        </w:tc>
      </w:tr>
    </w:tbl>
    <w:p w14:paraId="0E2DC921" w14:textId="55656CD5" w:rsidR="0015088E" w:rsidRPr="00C83B73" w:rsidRDefault="0015088E" w:rsidP="0015088E">
      <w:pPr>
        <w:spacing w:before="18" w:line="229" w:lineRule="exact"/>
        <w:rPr>
          <w:i/>
          <w:sz w:val="20"/>
        </w:rPr>
      </w:pPr>
      <w:r w:rsidRPr="00C83B73">
        <w:rPr>
          <w:iCs/>
          <w:sz w:val="20"/>
        </w:rPr>
        <w:t>Note.</w:t>
      </w:r>
      <w:r w:rsidRPr="00C83B73">
        <w:rPr>
          <w:iCs/>
          <w:spacing w:val="-1"/>
          <w:sz w:val="20"/>
        </w:rPr>
        <w:t xml:space="preserve"> </w:t>
      </w:r>
      <w:r w:rsidRPr="00C83B73">
        <w:rPr>
          <w:i/>
          <w:spacing w:val="-2"/>
          <w:sz w:val="20"/>
        </w:rPr>
        <w:t>n=</w:t>
      </w:r>
      <w:r w:rsidR="005C26E8">
        <w:rPr>
          <w:i/>
          <w:spacing w:val="-2"/>
          <w:sz w:val="20"/>
        </w:rPr>
        <w:t>126</w:t>
      </w:r>
      <w:r w:rsidRPr="00C83B73">
        <w:rPr>
          <w:i/>
          <w:spacing w:val="-2"/>
          <w:sz w:val="20"/>
        </w:rPr>
        <w:t>.</w:t>
      </w:r>
    </w:p>
    <w:p w14:paraId="3FFFC7B1" w14:textId="51FEFB51" w:rsidR="00715E8A" w:rsidRDefault="0015088E" w:rsidP="00781E1E">
      <w:pPr>
        <w:spacing w:line="229" w:lineRule="exact"/>
        <w:rPr>
          <w:iCs/>
          <w:sz w:val="20"/>
        </w:rPr>
      </w:pPr>
      <w:r w:rsidRPr="00C83B73">
        <w:rPr>
          <w:iCs/>
          <w:sz w:val="20"/>
        </w:rPr>
        <w:t>Legend:</w:t>
      </w:r>
      <w:r w:rsidRPr="00C83B73">
        <w:rPr>
          <w:iCs/>
          <w:spacing w:val="-1"/>
          <w:sz w:val="20"/>
        </w:rPr>
        <w:t xml:space="preserve"> </w:t>
      </w:r>
      <w:r w:rsidR="00781E1E" w:rsidRPr="00781E1E">
        <w:rPr>
          <w:iCs/>
          <w:sz w:val="20"/>
        </w:rPr>
        <w:t>A</w:t>
      </w:r>
      <w:r w:rsidR="005C26E8">
        <w:rPr>
          <w:iCs/>
          <w:sz w:val="20"/>
        </w:rPr>
        <w:t xml:space="preserve"> </w:t>
      </w:r>
      <w:r w:rsidR="005C26E8">
        <w:rPr>
          <w:sz w:val="20"/>
        </w:rPr>
        <w:t xml:space="preserve">score of </w:t>
      </w:r>
      <w:r w:rsidR="005C26E8" w:rsidRPr="003C64E4">
        <w:rPr>
          <w:sz w:val="20"/>
        </w:rPr>
        <w:t>10 to 24</w:t>
      </w:r>
      <w:r w:rsidR="005C26E8">
        <w:rPr>
          <w:sz w:val="20"/>
        </w:rPr>
        <w:t xml:space="preserve"> is </w:t>
      </w:r>
      <w:r w:rsidR="005C26E8" w:rsidRPr="003C64E4">
        <w:rPr>
          <w:sz w:val="20"/>
        </w:rPr>
        <w:t>Low professional attitude</w:t>
      </w:r>
      <w:r w:rsidR="005C26E8">
        <w:rPr>
          <w:sz w:val="20"/>
        </w:rPr>
        <w:t xml:space="preserve">, </w:t>
      </w:r>
      <w:r w:rsidR="005C26E8" w:rsidRPr="003C64E4">
        <w:rPr>
          <w:sz w:val="20"/>
        </w:rPr>
        <w:t>25 to 39</w:t>
      </w:r>
      <w:r w:rsidR="005C26E8">
        <w:rPr>
          <w:sz w:val="20"/>
        </w:rPr>
        <w:t xml:space="preserve"> is </w:t>
      </w:r>
      <w:r w:rsidR="005C26E8" w:rsidRPr="003C64E4">
        <w:rPr>
          <w:sz w:val="20"/>
        </w:rPr>
        <w:t>Moderate professional attitude</w:t>
      </w:r>
      <w:r w:rsidR="005C26E8">
        <w:rPr>
          <w:sz w:val="20"/>
        </w:rPr>
        <w:t xml:space="preserve">, and </w:t>
      </w:r>
      <w:r w:rsidR="005C26E8" w:rsidRPr="003C64E4">
        <w:rPr>
          <w:sz w:val="20"/>
        </w:rPr>
        <w:t>40 to 50</w:t>
      </w:r>
      <w:r w:rsidR="005C26E8">
        <w:rPr>
          <w:sz w:val="20"/>
        </w:rPr>
        <w:t xml:space="preserve"> is </w:t>
      </w:r>
      <w:r w:rsidR="005C26E8" w:rsidRPr="003C64E4">
        <w:rPr>
          <w:sz w:val="20"/>
        </w:rPr>
        <w:t>High professional attitude</w:t>
      </w:r>
      <w:r w:rsidR="005C26E8">
        <w:rPr>
          <w:sz w:val="20"/>
        </w:rPr>
        <w:t>.</w:t>
      </w:r>
    </w:p>
    <w:p w14:paraId="3CC0DC4B" w14:textId="77777777" w:rsidR="00781E1E" w:rsidRDefault="00781E1E" w:rsidP="00781E1E">
      <w:pPr>
        <w:spacing w:line="229" w:lineRule="exact"/>
        <w:rPr>
          <w:sz w:val="24"/>
          <w:szCs w:val="24"/>
        </w:rPr>
      </w:pPr>
    </w:p>
    <w:p w14:paraId="38BEA4C8" w14:textId="77777777" w:rsidR="0039072B" w:rsidRDefault="0039072B" w:rsidP="00781E1E">
      <w:pPr>
        <w:spacing w:line="229" w:lineRule="exact"/>
        <w:rPr>
          <w:sz w:val="24"/>
          <w:szCs w:val="24"/>
        </w:rPr>
      </w:pPr>
    </w:p>
    <w:p w14:paraId="5C9B2727" w14:textId="57A2AA30" w:rsidR="00715E8A" w:rsidRDefault="00781E1E" w:rsidP="00715E8A">
      <w:pPr>
        <w:ind w:right="4"/>
        <w:jc w:val="both"/>
        <w:rPr>
          <w:sz w:val="24"/>
          <w:szCs w:val="24"/>
        </w:rPr>
      </w:pPr>
      <w:r w:rsidRPr="00781E1E">
        <w:rPr>
          <w:sz w:val="24"/>
          <w:szCs w:val="24"/>
        </w:rPr>
        <w:lastRenderedPageBreak/>
        <w:t>The findings</w:t>
      </w:r>
      <w:r>
        <w:rPr>
          <w:sz w:val="24"/>
          <w:szCs w:val="24"/>
        </w:rPr>
        <w:t xml:space="preserve"> in Table 3</w:t>
      </w:r>
      <w:r w:rsidRPr="00781E1E">
        <w:rPr>
          <w:sz w:val="24"/>
          <w:szCs w:val="24"/>
        </w:rPr>
        <w:t xml:space="preserve"> indicate that </w:t>
      </w:r>
      <w:r w:rsidR="005C26E8" w:rsidRPr="005C26E8">
        <w:rPr>
          <w:sz w:val="24"/>
          <w:szCs w:val="24"/>
        </w:rPr>
        <w:t xml:space="preserve">that a substantial majority of novice nurses demonstrated high professional attitude, indicating positive work values, ethical commitment, and professional behaviors aligned with nursing standards. This high professional attitude may be attributed to nursing education, hospital orientation, and intrinsic motivation, contributing to ethical practice, patient safety, teamwork, and a culture of accountability (Liu et al., 2022; </w:t>
      </w:r>
      <w:proofErr w:type="spellStart"/>
      <w:r w:rsidR="005C26E8" w:rsidRPr="005C26E8">
        <w:rPr>
          <w:sz w:val="24"/>
          <w:szCs w:val="24"/>
        </w:rPr>
        <w:t>Ramezanli</w:t>
      </w:r>
      <w:proofErr w:type="spellEnd"/>
      <w:r w:rsidR="005C26E8" w:rsidRPr="005C26E8">
        <w:rPr>
          <w:sz w:val="24"/>
          <w:szCs w:val="24"/>
        </w:rPr>
        <w:t xml:space="preserve"> et al., 2021). Moderate professional attitude reflects nurses still developing professional identity while coping with workplace challenges, suggesting the need for mentorship, supervisory support, and professional development (Shiferaw &amp; Mehari, 2023; Karimi et al., 2021). Although rare, low professional attitude may be influenced by generational characteristics, workplace stressors, unclear role expectations, or adaptation challenges, which can temporarily affect engagement, teamwork, and adherence to protocols (Twenge et al., 2019; Costello et al., 2022; García-Sánchez et al., 2021). Overall, professional attitude is shaped by both personal values and the work environment, and targeted support through mentorship and structured guidance is essential to strengthen professional growth, patient safety, and long-term commitment to quality care (Liu et al., 2022; Shiferaw &amp; Mehari, 2023</w:t>
      </w:r>
      <w:r w:rsidR="00715E8A" w:rsidRPr="00715E8A">
        <w:rPr>
          <w:sz w:val="24"/>
          <w:szCs w:val="24"/>
        </w:rPr>
        <w:t>.</w:t>
      </w:r>
    </w:p>
    <w:p w14:paraId="7148C202" w14:textId="7047DAEB" w:rsidR="00715E8A" w:rsidRDefault="00715E8A" w:rsidP="00715E8A"/>
    <w:p w14:paraId="0F47C941" w14:textId="1748B7A5" w:rsidR="00715E8A" w:rsidRDefault="00715E8A" w:rsidP="00715E8A">
      <w:r w:rsidRPr="00715E8A">
        <w:rPr>
          <w:sz w:val="24"/>
          <w:szCs w:val="24"/>
        </w:rPr>
        <w:t>Table 4 Relationship</w:t>
      </w:r>
      <w:r w:rsidR="004F41A7">
        <w:rPr>
          <w:sz w:val="24"/>
          <w:szCs w:val="24"/>
        </w:rPr>
        <w:t xml:space="preserve"> with Profile of the Novice Nurses and Level of Competency </w:t>
      </w:r>
      <w:r w:rsidR="00781E1E">
        <w:rPr>
          <w:sz w:val="24"/>
          <w:szCs w:val="24"/>
        </w:rPr>
        <w:t xml:space="preserve"> </w:t>
      </w:r>
    </w:p>
    <w:tbl>
      <w:tblPr>
        <w:tblStyle w:val="TableGrid"/>
        <w:tblW w:w="0" w:type="auto"/>
        <w:tblLook w:val="04A0" w:firstRow="1" w:lastRow="0" w:firstColumn="1" w:lastColumn="0" w:noHBand="0" w:noVBand="1"/>
      </w:tblPr>
      <w:tblGrid>
        <w:gridCol w:w="2453"/>
        <w:gridCol w:w="1023"/>
        <w:gridCol w:w="888"/>
        <w:gridCol w:w="1109"/>
        <w:gridCol w:w="2177"/>
        <w:gridCol w:w="1652"/>
      </w:tblGrid>
      <w:tr w:rsidR="004F41A7" w14:paraId="26FDB84E" w14:textId="77777777" w:rsidTr="004F41A7">
        <w:tc>
          <w:tcPr>
            <w:tcW w:w="2453" w:type="dxa"/>
          </w:tcPr>
          <w:p w14:paraId="451A57E5" w14:textId="77777777" w:rsidR="004F41A7" w:rsidRDefault="004F41A7" w:rsidP="00716F7A">
            <w:pPr>
              <w:jc w:val="center"/>
              <w:rPr>
                <w:sz w:val="24"/>
              </w:rPr>
            </w:pPr>
            <w:r>
              <w:rPr>
                <w:sz w:val="24"/>
              </w:rPr>
              <w:t>Variables</w:t>
            </w:r>
          </w:p>
        </w:tc>
        <w:tc>
          <w:tcPr>
            <w:tcW w:w="1023" w:type="dxa"/>
          </w:tcPr>
          <w:p w14:paraId="1EAAD88A" w14:textId="77777777" w:rsidR="004F41A7" w:rsidRDefault="004F41A7" w:rsidP="00716F7A">
            <w:pPr>
              <w:jc w:val="center"/>
              <w:rPr>
                <w:sz w:val="24"/>
              </w:rPr>
            </w:pPr>
            <w:r>
              <w:rPr>
                <w:sz w:val="24"/>
              </w:rPr>
              <w:t>chi value</w:t>
            </w:r>
          </w:p>
        </w:tc>
        <w:tc>
          <w:tcPr>
            <w:tcW w:w="888" w:type="dxa"/>
          </w:tcPr>
          <w:p w14:paraId="1B41F2A3" w14:textId="77777777" w:rsidR="004F41A7" w:rsidRDefault="004F41A7" w:rsidP="00716F7A">
            <w:pPr>
              <w:jc w:val="center"/>
              <w:rPr>
                <w:sz w:val="24"/>
              </w:rPr>
            </w:pPr>
            <w:r>
              <w:rPr>
                <w:i/>
                <w:iCs/>
                <w:sz w:val="24"/>
              </w:rPr>
              <w:t>p</w:t>
            </w:r>
            <w:r>
              <w:rPr>
                <w:sz w:val="24"/>
              </w:rPr>
              <w:t xml:space="preserve"> value</w:t>
            </w:r>
          </w:p>
        </w:tc>
        <w:tc>
          <w:tcPr>
            <w:tcW w:w="1109" w:type="dxa"/>
          </w:tcPr>
          <w:p w14:paraId="4C061C26" w14:textId="77777777" w:rsidR="004F41A7" w:rsidRDefault="004F41A7" w:rsidP="00716F7A">
            <w:pPr>
              <w:jc w:val="center"/>
              <w:rPr>
                <w:sz w:val="24"/>
              </w:rPr>
            </w:pPr>
            <w:r>
              <w:rPr>
                <w:sz w:val="24"/>
              </w:rPr>
              <w:t>Cramer’s V value</w:t>
            </w:r>
          </w:p>
        </w:tc>
        <w:tc>
          <w:tcPr>
            <w:tcW w:w="2177" w:type="dxa"/>
          </w:tcPr>
          <w:p w14:paraId="2172BBD8" w14:textId="77777777" w:rsidR="004F41A7" w:rsidRDefault="004F41A7" w:rsidP="00716F7A">
            <w:pPr>
              <w:jc w:val="center"/>
              <w:rPr>
                <w:sz w:val="24"/>
              </w:rPr>
            </w:pPr>
            <w:r>
              <w:rPr>
                <w:sz w:val="24"/>
              </w:rPr>
              <w:t>Decision</w:t>
            </w:r>
          </w:p>
        </w:tc>
        <w:tc>
          <w:tcPr>
            <w:tcW w:w="1652" w:type="dxa"/>
          </w:tcPr>
          <w:p w14:paraId="499CFF5F" w14:textId="77777777" w:rsidR="004F41A7" w:rsidRDefault="004F41A7" w:rsidP="00716F7A">
            <w:pPr>
              <w:jc w:val="center"/>
              <w:rPr>
                <w:sz w:val="24"/>
              </w:rPr>
            </w:pPr>
            <w:r>
              <w:rPr>
                <w:sz w:val="24"/>
              </w:rPr>
              <w:t>Interpretation</w:t>
            </w:r>
          </w:p>
        </w:tc>
      </w:tr>
      <w:tr w:rsidR="004F41A7" w14:paraId="5BBB6A1A" w14:textId="77777777" w:rsidTr="004F41A7">
        <w:tc>
          <w:tcPr>
            <w:tcW w:w="2453" w:type="dxa"/>
            <w:vAlign w:val="center"/>
          </w:tcPr>
          <w:p w14:paraId="6E94452D" w14:textId="77777777" w:rsidR="004F41A7" w:rsidRPr="000C36E8" w:rsidRDefault="004F41A7" w:rsidP="00716F7A">
            <w:pPr>
              <w:jc w:val="center"/>
              <w:rPr>
                <w:sz w:val="24"/>
              </w:rPr>
            </w:pPr>
            <w:r>
              <w:rPr>
                <w:sz w:val="24"/>
              </w:rPr>
              <w:t>Age</w:t>
            </w:r>
          </w:p>
        </w:tc>
        <w:tc>
          <w:tcPr>
            <w:tcW w:w="1023" w:type="dxa"/>
            <w:vAlign w:val="center"/>
          </w:tcPr>
          <w:p w14:paraId="492EBC12" w14:textId="77777777" w:rsidR="004F41A7" w:rsidRDefault="004F41A7" w:rsidP="00716F7A">
            <w:pPr>
              <w:jc w:val="center"/>
              <w:rPr>
                <w:sz w:val="24"/>
              </w:rPr>
            </w:pPr>
            <w:r>
              <w:rPr>
                <w:sz w:val="24"/>
              </w:rPr>
              <w:t>59.399</w:t>
            </w:r>
          </w:p>
        </w:tc>
        <w:tc>
          <w:tcPr>
            <w:tcW w:w="888" w:type="dxa"/>
            <w:vAlign w:val="center"/>
          </w:tcPr>
          <w:p w14:paraId="20F1C799" w14:textId="77777777" w:rsidR="004F41A7" w:rsidRDefault="004F41A7" w:rsidP="00716F7A">
            <w:pPr>
              <w:jc w:val="center"/>
              <w:rPr>
                <w:sz w:val="24"/>
              </w:rPr>
            </w:pPr>
            <w:r>
              <w:rPr>
                <w:sz w:val="24"/>
              </w:rPr>
              <w:t>.089</w:t>
            </w:r>
          </w:p>
        </w:tc>
        <w:tc>
          <w:tcPr>
            <w:tcW w:w="1109" w:type="dxa"/>
            <w:vAlign w:val="center"/>
          </w:tcPr>
          <w:p w14:paraId="7682EFE0" w14:textId="77777777" w:rsidR="004F41A7" w:rsidRDefault="004F41A7" w:rsidP="00716F7A">
            <w:pPr>
              <w:jc w:val="center"/>
              <w:rPr>
                <w:sz w:val="24"/>
              </w:rPr>
            </w:pPr>
            <w:r>
              <w:rPr>
                <w:sz w:val="24"/>
              </w:rPr>
              <w:t>--</w:t>
            </w:r>
          </w:p>
        </w:tc>
        <w:tc>
          <w:tcPr>
            <w:tcW w:w="2177" w:type="dxa"/>
            <w:vAlign w:val="center"/>
          </w:tcPr>
          <w:p w14:paraId="18396687" w14:textId="77777777" w:rsidR="004F41A7" w:rsidRDefault="004F41A7" w:rsidP="00716F7A">
            <w:pPr>
              <w:jc w:val="center"/>
              <w:rPr>
                <w:sz w:val="24"/>
              </w:rPr>
            </w:pPr>
            <w:r>
              <w:rPr>
                <w:sz w:val="24"/>
              </w:rPr>
              <w:t>Failed to reject Ho</w:t>
            </w:r>
          </w:p>
        </w:tc>
        <w:tc>
          <w:tcPr>
            <w:tcW w:w="1652" w:type="dxa"/>
            <w:vAlign w:val="center"/>
          </w:tcPr>
          <w:p w14:paraId="6D1F1026" w14:textId="77777777" w:rsidR="004F41A7" w:rsidRDefault="004F41A7" w:rsidP="00716F7A">
            <w:pPr>
              <w:jc w:val="center"/>
              <w:rPr>
                <w:sz w:val="24"/>
              </w:rPr>
            </w:pPr>
            <w:r>
              <w:rPr>
                <w:sz w:val="24"/>
              </w:rPr>
              <w:t>Not significant</w:t>
            </w:r>
          </w:p>
        </w:tc>
      </w:tr>
      <w:tr w:rsidR="004F41A7" w14:paraId="0B344B4E" w14:textId="77777777" w:rsidTr="004F41A7">
        <w:tc>
          <w:tcPr>
            <w:tcW w:w="2453" w:type="dxa"/>
            <w:vAlign w:val="center"/>
          </w:tcPr>
          <w:p w14:paraId="3FE261A7" w14:textId="77777777" w:rsidR="004F41A7" w:rsidRPr="000C36E8" w:rsidRDefault="004F41A7" w:rsidP="00716F7A">
            <w:pPr>
              <w:jc w:val="center"/>
              <w:rPr>
                <w:sz w:val="24"/>
              </w:rPr>
            </w:pPr>
            <w:r>
              <w:rPr>
                <w:sz w:val="24"/>
              </w:rPr>
              <w:t>Sex</w:t>
            </w:r>
          </w:p>
        </w:tc>
        <w:tc>
          <w:tcPr>
            <w:tcW w:w="1023" w:type="dxa"/>
            <w:vAlign w:val="center"/>
          </w:tcPr>
          <w:p w14:paraId="6AC92752" w14:textId="77777777" w:rsidR="004F41A7" w:rsidRDefault="004F41A7" w:rsidP="00716F7A">
            <w:pPr>
              <w:jc w:val="center"/>
              <w:rPr>
                <w:sz w:val="24"/>
              </w:rPr>
            </w:pPr>
            <w:r>
              <w:rPr>
                <w:sz w:val="24"/>
              </w:rPr>
              <w:t>71.572</w:t>
            </w:r>
          </w:p>
        </w:tc>
        <w:tc>
          <w:tcPr>
            <w:tcW w:w="888" w:type="dxa"/>
            <w:vAlign w:val="center"/>
          </w:tcPr>
          <w:p w14:paraId="41F664F5" w14:textId="77777777" w:rsidR="004F41A7" w:rsidRDefault="004F41A7" w:rsidP="00716F7A">
            <w:pPr>
              <w:jc w:val="center"/>
              <w:rPr>
                <w:sz w:val="24"/>
              </w:rPr>
            </w:pPr>
            <w:r>
              <w:rPr>
                <w:sz w:val="24"/>
              </w:rPr>
              <w:t>.009</w:t>
            </w:r>
          </w:p>
        </w:tc>
        <w:tc>
          <w:tcPr>
            <w:tcW w:w="1109" w:type="dxa"/>
            <w:vAlign w:val="center"/>
          </w:tcPr>
          <w:p w14:paraId="248BE1B3" w14:textId="77777777" w:rsidR="004F41A7" w:rsidRDefault="004F41A7" w:rsidP="00716F7A">
            <w:pPr>
              <w:jc w:val="center"/>
              <w:rPr>
                <w:sz w:val="24"/>
              </w:rPr>
            </w:pPr>
            <w:r>
              <w:rPr>
                <w:sz w:val="24"/>
              </w:rPr>
              <w:t>.754</w:t>
            </w:r>
          </w:p>
        </w:tc>
        <w:tc>
          <w:tcPr>
            <w:tcW w:w="2177" w:type="dxa"/>
            <w:vAlign w:val="center"/>
          </w:tcPr>
          <w:p w14:paraId="255E4993" w14:textId="77777777" w:rsidR="004F41A7" w:rsidRDefault="004F41A7" w:rsidP="00716F7A">
            <w:pPr>
              <w:jc w:val="center"/>
              <w:rPr>
                <w:sz w:val="24"/>
              </w:rPr>
            </w:pPr>
            <w:r>
              <w:rPr>
                <w:sz w:val="24"/>
              </w:rPr>
              <w:t>Reject Ho</w:t>
            </w:r>
          </w:p>
        </w:tc>
        <w:tc>
          <w:tcPr>
            <w:tcW w:w="1652" w:type="dxa"/>
            <w:vAlign w:val="center"/>
          </w:tcPr>
          <w:p w14:paraId="2D395310" w14:textId="77777777" w:rsidR="004F41A7" w:rsidRDefault="004F41A7" w:rsidP="00716F7A">
            <w:pPr>
              <w:jc w:val="center"/>
              <w:rPr>
                <w:sz w:val="24"/>
              </w:rPr>
            </w:pPr>
            <w:r>
              <w:rPr>
                <w:sz w:val="24"/>
              </w:rPr>
              <w:t>Significant</w:t>
            </w:r>
          </w:p>
        </w:tc>
      </w:tr>
      <w:tr w:rsidR="004F41A7" w14:paraId="015CE561" w14:textId="77777777" w:rsidTr="004F41A7">
        <w:tc>
          <w:tcPr>
            <w:tcW w:w="2453" w:type="dxa"/>
            <w:vAlign w:val="center"/>
          </w:tcPr>
          <w:p w14:paraId="7039B58B" w14:textId="77777777" w:rsidR="004F41A7" w:rsidRPr="000C36E8" w:rsidRDefault="004F41A7" w:rsidP="00716F7A">
            <w:pPr>
              <w:jc w:val="center"/>
              <w:rPr>
                <w:sz w:val="24"/>
              </w:rPr>
            </w:pPr>
            <w:r>
              <w:rPr>
                <w:sz w:val="24"/>
              </w:rPr>
              <w:t>Civil Status</w:t>
            </w:r>
          </w:p>
        </w:tc>
        <w:tc>
          <w:tcPr>
            <w:tcW w:w="1023" w:type="dxa"/>
            <w:vAlign w:val="center"/>
          </w:tcPr>
          <w:p w14:paraId="70F676E6" w14:textId="77777777" w:rsidR="004F41A7" w:rsidRDefault="004F41A7" w:rsidP="00716F7A">
            <w:pPr>
              <w:jc w:val="center"/>
              <w:rPr>
                <w:sz w:val="24"/>
              </w:rPr>
            </w:pPr>
            <w:r>
              <w:rPr>
                <w:sz w:val="24"/>
              </w:rPr>
              <w:t>62.745</w:t>
            </w:r>
          </w:p>
        </w:tc>
        <w:tc>
          <w:tcPr>
            <w:tcW w:w="888" w:type="dxa"/>
            <w:vAlign w:val="center"/>
          </w:tcPr>
          <w:p w14:paraId="3A3C5ADA" w14:textId="77777777" w:rsidR="004F41A7" w:rsidRDefault="004F41A7" w:rsidP="00716F7A">
            <w:pPr>
              <w:jc w:val="center"/>
              <w:rPr>
                <w:sz w:val="24"/>
              </w:rPr>
            </w:pPr>
            <w:r>
              <w:rPr>
                <w:sz w:val="24"/>
              </w:rPr>
              <w:t>.051</w:t>
            </w:r>
          </w:p>
        </w:tc>
        <w:tc>
          <w:tcPr>
            <w:tcW w:w="1109" w:type="dxa"/>
            <w:vAlign w:val="center"/>
          </w:tcPr>
          <w:p w14:paraId="38763C6E" w14:textId="77777777" w:rsidR="004F41A7" w:rsidRDefault="004F41A7" w:rsidP="00716F7A">
            <w:pPr>
              <w:jc w:val="center"/>
              <w:rPr>
                <w:sz w:val="24"/>
              </w:rPr>
            </w:pPr>
            <w:r>
              <w:rPr>
                <w:sz w:val="24"/>
              </w:rPr>
              <w:t>--</w:t>
            </w:r>
          </w:p>
        </w:tc>
        <w:tc>
          <w:tcPr>
            <w:tcW w:w="2177" w:type="dxa"/>
            <w:vAlign w:val="center"/>
          </w:tcPr>
          <w:p w14:paraId="2AF91CA2" w14:textId="77777777" w:rsidR="004F41A7" w:rsidRDefault="004F41A7" w:rsidP="00716F7A">
            <w:pPr>
              <w:jc w:val="center"/>
              <w:rPr>
                <w:sz w:val="24"/>
              </w:rPr>
            </w:pPr>
            <w:r>
              <w:rPr>
                <w:sz w:val="24"/>
              </w:rPr>
              <w:t>Failed to reject Ho</w:t>
            </w:r>
          </w:p>
        </w:tc>
        <w:tc>
          <w:tcPr>
            <w:tcW w:w="1652" w:type="dxa"/>
            <w:vAlign w:val="center"/>
          </w:tcPr>
          <w:p w14:paraId="31CC3012" w14:textId="77777777" w:rsidR="004F41A7" w:rsidRDefault="004F41A7" w:rsidP="00716F7A">
            <w:pPr>
              <w:jc w:val="center"/>
              <w:rPr>
                <w:sz w:val="24"/>
              </w:rPr>
            </w:pPr>
            <w:r>
              <w:rPr>
                <w:sz w:val="24"/>
              </w:rPr>
              <w:t>Not significant</w:t>
            </w:r>
          </w:p>
        </w:tc>
      </w:tr>
      <w:tr w:rsidR="004F41A7" w14:paraId="737FA6A4" w14:textId="77777777" w:rsidTr="004F41A7">
        <w:tc>
          <w:tcPr>
            <w:tcW w:w="2453" w:type="dxa"/>
            <w:vAlign w:val="center"/>
          </w:tcPr>
          <w:p w14:paraId="63D86E9C" w14:textId="77777777" w:rsidR="004F41A7" w:rsidRPr="000C36E8" w:rsidRDefault="004F41A7" w:rsidP="00716F7A">
            <w:pPr>
              <w:jc w:val="center"/>
              <w:rPr>
                <w:sz w:val="24"/>
              </w:rPr>
            </w:pPr>
            <w:r>
              <w:rPr>
                <w:sz w:val="24"/>
              </w:rPr>
              <w:t>Highest Educational Attainment</w:t>
            </w:r>
          </w:p>
        </w:tc>
        <w:tc>
          <w:tcPr>
            <w:tcW w:w="1023" w:type="dxa"/>
            <w:vAlign w:val="center"/>
          </w:tcPr>
          <w:p w14:paraId="0118559B" w14:textId="77777777" w:rsidR="004F41A7" w:rsidRDefault="004F41A7" w:rsidP="00716F7A">
            <w:pPr>
              <w:jc w:val="center"/>
              <w:rPr>
                <w:sz w:val="24"/>
              </w:rPr>
            </w:pPr>
            <w:r>
              <w:rPr>
                <w:sz w:val="24"/>
              </w:rPr>
              <w:t>1.046E2</w:t>
            </w:r>
          </w:p>
        </w:tc>
        <w:tc>
          <w:tcPr>
            <w:tcW w:w="888" w:type="dxa"/>
            <w:vAlign w:val="center"/>
          </w:tcPr>
          <w:p w14:paraId="1D98CEB6" w14:textId="77777777" w:rsidR="004F41A7" w:rsidRDefault="004F41A7" w:rsidP="00716F7A">
            <w:pPr>
              <w:jc w:val="center"/>
              <w:rPr>
                <w:sz w:val="24"/>
              </w:rPr>
            </w:pPr>
            <w:r>
              <w:rPr>
                <w:sz w:val="24"/>
              </w:rPr>
              <w:t>.173</w:t>
            </w:r>
          </w:p>
        </w:tc>
        <w:tc>
          <w:tcPr>
            <w:tcW w:w="1109" w:type="dxa"/>
            <w:vAlign w:val="center"/>
          </w:tcPr>
          <w:p w14:paraId="0A3EE6D3" w14:textId="77777777" w:rsidR="004F41A7" w:rsidRDefault="004F41A7" w:rsidP="00716F7A">
            <w:pPr>
              <w:jc w:val="center"/>
              <w:rPr>
                <w:sz w:val="24"/>
              </w:rPr>
            </w:pPr>
            <w:r>
              <w:rPr>
                <w:sz w:val="24"/>
              </w:rPr>
              <w:t>--</w:t>
            </w:r>
          </w:p>
        </w:tc>
        <w:tc>
          <w:tcPr>
            <w:tcW w:w="2177" w:type="dxa"/>
            <w:vAlign w:val="center"/>
          </w:tcPr>
          <w:p w14:paraId="2A29EF4D" w14:textId="77777777" w:rsidR="004F41A7" w:rsidRDefault="004F41A7" w:rsidP="00716F7A">
            <w:pPr>
              <w:jc w:val="center"/>
              <w:rPr>
                <w:sz w:val="24"/>
              </w:rPr>
            </w:pPr>
            <w:r>
              <w:rPr>
                <w:sz w:val="24"/>
              </w:rPr>
              <w:t>Failed to reject Ho</w:t>
            </w:r>
          </w:p>
        </w:tc>
        <w:tc>
          <w:tcPr>
            <w:tcW w:w="1652" w:type="dxa"/>
            <w:vAlign w:val="center"/>
          </w:tcPr>
          <w:p w14:paraId="25CE3979" w14:textId="77777777" w:rsidR="004F41A7" w:rsidRDefault="004F41A7" w:rsidP="00716F7A">
            <w:pPr>
              <w:jc w:val="center"/>
              <w:rPr>
                <w:sz w:val="24"/>
              </w:rPr>
            </w:pPr>
            <w:r>
              <w:rPr>
                <w:sz w:val="24"/>
              </w:rPr>
              <w:t>Not significant</w:t>
            </w:r>
          </w:p>
        </w:tc>
      </w:tr>
      <w:tr w:rsidR="004F41A7" w14:paraId="334A2DD2" w14:textId="77777777" w:rsidTr="004F41A7">
        <w:tc>
          <w:tcPr>
            <w:tcW w:w="2453" w:type="dxa"/>
            <w:vAlign w:val="center"/>
          </w:tcPr>
          <w:p w14:paraId="0328D54F" w14:textId="77777777" w:rsidR="004F41A7" w:rsidRPr="000C36E8" w:rsidRDefault="004F41A7" w:rsidP="00716F7A">
            <w:pPr>
              <w:jc w:val="center"/>
              <w:rPr>
                <w:sz w:val="24"/>
              </w:rPr>
            </w:pPr>
            <w:r>
              <w:rPr>
                <w:sz w:val="24"/>
              </w:rPr>
              <w:t>Area of Assignment</w:t>
            </w:r>
          </w:p>
        </w:tc>
        <w:tc>
          <w:tcPr>
            <w:tcW w:w="1023" w:type="dxa"/>
            <w:vAlign w:val="center"/>
          </w:tcPr>
          <w:p w14:paraId="508BECF9" w14:textId="77777777" w:rsidR="004F41A7" w:rsidRDefault="004F41A7" w:rsidP="00716F7A">
            <w:pPr>
              <w:jc w:val="center"/>
              <w:rPr>
                <w:sz w:val="24"/>
              </w:rPr>
            </w:pPr>
            <w:r>
              <w:rPr>
                <w:sz w:val="24"/>
              </w:rPr>
              <w:t>3.951E2</w:t>
            </w:r>
          </w:p>
        </w:tc>
        <w:tc>
          <w:tcPr>
            <w:tcW w:w="888" w:type="dxa"/>
            <w:vAlign w:val="center"/>
          </w:tcPr>
          <w:p w14:paraId="230EEBEC" w14:textId="77777777" w:rsidR="004F41A7" w:rsidRDefault="004F41A7" w:rsidP="00716F7A">
            <w:pPr>
              <w:jc w:val="center"/>
              <w:rPr>
                <w:sz w:val="24"/>
              </w:rPr>
            </w:pPr>
            <w:r>
              <w:rPr>
                <w:sz w:val="24"/>
              </w:rPr>
              <w:t>.159</w:t>
            </w:r>
          </w:p>
        </w:tc>
        <w:tc>
          <w:tcPr>
            <w:tcW w:w="1109" w:type="dxa"/>
            <w:vAlign w:val="center"/>
          </w:tcPr>
          <w:p w14:paraId="0E7D7097" w14:textId="77777777" w:rsidR="004F41A7" w:rsidRDefault="004F41A7" w:rsidP="00716F7A">
            <w:pPr>
              <w:jc w:val="center"/>
              <w:rPr>
                <w:sz w:val="24"/>
              </w:rPr>
            </w:pPr>
            <w:r>
              <w:rPr>
                <w:sz w:val="24"/>
              </w:rPr>
              <w:t>--</w:t>
            </w:r>
          </w:p>
        </w:tc>
        <w:tc>
          <w:tcPr>
            <w:tcW w:w="2177" w:type="dxa"/>
            <w:vAlign w:val="center"/>
          </w:tcPr>
          <w:p w14:paraId="7D54F8A4" w14:textId="77777777" w:rsidR="004F41A7" w:rsidRDefault="004F41A7" w:rsidP="00716F7A">
            <w:pPr>
              <w:jc w:val="center"/>
              <w:rPr>
                <w:sz w:val="24"/>
              </w:rPr>
            </w:pPr>
            <w:r>
              <w:rPr>
                <w:sz w:val="24"/>
              </w:rPr>
              <w:t>Failed to reject Ho</w:t>
            </w:r>
          </w:p>
        </w:tc>
        <w:tc>
          <w:tcPr>
            <w:tcW w:w="1652" w:type="dxa"/>
            <w:vAlign w:val="center"/>
          </w:tcPr>
          <w:p w14:paraId="3FD396BA" w14:textId="77777777" w:rsidR="004F41A7" w:rsidRDefault="004F41A7" w:rsidP="00716F7A">
            <w:pPr>
              <w:jc w:val="center"/>
              <w:rPr>
                <w:sz w:val="24"/>
              </w:rPr>
            </w:pPr>
            <w:r>
              <w:rPr>
                <w:sz w:val="24"/>
              </w:rPr>
              <w:t>Not significant</w:t>
            </w:r>
          </w:p>
        </w:tc>
      </w:tr>
    </w:tbl>
    <w:p w14:paraId="47409D2C" w14:textId="319B761C" w:rsidR="00715E8A" w:rsidRPr="00007CBD" w:rsidRDefault="00781E1E" w:rsidP="00007CBD">
      <w:pPr>
        <w:ind w:right="4"/>
        <w:jc w:val="both"/>
      </w:pPr>
      <w:r w:rsidRPr="001F152D">
        <w:rPr>
          <w:sz w:val="20"/>
        </w:rPr>
        <w:t>Legend: S</w:t>
      </w:r>
      <w:r w:rsidR="0039072B" w:rsidRPr="00840139">
        <w:rPr>
          <w:sz w:val="20"/>
          <w:szCs w:val="18"/>
        </w:rPr>
        <w:t xml:space="preserve">ignificant if </w:t>
      </w:r>
      <w:r w:rsidR="0039072B" w:rsidRPr="00840139">
        <w:rPr>
          <w:i/>
          <w:iCs/>
          <w:sz w:val="20"/>
          <w:szCs w:val="18"/>
        </w:rPr>
        <w:t>p</w:t>
      </w:r>
      <w:r w:rsidR="0039072B" w:rsidRPr="00840139">
        <w:rPr>
          <w:sz w:val="20"/>
          <w:szCs w:val="18"/>
        </w:rPr>
        <w:t xml:space="preserve"> value is </w:t>
      </w:r>
      <w:r w:rsidR="0039072B" w:rsidRPr="00840139">
        <w:rPr>
          <w:sz w:val="20"/>
          <w:szCs w:val="18"/>
          <w:u w:val="single"/>
        </w:rPr>
        <w:t>&lt;</w:t>
      </w:r>
      <w:r w:rsidR="0039072B" w:rsidRPr="00840139">
        <w:rPr>
          <w:sz w:val="20"/>
          <w:szCs w:val="18"/>
        </w:rPr>
        <w:t xml:space="preserve"> .05.</w:t>
      </w:r>
      <w:r w:rsidR="0039072B" w:rsidRPr="006F1390">
        <w:t xml:space="preserve"> </w:t>
      </w:r>
      <w:r w:rsidR="0039072B" w:rsidRPr="006F1390">
        <w:rPr>
          <w:sz w:val="20"/>
          <w:szCs w:val="18"/>
        </w:rPr>
        <w:t>Cramer’s V value for the strength of correlation: Effect size ≤ 0.2 - The result is weak. Although the result is statistically significant, the fields are only weakly associated. 0.2 &lt; ES ≤ 0.6 - The result is moderate. The fields are moderately associated. ES &gt; 0.6 - The result is strong. The fields are strongly associated.</w:t>
      </w:r>
    </w:p>
    <w:p w14:paraId="7E6BB5F5" w14:textId="77777777" w:rsidR="00DD0354" w:rsidRDefault="00DD0354" w:rsidP="00C711C6">
      <w:pPr>
        <w:contextualSpacing/>
        <w:jc w:val="both"/>
        <w:rPr>
          <w:sz w:val="24"/>
          <w:szCs w:val="24"/>
        </w:rPr>
      </w:pPr>
    </w:p>
    <w:p w14:paraId="7B31BCB5" w14:textId="099513FB" w:rsidR="004F41A7" w:rsidRPr="0039072B" w:rsidRDefault="00007CBD" w:rsidP="004F41A7">
      <w:pPr>
        <w:contextualSpacing/>
        <w:jc w:val="both"/>
        <w:rPr>
          <w:sz w:val="24"/>
          <w:szCs w:val="24"/>
          <w:lang w:val="en-PH"/>
        </w:rPr>
      </w:pPr>
      <w:r w:rsidRPr="0039072B">
        <w:rPr>
          <w:sz w:val="24"/>
          <w:szCs w:val="24"/>
          <w:lang w:val="en-PH"/>
        </w:rPr>
        <w:t>Table 4</w:t>
      </w:r>
      <w:r w:rsidR="004F41A7" w:rsidRPr="0039072B">
        <w:rPr>
          <w:sz w:val="24"/>
          <w:szCs w:val="24"/>
          <w:lang w:val="en-PH"/>
        </w:rPr>
        <w:t xml:space="preserve"> findings indicate that sex is the only profile variable significantly associated with nursing competency, while age, civil status, highest educational attainment, and area of assignment show no statistically significant relationship. Female nurses comprised a slightly larger proportion of the sample, and competency measurement</w:t>
      </w:r>
      <w:r w:rsidR="004F41A7" w:rsidRPr="0039072B">
        <w:rPr>
          <w:sz w:val="24"/>
          <w:szCs w:val="24"/>
          <w:lang w:val="en-PH"/>
        </w:rPr>
        <w:t xml:space="preserve"> </w:t>
      </w:r>
      <w:r w:rsidR="004F41A7" w:rsidRPr="0039072B">
        <w:rPr>
          <w:sz w:val="24"/>
          <w:szCs w:val="24"/>
          <w:lang w:val="en-PH"/>
        </w:rPr>
        <w:t>covering communication, advocacy, teaching–coaching, and helping roles</w:t>
      </w:r>
      <w:r w:rsidR="0039072B">
        <w:rPr>
          <w:sz w:val="24"/>
          <w:szCs w:val="24"/>
          <w:lang w:val="en-PH"/>
        </w:rPr>
        <w:t xml:space="preserve"> </w:t>
      </w:r>
      <w:r w:rsidR="004F41A7" w:rsidRPr="0039072B">
        <w:rPr>
          <w:sz w:val="24"/>
          <w:szCs w:val="24"/>
          <w:lang w:val="en-PH"/>
        </w:rPr>
        <w:t>may capture differences in how male and female nurses express professional behaviors in practice. Female nurses often demonstrate stronger relational and patient-centered communication, while male nurses may show strengths in task-focused performance and technical procedures, which may be less emphasized in global competency scoring (Johnson &amp; Jansson, 2022; Ahmed &amp; Khalil, 2023). The weak effect size indicates that sex is not a dominant factor, as standardized orientation and supervision ensure comparable technical competence across nurses.</w:t>
      </w:r>
    </w:p>
    <w:p w14:paraId="3D5F79DD" w14:textId="77777777" w:rsidR="0039072B" w:rsidRPr="0039072B" w:rsidRDefault="0039072B" w:rsidP="004F41A7">
      <w:pPr>
        <w:contextualSpacing/>
        <w:jc w:val="both"/>
        <w:rPr>
          <w:sz w:val="24"/>
          <w:szCs w:val="24"/>
          <w:lang w:val="en-PH"/>
        </w:rPr>
      </w:pPr>
    </w:p>
    <w:p w14:paraId="1C391126" w14:textId="7A055571" w:rsidR="002F3080" w:rsidRPr="0039072B" w:rsidRDefault="004F41A7" w:rsidP="002F3080">
      <w:pPr>
        <w:contextualSpacing/>
        <w:jc w:val="both"/>
        <w:rPr>
          <w:sz w:val="24"/>
          <w:szCs w:val="24"/>
          <w:lang w:val="en-PH"/>
        </w:rPr>
      </w:pPr>
      <w:r w:rsidRPr="004F41A7">
        <w:rPr>
          <w:sz w:val="24"/>
          <w:szCs w:val="24"/>
          <w:lang w:val="en-PH"/>
        </w:rPr>
        <w:t xml:space="preserve">These findings suggest that differences reflect variation in competency expression rather than ability, highlighting the need for balanced evaluation and mentorship that supports both relational and technical skill development. The absence of significant relationships with age, civil status, educational attainment, and area of assignment indicates that competency development is more influenced by experiential learning, supervision, and organizational support than by demographic characteristics (Bautista &amp; Morales, 2021; Lewis et al., 2023). Overall, the results emphasize </w:t>
      </w:r>
      <w:r w:rsidRPr="004F41A7">
        <w:rPr>
          <w:sz w:val="24"/>
          <w:szCs w:val="24"/>
          <w:lang w:val="en-PH"/>
        </w:rPr>
        <w:lastRenderedPageBreak/>
        <w:t>competency-based training, inclusive evaluation, and tailored mentorship to support holistic professional competence and enhance patient care quality and hospital performanc</w:t>
      </w:r>
      <w:r w:rsidRPr="0039072B">
        <w:rPr>
          <w:sz w:val="24"/>
          <w:szCs w:val="24"/>
          <w:lang w:val="en-PH"/>
        </w:rPr>
        <w:t>e.</w:t>
      </w:r>
    </w:p>
    <w:p w14:paraId="0FEB1928" w14:textId="77777777" w:rsidR="004F41A7" w:rsidRDefault="004F41A7" w:rsidP="002F3080">
      <w:pPr>
        <w:contextualSpacing/>
        <w:jc w:val="both"/>
        <w:rPr>
          <w:sz w:val="24"/>
          <w:szCs w:val="24"/>
          <w:lang w:val="en-PH"/>
        </w:rPr>
      </w:pPr>
    </w:p>
    <w:p w14:paraId="0F21D626" w14:textId="0405C420" w:rsidR="00007CBD" w:rsidRPr="00007CBD" w:rsidRDefault="00007CBD" w:rsidP="00007CBD">
      <w:pPr>
        <w:rPr>
          <w:sz w:val="24"/>
          <w:szCs w:val="24"/>
        </w:rPr>
      </w:pPr>
      <w:r w:rsidRPr="00007CBD">
        <w:rPr>
          <w:sz w:val="24"/>
          <w:szCs w:val="24"/>
        </w:rPr>
        <w:t xml:space="preserve">Table 5 Relationship </w:t>
      </w:r>
      <w:r w:rsidR="002F3080" w:rsidRPr="002F3080">
        <w:rPr>
          <w:sz w:val="24"/>
          <w:szCs w:val="24"/>
        </w:rPr>
        <w:t>between</w:t>
      </w:r>
      <w:r w:rsidR="004F41A7">
        <w:rPr>
          <w:sz w:val="24"/>
          <w:szCs w:val="24"/>
        </w:rPr>
        <w:t xml:space="preserve"> Profile and Professional Attitude </w:t>
      </w:r>
    </w:p>
    <w:tbl>
      <w:tblPr>
        <w:tblStyle w:val="TableGrid"/>
        <w:tblW w:w="0" w:type="auto"/>
        <w:tblLook w:val="04A0" w:firstRow="1" w:lastRow="0" w:firstColumn="1" w:lastColumn="0" w:noHBand="0" w:noVBand="1"/>
      </w:tblPr>
      <w:tblGrid>
        <w:gridCol w:w="2446"/>
        <w:gridCol w:w="1023"/>
        <w:gridCol w:w="890"/>
        <w:gridCol w:w="1109"/>
        <w:gridCol w:w="2040"/>
        <w:gridCol w:w="1653"/>
      </w:tblGrid>
      <w:tr w:rsidR="004F41A7" w14:paraId="3B68B613" w14:textId="77777777" w:rsidTr="004F41A7">
        <w:tc>
          <w:tcPr>
            <w:tcW w:w="2446" w:type="dxa"/>
          </w:tcPr>
          <w:p w14:paraId="2A6F23BA" w14:textId="77777777" w:rsidR="004F41A7" w:rsidRDefault="004F41A7" w:rsidP="00716F7A">
            <w:pPr>
              <w:jc w:val="center"/>
              <w:rPr>
                <w:sz w:val="24"/>
              </w:rPr>
            </w:pPr>
            <w:r>
              <w:rPr>
                <w:sz w:val="24"/>
              </w:rPr>
              <w:t>Variables</w:t>
            </w:r>
          </w:p>
        </w:tc>
        <w:tc>
          <w:tcPr>
            <w:tcW w:w="1023" w:type="dxa"/>
          </w:tcPr>
          <w:p w14:paraId="04BA4D32" w14:textId="77777777" w:rsidR="004F41A7" w:rsidRDefault="004F41A7" w:rsidP="00716F7A">
            <w:pPr>
              <w:jc w:val="center"/>
              <w:rPr>
                <w:sz w:val="24"/>
              </w:rPr>
            </w:pPr>
            <w:r>
              <w:rPr>
                <w:sz w:val="24"/>
              </w:rPr>
              <w:t>chi value</w:t>
            </w:r>
          </w:p>
        </w:tc>
        <w:tc>
          <w:tcPr>
            <w:tcW w:w="890" w:type="dxa"/>
          </w:tcPr>
          <w:p w14:paraId="7A303A99" w14:textId="77777777" w:rsidR="004F41A7" w:rsidRDefault="004F41A7" w:rsidP="00716F7A">
            <w:pPr>
              <w:jc w:val="center"/>
              <w:rPr>
                <w:sz w:val="24"/>
              </w:rPr>
            </w:pPr>
            <w:r>
              <w:rPr>
                <w:i/>
                <w:iCs/>
                <w:sz w:val="24"/>
              </w:rPr>
              <w:t>p</w:t>
            </w:r>
            <w:r>
              <w:rPr>
                <w:sz w:val="24"/>
              </w:rPr>
              <w:t xml:space="preserve"> value</w:t>
            </w:r>
          </w:p>
        </w:tc>
        <w:tc>
          <w:tcPr>
            <w:tcW w:w="1109" w:type="dxa"/>
          </w:tcPr>
          <w:p w14:paraId="2744EBB5" w14:textId="77777777" w:rsidR="004F41A7" w:rsidRDefault="004F41A7" w:rsidP="00716F7A">
            <w:pPr>
              <w:jc w:val="center"/>
              <w:rPr>
                <w:sz w:val="24"/>
              </w:rPr>
            </w:pPr>
            <w:r>
              <w:rPr>
                <w:sz w:val="24"/>
              </w:rPr>
              <w:t>Cramer’s V value</w:t>
            </w:r>
          </w:p>
        </w:tc>
        <w:tc>
          <w:tcPr>
            <w:tcW w:w="2040" w:type="dxa"/>
          </w:tcPr>
          <w:p w14:paraId="1A13366E" w14:textId="77777777" w:rsidR="004F41A7" w:rsidRDefault="004F41A7" w:rsidP="00716F7A">
            <w:pPr>
              <w:jc w:val="center"/>
              <w:rPr>
                <w:sz w:val="24"/>
              </w:rPr>
            </w:pPr>
            <w:r>
              <w:rPr>
                <w:sz w:val="24"/>
              </w:rPr>
              <w:t>Decision</w:t>
            </w:r>
          </w:p>
        </w:tc>
        <w:tc>
          <w:tcPr>
            <w:tcW w:w="1653" w:type="dxa"/>
          </w:tcPr>
          <w:p w14:paraId="6E1BCBDC" w14:textId="77777777" w:rsidR="004F41A7" w:rsidRDefault="004F41A7" w:rsidP="00716F7A">
            <w:pPr>
              <w:jc w:val="center"/>
              <w:rPr>
                <w:sz w:val="24"/>
              </w:rPr>
            </w:pPr>
            <w:r>
              <w:rPr>
                <w:sz w:val="24"/>
              </w:rPr>
              <w:t>Interpretation</w:t>
            </w:r>
          </w:p>
        </w:tc>
      </w:tr>
      <w:tr w:rsidR="004F41A7" w14:paraId="46FAC496" w14:textId="77777777" w:rsidTr="004F41A7">
        <w:tc>
          <w:tcPr>
            <w:tcW w:w="2446" w:type="dxa"/>
            <w:vAlign w:val="center"/>
          </w:tcPr>
          <w:p w14:paraId="3B1DDA2F" w14:textId="77777777" w:rsidR="004F41A7" w:rsidRPr="000C36E8" w:rsidRDefault="004F41A7" w:rsidP="00716F7A">
            <w:pPr>
              <w:jc w:val="center"/>
              <w:rPr>
                <w:sz w:val="24"/>
              </w:rPr>
            </w:pPr>
            <w:r>
              <w:rPr>
                <w:sz w:val="24"/>
              </w:rPr>
              <w:t>Age</w:t>
            </w:r>
          </w:p>
        </w:tc>
        <w:tc>
          <w:tcPr>
            <w:tcW w:w="1023" w:type="dxa"/>
            <w:vAlign w:val="center"/>
          </w:tcPr>
          <w:p w14:paraId="03480A67" w14:textId="77777777" w:rsidR="004F41A7" w:rsidRDefault="004F41A7" w:rsidP="00716F7A">
            <w:pPr>
              <w:jc w:val="center"/>
              <w:rPr>
                <w:sz w:val="24"/>
              </w:rPr>
            </w:pPr>
            <w:r>
              <w:rPr>
                <w:sz w:val="24"/>
              </w:rPr>
              <w:t>23.455</w:t>
            </w:r>
          </w:p>
        </w:tc>
        <w:tc>
          <w:tcPr>
            <w:tcW w:w="890" w:type="dxa"/>
            <w:vAlign w:val="center"/>
          </w:tcPr>
          <w:p w14:paraId="7DC3D646" w14:textId="77777777" w:rsidR="004F41A7" w:rsidRDefault="004F41A7" w:rsidP="00716F7A">
            <w:pPr>
              <w:jc w:val="center"/>
              <w:rPr>
                <w:sz w:val="24"/>
              </w:rPr>
            </w:pPr>
            <w:r>
              <w:rPr>
                <w:sz w:val="24"/>
              </w:rPr>
              <w:t>.218</w:t>
            </w:r>
          </w:p>
        </w:tc>
        <w:tc>
          <w:tcPr>
            <w:tcW w:w="1109" w:type="dxa"/>
            <w:vAlign w:val="center"/>
          </w:tcPr>
          <w:p w14:paraId="5D0038DC" w14:textId="77777777" w:rsidR="004F41A7" w:rsidRDefault="004F41A7" w:rsidP="00716F7A">
            <w:pPr>
              <w:jc w:val="center"/>
              <w:rPr>
                <w:sz w:val="24"/>
              </w:rPr>
            </w:pPr>
            <w:r>
              <w:rPr>
                <w:sz w:val="24"/>
              </w:rPr>
              <w:t>--</w:t>
            </w:r>
          </w:p>
        </w:tc>
        <w:tc>
          <w:tcPr>
            <w:tcW w:w="2040" w:type="dxa"/>
            <w:vAlign w:val="center"/>
          </w:tcPr>
          <w:p w14:paraId="6C924362" w14:textId="77777777" w:rsidR="004F41A7" w:rsidRDefault="004F41A7" w:rsidP="00716F7A">
            <w:pPr>
              <w:jc w:val="center"/>
              <w:rPr>
                <w:sz w:val="24"/>
              </w:rPr>
            </w:pPr>
            <w:r>
              <w:rPr>
                <w:sz w:val="24"/>
              </w:rPr>
              <w:t>Failed to reject Ho</w:t>
            </w:r>
          </w:p>
        </w:tc>
        <w:tc>
          <w:tcPr>
            <w:tcW w:w="1653" w:type="dxa"/>
            <w:vAlign w:val="center"/>
          </w:tcPr>
          <w:p w14:paraId="42300348" w14:textId="77777777" w:rsidR="004F41A7" w:rsidRDefault="004F41A7" w:rsidP="00716F7A">
            <w:pPr>
              <w:jc w:val="center"/>
              <w:rPr>
                <w:sz w:val="24"/>
              </w:rPr>
            </w:pPr>
            <w:r>
              <w:rPr>
                <w:sz w:val="24"/>
              </w:rPr>
              <w:t>Not significant</w:t>
            </w:r>
          </w:p>
        </w:tc>
      </w:tr>
      <w:tr w:rsidR="004F41A7" w14:paraId="6A8CAB7B" w14:textId="77777777" w:rsidTr="004F41A7">
        <w:tc>
          <w:tcPr>
            <w:tcW w:w="2446" w:type="dxa"/>
            <w:vAlign w:val="center"/>
          </w:tcPr>
          <w:p w14:paraId="1D5489C2" w14:textId="77777777" w:rsidR="004F41A7" w:rsidRPr="000C36E8" w:rsidRDefault="004F41A7" w:rsidP="00716F7A">
            <w:pPr>
              <w:jc w:val="center"/>
              <w:rPr>
                <w:sz w:val="24"/>
              </w:rPr>
            </w:pPr>
            <w:r>
              <w:rPr>
                <w:sz w:val="24"/>
              </w:rPr>
              <w:t>Sex</w:t>
            </w:r>
          </w:p>
        </w:tc>
        <w:tc>
          <w:tcPr>
            <w:tcW w:w="1023" w:type="dxa"/>
            <w:vAlign w:val="center"/>
          </w:tcPr>
          <w:p w14:paraId="4F359418" w14:textId="77777777" w:rsidR="004F41A7" w:rsidRDefault="004F41A7" w:rsidP="00716F7A">
            <w:pPr>
              <w:jc w:val="center"/>
              <w:rPr>
                <w:sz w:val="24"/>
              </w:rPr>
            </w:pPr>
            <w:r>
              <w:rPr>
                <w:sz w:val="24"/>
              </w:rPr>
              <w:t>32.255</w:t>
            </w:r>
          </w:p>
        </w:tc>
        <w:tc>
          <w:tcPr>
            <w:tcW w:w="890" w:type="dxa"/>
            <w:vAlign w:val="center"/>
          </w:tcPr>
          <w:p w14:paraId="557F3489" w14:textId="77777777" w:rsidR="004F41A7" w:rsidRDefault="004F41A7" w:rsidP="00716F7A">
            <w:pPr>
              <w:jc w:val="center"/>
              <w:rPr>
                <w:sz w:val="24"/>
              </w:rPr>
            </w:pPr>
            <w:r>
              <w:rPr>
                <w:sz w:val="24"/>
              </w:rPr>
              <w:t>.028</w:t>
            </w:r>
          </w:p>
        </w:tc>
        <w:tc>
          <w:tcPr>
            <w:tcW w:w="1109" w:type="dxa"/>
            <w:vAlign w:val="center"/>
          </w:tcPr>
          <w:p w14:paraId="0C0F411E" w14:textId="77777777" w:rsidR="004F41A7" w:rsidRDefault="004F41A7" w:rsidP="00716F7A">
            <w:pPr>
              <w:jc w:val="center"/>
              <w:rPr>
                <w:sz w:val="24"/>
              </w:rPr>
            </w:pPr>
            <w:r>
              <w:rPr>
                <w:sz w:val="24"/>
              </w:rPr>
              <w:t>.507</w:t>
            </w:r>
          </w:p>
        </w:tc>
        <w:tc>
          <w:tcPr>
            <w:tcW w:w="2040" w:type="dxa"/>
            <w:vAlign w:val="center"/>
          </w:tcPr>
          <w:p w14:paraId="4041CB1B" w14:textId="77777777" w:rsidR="004F41A7" w:rsidRDefault="004F41A7" w:rsidP="00716F7A">
            <w:pPr>
              <w:jc w:val="center"/>
              <w:rPr>
                <w:sz w:val="24"/>
              </w:rPr>
            </w:pPr>
            <w:r>
              <w:rPr>
                <w:sz w:val="24"/>
              </w:rPr>
              <w:t>Reject Ho</w:t>
            </w:r>
          </w:p>
        </w:tc>
        <w:tc>
          <w:tcPr>
            <w:tcW w:w="1653" w:type="dxa"/>
            <w:vAlign w:val="center"/>
          </w:tcPr>
          <w:p w14:paraId="37198EEB" w14:textId="77777777" w:rsidR="004F41A7" w:rsidRDefault="004F41A7" w:rsidP="00716F7A">
            <w:pPr>
              <w:jc w:val="center"/>
              <w:rPr>
                <w:sz w:val="24"/>
              </w:rPr>
            </w:pPr>
            <w:r>
              <w:rPr>
                <w:sz w:val="24"/>
              </w:rPr>
              <w:t>Significant</w:t>
            </w:r>
          </w:p>
        </w:tc>
      </w:tr>
      <w:tr w:rsidR="004F41A7" w14:paraId="76910F73" w14:textId="77777777" w:rsidTr="004F41A7">
        <w:tc>
          <w:tcPr>
            <w:tcW w:w="2446" w:type="dxa"/>
            <w:vAlign w:val="center"/>
          </w:tcPr>
          <w:p w14:paraId="319B6CEB" w14:textId="77777777" w:rsidR="004F41A7" w:rsidRPr="000C36E8" w:rsidRDefault="004F41A7" w:rsidP="00716F7A">
            <w:pPr>
              <w:jc w:val="center"/>
              <w:rPr>
                <w:sz w:val="24"/>
              </w:rPr>
            </w:pPr>
            <w:r>
              <w:rPr>
                <w:sz w:val="24"/>
              </w:rPr>
              <w:t>Civil Status</w:t>
            </w:r>
          </w:p>
        </w:tc>
        <w:tc>
          <w:tcPr>
            <w:tcW w:w="1023" w:type="dxa"/>
            <w:vAlign w:val="center"/>
          </w:tcPr>
          <w:p w14:paraId="32AE480B" w14:textId="77777777" w:rsidR="004F41A7" w:rsidRDefault="004F41A7" w:rsidP="00716F7A">
            <w:pPr>
              <w:jc w:val="center"/>
              <w:rPr>
                <w:sz w:val="24"/>
              </w:rPr>
            </w:pPr>
            <w:r>
              <w:rPr>
                <w:sz w:val="24"/>
              </w:rPr>
              <w:t>27.489</w:t>
            </w:r>
          </w:p>
        </w:tc>
        <w:tc>
          <w:tcPr>
            <w:tcW w:w="890" w:type="dxa"/>
            <w:vAlign w:val="center"/>
          </w:tcPr>
          <w:p w14:paraId="630E8B36" w14:textId="77777777" w:rsidR="004F41A7" w:rsidRDefault="004F41A7" w:rsidP="00716F7A">
            <w:pPr>
              <w:jc w:val="center"/>
              <w:rPr>
                <w:sz w:val="24"/>
              </w:rPr>
            </w:pPr>
            <w:r>
              <w:rPr>
                <w:sz w:val="24"/>
              </w:rPr>
              <w:t>.094</w:t>
            </w:r>
          </w:p>
        </w:tc>
        <w:tc>
          <w:tcPr>
            <w:tcW w:w="1109" w:type="dxa"/>
            <w:vAlign w:val="center"/>
          </w:tcPr>
          <w:p w14:paraId="3FFF7FD1" w14:textId="77777777" w:rsidR="004F41A7" w:rsidRDefault="004F41A7" w:rsidP="00716F7A">
            <w:pPr>
              <w:jc w:val="center"/>
              <w:rPr>
                <w:sz w:val="24"/>
              </w:rPr>
            </w:pPr>
            <w:r>
              <w:rPr>
                <w:sz w:val="24"/>
              </w:rPr>
              <w:t>--</w:t>
            </w:r>
          </w:p>
        </w:tc>
        <w:tc>
          <w:tcPr>
            <w:tcW w:w="2040" w:type="dxa"/>
            <w:vAlign w:val="center"/>
          </w:tcPr>
          <w:p w14:paraId="47D74FAA" w14:textId="77777777" w:rsidR="004F41A7" w:rsidRDefault="004F41A7" w:rsidP="00716F7A">
            <w:pPr>
              <w:jc w:val="center"/>
              <w:rPr>
                <w:sz w:val="24"/>
              </w:rPr>
            </w:pPr>
            <w:r>
              <w:rPr>
                <w:sz w:val="24"/>
              </w:rPr>
              <w:t>Failed to reject Ho</w:t>
            </w:r>
          </w:p>
        </w:tc>
        <w:tc>
          <w:tcPr>
            <w:tcW w:w="1653" w:type="dxa"/>
            <w:vAlign w:val="center"/>
          </w:tcPr>
          <w:p w14:paraId="2A180553" w14:textId="77777777" w:rsidR="004F41A7" w:rsidRDefault="004F41A7" w:rsidP="00716F7A">
            <w:pPr>
              <w:jc w:val="center"/>
              <w:rPr>
                <w:sz w:val="24"/>
              </w:rPr>
            </w:pPr>
            <w:r>
              <w:rPr>
                <w:sz w:val="24"/>
              </w:rPr>
              <w:t>Not significant</w:t>
            </w:r>
          </w:p>
        </w:tc>
      </w:tr>
      <w:tr w:rsidR="004F41A7" w14:paraId="60BDCBB2" w14:textId="77777777" w:rsidTr="004F41A7">
        <w:tc>
          <w:tcPr>
            <w:tcW w:w="2446" w:type="dxa"/>
            <w:vAlign w:val="center"/>
          </w:tcPr>
          <w:p w14:paraId="360AA7DD" w14:textId="77777777" w:rsidR="004F41A7" w:rsidRPr="000C36E8" w:rsidRDefault="004F41A7" w:rsidP="00716F7A">
            <w:pPr>
              <w:jc w:val="center"/>
              <w:rPr>
                <w:sz w:val="24"/>
              </w:rPr>
            </w:pPr>
            <w:r>
              <w:rPr>
                <w:sz w:val="24"/>
              </w:rPr>
              <w:t>Highest Educational Attainment</w:t>
            </w:r>
          </w:p>
        </w:tc>
        <w:tc>
          <w:tcPr>
            <w:tcW w:w="1023" w:type="dxa"/>
            <w:vAlign w:val="center"/>
          </w:tcPr>
          <w:p w14:paraId="51D69124" w14:textId="77777777" w:rsidR="004F41A7" w:rsidRDefault="004F41A7" w:rsidP="00716F7A">
            <w:pPr>
              <w:jc w:val="center"/>
              <w:rPr>
                <w:sz w:val="24"/>
              </w:rPr>
            </w:pPr>
            <w:r>
              <w:rPr>
                <w:sz w:val="24"/>
              </w:rPr>
              <w:t>1.282E2</w:t>
            </w:r>
          </w:p>
        </w:tc>
        <w:tc>
          <w:tcPr>
            <w:tcW w:w="890" w:type="dxa"/>
            <w:vAlign w:val="center"/>
          </w:tcPr>
          <w:p w14:paraId="2F8AF356" w14:textId="77777777" w:rsidR="004F41A7" w:rsidRDefault="004F41A7" w:rsidP="00716F7A">
            <w:pPr>
              <w:jc w:val="center"/>
              <w:rPr>
                <w:sz w:val="24"/>
              </w:rPr>
            </w:pPr>
            <w:r>
              <w:rPr>
                <w:sz w:val="24"/>
              </w:rPr>
              <w:t>.000</w:t>
            </w:r>
          </w:p>
        </w:tc>
        <w:tc>
          <w:tcPr>
            <w:tcW w:w="1109" w:type="dxa"/>
            <w:vAlign w:val="center"/>
          </w:tcPr>
          <w:p w14:paraId="00A5FB3E" w14:textId="77777777" w:rsidR="004F41A7" w:rsidRDefault="004F41A7" w:rsidP="00716F7A">
            <w:pPr>
              <w:jc w:val="center"/>
              <w:rPr>
                <w:sz w:val="24"/>
              </w:rPr>
            </w:pPr>
            <w:r>
              <w:rPr>
                <w:sz w:val="24"/>
              </w:rPr>
              <w:t>.713</w:t>
            </w:r>
          </w:p>
        </w:tc>
        <w:tc>
          <w:tcPr>
            <w:tcW w:w="2040" w:type="dxa"/>
            <w:vAlign w:val="center"/>
          </w:tcPr>
          <w:p w14:paraId="7AA43A8F" w14:textId="77777777" w:rsidR="004F41A7" w:rsidRDefault="004F41A7" w:rsidP="00716F7A">
            <w:pPr>
              <w:jc w:val="center"/>
              <w:rPr>
                <w:sz w:val="24"/>
              </w:rPr>
            </w:pPr>
            <w:r>
              <w:rPr>
                <w:sz w:val="24"/>
              </w:rPr>
              <w:t>Reject Ho</w:t>
            </w:r>
          </w:p>
        </w:tc>
        <w:tc>
          <w:tcPr>
            <w:tcW w:w="1653" w:type="dxa"/>
            <w:vAlign w:val="center"/>
          </w:tcPr>
          <w:p w14:paraId="09677345" w14:textId="77777777" w:rsidR="004F41A7" w:rsidRDefault="004F41A7" w:rsidP="00716F7A">
            <w:pPr>
              <w:jc w:val="center"/>
              <w:rPr>
                <w:sz w:val="24"/>
              </w:rPr>
            </w:pPr>
            <w:r>
              <w:rPr>
                <w:sz w:val="24"/>
              </w:rPr>
              <w:t>Significant</w:t>
            </w:r>
          </w:p>
        </w:tc>
      </w:tr>
      <w:tr w:rsidR="004F41A7" w14:paraId="0D894A0D" w14:textId="77777777" w:rsidTr="004F41A7">
        <w:tc>
          <w:tcPr>
            <w:tcW w:w="2446" w:type="dxa"/>
            <w:vAlign w:val="center"/>
          </w:tcPr>
          <w:p w14:paraId="6C3C5D41" w14:textId="77777777" w:rsidR="004F41A7" w:rsidRPr="000C36E8" w:rsidRDefault="004F41A7" w:rsidP="00716F7A">
            <w:pPr>
              <w:jc w:val="center"/>
              <w:rPr>
                <w:sz w:val="24"/>
              </w:rPr>
            </w:pPr>
            <w:r>
              <w:rPr>
                <w:sz w:val="24"/>
              </w:rPr>
              <w:t>Area of Assignment</w:t>
            </w:r>
          </w:p>
        </w:tc>
        <w:tc>
          <w:tcPr>
            <w:tcW w:w="1023" w:type="dxa"/>
            <w:vAlign w:val="center"/>
          </w:tcPr>
          <w:p w14:paraId="62D26E89" w14:textId="77777777" w:rsidR="004F41A7" w:rsidRDefault="004F41A7" w:rsidP="00716F7A">
            <w:pPr>
              <w:jc w:val="center"/>
              <w:rPr>
                <w:sz w:val="24"/>
              </w:rPr>
            </w:pPr>
            <w:r>
              <w:rPr>
                <w:sz w:val="24"/>
              </w:rPr>
              <w:t>1.611E2</w:t>
            </w:r>
          </w:p>
        </w:tc>
        <w:tc>
          <w:tcPr>
            <w:tcW w:w="890" w:type="dxa"/>
            <w:vAlign w:val="center"/>
          </w:tcPr>
          <w:p w14:paraId="3DE77B93" w14:textId="77777777" w:rsidR="004F41A7" w:rsidRDefault="004F41A7" w:rsidP="00716F7A">
            <w:pPr>
              <w:jc w:val="center"/>
              <w:rPr>
                <w:sz w:val="24"/>
              </w:rPr>
            </w:pPr>
            <w:r>
              <w:rPr>
                <w:sz w:val="24"/>
              </w:rPr>
              <w:t>.292</w:t>
            </w:r>
          </w:p>
        </w:tc>
        <w:tc>
          <w:tcPr>
            <w:tcW w:w="1109" w:type="dxa"/>
            <w:vAlign w:val="center"/>
          </w:tcPr>
          <w:p w14:paraId="747C8F44" w14:textId="77777777" w:rsidR="004F41A7" w:rsidRDefault="004F41A7" w:rsidP="00716F7A">
            <w:pPr>
              <w:jc w:val="center"/>
              <w:rPr>
                <w:sz w:val="24"/>
              </w:rPr>
            </w:pPr>
            <w:r>
              <w:rPr>
                <w:sz w:val="24"/>
              </w:rPr>
              <w:t>--</w:t>
            </w:r>
          </w:p>
        </w:tc>
        <w:tc>
          <w:tcPr>
            <w:tcW w:w="2040" w:type="dxa"/>
            <w:vAlign w:val="center"/>
          </w:tcPr>
          <w:p w14:paraId="69910DE0" w14:textId="77777777" w:rsidR="004F41A7" w:rsidRDefault="004F41A7" w:rsidP="00716F7A">
            <w:pPr>
              <w:jc w:val="center"/>
              <w:rPr>
                <w:sz w:val="24"/>
              </w:rPr>
            </w:pPr>
            <w:r>
              <w:rPr>
                <w:sz w:val="24"/>
              </w:rPr>
              <w:t>Failed to reject Ho</w:t>
            </w:r>
          </w:p>
        </w:tc>
        <w:tc>
          <w:tcPr>
            <w:tcW w:w="1653" w:type="dxa"/>
            <w:vAlign w:val="center"/>
          </w:tcPr>
          <w:p w14:paraId="7CCE330C" w14:textId="77777777" w:rsidR="004F41A7" w:rsidRDefault="004F41A7" w:rsidP="00716F7A">
            <w:pPr>
              <w:jc w:val="center"/>
              <w:rPr>
                <w:sz w:val="24"/>
              </w:rPr>
            </w:pPr>
            <w:r>
              <w:rPr>
                <w:sz w:val="24"/>
              </w:rPr>
              <w:t>Not significant</w:t>
            </w:r>
          </w:p>
        </w:tc>
      </w:tr>
    </w:tbl>
    <w:p w14:paraId="670F2EF9" w14:textId="5ECAC3BD" w:rsidR="002F3080" w:rsidRPr="001F152D" w:rsidRDefault="002F3080" w:rsidP="002F3080">
      <w:pPr>
        <w:tabs>
          <w:tab w:val="left" w:pos="680"/>
        </w:tabs>
        <w:rPr>
          <w:sz w:val="20"/>
        </w:rPr>
      </w:pPr>
      <w:r w:rsidRPr="001F152D">
        <w:rPr>
          <w:sz w:val="20"/>
        </w:rPr>
        <w:t>Legend: S</w:t>
      </w:r>
      <w:r w:rsidR="004F41A7" w:rsidRPr="00840139">
        <w:rPr>
          <w:sz w:val="20"/>
          <w:szCs w:val="18"/>
        </w:rPr>
        <w:t xml:space="preserve">ignificant if </w:t>
      </w:r>
      <w:r w:rsidR="004F41A7" w:rsidRPr="00840139">
        <w:rPr>
          <w:i/>
          <w:iCs/>
          <w:sz w:val="20"/>
          <w:szCs w:val="18"/>
        </w:rPr>
        <w:t>p</w:t>
      </w:r>
      <w:r w:rsidR="004F41A7" w:rsidRPr="00840139">
        <w:rPr>
          <w:sz w:val="20"/>
          <w:szCs w:val="18"/>
        </w:rPr>
        <w:t xml:space="preserve"> value is </w:t>
      </w:r>
      <w:r w:rsidR="004F41A7" w:rsidRPr="00840139">
        <w:rPr>
          <w:sz w:val="20"/>
          <w:szCs w:val="18"/>
          <w:u w:val="single"/>
        </w:rPr>
        <w:t>&lt;</w:t>
      </w:r>
      <w:r w:rsidR="004F41A7" w:rsidRPr="00840139">
        <w:rPr>
          <w:sz w:val="20"/>
          <w:szCs w:val="18"/>
        </w:rPr>
        <w:t xml:space="preserve"> .05.</w:t>
      </w:r>
      <w:r w:rsidR="004F41A7">
        <w:rPr>
          <w:sz w:val="20"/>
          <w:szCs w:val="18"/>
        </w:rPr>
        <w:t xml:space="preserve"> </w:t>
      </w:r>
      <w:r w:rsidR="004F41A7" w:rsidRPr="006F1390">
        <w:rPr>
          <w:sz w:val="20"/>
          <w:szCs w:val="18"/>
        </w:rPr>
        <w:t>Cramer’s V value for the strength of correlation: Effect size ≤ 0.2 - The result is weak. Although the result is statistically significant, the fields are only weakly associated. 0.2 &lt; ES ≤ 0.6 - The result is moderate. The fields are moderately associated. ES &gt; 0.6 - The result is strong. The fields are strongly associated.</w:t>
      </w:r>
    </w:p>
    <w:p w14:paraId="05221675" w14:textId="77777777" w:rsidR="00007CBD" w:rsidRPr="00DF3087" w:rsidRDefault="00007CBD" w:rsidP="00DF3087">
      <w:pPr>
        <w:spacing w:line="360" w:lineRule="auto"/>
        <w:jc w:val="both"/>
        <w:rPr>
          <w:bCs/>
          <w:sz w:val="24"/>
          <w:szCs w:val="24"/>
        </w:rPr>
      </w:pPr>
    </w:p>
    <w:p w14:paraId="6D9CF53D" w14:textId="77777777" w:rsidR="0039072B" w:rsidRPr="0039072B" w:rsidRDefault="00007CBD" w:rsidP="0039072B">
      <w:pPr>
        <w:contextualSpacing/>
        <w:jc w:val="both"/>
        <w:rPr>
          <w:sz w:val="24"/>
          <w:szCs w:val="24"/>
          <w:lang w:val="en-PH"/>
        </w:rPr>
      </w:pPr>
      <w:r w:rsidRPr="00007CBD">
        <w:rPr>
          <w:sz w:val="24"/>
          <w:szCs w:val="24"/>
          <w:lang w:val="en-PH"/>
        </w:rPr>
        <w:t>T</w:t>
      </w:r>
      <w:r w:rsidR="0039072B" w:rsidRPr="0039072B">
        <w:rPr>
          <w:sz w:val="24"/>
          <w:szCs w:val="24"/>
          <w:lang w:val="en-PH"/>
        </w:rPr>
        <w:t>he findings in Table 5 indicate that sex and highest educational attainment are significantly associated with the professional attitude of novice nurses, while age, civil status, and area of assignment show no statistically significant relationship, suggesting that professional attitude is shaped more by socialization and educational preparation than by demographic or work-placement factors. Female nurses demonstrated more visible expressions of empathy, communication, and interpersonal sensitivity, which are often emphasized in professional attitude assessments (Zhang, 2022; Kim &amp; Park, 2023). The moderate effect size indicates that sex has a meaningful but not exclusive influence, reflecting differences in how professionalism is expressed rather than differences in commitment. Educational attainment showed a strong association with professional attitude, indicating that higher education strengthens professional identity, ethical awareness, and reflective practice (Lopez &amp; Santiago, 2021; Amare, 2022).</w:t>
      </w:r>
    </w:p>
    <w:p w14:paraId="397912EE" w14:textId="77777777" w:rsidR="0039072B" w:rsidRPr="0039072B" w:rsidRDefault="0039072B" w:rsidP="0039072B">
      <w:pPr>
        <w:contextualSpacing/>
        <w:jc w:val="both"/>
        <w:rPr>
          <w:sz w:val="24"/>
          <w:szCs w:val="24"/>
          <w:lang w:val="en-PH"/>
        </w:rPr>
      </w:pPr>
    </w:p>
    <w:p w14:paraId="1243D8DC" w14:textId="60EC919A" w:rsidR="002F3080" w:rsidRDefault="0039072B" w:rsidP="0039072B">
      <w:pPr>
        <w:contextualSpacing/>
        <w:jc w:val="both"/>
        <w:rPr>
          <w:sz w:val="24"/>
          <w:szCs w:val="24"/>
          <w:lang w:val="en-PH"/>
        </w:rPr>
      </w:pPr>
      <w:r w:rsidRPr="0039072B">
        <w:rPr>
          <w:sz w:val="24"/>
          <w:szCs w:val="24"/>
          <w:lang w:val="en-PH"/>
        </w:rPr>
        <w:t xml:space="preserve">In contrast, age, civil status, and area of assignment were not significantly related to professional attitude, suggesting that professionalism is guided more by organizational culture, mentorship, and leadership support than by personal characteristics (Yilmaz &amp; </w:t>
      </w:r>
      <w:proofErr w:type="spellStart"/>
      <w:r w:rsidRPr="0039072B">
        <w:rPr>
          <w:sz w:val="24"/>
          <w:szCs w:val="24"/>
          <w:lang w:val="en-PH"/>
        </w:rPr>
        <w:t>Özkale</w:t>
      </w:r>
      <w:proofErr w:type="spellEnd"/>
      <w:r w:rsidRPr="0039072B">
        <w:rPr>
          <w:sz w:val="24"/>
          <w:szCs w:val="24"/>
          <w:lang w:val="en-PH"/>
        </w:rPr>
        <w:t>, 2020). Overall, the findings show that sex and educational attainment influence how professional values are expressed and internalized, highlighting the need for equitable professional development strategies, mentorship, and ethics-focused training to support consistent professional attitude among novice nurses and enhance patient care quality and organizational performance.</w:t>
      </w:r>
    </w:p>
    <w:p w14:paraId="7BC4BB62" w14:textId="004C82D5" w:rsidR="00DF3087" w:rsidRPr="00DF3087" w:rsidRDefault="00007CBD" w:rsidP="002F3080">
      <w:pPr>
        <w:contextualSpacing/>
        <w:jc w:val="both"/>
        <w:rPr>
          <w:sz w:val="24"/>
          <w:szCs w:val="24"/>
          <w:lang w:val="en-PH"/>
        </w:rPr>
      </w:pPr>
      <w:r>
        <w:rPr>
          <w:sz w:val="24"/>
          <w:szCs w:val="24"/>
          <w:lang w:val="en-PH"/>
        </w:rPr>
        <w:t xml:space="preserve"> </w:t>
      </w:r>
    </w:p>
    <w:p w14:paraId="700F7F34" w14:textId="7DC9FD7A" w:rsidR="002F3080" w:rsidRPr="00007CBD" w:rsidRDefault="002F3080" w:rsidP="002F3080">
      <w:pPr>
        <w:rPr>
          <w:sz w:val="24"/>
          <w:szCs w:val="24"/>
        </w:rPr>
      </w:pPr>
      <w:r w:rsidRPr="00007CBD">
        <w:rPr>
          <w:sz w:val="24"/>
          <w:szCs w:val="24"/>
        </w:rPr>
        <w:t xml:space="preserve">Table </w:t>
      </w:r>
      <w:r>
        <w:rPr>
          <w:sz w:val="24"/>
          <w:szCs w:val="24"/>
        </w:rPr>
        <w:t>6</w:t>
      </w:r>
      <w:r w:rsidRPr="00007CBD">
        <w:rPr>
          <w:sz w:val="24"/>
          <w:szCs w:val="24"/>
        </w:rPr>
        <w:t xml:space="preserve"> Relationship </w:t>
      </w:r>
      <w:r w:rsidRPr="002F3080">
        <w:rPr>
          <w:sz w:val="24"/>
          <w:szCs w:val="24"/>
        </w:rPr>
        <w:t xml:space="preserve">between </w:t>
      </w:r>
      <w:r w:rsidR="0039072B">
        <w:rPr>
          <w:sz w:val="24"/>
          <w:szCs w:val="24"/>
        </w:rPr>
        <w:t xml:space="preserve">Level of Competency and Professional Attitude </w:t>
      </w:r>
    </w:p>
    <w:tbl>
      <w:tblPr>
        <w:tblStyle w:val="TableGrid"/>
        <w:tblW w:w="0" w:type="auto"/>
        <w:tblLook w:val="04A0" w:firstRow="1" w:lastRow="0" w:firstColumn="1" w:lastColumn="0" w:noHBand="0" w:noVBand="1"/>
      </w:tblPr>
      <w:tblGrid>
        <w:gridCol w:w="3256"/>
        <w:gridCol w:w="900"/>
        <w:gridCol w:w="1109"/>
        <w:gridCol w:w="1951"/>
        <w:gridCol w:w="2070"/>
      </w:tblGrid>
      <w:tr w:rsidR="0039072B" w14:paraId="4BF074C0" w14:textId="77777777" w:rsidTr="0039072B">
        <w:tc>
          <w:tcPr>
            <w:tcW w:w="3256" w:type="dxa"/>
            <w:vAlign w:val="center"/>
          </w:tcPr>
          <w:p w14:paraId="08686533" w14:textId="77777777" w:rsidR="0039072B" w:rsidRDefault="0039072B" w:rsidP="00716F7A">
            <w:pPr>
              <w:jc w:val="center"/>
              <w:rPr>
                <w:sz w:val="24"/>
              </w:rPr>
            </w:pPr>
            <w:r>
              <w:rPr>
                <w:sz w:val="24"/>
              </w:rPr>
              <w:t>Variables</w:t>
            </w:r>
          </w:p>
        </w:tc>
        <w:tc>
          <w:tcPr>
            <w:tcW w:w="900" w:type="dxa"/>
            <w:vAlign w:val="center"/>
          </w:tcPr>
          <w:p w14:paraId="27FEFB11" w14:textId="77777777" w:rsidR="0039072B" w:rsidRDefault="0039072B" w:rsidP="00716F7A">
            <w:pPr>
              <w:jc w:val="center"/>
              <w:rPr>
                <w:sz w:val="24"/>
              </w:rPr>
            </w:pPr>
            <w:r>
              <w:rPr>
                <w:sz w:val="24"/>
              </w:rPr>
              <w:t>r value</w:t>
            </w:r>
          </w:p>
        </w:tc>
        <w:tc>
          <w:tcPr>
            <w:tcW w:w="1109" w:type="dxa"/>
            <w:vAlign w:val="center"/>
          </w:tcPr>
          <w:p w14:paraId="7BF29516" w14:textId="77777777" w:rsidR="0039072B" w:rsidRDefault="0039072B" w:rsidP="00716F7A">
            <w:pPr>
              <w:jc w:val="center"/>
              <w:rPr>
                <w:sz w:val="24"/>
              </w:rPr>
            </w:pPr>
            <w:r>
              <w:rPr>
                <w:i/>
                <w:iCs/>
                <w:sz w:val="24"/>
              </w:rPr>
              <w:t>p</w:t>
            </w:r>
            <w:r>
              <w:rPr>
                <w:sz w:val="24"/>
              </w:rPr>
              <w:t xml:space="preserve"> value</w:t>
            </w:r>
          </w:p>
        </w:tc>
        <w:tc>
          <w:tcPr>
            <w:tcW w:w="1951" w:type="dxa"/>
            <w:vAlign w:val="center"/>
          </w:tcPr>
          <w:p w14:paraId="244E6BFF" w14:textId="77777777" w:rsidR="0039072B" w:rsidRDefault="0039072B" w:rsidP="00716F7A">
            <w:pPr>
              <w:jc w:val="center"/>
              <w:rPr>
                <w:sz w:val="24"/>
              </w:rPr>
            </w:pPr>
            <w:r>
              <w:rPr>
                <w:sz w:val="24"/>
              </w:rPr>
              <w:t>Decision</w:t>
            </w:r>
          </w:p>
        </w:tc>
        <w:tc>
          <w:tcPr>
            <w:tcW w:w="2070" w:type="dxa"/>
            <w:vAlign w:val="center"/>
          </w:tcPr>
          <w:p w14:paraId="6F91EAFA" w14:textId="77777777" w:rsidR="0039072B" w:rsidRDefault="0039072B" w:rsidP="00716F7A">
            <w:pPr>
              <w:jc w:val="center"/>
              <w:rPr>
                <w:sz w:val="24"/>
              </w:rPr>
            </w:pPr>
            <w:r>
              <w:rPr>
                <w:sz w:val="24"/>
              </w:rPr>
              <w:t>Interpretation</w:t>
            </w:r>
          </w:p>
        </w:tc>
      </w:tr>
      <w:tr w:rsidR="0039072B" w14:paraId="49EF76D7" w14:textId="77777777" w:rsidTr="0039072B">
        <w:tc>
          <w:tcPr>
            <w:tcW w:w="3256" w:type="dxa"/>
            <w:vAlign w:val="center"/>
          </w:tcPr>
          <w:p w14:paraId="62BBD45F" w14:textId="77777777" w:rsidR="0039072B" w:rsidRPr="000C36E8" w:rsidRDefault="0039072B" w:rsidP="00716F7A">
            <w:pPr>
              <w:jc w:val="center"/>
              <w:rPr>
                <w:sz w:val="24"/>
              </w:rPr>
            </w:pPr>
            <w:r>
              <w:rPr>
                <w:sz w:val="24"/>
              </w:rPr>
              <w:t>Level of competency vs. Professional attitude</w:t>
            </w:r>
          </w:p>
        </w:tc>
        <w:tc>
          <w:tcPr>
            <w:tcW w:w="900" w:type="dxa"/>
            <w:vAlign w:val="center"/>
          </w:tcPr>
          <w:p w14:paraId="5ACF2C8F" w14:textId="77777777" w:rsidR="0039072B" w:rsidRDefault="0039072B" w:rsidP="00716F7A">
            <w:pPr>
              <w:jc w:val="center"/>
              <w:rPr>
                <w:sz w:val="24"/>
              </w:rPr>
            </w:pPr>
            <w:r>
              <w:rPr>
                <w:sz w:val="24"/>
              </w:rPr>
              <w:t>.692</w:t>
            </w:r>
          </w:p>
        </w:tc>
        <w:tc>
          <w:tcPr>
            <w:tcW w:w="1109" w:type="dxa"/>
            <w:vAlign w:val="center"/>
          </w:tcPr>
          <w:p w14:paraId="58ED40F1" w14:textId="77777777" w:rsidR="0039072B" w:rsidRDefault="0039072B" w:rsidP="00716F7A">
            <w:pPr>
              <w:jc w:val="center"/>
              <w:rPr>
                <w:sz w:val="24"/>
              </w:rPr>
            </w:pPr>
            <w:r>
              <w:rPr>
                <w:sz w:val="24"/>
              </w:rPr>
              <w:t>.000</w:t>
            </w:r>
          </w:p>
        </w:tc>
        <w:tc>
          <w:tcPr>
            <w:tcW w:w="1951" w:type="dxa"/>
            <w:vAlign w:val="center"/>
          </w:tcPr>
          <w:p w14:paraId="20E132F9" w14:textId="77777777" w:rsidR="0039072B" w:rsidRDefault="0039072B" w:rsidP="00716F7A">
            <w:pPr>
              <w:jc w:val="center"/>
              <w:rPr>
                <w:sz w:val="24"/>
              </w:rPr>
            </w:pPr>
            <w:r>
              <w:rPr>
                <w:sz w:val="24"/>
              </w:rPr>
              <w:t>Reject Ho</w:t>
            </w:r>
          </w:p>
        </w:tc>
        <w:tc>
          <w:tcPr>
            <w:tcW w:w="2070" w:type="dxa"/>
            <w:vAlign w:val="center"/>
          </w:tcPr>
          <w:p w14:paraId="7A6D30A0" w14:textId="77777777" w:rsidR="0039072B" w:rsidRDefault="0039072B" w:rsidP="00716F7A">
            <w:pPr>
              <w:jc w:val="center"/>
              <w:rPr>
                <w:sz w:val="24"/>
              </w:rPr>
            </w:pPr>
            <w:r>
              <w:rPr>
                <w:sz w:val="24"/>
              </w:rPr>
              <w:t>Significant</w:t>
            </w:r>
          </w:p>
        </w:tc>
      </w:tr>
    </w:tbl>
    <w:p w14:paraId="109A4F92" w14:textId="77777777" w:rsidR="0039072B" w:rsidRDefault="002F3080" w:rsidP="002F3080">
      <w:pPr>
        <w:tabs>
          <w:tab w:val="left" w:pos="342"/>
        </w:tabs>
        <w:rPr>
          <w:sz w:val="20"/>
          <w:szCs w:val="18"/>
        </w:rPr>
      </w:pPr>
      <w:r w:rsidRPr="001F152D">
        <w:rPr>
          <w:bCs/>
          <w:sz w:val="20"/>
        </w:rPr>
        <w:t>Legend: Significant</w:t>
      </w:r>
      <w:r w:rsidR="0039072B" w:rsidRPr="0039072B">
        <w:rPr>
          <w:sz w:val="20"/>
          <w:szCs w:val="18"/>
        </w:rPr>
        <w:t xml:space="preserve"> </w:t>
      </w:r>
      <w:r w:rsidR="0039072B" w:rsidRPr="00840139">
        <w:rPr>
          <w:sz w:val="20"/>
          <w:szCs w:val="18"/>
        </w:rPr>
        <w:t xml:space="preserve">if </w:t>
      </w:r>
      <w:r w:rsidR="0039072B" w:rsidRPr="00840139">
        <w:rPr>
          <w:i/>
          <w:iCs/>
          <w:sz w:val="20"/>
          <w:szCs w:val="18"/>
        </w:rPr>
        <w:t>p</w:t>
      </w:r>
      <w:r w:rsidR="0039072B" w:rsidRPr="00840139">
        <w:rPr>
          <w:sz w:val="20"/>
          <w:szCs w:val="18"/>
        </w:rPr>
        <w:t xml:space="preserve"> value is </w:t>
      </w:r>
      <w:r w:rsidR="0039072B" w:rsidRPr="00840139">
        <w:rPr>
          <w:sz w:val="20"/>
          <w:szCs w:val="18"/>
          <w:u w:val="single"/>
        </w:rPr>
        <w:t>&lt;</w:t>
      </w:r>
      <w:r w:rsidR="0039072B" w:rsidRPr="00840139">
        <w:rPr>
          <w:sz w:val="20"/>
          <w:szCs w:val="18"/>
        </w:rPr>
        <w:t xml:space="preserve"> .05.</w:t>
      </w:r>
      <w:r w:rsidR="0039072B">
        <w:rPr>
          <w:sz w:val="20"/>
          <w:szCs w:val="18"/>
        </w:rPr>
        <w:t xml:space="preserve"> Dependent variable: Professional attitude.</w:t>
      </w:r>
    </w:p>
    <w:p w14:paraId="7EC768C3" w14:textId="77777777" w:rsidR="0039072B" w:rsidRDefault="0039072B" w:rsidP="002F3080">
      <w:pPr>
        <w:tabs>
          <w:tab w:val="left" w:pos="342"/>
        </w:tabs>
        <w:rPr>
          <w:sz w:val="20"/>
          <w:szCs w:val="18"/>
        </w:rPr>
      </w:pPr>
    </w:p>
    <w:p w14:paraId="7A335E4D" w14:textId="0AEB451F" w:rsidR="002F3080" w:rsidRPr="001F152D" w:rsidRDefault="002F3080" w:rsidP="002F3080">
      <w:pPr>
        <w:tabs>
          <w:tab w:val="left" w:pos="342"/>
        </w:tabs>
        <w:rPr>
          <w:bCs/>
          <w:sz w:val="20"/>
        </w:rPr>
      </w:pPr>
      <w:r w:rsidRPr="001F152D">
        <w:rPr>
          <w:bCs/>
          <w:sz w:val="20"/>
        </w:rPr>
        <w:t xml:space="preserve">Pearson r interpretation: A </w:t>
      </w:r>
      <w:r w:rsidR="0039072B" w:rsidRPr="0064233A">
        <w:rPr>
          <w:sz w:val="20"/>
        </w:rPr>
        <w:t>value greater than .5 is strong (positive), between .3 and .5 is moderate (positive), between 0 and .3 is weak (positive), 0 is none, between 0 and –.3 is weak (negative), between –.3 and –.5 is moderate (negative), and less than –.5 is strong (negative).</w:t>
      </w:r>
    </w:p>
    <w:p w14:paraId="520F8864" w14:textId="77777777" w:rsidR="002F3080" w:rsidRPr="00DF3087" w:rsidRDefault="002F3080" w:rsidP="002F3080">
      <w:pPr>
        <w:spacing w:line="360" w:lineRule="auto"/>
        <w:jc w:val="both"/>
        <w:rPr>
          <w:bCs/>
          <w:sz w:val="24"/>
          <w:szCs w:val="24"/>
        </w:rPr>
      </w:pPr>
    </w:p>
    <w:p w14:paraId="38F0363A" w14:textId="79CEF48B" w:rsidR="002F3080" w:rsidRPr="00DF3087" w:rsidRDefault="002F3080" w:rsidP="002F3080">
      <w:pPr>
        <w:contextualSpacing/>
        <w:jc w:val="both"/>
        <w:rPr>
          <w:sz w:val="24"/>
          <w:szCs w:val="24"/>
          <w:lang w:val="en-PH"/>
        </w:rPr>
      </w:pPr>
      <w:r w:rsidRPr="00007CBD">
        <w:rPr>
          <w:sz w:val="24"/>
          <w:szCs w:val="24"/>
          <w:lang w:val="en-PH"/>
        </w:rPr>
        <w:lastRenderedPageBreak/>
        <w:t>T</w:t>
      </w:r>
      <w:r w:rsidR="0039072B" w:rsidRPr="0039072B">
        <w:rPr>
          <w:sz w:val="24"/>
          <w:szCs w:val="24"/>
        </w:rPr>
        <w:t>he findings in Table 6 reveal a strong, positive, and statistically significant relationship between nursing competency and professional attitude among novice nurses (r = .692, p = .000), indicating that higher competency is associated with stronger professional attitude. This relationship reflects the interconnected nature of competency development and professional attitude formation, where increasing competence strengthens confidence, role clarity, accountability, and commitment to professional standards. Nurses with higher competency levels demonstrate greater self-efficacy and professional engagement, while competence supports the internalization of professional values, motivation, and ethical responsibility (Lee &amp; Kim, 2022; Wang et al., 2021). In practice, competent novice nurses tend to show stronger professionalism, teamwork, ethical decision-making, and resilience, particularly in high-demand clinical settings, consistent with Benner’s (1984) progression model and findings linking competence with work confidence and engagement (</w:t>
      </w:r>
      <w:proofErr w:type="spellStart"/>
      <w:r w:rsidR="0039072B" w:rsidRPr="0039072B">
        <w:rPr>
          <w:sz w:val="24"/>
          <w:szCs w:val="24"/>
        </w:rPr>
        <w:t>Labrague</w:t>
      </w:r>
      <w:proofErr w:type="spellEnd"/>
      <w:r w:rsidR="0039072B" w:rsidRPr="0039072B">
        <w:rPr>
          <w:sz w:val="24"/>
          <w:szCs w:val="24"/>
        </w:rPr>
        <w:t xml:space="preserve"> et al., 2020). Conversely, lack of competence may contribute to stress, reduced confidence, and diminished professional engagement (Al </w:t>
      </w:r>
      <w:proofErr w:type="spellStart"/>
      <w:r w:rsidR="0039072B" w:rsidRPr="0039072B">
        <w:rPr>
          <w:sz w:val="24"/>
          <w:szCs w:val="24"/>
        </w:rPr>
        <w:t>Maqbali</w:t>
      </w:r>
      <w:proofErr w:type="spellEnd"/>
      <w:r w:rsidR="0039072B" w:rsidRPr="0039072B">
        <w:rPr>
          <w:sz w:val="24"/>
          <w:szCs w:val="24"/>
        </w:rPr>
        <w:t xml:space="preserve"> et al., 2020). Overall, competency and professional attitude are mutually reinforcing, emphasizing the need for integrated professional development, mentorship, and structured training that simultaneously strengthen clinical skills and professional values to improve patient care and hospital performance</w:t>
      </w:r>
      <w:r w:rsidR="00255E36" w:rsidRPr="00255E36">
        <w:rPr>
          <w:sz w:val="24"/>
          <w:szCs w:val="24"/>
        </w:rPr>
        <w:t>.</w:t>
      </w:r>
      <w:r w:rsidR="00255E36">
        <w:rPr>
          <w:sz w:val="24"/>
          <w:szCs w:val="24"/>
          <w:lang w:val="en-PH"/>
        </w:rPr>
        <w:t xml:space="preserve"> </w:t>
      </w:r>
    </w:p>
    <w:p w14:paraId="1C120C2E" w14:textId="77777777" w:rsidR="002F3080" w:rsidRDefault="002F3080" w:rsidP="00220782">
      <w:pPr>
        <w:pStyle w:val="BodyText"/>
        <w:rPr>
          <w:b/>
          <w:bCs/>
          <w:lang w:val="en-PH"/>
        </w:rPr>
      </w:pPr>
    </w:p>
    <w:p w14:paraId="2ADDC635" w14:textId="77777777" w:rsidR="002F3080" w:rsidRDefault="002F3080" w:rsidP="00220782">
      <w:pPr>
        <w:pStyle w:val="BodyText"/>
        <w:rPr>
          <w:b/>
          <w:bCs/>
          <w:lang w:val="en-PH"/>
        </w:rPr>
      </w:pPr>
    </w:p>
    <w:p w14:paraId="248FEBD4" w14:textId="0C7C7421" w:rsidR="00776E04" w:rsidRPr="00167428" w:rsidRDefault="00195F61" w:rsidP="00220782">
      <w:pPr>
        <w:pStyle w:val="BodyText"/>
        <w:rPr>
          <w:b/>
          <w:bCs/>
          <w:lang w:val="en-PH"/>
        </w:rPr>
      </w:pPr>
      <w:r w:rsidRPr="00CF0DC9">
        <w:rPr>
          <w:b/>
          <w:bCs/>
          <w:noProof/>
          <w:lang w:val="en-PH" w:eastAsia="en-PH"/>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D36193"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167428">
        <w:rPr>
          <w:b/>
          <w:bCs/>
          <w:lang w:val="en-PH"/>
        </w:rPr>
        <w:t xml:space="preserve">CONCLUSION </w:t>
      </w:r>
      <w:r w:rsidR="00DF3087">
        <w:rPr>
          <w:b/>
          <w:bCs/>
          <w:lang w:val="en-PH"/>
        </w:rPr>
        <w:t>AND RECOMMENDATIONS</w:t>
      </w:r>
    </w:p>
    <w:p w14:paraId="4056E248" w14:textId="77777777" w:rsidR="00DF3087" w:rsidRDefault="00DF3087" w:rsidP="00DF3087">
      <w:pPr>
        <w:pStyle w:val="BodyText"/>
        <w:jc w:val="both"/>
        <w:rPr>
          <w:b/>
          <w:bCs/>
          <w:lang w:val="en-PH"/>
        </w:rPr>
      </w:pPr>
    </w:p>
    <w:p w14:paraId="2A388F74" w14:textId="58A3B101" w:rsidR="009360FC" w:rsidRDefault="00776E04" w:rsidP="009360FC">
      <w:pPr>
        <w:pStyle w:val="BodyText"/>
        <w:jc w:val="both"/>
      </w:pPr>
      <w:r w:rsidRPr="00167428">
        <w:rPr>
          <w:b/>
          <w:bCs/>
          <w:lang w:val="en-PH"/>
        </w:rPr>
        <w:t>Conclusion</w:t>
      </w:r>
      <w:r w:rsidR="00927058" w:rsidRPr="00167428">
        <w:rPr>
          <w:b/>
          <w:bCs/>
          <w:lang w:val="en-PH"/>
        </w:rPr>
        <w:t xml:space="preserve">. </w:t>
      </w:r>
      <w:r w:rsidR="00007CBD" w:rsidRPr="00007CBD">
        <w:rPr>
          <w:lang w:val="en-PH"/>
        </w:rPr>
        <w:t>The findings reveal</w:t>
      </w:r>
      <w:r w:rsidR="00255E36">
        <w:rPr>
          <w:lang w:val="en-PH"/>
        </w:rPr>
        <w:t xml:space="preserve"> </w:t>
      </w:r>
      <w:r w:rsidR="00255E36" w:rsidRPr="00255E36">
        <w:t xml:space="preserve">that </w:t>
      </w:r>
      <w:r w:rsidR="009360FC">
        <w:t>t</w:t>
      </w:r>
      <w:r w:rsidR="009360FC" w:rsidRPr="009360FC">
        <w:t>he high level of nursing competency demonstrated by novice nurses indicates that essential clinical competencies can be developed early in professional practice. However, the relatively lower competency in diagnostic functions suggests that advanced clinical judgment and complex decision-making require continued experience and guided practice, supporting the theory’s view that competency develops progressively.</w:t>
      </w:r>
      <w:r w:rsidR="009360FC">
        <w:t xml:space="preserve"> And, t</w:t>
      </w:r>
      <w:r w:rsidR="009360FC">
        <w:t>he high level of professional attitude observed among novice nurses, together with its strong positive correlation with nursing competency, indicates that positive professional attitudes reinforce competent clinical performance. The significant influence of sex and educational attainment on professional attitude further supports the theory’s assumption that individual characteristics shape attitudes that guide professional behavior.</w:t>
      </w:r>
    </w:p>
    <w:p w14:paraId="629840AB" w14:textId="77777777" w:rsidR="009360FC" w:rsidRDefault="009360FC" w:rsidP="009360FC">
      <w:pPr>
        <w:pStyle w:val="BodyText"/>
        <w:jc w:val="both"/>
      </w:pPr>
    </w:p>
    <w:p w14:paraId="35C64B7A" w14:textId="56E42816" w:rsidR="00385845" w:rsidRDefault="009360FC" w:rsidP="009360FC">
      <w:pPr>
        <w:pStyle w:val="BodyText"/>
        <w:jc w:val="both"/>
      </w:pPr>
      <w:r>
        <w:t>Overall, the strong interrelationship between nursing competency and professional attitude confirms that clinical skills and professional values are mutually reinforcing. These findings underscore the importance of structured competency development, mentorship, and professional formation programs to strengthen diagnostic reasoning, decision-making, and ethical practice among novice nurses in high-acuity hospital settings.</w:t>
      </w:r>
    </w:p>
    <w:p w14:paraId="134A6210" w14:textId="665DFE2B" w:rsidR="00385845" w:rsidRPr="00385845" w:rsidRDefault="00255E36" w:rsidP="00385845">
      <w:pPr>
        <w:pStyle w:val="BodyText"/>
        <w:jc w:val="both"/>
        <w:rPr>
          <w:lang w:val="en-PH"/>
        </w:rPr>
      </w:pPr>
      <w:r>
        <w:rPr>
          <w:lang w:val="en-PH"/>
        </w:rPr>
        <w:t xml:space="preserve"> </w:t>
      </w:r>
    </w:p>
    <w:p w14:paraId="6A124DF3" w14:textId="39F1E12B" w:rsidR="00007CBD" w:rsidRDefault="00776E04" w:rsidP="00255E36">
      <w:pPr>
        <w:pStyle w:val="BodyText"/>
        <w:jc w:val="both"/>
      </w:pPr>
      <w:r w:rsidRPr="00167428">
        <w:rPr>
          <w:b/>
          <w:bCs/>
          <w:lang w:val="en-PH"/>
        </w:rPr>
        <w:t>Recommendations</w:t>
      </w:r>
      <w:r w:rsidR="00927058" w:rsidRPr="00167428">
        <w:rPr>
          <w:b/>
          <w:bCs/>
          <w:lang w:val="en-PH"/>
        </w:rPr>
        <w:t xml:space="preserve">. </w:t>
      </w:r>
      <w:r w:rsidR="00255E36">
        <w:rPr>
          <w:lang w:val="en-PH"/>
        </w:rPr>
        <w:t>B</w:t>
      </w:r>
      <w:r w:rsidR="00255E36" w:rsidRPr="00255E36">
        <w:rPr>
          <w:lang w:val="en-PH"/>
        </w:rPr>
        <w:t xml:space="preserve">ased on the findings, nursing practice </w:t>
      </w:r>
      <w:r w:rsidR="009360FC" w:rsidRPr="00503054">
        <w:t>should implement the Novice Nurse Professional Development and Competency Enhancement Program (NN-PDCEP), which includes structured mentorship, simulation-based training, case analysis, and reflective practice to strengthen novice nurses’ diagnostic skills, clinical decision-making, and professional attitude</w:t>
      </w:r>
      <w:r w:rsidR="00255E36" w:rsidRPr="00255E36">
        <w:rPr>
          <w:lang w:val="en-PH"/>
        </w:rPr>
        <w:t>s. For nursing policy,</w:t>
      </w:r>
      <w:r w:rsidR="009360FC">
        <w:rPr>
          <w:lang w:val="en-PH"/>
        </w:rPr>
        <w:t xml:space="preserve"> a s</w:t>
      </w:r>
      <w:r w:rsidR="009360FC" w:rsidRPr="00B31693">
        <w:t>structured</w:t>
      </w:r>
      <w:r w:rsidR="009360FC" w:rsidRPr="00B31693">
        <w:t xml:space="preserve"> mentorship, and systematic performance monitoring to sustain high standards of care. Human Resource (HR) departments play a critical role by integrating competency-based criteria into recruitment, orientation, appraisal, and promotion systems, ensuring that both clinical skills and professional attitude are consistently evaluated</w:t>
      </w:r>
      <w:r w:rsidR="00255E36">
        <w:t>.</w:t>
      </w:r>
      <w:r w:rsidR="00007CBD">
        <w:t xml:space="preserve"> </w:t>
      </w:r>
    </w:p>
    <w:p w14:paraId="0D517687" w14:textId="77777777" w:rsidR="00007CBD" w:rsidRDefault="00007CBD" w:rsidP="00007CBD">
      <w:pPr>
        <w:pStyle w:val="BodyText"/>
        <w:jc w:val="both"/>
      </w:pPr>
    </w:p>
    <w:p w14:paraId="747DE204" w14:textId="1194421B" w:rsidR="00007CBD" w:rsidRDefault="00007CBD" w:rsidP="00007CBD">
      <w:pPr>
        <w:pStyle w:val="BodyText"/>
        <w:jc w:val="both"/>
      </w:pPr>
      <w:r>
        <w:lastRenderedPageBreak/>
        <w:t xml:space="preserve">Further studies </w:t>
      </w:r>
      <w:r w:rsidR="00255E36" w:rsidRPr="00003C11">
        <w:rPr>
          <w:lang w:val="en-PH"/>
        </w:rPr>
        <w:t xml:space="preserve">to </w:t>
      </w:r>
      <w:r w:rsidR="009360FC" w:rsidRPr="0067708A">
        <w:t>explore factors influencing novice nurses’ competence and attitude, including mentorship quality, workload, and organizational culture. Longitudinal studies tracking early-career growth are also recommended. Suggested titles include</w:t>
      </w:r>
      <w:r>
        <w:t>:</w:t>
      </w:r>
      <w:r w:rsidR="00255E36">
        <w:t xml:space="preserve"> </w:t>
      </w:r>
    </w:p>
    <w:p w14:paraId="1C54B6A8" w14:textId="544DCFCA" w:rsidR="00007CBD" w:rsidRDefault="00007CBD" w:rsidP="00007CBD">
      <w:pPr>
        <w:pStyle w:val="BodyText"/>
        <w:ind w:left="426"/>
        <w:jc w:val="both"/>
      </w:pPr>
      <w:r>
        <w:t xml:space="preserve">1. </w:t>
      </w:r>
      <w:r w:rsidR="00255E36" w:rsidRPr="00003C11">
        <w:rPr>
          <w:lang w:val="en-PH"/>
        </w:rPr>
        <w:t>T</w:t>
      </w:r>
      <w:r w:rsidR="009360FC" w:rsidRPr="00284EF4">
        <w:t>he Influence of Mentorship Programs on Competency and Professional Attitude of Novice Nurses</w:t>
      </w:r>
    </w:p>
    <w:p w14:paraId="2E39CC7B" w14:textId="7C9B09DC" w:rsidR="00007CBD" w:rsidRDefault="00007CBD" w:rsidP="00007CBD">
      <w:pPr>
        <w:pStyle w:val="BodyText"/>
        <w:ind w:left="426"/>
        <w:jc w:val="both"/>
        <w:rPr>
          <w:lang w:val="en-PH"/>
        </w:rPr>
      </w:pPr>
      <w:r>
        <w:t xml:space="preserve">2. </w:t>
      </w:r>
      <w:r w:rsidR="009360FC">
        <w:t>O</w:t>
      </w:r>
      <w:r w:rsidR="009360FC" w:rsidRPr="003671FA">
        <w:t>rganizational Culture and Its Effect on Early-Career Nurse Professionalism</w:t>
      </w:r>
    </w:p>
    <w:p w14:paraId="7F31E940" w14:textId="6F0CBF69" w:rsidR="00255E36" w:rsidRPr="00007CBD" w:rsidRDefault="00255E36" w:rsidP="00007CBD">
      <w:pPr>
        <w:pStyle w:val="BodyText"/>
        <w:ind w:left="426"/>
        <w:jc w:val="both"/>
      </w:pPr>
      <w:r>
        <w:rPr>
          <w:lang w:val="en-PH"/>
        </w:rPr>
        <w:t xml:space="preserve">3. </w:t>
      </w:r>
      <w:r w:rsidR="009360FC">
        <w:rPr>
          <w:lang w:val="en-PH"/>
        </w:rPr>
        <w:t xml:space="preserve">The </w:t>
      </w:r>
      <w:r w:rsidR="009360FC" w:rsidRPr="003671FA">
        <w:t>Role of Stress and Workload in Shaping Nursing Competency and Professional Ethics</w:t>
      </w:r>
    </w:p>
    <w:p w14:paraId="496ABF49" w14:textId="77777777" w:rsidR="00561FB2" w:rsidRDefault="00561FB2" w:rsidP="00E70281">
      <w:pPr>
        <w:pStyle w:val="BodyText"/>
        <w:jc w:val="both"/>
      </w:pPr>
    </w:p>
    <w:p w14:paraId="3F6BB960" w14:textId="77777777" w:rsidR="00621BDC" w:rsidRDefault="00621BDC" w:rsidP="00E70281">
      <w:pPr>
        <w:pStyle w:val="BodyText"/>
        <w:jc w:val="both"/>
      </w:pPr>
    </w:p>
    <w:p w14:paraId="5A6BC9C9" w14:textId="77777777" w:rsidR="00621BDC" w:rsidRDefault="00621BDC" w:rsidP="00E70281">
      <w:pPr>
        <w:pStyle w:val="BodyText"/>
        <w:jc w:val="both"/>
      </w:pPr>
    </w:p>
    <w:p w14:paraId="66FE0BCB" w14:textId="77777777" w:rsidR="00621BDC" w:rsidRDefault="00621BDC" w:rsidP="00E70281">
      <w:pPr>
        <w:pStyle w:val="BodyText"/>
        <w:jc w:val="both"/>
      </w:pPr>
    </w:p>
    <w:p w14:paraId="6FC491A2" w14:textId="77777777" w:rsidR="00561FB2" w:rsidRDefault="00561FB2" w:rsidP="00E70281">
      <w:pPr>
        <w:pStyle w:val="BodyText"/>
        <w:jc w:val="both"/>
      </w:pPr>
    </w:p>
    <w:p w14:paraId="27D998E7" w14:textId="77777777" w:rsidR="00F9356D" w:rsidRDefault="00F9356D" w:rsidP="00F9356D">
      <w:pPr>
        <w:spacing w:line="480" w:lineRule="auto"/>
        <w:rPr>
          <w:b/>
          <w:bCs/>
          <w:sz w:val="24"/>
          <w:szCs w:val="24"/>
        </w:rPr>
      </w:pPr>
      <w:r w:rsidRPr="00EA5E7E">
        <w:rPr>
          <w:b/>
          <w:bCs/>
          <w:sz w:val="24"/>
          <w:szCs w:val="24"/>
        </w:rPr>
        <w:t xml:space="preserve">Novice Nurse Professional Development and Competency Enhancement </w:t>
      </w:r>
      <w:r>
        <w:rPr>
          <w:b/>
          <w:bCs/>
          <w:sz w:val="24"/>
          <w:szCs w:val="24"/>
        </w:rPr>
        <w:t>Plan</w:t>
      </w:r>
      <w:r w:rsidRPr="00EA5E7E">
        <w:rPr>
          <w:b/>
          <w:bCs/>
          <w:sz w:val="24"/>
          <w:szCs w:val="24"/>
        </w:rPr>
        <w:t xml:space="preserve"> (NN-PDCEP)</w:t>
      </w:r>
    </w:p>
    <w:p w14:paraId="6A363456" w14:textId="77777777" w:rsidR="00E70281" w:rsidRPr="00007CBD" w:rsidRDefault="00E70281" w:rsidP="00E70281">
      <w:pPr>
        <w:pStyle w:val="BodyText"/>
        <w:jc w:val="both"/>
      </w:pPr>
      <w:r w:rsidRPr="00007CBD">
        <w:t>Rationale</w:t>
      </w:r>
    </w:p>
    <w:p w14:paraId="7609BCE3" w14:textId="6DA61FC9" w:rsidR="00385845" w:rsidRPr="00385845" w:rsidRDefault="00F9356D" w:rsidP="00007CBD">
      <w:pPr>
        <w:pStyle w:val="BodyText"/>
        <w:jc w:val="both"/>
        <w:rPr>
          <w:lang w:val="en-PH"/>
        </w:rPr>
      </w:pPr>
      <w:r>
        <w:t>W</w:t>
      </w:r>
      <w:r w:rsidRPr="001D16CF">
        <w:t xml:space="preserve">hile novice nurses demonstrated high overall competency and professional attitude, the findings revealed </w:t>
      </w:r>
      <w:r w:rsidRPr="0056604A">
        <w:t>relatively weaker diagnostic and decision-making competencies and a strong positive relationship between competency and professional attitude. This indicates that strengthening clinical competence, particularly cognitive and interpretive skills, will further reinforce ethical practice, professionalism, and engagement. Areas with high scores are not concerns but strengths that must be sustained</w:t>
      </w:r>
      <w:r w:rsidRPr="001D16CF">
        <w:t xml:space="preserve"> through both organizational support and personal responsibility via continuous professional development (CPD).</w:t>
      </w:r>
    </w:p>
    <w:p w14:paraId="7D056D4C" w14:textId="77777777" w:rsidR="00E70281" w:rsidRDefault="00E70281" w:rsidP="00E70281">
      <w:pPr>
        <w:pStyle w:val="BodyText"/>
        <w:jc w:val="both"/>
        <w:rPr>
          <w:b/>
          <w:bCs/>
        </w:rPr>
      </w:pPr>
    </w:p>
    <w:p w14:paraId="543EF64B" w14:textId="77777777" w:rsidR="00E70281" w:rsidRPr="00007CBD" w:rsidRDefault="00E70281" w:rsidP="00E70281">
      <w:pPr>
        <w:pStyle w:val="BodyText"/>
        <w:jc w:val="both"/>
      </w:pPr>
      <w:r w:rsidRPr="00007CBD">
        <w:t>General Objectives</w:t>
      </w:r>
    </w:p>
    <w:p w14:paraId="0E7B747D" w14:textId="15B1AF6B" w:rsidR="00E70281" w:rsidRDefault="00007CBD" w:rsidP="00E70281">
      <w:pPr>
        <w:pStyle w:val="BodyText"/>
        <w:jc w:val="both"/>
      </w:pPr>
      <w:r w:rsidRPr="00007CBD">
        <w:t>T</w:t>
      </w:r>
      <w:r w:rsidR="00F9356D" w:rsidRPr="00F9356D">
        <w:t>o enhance and sustain nursing competency and professional attitude among novice nurses through structured, evidence-based, and action-oriented interventions that promote personal responsibility, lifelong learning, and ethical professional practice.</w:t>
      </w:r>
    </w:p>
    <w:p w14:paraId="31309FB3" w14:textId="77777777" w:rsidR="00E70281" w:rsidRDefault="00E70281" w:rsidP="00E70281">
      <w:pPr>
        <w:pStyle w:val="BodyText"/>
        <w:jc w:val="both"/>
      </w:pPr>
    </w:p>
    <w:p w14:paraId="316B6A06" w14:textId="77777777" w:rsidR="00E70281" w:rsidRDefault="00E70281" w:rsidP="00E70281">
      <w:pPr>
        <w:pStyle w:val="BodyText"/>
        <w:jc w:val="both"/>
      </w:pPr>
      <w:r>
        <w:t>Specific Objectives</w:t>
      </w:r>
    </w:p>
    <w:p w14:paraId="0C3464B1" w14:textId="71987BD5" w:rsidR="00F9356D" w:rsidRDefault="00F9356D" w:rsidP="00F9356D">
      <w:pPr>
        <w:pStyle w:val="BodyText"/>
        <w:jc w:val="both"/>
      </w:pPr>
      <w:r>
        <w:t>1.</w:t>
      </w:r>
      <w:r>
        <w:t xml:space="preserve"> </w:t>
      </w:r>
      <w:r>
        <w:t>Enhance diagnostic interpretation and clinical decision-making skills.</w:t>
      </w:r>
    </w:p>
    <w:p w14:paraId="5107829D" w14:textId="2E03761F" w:rsidR="00F9356D" w:rsidRDefault="00F9356D" w:rsidP="00F9356D">
      <w:pPr>
        <w:pStyle w:val="BodyText"/>
        <w:jc w:val="both"/>
      </w:pPr>
      <w:r>
        <w:t>2.</w:t>
      </w:r>
      <w:r>
        <w:t xml:space="preserve"> </w:t>
      </w:r>
      <w:r>
        <w:t>Strengthen competency in therapeutic interventions and medication safety.</w:t>
      </w:r>
    </w:p>
    <w:p w14:paraId="282A903C" w14:textId="45AFDF2A" w:rsidR="00F9356D" w:rsidRDefault="00F9356D" w:rsidP="00F9356D">
      <w:pPr>
        <w:pStyle w:val="BodyText"/>
        <w:jc w:val="both"/>
      </w:pPr>
      <w:r>
        <w:t>3</w:t>
      </w:r>
      <w:r>
        <w:t xml:space="preserve">. </w:t>
      </w:r>
      <w:r>
        <w:t>Sustain high performance in helping, teaching–coaching, and collaborative roles.</w:t>
      </w:r>
    </w:p>
    <w:p w14:paraId="03EC276A" w14:textId="372DE4E9" w:rsidR="00F9356D" w:rsidRDefault="00F9356D" w:rsidP="00F9356D">
      <w:pPr>
        <w:pStyle w:val="BodyText"/>
        <w:jc w:val="both"/>
      </w:pPr>
      <w:r>
        <w:t>4.</w:t>
      </w:r>
      <w:r>
        <w:t xml:space="preserve"> </w:t>
      </w:r>
      <w:r>
        <w:t>Reinforce professional attitude, ethical accountability, and work commitment.</w:t>
      </w:r>
    </w:p>
    <w:p w14:paraId="62F79D2B" w14:textId="636C1907" w:rsidR="00007CBD" w:rsidRDefault="00F9356D" w:rsidP="00F9356D">
      <w:pPr>
        <w:pStyle w:val="BodyText"/>
        <w:jc w:val="both"/>
      </w:pPr>
      <w:r>
        <w:t>5.</w:t>
      </w:r>
      <w:r>
        <w:t xml:space="preserve"> </w:t>
      </w:r>
      <w:r>
        <w:t>Promote continuous professional development through CPD-accredited learning activities.</w:t>
      </w:r>
    </w:p>
    <w:p w14:paraId="36E3FD18" w14:textId="77777777" w:rsidR="00F9356D" w:rsidRPr="00255E36" w:rsidRDefault="00F9356D" w:rsidP="00F9356D">
      <w:pPr>
        <w:pStyle w:val="BodyText"/>
        <w:jc w:val="both"/>
        <w:rPr>
          <w:lang w:val="en-PH"/>
        </w:rPr>
      </w:pPr>
    </w:p>
    <w:tbl>
      <w:tblPr>
        <w:tblStyle w:val="TableGrid"/>
        <w:tblW w:w="9351" w:type="dxa"/>
        <w:jc w:val="center"/>
        <w:tblLayout w:type="fixed"/>
        <w:tblLook w:val="04A0" w:firstRow="1" w:lastRow="0" w:firstColumn="1" w:lastColumn="0" w:noHBand="0" w:noVBand="1"/>
      </w:tblPr>
      <w:tblGrid>
        <w:gridCol w:w="1413"/>
        <w:gridCol w:w="1418"/>
        <w:gridCol w:w="2126"/>
        <w:gridCol w:w="1134"/>
        <w:gridCol w:w="983"/>
        <w:gridCol w:w="859"/>
        <w:gridCol w:w="1418"/>
      </w:tblGrid>
      <w:tr w:rsidR="00F9356D" w:rsidRPr="00F9356D" w14:paraId="456DB8D2" w14:textId="77777777" w:rsidTr="00F9356D">
        <w:trPr>
          <w:jc w:val="center"/>
        </w:trPr>
        <w:tc>
          <w:tcPr>
            <w:tcW w:w="1413" w:type="dxa"/>
          </w:tcPr>
          <w:p w14:paraId="59BEDDA8" w14:textId="77777777" w:rsidR="00F9356D" w:rsidRPr="00F9356D" w:rsidRDefault="00F9356D" w:rsidP="00716F7A">
            <w:pPr>
              <w:jc w:val="center"/>
            </w:pPr>
            <w:r w:rsidRPr="00F9356D">
              <w:rPr>
                <w:b/>
                <w:bCs/>
              </w:rPr>
              <w:t>Areas of Concern</w:t>
            </w:r>
          </w:p>
        </w:tc>
        <w:tc>
          <w:tcPr>
            <w:tcW w:w="1418" w:type="dxa"/>
          </w:tcPr>
          <w:p w14:paraId="0A4A49F4" w14:textId="77777777" w:rsidR="00F9356D" w:rsidRPr="00F9356D" w:rsidRDefault="00F9356D" w:rsidP="00716F7A">
            <w:pPr>
              <w:jc w:val="center"/>
            </w:pPr>
            <w:r w:rsidRPr="00F9356D">
              <w:rPr>
                <w:b/>
                <w:bCs/>
              </w:rPr>
              <w:t>Specific Objectives</w:t>
            </w:r>
          </w:p>
        </w:tc>
        <w:tc>
          <w:tcPr>
            <w:tcW w:w="2126" w:type="dxa"/>
          </w:tcPr>
          <w:p w14:paraId="5F03D9E6" w14:textId="77777777" w:rsidR="00F9356D" w:rsidRPr="00F9356D" w:rsidRDefault="00F9356D" w:rsidP="00716F7A">
            <w:pPr>
              <w:jc w:val="center"/>
              <w:rPr>
                <w:b/>
                <w:bCs/>
              </w:rPr>
            </w:pPr>
            <w:r w:rsidRPr="00F9356D">
              <w:rPr>
                <w:b/>
                <w:bCs/>
              </w:rPr>
              <w:t>Activities</w:t>
            </w:r>
          </w:p>
        </w:tc>
        <w:tc>
          <w:tcPr>
            <w:tcW w:w="1134" w:type="dxa"/>
          </w:tcPr>
          <w:p w14:paraId="31CB389A" w14:textId="77777777" w:rsidR="00F9356D" w:rsidRPr="00F9356D" w:rsidRDefault="00F9356D" w:rsidP="00716F7A">
            <w:pPr>
              <w:jc w:val="center"/>
              <w:rPr>
                <w:b/>
                <w:bCs/>
              </w:rPr>
            </w:pPr>
            <w:r w:rsidRPr="00F9356D">
              <w:rPr>
                <w:b/>
                <w:bCs/>
              </w:rPr>
              <w:t>Persons Involved</w:t>
            </w:r>
          </w:p>
        </w:tc>
        <w:tc>
          <w:tcPr>
            <w:tcW w:w="983" w:type="dxa"/>
          </w:tcPr>
          <w:p w14:paraId="5C4742F0" w14:textId="77777777" w:rsidR="00F9356D" w:rsidRPr="00F9356D" w:rsidRDefault="00F9356D" w:rsidP="00716F7A">
            <w:pPr>
              <w:jc w:val="center"/>
            </w:pPr>
            <w:r w:rsidRPr="00F9356D">
              <w:rPr>
                <w:b/>
                <w:bCs/>
              </w:rPr>
              <w:t xml:space="preserve">Budget </w:t>
            </w:r>
          </w:p>
        </w:tc>
        <w:tc>
          <w:tcPr>
            <w:tcW w:w="859" w:type="dxa"/>
          </w:tcPr>
          <w:p w14:paraId="34DFC69B" w14:textId="77777777" w:rsidR="00F9356D" w:rsidRPr="00F9356D" w:rsidRDefault="00F9356D" w:rsidP="00F9356D">
            <w:pPr>
              <w:ind w:left="-99" w:right="-112"/>
              <w:jc w:val="center"/>
            </w:pPr>
            <w:r w:rsidRPr="00F9356D">
              <w:rPr>
                <w:b/>
                <w:bCs/>
              </w:rPr>
              <w:t>Time Frame</w:t>
            </w:r>
          </w:p>
        </w:tc>
        <w:tc>
          <w:tcPr>
            <w:tcW w:w="1418" w:type="dxa"/>
          </w:tcPr>
          <w:p w14:paraId="07D304D9" w14:textId="77777777" w:rsidR="00F9356D" w:rsidRPr="00F9356D" w:rsidRDefault="00F9356D" w:rsidP="00716F7A">
            <w:pPr>
              <w:jc w:val="center"/>
            </w:pPr>
            <w:r w:rsidRPr="00F9356D">
              <w:rPr>
                <w:b/>
                <w:bCs/>
              </w:rPr>
              <w:t>Success Indicators</w:t>
            </w:r>
          </w:p>
        </w:tc>
      </w:tr>
      <w:tr w:rsidR="00F9356D" w:rsidRPr="00F9356D" w14:paraId="4B950457" w14:textId="77777777" w:rsidTr="00F9356D">
        <w:trPr>
          <w:jc w:val="center"/>
        </w:trPr>
        <w:tc>
          <w:tcPr>
            <w:tcW w:w="1413" w:type="dxa"/>
          </w:tcPr>
          <w:p w14:paraId="1D582EC7" w14:textId="77777777" w:rsidR="00F9356D" w:rsidRPr="00F9356D" w:rsidRDefault="00F9356D" w:rsidP="00F9356D">
            <w:pPr>
              <w:jc w:val="center"/>
              <w:rPr>
                <w:b/>
                <w:bCs/>
              </w:rPr>
            </w:pPr>
            <w:r w:rsidRPr="00F9356D">
              <w:rPr>
                <w:b/>
                <w:bCs/>
                <w:lang w:val="en-PH"/>
              </w:rPr>
              <w:t>Diagnostic Functions</w:t>
            </w:r>
          </w:p>
        </w:tc>
        <w:tc>
          <w:tcPr>
            <w:tcW w:w="1418" w:type="dxa"/>
          </w:tcPr>
          <w:p w14:paraId="5B073DA4" w14:textId="3F2CBBED" w:rsidR="00F9356D" w:rsidRPr="00F9356D" w:rsidRDefault="00F9356D" w:rsidP="00F9356D">
            <w:pPr>
              <w:ind w:right="-113"/>
              <w:rPr>
                <w:b/>
                <w:bCs/>
              </w:rPr>
            </w:pPr>
            <w:r w:rsidRPr="00F9356D">
              <w:rPr>
                <w:lang w:val="en-PH"/>
              </w:rPr>
              <w:t>Improve assessment, interpretatio</w:t>
            </w:r>
            <w:r>
              <w:rPr>
                <w:lang w:val="en-PH"/>
              </w:rPr>
              <w:t>n</w:t>
            </w:r>
            <w:r w:rsidRPr="00F9356D">
              <w:rPr>
                <w:lang w:val="en-PH"/>
              </w:rPr>
              <w:t>, and clinical decision-making</w:t>
            </w:r>
          </w:p>
        </w:tc>
        <w:tc>
          <w:tcPr>
            <w:tcW w:w="2126" w:type="dxa"/>
          </w:tcPr>
          <w:p w14:paraId="3FD4A301" w14:textId="173A2D0D" w:rsidR="00F9356D" w:rsidRPr="00F9356D" w:rsidRDefault="00F9356D" w:rsidP="00716F7A">
            <w:pPr>
              <w:rPr>
                <w:lang w:val="en-PH"/>
              </w:rPr>
            </w:pPr>
            <w:r w:rsidRPr="00F9356D">
              <w:rPr>
                <w:b/>
                <w:bCs/>
              </w:rPr>
              <w:t>Hospital-initiated:</w:t>
            </w:r>
            <w:r w:rsidRPr="00F9356D">
              <w:br/>
            </w:r>
            <w:r w:rsidRPr="00F9356D">
              <w:rPr>
                <w:lang w:val="en-PH"/>
              </w:rPr>
              <w:t>• Monthly case-based diagnostic conferences</w:t>
            </w:r>
            <w:r w:rsidRPr="00F9356D">
              <w:rPr>
                <w:lang w:val="en-PH"/>
              </w:rPr>
              <w:br/>
              <w:t>• Simulation-based diagnostic drills with feedback</w:t>
            </w:r>
            <w:r w:rsidRPr="00F9356D">
              <w:rPr>
                <w:lang w:val="en-PH"/>
              </w:rPr>
              <w:br/>
            </w:r>
          </w:p>
          <w:p w14:paraId="5B7E42D1" w14:textId="77777777" w:rsidR="00F9356D" w:rsidRPr="00F9356D" w:rsidRDefault="00F9356D" w:rsidP="00716F7A">
            <w:pPr>
              <w:rPr>
                <w:b/>
                <w:bCs/>
              </w:rPr>
            </w:pPr>
            <w:r w:rsidRPr="00F9356D">
              <w:rPr>
                <w:b/>
                <w:bCs/>
              </w:rPr>
              <w:t>Personal-initiated</w:t>
            </w:r>
          </w:p>
          <w:p w14:paraId="15D62385" w14:textId="77777777" w:rsidR="00F9356D" w:rsidRPr="00F9356D" w:rsidRDefault="00F9356D" w:rsidP="00716F7A">
            <w:r w:rsidRPr="00F9356D">
              <w:rPr>
                <w:lang w:val="en-PH"/>
              </w:rPr>
              <w:t xml:space="preserve">• Attendance in </w:t>
            </w:r>
            <w:r w:rsidRPr="00F9356D">
              <w:rPr>
                <w:lang w:val="en-PH"/>
              </w:rPr>
              <w:lastRenderedPageBreak/>
              <w:t>seminars on clinical reasoning, diagnostics, or critical thinking</w:t>
            </w:r>
          </w:p>
        </w:tc>
        <w:tc>
          <w:tcPr>
            <w:tcW w:w="1134" w:type="dxa"/>
          </w:tcPr>
          <w:p w14:paraId="531D65C1" w14:textId="77777777" w:rsidR="00F9356D" w:rsidRPr="00F9356D" w:rsidRDefault="00F9356D" w:rsidP="00F9356D">
            <w:pPr>
              <w:jc w:val="center"/>
            </w:pPr>
            <w:r w:rsidRPr="00F9356D">
              <w:rPr>
                <w:lang w:val="en-PH"/>
              </w:rPr>
              <w:lastRenderedPageBreak/>
              <w:t>Nurse Educators, Senior Nurses, Nurse Managers, HR, PNA, Novice Nurses</w:t>
            </w:r>
          </w:p>
        </w:tc>
        <w:tc>
          <w:tcPr>
            <w:tcW w:w="983" w:type="dxa"/>
          </w:tcPr>
          <w:p w14:paraId="29D57F0C" w14:textId="77777777" w:rsidR="00F9356D" w:rsidRPr="00F9356D" w:rsidRDefault="00F9356D" w:rsidP="00716F7A">
            <w:pPr>
              <w:rPr>
                <w:b/>
                <w:bCs/>
              </w:rPr>
            </w:pPr>
            <w:r w:rsidRPr="00F9356D">
              <w:rPr>
                <w:lang w:val="en-PH"/>
              </w:rPr>
              <w:t>P20,000</w:t>
            </w:r>
          </w:p>
        </w:tc>
        <w:tc>
          <w:tcPr>
            <w:tcW w:w="859" w:type="dxa"/>
          </w:tcPr>
          <w:p w14:paraId="7E77B257" w14:textId="77777777" w:rsidR="00F9356D" w:rsidRPr="00F9356D" w:rsidRDefault="00F9356D" w:rsidP="00F9356D">
            <w:pPr>
              <w:ind w:left="-99" w:right="-112"/>
              <w:jc w:val="center"/>
              <w:rPr>
                <w:b/>
                <w:bCs/>
              </w:rPr>
            </w:pPr>
            <w:r w:rsidRPr="00F9356D">
              <w:rPr>
                <w:lang w:val="en-PH"/>
              </w:rPr>
              <w:t>July–Sept 2026</w:t>
            </w:r>
          </w:p>
        </w:tc>
        <w:tc>
          <w:tcPr>
            <w:tcW w:w="1418" w:type="dxa"/>
          </w:tcPr>
          <w:p w14:paraId="5101C2A5" w14:textId="77777777" w:rsidR="00F9356D" w:rsidRPr="00F9356D" w:rsidRDefault="00F9356D" w:rsidP="00716F7A">
            <w:pPr>
              <w:rPr>
                <w:b/>
                <w:bCs/>
              </w:rPr>
            </w:pPr>
            <w:r w:rsidRPr="00F9356D">
              <w:rPr>
                <w:lang w:val="en-PH"/>
              </w:rPr>
              <w:t>Improved diagnostic accuracy, increased decision-making confidence</w:t>
            </w:r>
          </w:p>
        </w:tc>
      </w:tr>
      <w:tr w:rsidR="00F9356D" w:rsidRPr="00F9356D" w14:paraId="3454FB18" w14:textId="77777777" w:rsidTr="00F9356D">
        <w:trPr>
          <w:jc w:val="center"/>
        </w:trPr>
        <w:tc>
          <w:tcPr>
            <w:tcW w:w="1413" w:type="dxa"/>
          </w:tcPr>
          <w:p w14:paraId="2ED453A0" w14:textId="77777777" w:rsidR="00F9356D" w:rsidRPr="00F9356D" w:rsidRDefault="00F9356D" w:rsidP="00716F7A">
            <w:pPr>
              <w:rPr>
                <w:b/>
                <w:bCs/>
              </w:rPr>
            </w:pPr>
            <w:r w:rsidRPr="00F9356D">
              <w:rPr>
                <w:b/>
                <w:bCs/>
                <w:lang w:val="en-PH"/>
              </w:rPr>
              <w:t>Managing Situations</w:t>
            </w:r>
          </w:p>
        </w:tc>
        <w:tc>
          <w:tcPr>
            <w:tcW w:w="1418" w:type="dxa"/>
          </w:tcPr>
          <w:p w14:paraId="2298E8AF" w14:textId="77777777" w:rsidR="00F9356D" w:rsidRPr="00F9356D" w:rsidRDefault="00F9356D" w:rsidP="00716F7A">
            <w:pPr>
              <w:rPr>
                <w:b/>
                <w:bCs/>
              </w:rPr>
            </w:pPr>
            <w:r w:rsidRPr="00F9356D">
              <w:rPr>
                <w:lang w:val="en-PH"/>
              </w:rPr>
              <w:t>Strengthen prioritization and decision-making under pressure</w:t>
            </w:r>
          </w:p>
        </w:tc>
        <w:tc>
          <w:tcPr>
            <w:tcW w:w="2126" w:type="dxa"/>
          </w:tcPr>
          <w:p w14:paraId="5F2346F5" w14:textId="77777777" w:rsidR="00F9356D" w:rsidRPr="00F9356D" w:rsidRDefault="00F9356D" w:rsidP="00716F7A">
            <w:pPr>
              <w:rPr>
                <w:lang w:val="en-PH"/>
              </w:rPr>
            </w:pPr>
            <w:r w:rsidRPr="00F9356D">
              <w:rPr>
                <w:b/>
                <w:bCs/>
              </w:rPr>
              <w:t>Hospital-initiated:</w:t>
            </w:r>
            <w:r w:rsidRPr="00F9356D">
              <w:br/>
            </w:r>
            <w:r w:rsidRPr="00F9356D">
              <w:rPr>
                <w:lang w:val="en-PH"/>
              </w:rPr>
              <w:t>• Emergency and prioritization simulation drills</w:t>
            </w:r>
            <w:r w:rsidRPr="00F9356D">
              <w:rPr>
                <w:lang w:val="en-PH"/>
              </w:rPr>
              <w:br/>
              <w:t xml:space="preserve">• </w:t>
            </w:r>
            <w:proofErr w:type="gramStart"/>
            <w:r w:rsidRPr="00F9356D">
              <w:rPr>
                <w:lang w:val="en-PH"/>
              </w:rPr>
              <w:t>Post-duty</w:t>
            </w:r>
            <w:proofErr w:type="gramEnd"/>
            <w:r w:rsidRPr="00F9356D">
              <w:rPr>
                <w:lang w:val="en-PH"/>
              </w:rPr>
              <w:t xml:space="preserve"> reflective debriefings </w:t>
            </w:r>
          </w:p>
          <w:p w14:paraId="6766067C" w14:textId="77777777" w:rsidR="00F9356D" w:rsidRPr="00F9356D" w:rsidRDefault="00F9356D" w:rsidP="00716F7A">
            <w:pPr>
              <w:rPr>
                <w:b/>
                <w:bCs/>
                <w:lang w:val="en-PH"/>
              </w:rPr>
            </w:pPr>
            <w:r w:rsidRPr="00F9356D">
              <w:rPr>
                <w:b/>
                <w:bCs/>
                <w:lang w:val="en-PH"/>
              </w:rPr>
              <w:t>Personal-initiated:</w:t>
            </w:r>
          </w:p>
          <w:p w14:paraId="5013A8F3" w14:textId="77777777" w:rsidR="00F9356D" w:rsidRPr="00F9356D" w:rsidRDefault="00F9356D" w:rsidP="00716F7A">
            <w:r w:rsidRPr="00F9356D">
              <w:rPr>
                <w:lang w:val="en-PH"/>
              </w:rPr>
              <w:t>• Participation in PNA or specialty programs on emergency nursing, triage, or critical care with CPD credit units</w:t>
            </w:r>
          </w:p>
        </w:tc>
        <w:tc>
          <w:tcPr>
            <w:tcW w:w="1134" w:type="dxa"/>
          </w:tcPr>
          <w:p w14:paraId="1D454D51" w14:textId="77777777" w:rsidR="00F9356D" w:rsidRPr="00F9356D" w:rsidRDefault="00F9356D" w:rsidP="00716F7A">
            <w:r w:rsidRPr="00F9356D">
              <w:rPr>
                <w:lang w:val="en-PH"/>
              </w:rPr>
              <w:t>Nurse Managers, Training Office, PNA, HR, Novice Nurses</w:t>
            </w:r>
          </w:p>
        </w:tc>
        <w:tc>
          <w:tcPr>
            <w:tcW w:w="983" w:type="dxa"/>
          </w:tcPr>
          <w:p w14:paraId="06B3EA81" w14:textId="77777777" w:rsidR="00F9356D" w:rsidRPr="00F9356D" w:rsidRDefault="00F9356D" w:rsidP="00716F7A">
            <w:pPr>
              <w:rPr>
                <w:b/>
                <w:bCs/>
              </w:rPr>
            </w:pPr>
            <w:r w:rsidRPr="00F9356D">
              <w:rPr>
                <w:lang w:val="en-PH"/>
              </w:rPr>
              <w:t>P15,000</w:t>
            </w:r>
          </w:p>
        </w:tc>
        <w:tc>
          <w:tcPr>
            <w:tcW w:w="859" w:type="dxa"/>
          </w:tcPr>
          <w:p w14:paraId="3F3814AE" w14:textId="77777777" w:rsidR="00F9356D" w:rsidRPr="00F9356D" w:rsidRDefault="00F9356D" w:rsidP="00F9356D">
            <w:pPr>
              <w:jc w:val="center"/>
              <w:rPr>
                <w:b/>
                <w:bCs/>
              </w:rPr>
            </w:pPr>
            <w:r w:rsidRPr="00F9356D">
              <w:rPr>
                <w:lang w:val="en-PH"/>
              </w:rPr>
              <w:t>Aug 2026</w:t>
            </w:r>
          </w:p>
        </w:tc>
        <w:tc>
          <w:tcPr>
            <w:tcW w:w="1418" w:type="dxa"/>
          </w:tcPr>
          <w:p w14:paraId="657E2B6E" w14:textId="77777777" w:rsidR="00F9356D" w:rsidRPr="00F9356D" w:rsidRDefault="00F9356D" w:rsidP="00F9356D">
            <w:pPr>
              <w:ind w:right="-102"/>
              <w:rPr>
                <w:b/>
                <w:bCs/>
              </w:rPr>
            </w:pPr>
            <w:r w:rsidRPr="00F9356D">
              <w:rPr>
                <w:lang w:val="en-PH"/>
              </w:rPr>
              <w:t>Effective prioritization, reduced errors, timely interventions</w:t>
            </w:r>
          </w:p>
        </w:tc>
      </w:tr>
      <w:tr w:rsidR="00F9356D" w:rsidRPr="00F9356D" w14:paraId="46AD2D2C" w14:textId="77777777" w:rsidTr="00F9356D">
        <w:trPr>
          <w:jc w:val="center"/>
        </w:trPr>
        <w:tc>
          <w:tcPr>
            <w:tcW w:w="1413" w:type="dxa"/>
          </w:tcPr>
          <w:p w14:paraId="3B31A348" w14:textId="77777777" w:rsidR="00F9356D" w:rsidRPr="00F9356D" w:rsidRDefault="00F9356D" w:rsidP="00F9356D">
            <w:pPr>
              <w:ind w:right="-111"/>
              <w:rPr>
                <w:b/>
                <w:bCs/>
              </w:rPr>
            </w:pPr>
            <w:r w:rsidRPr="00F9356D">
              <w:rPr>
                <w:b/>
                <w:bCs/>
                <w:lang w:val="en-PH"/>
              </w:rPr>
              <w:t>Therapeutic Interventions</w:t>
            </w:r>
          </w:p>
        </w:tc>
        <w:tc>
          <w:tcPr>
            <w:tcW w:w="1418" w:type="dxa"/>
          </w:tcPr>
          <w:p w14:paraId="7A51D9A5" w14:textId="77777777" w:rsidR="00F9356D" w:rsidRPr="00F9356D" w:rsidRDefault="00F9356D" w:rsidP="00716F7A">
            <w:pPr>
              <w:rPr>
                <w:b/>
                <w:bCs/>
              </w:rPr>
            </w:pPr>
            <w:r w:rsidRPr="00F9356D">
              <w:rPr>
                <w:lang w:val="en-PH"/>
              </w:rPr>
              <w:t>Improve medication safety and procedural competence</w:t>
            </w:r>
          </w:p>
        </w:tc>
        <w:tc>
          <w:tcPr>
            <w:tcW w:w="2126" w:type="dxa"/>
          </w:tcPr>
          <w:p w14:paraId="31177CA3" w14:textId="77777777" w:rsidR="00F9356D" w:rsidRPr="00F9356D" w:rsidRDefault="00F9356D" w:rsidP="00716F7A">
            <w:pPr>
              <w:rPr>
                <w:b/>
                <w:bCs/>
              </w:rPr>
            </w:pPr>
            <w:r w:rsidRPr="00F9356D">
              <w:rPr>
                <w:b/>
                <w:bCs/>
              </w:rPr>
              <w:t>Hospital-initiated:</w:t>
            </w:r>
          </w:p>
          <w:p w14:paraId="6D15500E" w14:textId="77777777" w:rsidR="00F9356D" w:rsidRPr="00F9356D" w:rsidRDefault="00F9356D" w:rsidP="00716F7A">
            <w:pPr>
              <w:rPr>
                <w:lang w:val="en-PH"/>
              </w:rPr>
            </w:pPr>
            <w:r w:rsidRPr="00F9356D">
              <w:rPr>
                <w:lang w:val="en-PH"/>
              </w:rPr>
              <w:t>• Return-demonstration workshops on high-risk medications</w:t>
            </w:r>
            <w:r w:rsidRPr="00F9356D">
              <w:rPr>
                <w:lang w:val="en-PH"/>
              </w:rPr>
              <w:br/>
              <w:t>• Competency validation using procedural checklists</w:t>
            </w:r>
          </w:p>
          <w:p w14:paraId="65AD16EE" w14:textId="77777777" w:rsidR="00F9356D" w:rsidRPr="00F9356D" w:rsidRDefault="00F9356D" w:rsidP="00716F7A">
            <w:r w:rsidRPr="00F9356D">
              <w:rPr>
                <w:b/>
                <w:bCs/>
                <w:lang w:val="en-PH"/>
              </w:rPr>
              <w:t>Personal-initiated:</w:t>
            </w:r>
            <w:r w:rsidRPr="00F9356D">
              <w:rPr>
                <w:lang w:val="en-PH"/>
              </w:rPr>
              <w:br/>
              <w:t>Attendance in PNA-recognized seminars with CPD credit units on medication safety and infection control</w:t>
            </w:r>
          </w:p>
        </w:tc>
        <w:tc>
          <w:tcPr>
            <w:tcW w:w="1134" w:type="dxa"/>
          </w:tcPr>
          <w:p w14:paraId="3C558D64" w14:textId="77777777" w:rsidR="00F9356D" w:rsidRPr="00F9356D" w:rsidRDefault="00F9356D" w:rsidP="00716F7A">
            <w:r w:rsidRPr="00F9356D">
              <w:rPr>
                <w:lang w:val="en-PH"/>
              </w:rPr>
              <w:t>Head Nurses, Nurse Trainers, HR, PNA, Novice Nurses</w:t>
            </w:r>
          </w:p>
        </w:tc>
        <w:tc>
          <w:tcPr>
            <w:tcW w:w="983" w:type="dxa"/>
          </w:tcPr>
          <w:p w14:paraId="391E0281" w14:textId="77777777" w:rsidR="00F9356D" w:rsidRPr="00F9356D" w:rsidRDefault="00F9356D" w:rsidP="00716F7A">
            <w:pPr>
              <w:rPr>
                <w:b/>
                <w:bCs/>
              </w:rPr>
            </w:pPr>
            <w:r w:rsidRPr="00F9356D">
              <w:rPr>
                <w:lang w:val="en-PH"/>
              </w:rPr>
              <w:t>P20,000</w:t>
            </w:r>
          </w:p>
        </w:tc>
        <w:tc>
          <w:tcPr>
            <w:tcW w:w="859" w:type="dxa"/>
          </w:tcPr>
          <w:p w14:paraId="4F52EC26" w14:textId="77777777" w:rsidR="00F9356D" w:rsidRPr="00F9356D" w:rsidRDefault="00F9356D" w:rsidP="00716F7A">
            <w:pPr>
              <w:rPr>
                <w:b/>
                <w:bCs/>
              </w:rPr>
            </w:pPr>
            <w:r w:rsidRPr="00F9356D">
              <w:rPr>
                <w:lang w:val="en-PH"/>
              </w:rPr>
              <w:t>Sept 2026</w:t>
            </w:r>
          </w:p>
        </w:tc>
        <w:tc>
          <w:tcPr>
            <w:tcW w:w="1418" w:type="dxa"/>
          </w:tcPr>
          <w:p w14:paraId="3B3A4D1D" w14:textId="77777777" w:rsidR="00F9356D" w:rsidRPr="00F9356D" w:rsidRDefault="00F9356D" w:rsidP="00716F7A">
            <w:pPr>
              <w:rPr>
                <w:b/>
                <w:bCs/>
              </w:rPr>
            </w:pPr>
            <w:r w:rsidRPr="00F9356D">
              <w:rPr>
                <w:lang w:val="en-PH"/>
              </w:rPr>
              <w:t>Reduced medication errors, improved procedural compliance</w:t>
            </w:r>
          </w:p>
        </w:tc>
      </w:tr>
      <w:tr w:rsidR="00F9356D" w:rsidRPr="00F9356D" w14:paraId="73E6BDA3" w14:textId="77777777" w:rsidTr="00F9356D">
        <w:trPr>
          <w:jc w:val="center"/>
        </w:trPr>
        <w:tc>
          <w:tcPr>
            <w:tcW w:w="1413" w:type="dxa"/>
          </w:tcPr>
          <w:p w14:paraId="7CAAD071" w14:textId="77777777" w:rsidR="00F9356D" w:rsidRPr="00F9356D" w:rsidRDefault="00F9356D" w:rsidP="00716F7A">
            <w:pPr>
              <w:rPr>
                <w:b/>
                <w:bCs/>
              </w:rPr>
            </w:pPr>
            <w:r w:rsidRPr="00F9356D">
              <w:rPr>
                <w:b/>
                <w:bCs/>
                <w:lang w:val="en-PH"/>
              </w:rPr>
              <w:t>Helping Role</w:t>
            </w:r>
          </w:p>
        </w:tc>
        <w:tc>
          <w:tcPr>
            <w:tcW w:w="1418" w:type="dxa"/>
          </w:tcPr>
          <w:p w14:paraId="400B68A0" w14:textId="77777777" w:rsidR="00F9356D" w:rsidRPr="00F9356D" w:rsidRDefault="00F9356D" w:rsidP="00716F7A">
            <w:pPr>
              <w:rPr>
                <w:b/>
                <w:bCs/>
              </w:rPr>
            </w:pPr>
            <w:r w:rsidRPr="00F9356D">
              <w:rPr>
                <w:lang w:val="en-PH"/>
              </w:rPr>
              <w:t>Sustain patient-centered care and advocacy</w:t>
            </w:r>
          </w:p>
        </w:tc>
        <w:tc>
          <w:tcPr>
            <w:tcW w:w="2126" w:type="dxa"/>
          </w:tcPr>
          <w:p w14:paraId="10B9996B" w14:textId="77777777" w:rsidR="00F9356D" w:rsidRPr="00F9356D" w:rsidRDefault="00F9356D" w:rsidP="00716F7A">
            <w:pPr>
              <w:rPr>
                <w:b/>
                <w:bCs/>
                <w:lang w:val="en-PH"/>
              </w:rPr>
            </w:pPr>
            <w:r w:rsidRPr="00F9356D">
              <w:rPr>
                <w:b/>
                <w:bCs/>
                <w:lang w:val="en-PH"/>
              </w:rPr>
              <w:t>Hospital-initiated:</w:t>
            </w:r>
          </w:p>
          <w:p w14:paraId="3B3F68CD" w14:textId="77777777" w:rsidR="00F9356D" w:rsidRPr="00F9356D" w:rsidRDefault="00F9356D" w:rsidP="00716F7A">
            <w:pPr>
              <w:rPr>
                <w:lang w:val="en-PH"/>
              </w:rPr>
            </w:pPr>
            <w:r w:rsidRPr="00F9356D">
              <w:rPr>
                <w:lang w:val="en-PH"/>
              </w:rPr>
              <w:t>• Formal mentorship pairing</w:t>
            </w:r>
            <w:r w:rsidRPr="00F9356D">
              <w:rPr>
                <w:lang w:val="en-PH"/>
              </w:rPr>
              <w:br/>
              <w:t>• Therapeutic communication workshops with role-playing</w:t>
            </w:r>
          </w:p>
          <w:p w14:paraId="0AA44C87" w14:textId="77777777" w:rsidR="00F9356D" w:rsidRPr="00F9356D" w:rsidRDefault="00F9356D" w:rsidP="00716F7A">
            <w:pPr>
              <w:rPr>
                <w:b/>
                <w:bCs/>
                <w:lang w:val="en-PH"/>
              </w:rPr>
            </w:pPr>
            <w:r w:rsidRPr="00F9356D">
              <w:rPr>
                <w:b/>
                <w:bCs/>
                <w:lang w:val="en-PH"/>
              </w:rPr>
              <w:t>Personal-initiated:</w:t>
            </w:r>
          </w:p>
          <w:p w14:paraId="5C189887" w14:textId="77777777" w:rsidR="00F9356D" w:rsidRPr="00F9356D" w:rsidRDefault="00F9356D" w:rsidP="00716F7A">
            <w:r w:rsidRPr="00F9356D">
              <w:rPr>
                <w:lang w:val="en-PH"/>
              </w:rPr>
              <w:t>• Participation in seminars on patient advocacy and holistic care</w:t>
            </w:r>
          </w:p>
        </w:tc>
        <w:tc>
          <w:tcPr>
            <w:tcW w:w="1134" w:type="dxa"/>
          </w:tcPr>
          <w:p w14:paraId="36A069CE" w14:textId="77777777" w:rsidR="00F9356D" w:rsidRPr="00F9356D" w:rsidRDefault="00F9356D" w:rsidP="00716F7A">
            <w:r w:rsidRPr="00F9356D">
              <w:rPr>
                <w:lang w:val="en-PH"/>
              </w:rPr>
              <w:t>Nurse Educators, Senior Nurses, Nurse Managers, PNA, Novice Nurses</w:t>
            </w:r>
          </w:p>
        </w:tc>
        <w:tc>
          <w:tcPr>
            <w:tcW w:w="983" w:type="dxa"/>
          </w:tcPr>
          <w:p w14:paraId="4307D9DB" w14:textId="77777777" w:rsidR="00F9356D" w:rsidRPr="00F9356D" w:rsidRDefault="00F9356D" w:rsidP="00716F7A">
            <w:pPr>
              <w:rPr>
                <w:b/>
                <w:bCs/>
              </w:rPr>
            </w:pPr>
            <w:r w:rsidRPr="00F9356D">
              <w:rPr>
                <w:lang w:val="en-PH"/>
              </w:rPr>
              <w:t>P12,000</w:t>
            </w:r>
          </w:p>
        </w:tc>
        <w:tc>
          <w:tcPr>
            <w:tcW w:w="859" w:type="dxa"/>
          </w:tcPr>
          <w:p w14:paraId="1F3D6E1E" w14:textId="77777777" w:rsidR="00F9356D" w:rsidRPr="00F9356D" w:rsidRDefault="00F9356D" w:rsidP="00716F7A">
            <w:pPr>
              <w:rPr>
                <w:b/>
                <w:bCs/>
              </w:rPr>
            </w:pPr>
            <w:r w:rsidRPr="00F9356D">
              <w:rPr>
                <w:lang w:val="en-PH"/>
              </w:rPr>
              <w:t>June 2026</w:t>
            </w:r>
          </w:p>
        </w:tc>
        <w:tc>
          <w:tcPr>
            <w:tcW w:w="1418" w:type="dxa"/>
          </w:tcPr>
          <w:p w14:paraId="12B63A49" w14:textId="77777777" w:rsidR="00F9356D" w:rsidRPr="00F9356D" w:rsidRDefault="00F9356D" w:rsidP="00716F7A">
            <w:pPr>
              <w:rPr>
                <w:b/>
                <w:bCs/>
              </w:rPr>
            </w:pPr>
            <w:r w:rsidRPr="00F9356D">
              <w:rPr>
                <w:lang w:val="en-PH"/>
              </w:rPr>
              <w:t>Positive patient feedback, consistent advocacy behaviors</w:t>
            </w:r>
          </w:p>
        </w:tc>
      </w:tr>
      <w:tr w:rsidR="00F9356D" w:rsidRPr="00F9356D" w14:paraId="31E7EA5E" w14:textId="77777777" w:rsidTr="00F9356D">
        <w:trPr>
          <w:jc w:val="center"/>
        </w:trPr>
        <w:tc>
          <w:tcPr>
            <w:tcW w:w="1413" w:type="dxa"/>
          </w:tcPr>
          <w:p w14:paraId="7605FC1D" w14:textId="77777777" w:rsidR="00F9356D" w:rsidRPr="00F9356D" w:rsidRDefault="00F9356D" w:rsidP="00716F7A">
            <w:pPr>
              <w:rPr>
                <w:b/>
                <w:bCs/>
              </w:rPr>
            </w:pPr>
            <w:r w:rsidRPr="00F9356D">
              <w:rPr>
                <w:b/>
                <w:bCs/>
                <w:lang w:val="en-PH"/>
              </w:rPr>
              <w:t>Teaching–Coaching Role</w:t>
            </w:r>
          </w:p>
        </w:tc>
        <w:tc>
          <w:tcPr>
            <w:tcW w:w="1418" w:type="dxa"/>
          </w:tcPr>
          <w:p w14:paraId="5EA5E5EF" w14:textId="77777777" w:rsidR="00F9356D" w:rsidRPr="00F9356D" w:rsidRDefault="00F9356D" w:rsidP="00716F7A">
            <w:pPr>
              <w:rPr>
                <w:b/>
                <w:bCs/>
              </w:rPr>
            </w:pPr>
            <w:r w:rsidRPr="00F9356D">
              <w:rPr>
                <w:lang w:val="en-PH"/>
              </w:rPr>
              <w:t>Sustain effective patient and family education</w:t>
            </w:r>
          </w:p>
        </w:tc>
        <w:tc>
          <w:tcPr>
            <w:tcW w:w="2126" w:type="dxa"/>
          </w:tcPr>
          <w:p w14:paraId="1D72F657" w14:textId="77777777" w:rsidR="00F9356D" w:rsidRPr="00F9356D" w:rsidRDefault="00F9356D" w:rsidP="00716F7A">
            <w:pPr>
              <w:rPr>
                <w:b/>
                <w:bCs/>
                <w:lang w:val="en-PH"/>
              </w:rPr>
            </w:pPr>
            <w:r w:rsidRPr="00F9356D">
              <w:rPr>
                <w:b/>
                <w:bCs/>
                <w:lang w:val="en-PH"/>
              </w:rPr>
              <w:t>Hospital-initiated:</w:t>
            </w:r>
          </w:p>
          <w:p w14:paraId="5E612C63" w14:textId="77777777" w:rsidR="00F9356D" w:rsidRPr="00F9356D" w:rsidRDefault="00F9356D" w:rsidP="00716F7A">
            <w:pPr>
              <w:rPr>
                <w:lang w:val="en-PH"/>
              </w:rPr>
            </w:pPr>
            <w:r w:rsidRPr="00F9356D">
              <w:rPr>
                <w:lang w:val="en-PH"/>
              </w:rPr>
              <w:t>• Simulation-based patient education training</w:t>
            </w:r>
            <w:r w:rsidRPr="00F9356D">
              <w:rPr>
                <w:lang w:val="en-PH"/>
              </w:rPr>
              <w:br/>
              <w:t xml:space="preserve">• Supervised health </w:t>
            </w:r>
            <w:r w:rsidRPr="00F9356D">
              <w:rPr>
                <w:lang w:val="en-PH"/>
              </w:rPr>
              <w:lastRenderedPageBreak/>
              <w:t>teaching sessions</w:t>
            </w:r>
          </w:p>
          <w:p w14:paraId="50F0C86D" w14:textId="77777777" w:rsidR="00F9356D" w:rsidRPr="00F9356D" w:rsidRDefault="00F9356D" w:rsidP="00716F7A">
            <w:pPr>
              <w:rPr>
                <w:lang w:val="en-PH"/>
              </w:rPr>
            </w:pPr>
          </w:p>
          <w:p w14:paraId="4045DE1B" w14:textId="77777777" w:rsidR="00F9356D" w:rsidRPr="00F9356D" w:rsidRDefault="00F9356D" w:rsidP="00716F7A">
            <w:r w:rsidRPr="00F9356D">
              <w:rPr>
                <w:b/>
                <w:bCs/>
                <w:lang w:val="en-PH"/>
              </w:rPr>
              <w:t>Personal-initiated:</w:t>
            </w:r>
            <w:r w:rsidRPr="00F9356D">
              <w:rPr>
                <w:lang w:val="en-PH"/>
              </w:rPr>
              <w:br/>
              <w:t>• Attendance in PNA- seminars on health education and patient teaching strategies</w:t>
            </w:r>
          </w:p>
        </w:tc>
        <w:tc>
          <w:tcPr>
            <w:tcW w:w="1134" w:type="dxa"/>
          </w:tcPr>
          <w:p w14:paraId="536689D9" w14:textId="77777777" w:rsidR="00F9356D" w:rsidRPr="00F9356D" w:rsidRDefault="00F9356D" w:rsidP="00716F7A">
            <w:r w:rsidRPr="00F9356D">
              <w:rPr>
                <w:lang w:val="en-PH"/>
              </w:rPr>
              <w:lastRenderedPageBreak/>
              <w:t xml:space="preserve">Nurse Trainers, Nurse Managers, PNA, </w:t>
            </w:r>
            <w:r w:rsidRPr="00F9356D">
              <w:rPr>
                <w:lang w:val="en-PH"/>
              </w:rPr>
              <w:lastRenderedPageBreak/>
              <w:t>HR, Novice Nurses</w:t>
            </w:r>
          </w:p>
        </w:tc>
        <w:tc>
          <w:tcPr>
            <w:tcW w:w="983" w:type="dxa"/>
          </w:tcPr>
          <w:p w14:paraId="1FC33415" w14:textId="77777777" w:rsidR="00F9356D" w:rsidRPr="00F9356D" w:rsidRDefault="00F9356D" w:rsidP="00716F7A">
            <w:pPr>
              <w:rPr>
                <w:b/>
                <w:bCs/>
              </w:rPr>
            </w:pPr>
            <w:r w:rsidRPr="00F9356D">
              <w:rPr>
                <w:lang w:val="en-PH"/>
              </w:rPr>
              <w:lastRenderedPageBreak/>
              <w:t>P15,000</w:t>
            </w:r>
          </w:p>
        </w:tc>
        <w:tc>
          <w:tcPr>
            <w:tcW w:w="859" w:type="dxa"/>
          </w:tcPr>
          <w:p w14:paraId="1EB1D2D6" w14:textId="77777777" w:rsidR="00F9356D" w:rsidRPr="00F9356D" w:rsidRDefault="00F9356D" w:rsidP="00716F7A">
            <w:pPr>
              <w:rPr>
                <w:b/>
                <w:bCs/>
              </w:rPr>
            </w:pPr>
            <w:r w:rsidRPr="00F9356D">
              <w:rPr>
                <w:lang w:val="en-PH"/>
              </w:rPr>
              <w:t>July 2026</w:t>
            </w:r>
          </w:p>
        </w:tc>
        <w:tc>
          <w:tcPr>
            <w:tcW w:w="1418" w:type="dxa"/>
          </w:tcPr>
          <w:p w14:paraId="26F220FA" w14:textId="77777777" w:rsidR="00F9356D" w:rsidRPr="00F9356D" w:rsidRDefault="00F9356D" w:rsidP="00716F7A">
            <w:pPr>
              <w:rPr>
                <w:b/>
                <w:bCs/>
              </w:rPr>
            </w:pPr>
            <w:r w:rsidRPr="00F9356D">
              <w:rPr>
                <w:lang w:val="en-PH"/>
              </w:rPr>
              <w:t>Improved patient understanding and adherence</w:t>
            </w:r>
          </w:p>
        </w:tc>
      </w:tr>
      <w:tr w:rsidR="00F9356D" w:rsidRPr="00F9356D" w14:paraId="20A0E834" w14:textId="77777777" w:rsidTr="00F9356D">
        <w:trPr>
          <w:jc w:val="center"/>
        </w:trPr>
        <w:tc>
          <w:tcPr>
            <w:tcW w:w="1413" w:type="dxa"/>
          </w:tcPr>
          <w:p w14:paraId="2916DFEE" w14:textId="77777777" w:rsidR="00F9356D" w:rsidRPr="00F9356D" w:rsidRDefault="00F9356D" w:rsidP="003F1B69">
            <w:pPr>
              <w:ind w:left="-113" w:right="-104"/>
              <w:rPr>
                <w:b/>
                <w:bCs/>
              </w:rPr>
            </w:pPr>
            <w:r w:rsidRPr="00F9356D">
              <w:rPr>
                <w:b/>
                <w:bCs/>
                <w:lang w:val="en-PH"/>
              </w:rPr>
              <w:t>Work Role &amp; Collaboration</w:t>
            </w:r>
          </w:p>
        </w:tc>
        <w:tc>
          <w:tcPr>
            <w:tcW w:w="1418" w:type="dxa"/>
          </w:tcPr>
          <w:p w14:paraId="6D9987BF" w14:textId="77777777" w:rsidR="00F9356D" w:rsidRPr="00F9356D" w:rsidRDefault="00F9356D" w:rsidP="00716F7A">
            <w:pPr>
              <w:rPr>
                <w:b/>
                <w:bCs/>
              </w:rPr>
            </w:pPr>
            <w:r w:rsidRPr="00F9356D">
              <w:rPr>
                <w:lang w:val="en-PH"/>
              </w:rPr>
              <w:t>Strengthen teamwork and professional integration</w:t>
            </w:r>
          </w:p>
        </w:tc>
        <w:tc>
          <w:tcPr>
            <w:tcW w:w="2126" w:type="dxa"/>
          </w:tcPr>
          <w:p w14:paraId="35F9A5DF" w14:textId="77777777" w:rsidR="00F9356D" w:rsidRPr="00F9356D" w:rsidRDefault="00F9356D" w:rsidP="00716F7A">
            <w:pPr>
              <w:rPr>
                <w:b/>
                <w:bCs/>
                <w:lang w:val="en-PH"/>
              </w:rPr>
            </w:pPr>
            <w:r w:rsidRPr="00F9356D">
              <w:rPr>
                <w:b/>
                <w:bCs/>
                <w:lang w:val="en-PH"/>
              </w:rPr>
              <w:t>Hospital-initiated:</w:t>
            </w:r>
          </w:p>
          <w:p w14:paraId="455D1CAD" w14:textId="77777777" w:rsidR="00F9356D" w:rsidRPr="00F9356D" w:rsidRDefault="00F9356D" w:rsidP="00716F7A">
            <w:pPr>
              <w:rPr>
                <w:lang w:val="en-PH"/>
              </w:rPr>
            </w:pPr>
            <w:r w:rsidRPr="00F9356D">
              <w:rPr>
                <w:lang w:val="en-PH"/>
              </w:rPr>
              <w:t>• Interprofessional team-building activities</w:t>
            </w:r>
            <w:r w:rsidRPr="00F9356D">
              <w:rPr>
                <w:lang w:val="en-PH"/>
              </w:rPr>
              <w:br/>
              <w:t>• Structured handover audits</w:t>
            </w:r>
          </w:p>
          <w:p w14:paraId="2021E953" w14:textId="77777777" w:rsidR="00F9356D" w:rsidRPr="00F9356D" w:rsidRDefault="00F9356D" w:rsidP="00716F7A">
            <w:pPr>
              <w:rPr>
                <w:b/>
                <w:bCs/>
                <w:lang w:val="en-PH"/>
              </w:rPr>
            </w:pPr>
            <w:r w:rsidRPr="00F9356D">
              <w:rPr>
                <w:b/>
                <w:bCs/>
                <w:lang w:val="en-PH"/>
              </w:rPr>
              <w:t>Personal-initiated:</w:t>
            </w:r>
          </w:p>
          <w:p w14:paraId="5000CBC6" w14:textId="77777777" w:rsidR="00F9356D" w:rsidRPr="00F9356D" w:rsidRDefault="00F9356D" w:rsidP="00716F7A">
            <w:r w:rsidRPr="00F9356D">
              <w:rPr>
                <w:lang w:val="en-PH"/>
              </w:rPr>
              <w:t>• Participation in leadership and teamwork seminars</w:t>
            </w:r>
          </w:p>
        </w:tc>
        <w:tc>
          <w:tcPr>
            <w:tcW w:w="1134" w:type="dxa"/>
          </w:tcPr>
          <w:p w14:paraId="499654BA" w14:textId="77777777" w:rsidR="00F9356D" w:rsidRPr="00F9356D" w:rsidRDefault="00F9356D" w:rsidP="00F9356D">
            <w:pPr>
              <w:ind w:right="-110"/>
            </w:pPr>
            <w:r w:rsidRPr="00F9356D">
              <w:rPr>
                <w:lang w:val="en-PH"/>
              </w:rPr>
              <w:t>Nurse Managers, Hospital Administrators, HR, PNA, Multidisciplinary Team</w:t>
            </w:r>
          </w:p>
        </w:tc>
        <w:tc>
          <w:tcPr>
            <w:tcW w:w="983" w:type="dxa"/>
          </w:tcPr>
          <w:p w14:paraId="273D4FB2" w14:textId="77777777" w:rsidR="00F9356D" w:rsidRPr="00F9356D" w:rsidRDefault="00F9356D" w:rsidP="00716F7A">
            <w:pPr>
              <w:rPr>
                <w:b/>
                <w:bCs/>
              </w:rPr>
            </w:pPr>
            <w:r w:rsidRPr="00F9356D">
              <w:rPr>
                <w:lang w:val="en-PH"/>
              </w:rPr>
              <w:t>P10,000</w:t>
            </w:r>
          </w:p>
        </w:tc>
        <w:tc>
          <w:tcPr>
            <w:tcW w:w="859" w:type="dxa"/>
          </w:tcPr>
          <w:p w14:paraId="76271742" w14:textId="77777777" w:rsidR="00F9356D" w:rsidRPr="00F9356D" w:rsidRDefault="00F9356D" w:rsidP="00716F7A">
            <w:pPr>
              <w:rPr>
                <w:b/>
                <w:bCs/>
              </w:rPr>
            </w:pPr>
            <w:r w:rsidRPr="00F9356D">
              <w:rPr>
                <w:lang w:val="en-PH"/>
              </w:rPr>
              <w:t>Oct 2026</w:t>
            </w:r>
          </w:p>
        </w:tc>
        <w:tc>
          <w:tcPr>
            <w:tcW w:w="1418" w:type="dxa"/>
          </w:tcPr>
          <w:p w14:paraId="54B436A3" w14:textId="77777777" w:rsidR="00F9356D" w:rsidRPr="00F9356D" w:rsidRDefault="00F9356D" w:rsidP="00716F7A">
            <w:pPr>
              <w:rPr>
                <w:b/>
                <w:bCs/>
              </w:rPr>
            </w:pPr>
            <w:r w:rsidRPr="00F9356D">
              <w:rPr>
                <w:lang w:val="en-PH"/>
              </w:rPr>
              <w:t>Improved teamwork, effective communication</w:t>
            </w:r>
          </w:p>
        </w:tc>
      </w:tr>
      <w:tr w:rsidR="00F9356D" w:rsidRPr="00F9356D" w14:paraId="120C0388" w14:textId="77777777" w:rsidTr="00F9356D">
        <w:trPr>
          <w:jc w:val="center"/>
        </w:trPr>
        <w:tc>
          <w:tcPr>
            <w:tcW w:w="1413" w:type="dxa"/>
          </w:tcPr>
          <w:p w14:paraId="57F8D653" w14:textId="77777777" w:rsidR="00F9356D" w:rsidRPr="00F9356D" w:rsidRDefault="00F9356D" w:rsidP="00716F7A">
            <w:pPr>
              <w:rPr>
                <w:b/>
                <w:bCs/>
              </w:rPr>
            </w:pPr>
            <w:r w:rsidRPr="00F9356D">
              <w:rPr>
                <w:b/>
                <w:bCs/>
                <w:lang w:val="en-PH"/>
              </w:rPr>
              <w:t>Professional Attitude &amp; Ethics</w:t>
            </w:r>
          </w:p>
        </w:tc>
        <w:tc>
          <w:tcPr>
            <w:tcW w:w="1418" w:type="dxa"/>
          </w:tcPr>
          <w:p w14:paraId="00431A47" w14:textId="77777777" w:rsidR="00F9356D" w:rsidRPr="00F9356D" w:rsidRDefault="00F9356D" w:rsidP="003F1B69">
            <w:pPr>
              <w:ind w:right="-106"/>
            </w:pPr>
            <w:r w:rsidRPr="00F9356D">
              <w:rPr>
                <w:lang w:val="en-PH"/>
              </w:rPr>
              <w:t>Reinforce ethical practice and accountability</w:t>
            </w:r>
          </w:p>
        </w:tc>
        <w:tc>
          <w:tcPr>
            <w:tcW w:w="2126" w:type="dxa"/>
          </w:tcPr>
          <w:p w14:paraId="2953CD64" w14:textId="77777777" w:rsidR="00F9356D" w:rsidRPr="00F9356D" w:rsidRDefault="00F9356D" w:rsidP="00716F7A">
            <w:pPr>
              <w:rPr>
                <w:b/>
                <w:bCs/>
                <w:lang w:val="en-PH"/>
              </w:rPr>
            </w:pPr>
            <w:r w:rsidRPr="00F9356D">
              <w:rPr>
                <w:b/>
                <w:bCs/>
                <w:lang w:val="en-PH"/>
              </w:rPr>
              <w:t>Hospital-initiated:</w:t>
            </w:r>
          </w:p>
          <w:p w14:paraId="0EFB46A1" w14:textId="77777777" w:rsidR="00F9356D" w:rsidRPr="00F9356D" w:rsidRDefault="00F9356D" w:rsidP="00716F7A">
            <w:pPr>
              <w:rPr>
                <w:lang w:val="en-PH"/>
              </w:rPr>
            </w:pPr>
            <w:r w:rsidRPr="00F9356D">
              <w:rPr>
                <w:lang w:val="en-PH"/>
              </w:rPr>
              <w:t>• Ethics case conferences led by hospital ethics committee</w:t>
            </w:r>
            <w:r w:rsidRPr="00F9356D">
              <w:rPr>
                <w:lang w:val="en-PH"/>
              </w:rPr>
              <w:br/>
              <w:t>• Integration of professional attitude in performance appraisal</w:t>
            </w:r>
          </w:p>
          <w:p w14:paraId="58D1536C" w14:textId="77777777" w:rsidR="00F9356D" w:rsidRPr="00F9356D" w:rsidRDefault="00F9356D" w:rsidP="00716F7A">
            <w:pPr>
              <w:rPr>
                <w:b/>
                <w:bCs/>
              </w:rPr>
            </w:pPr>
            <w:r w:rsidRPr="00F9356D">
              <w:rPr>
                <w:b/>
                <w:bCs/>
                <w:lang w:val="en-PH"/>
              </w:rPr>
              <w:t>Personal-initiated:</w:t>
            </w:r>
            <w:r w:rsidRPr="00F9356D">
              <w:rPr>
                <w:lang w:val="en-PH"/>
              </w:rPr>
              <w:br/>
              <w:t xml:space="preserve">• Attendance in ethics and professionalism seminars </w:t>
            </w:r>
          </w:p>
        </w:tc>
        <w:tc>
          <w:tcPr>
            <w:tcW w:w="1134" w:type="dxa"/>
          </w:tcPr>
          <w:p w14:paraId="717A3444" w14:textId="77777777" w:rsidR="00F9356D" w:rsidRPr="00F9356D" w:rsidRDefault="00F9356D" w:rsidP="00716F7A">
            <w:r w:rsidRPr="00F9356D">
              <w:rPr>
                <w:lang w:val="en-PH"/>
              </w:rPr>
              <w:t>Ethics Committee, Nurse Managers, HR, Hospital Administrators, PNA, Novice Nurses</w:t>
            </w:r>
          </w:p>
        </w:tc>
        <w:tc>
          <w:tcPr>
            <w:tcW w:w="983" w:type="dxa"/>
          </w:tcPr>
          <w:p w14:paraId="78341354" w14:textId="77777777" w:rsidR="00F9356D" w:rsidRPr="00F9356D" w:rsidRDefault="00F9356D" w:rsidP="00716F7A">
            <w:r w:rsidRPr="00F9356D">
              <w:rPr>
                <w:lang w:val="en-PH"/>
              </w:rPr>
              <w:t>P8,000</w:t>
            </w:r>
          </w:p>
        </w:tc>
        <w:tc>
          <w:tcPr>
            <w:tcW w:w="859" w:type="dxa"/>
          </w:tcPr>
          <w:p w14:paraId="00D67CD3" w14:textId="77777777" w:rsidR="00F9356D" w:rsidRPr="00F9356D" w:rsidRDefault="00F9356D" w:rsidP="00716F7A">
            <w:r w:rsidRPr="00F9356D">
              <w:rPr>
                <w:lang w:val="en-PH"/>
              </w:rPr>
              <w:t>Nov 2026</w:t>
            </w:r>
          </w:p>
        </w:tc>
        <w:tc>
          <w:tcPr>
            <w:tcW w:w="1418" w:type="dxa"/>
          </w:tcPr>
          <w:p w14:paraId="3F7F4F25" w14:textId="77777777" w:rsidR="00F9356D" w:rsidRPr="00F9356D" w:rsidRDefault="00F9356D" w:rsidP="003F1B69">
            <w:pPr>
              <w:ind w:left="-113" w:right="-102"/>
            </w:pPr>
            <w:r w:rsidRPr="00F9356D">
              <w:rPr>
                <w:lang w:val="en-PH"/>
              </w:rPr>
              <w:t>Consistent ethical behavior, accountability, professionalism</w:t>
            </w:r>
          </w:p>
        </w:tc>
      </w:tr>
    </w:tbl>
    <w:p w14:paraId="0CD09BB8" w14:textId="77777777" w:rsidR="00E70281" w:rsidRDefault="00E70281" w:rsidP="00E70281">
      <w:pPr>
        <w:pStyle w:val="BodyText"/>
        <w:jc w:val="both"/>
      </w:pPr>
    </w:p>
    <w:p w14:paraId="28BC2EF5" w14:textId="4AF06D1D" w:rsidR="00E70281" w:rsidRDefault="00E70281" w:rsidP="00E70281">
      <w:pPr>
        <w:tabs>
          <w:tab w:val="left" w:pos="2210"/>
        </w:tabs>
        <w:rPr>
          <w:sz w:val="24"/>
          <w:szCs w:val="24"/>
        </w:rPr>
      </w:pPr>
      <w:r>
        <w:rPr>
          <w:sz w:val="24"/>
          <w:szCs w:val="24"/>
        </w:rPr>
        <w:tab/>
      </w:r>
    </w:p>
    <w:p w14:paraId="33D2A8FA" w14:textId="77777777" w:rsidR="00E70281" w:rsidRPr="00E70281" w:rsidRDefault="00E70281" w:rsidP="00E70281">
      <w:pPr>
        <w:jc w:val="both"/>
        <w:rPr>
          <w:b/>
          <w:bCs/>
          <w:color w:val="000000"/>
          <w:sz w:val="24"/>
          <w:szCs w:val="24"/>
          <w:shd w:val="clear" w:color="auto" w:fill="FAFAFA"/>
        </w:rPr>
      </w:pPr>
      <w:r w:rsidRPr="00E70281">
        <w:rPr>
          <w:b/>
          <w:bCs/>
          <w:color w:val="000000"/>
          <w:sz w:val="24"/>
          <w:szCs w:val="24"/>
          <w:shd w:val="clear" w:color="auto" w:fill="FAFAFA"/>
        </w:rPr>
        <w:t>References</w:t>
      </w:r>
    </w:p>
    <w:p w14:paraId="225A56A2"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Ahmed, S., &amp; Khalil, R. (2023). Gender differences in clinical performance and collaboration among nurses. Journal of Nursing Research, 31(2), 120–130. https://doi.org/10.1097/JNR.0000000000000572</w:t>
      </w:r>
    </w:p>
    <w:p w14:paraId="4BD00081" w14:textId="740587F8"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Ahmed, H., Khan, S., &amp; Al-Farooq, R. (2022). Early-career nurse proficiency and patient safety outcomes. BioMed Central Nursing, 22, 374. https://doi.org/10.1186/s12912-023-01305-</w:t>
      </w:r>
    </w:p>
    <w:p w14:paraId="05B0221E"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Alghamdi, M. G., Alshammari, F., &amp; Ahmad, M. M. (2021). Factors influencing nurses’ competency in Saudi Arabia: A cross-sectional study. BioMed Central (BMC) Nursing, 20, 110. https://doi.org/10.1186/s12912-021-00617-8</w:t>
      </w:r>
    </w:p>
    <w:p w14:paraId="5DBA9E92"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 xml:space="preserve">Alibudbud, R. (2023). Competence of nurses and their influence on patient safety outcomes in Philippine hospitals. International Journal of Nursing Sciences, 10(1), 23–29. </w:t>
      </w:r>
      <w:r w:rsidRPr="003F1B69">
        <w:rPr>
          <w:sz w:val="24"/>
          <w:szCs w:val="24"/>
          <w:lang w:val="en-PH" w:eastAsia="en-PH"/>
        </w:rPr>
        <w:lastRenderedPageBreak/>
        <w:t>https://doi.org/10.1016/j.ijnss.2022.11.004</w:t>
      </w:r>
    </w:p>
    <w:p w14:paraId="5B62230D"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 xml:space="preserve">Al Maqbali, M., </w:t>
      </w:r>
      <w:proofErr w:type="spellStart"/>
      <w:r w:rsidRPr="003F1B69">
        <w:rPr>
          <w:sz w:val="24"/>
          <w:szCs w:val="24"/>
          <w:lang w:val="en-PH" w:eastAsia="en-PH"/>
        </w:rPr>
        <w:t>Albougami</w:t>
      </w:r>
      <w:proofErr w:type="spellEnd"/>
      <w:r w:rsidRPr="003F1B69">
        <w:rPr>
          <w:sz w:val="24"/>
          <w:szCs w:val="24"/>
          <w:lang w:val="en-PH" w:eastAsia="en-PH"/>
        </w:rPr>
        <w:t xml:space="preserve">, A., &amp; </w:t>
      </w:r>
      <w:proofErr w:type="spellStart"/>
      <w:r w:rsidRPr="003F1B69">
        <w:rPr>
          <w:sz w:val="24"/>
          <w:szCs w:val="24"/>
          <w:lang w:val="en-PH" w:eastAsia="en-PH"/>
        </w:rPr>
        <w:t>Falatah</w:t>
      </w:r>
      <w:proofErr w:type="spellEnd"/>
      <w:r w:rsidRPr="003F1B69">
        <w:rPr>
          <w:sz w:val="24"/>
          <w:szCs w:val="24"/>
          <w:lang w:val="en-PH" w:eastAsia="en-PH"/>
        </w:rPr>
        <w:t>, R. (2020). What impacts nurses’ resilience during the COVID 19 pandemic? A qualitative study of frontline nurses in Saudi Arabia. Journal of Nursing Management, 28(8), 1986–1993.</w:t>
      </w:r>
    </w:p>
    <w:p w14:paraId="72FF795C"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Al-</w:t>
      </w:r>
      <w:proofErr w:type="spellStart"/>
      <w:r w:rsidRPr="003F1B69">
        <w:rPr>
          <w:sz w:val="24"/>
          <w:szCs w:val="24"/>
          <w:lang w:val="en-PH" w:eastAsia="en-PH"/>
        </w:rPr>
        <w:t>Mugheed</w:t>
      </w:r>
      <w:proofErr w:type="spellEnd"/>
      <w:r w:rsidRPr="003F1B69">
        <w:rPr>
          <w:sz w:val="24"/>
          <w:szCs w:val="24"/>
          <w:lang w:val="en-PH" w:eastAsia="en-PH"/>
        </w:rPr>
        <w:t>, K., Al-Rashid, F., &amp; Al-Mutairi, A. (2021). Therapeutic relationships and patient satisfaction in early-career nurses. International Journal of Nursing Practice, 27(5), e12945.</w:t>
      </w:r>
    </w:p>
    <w:p w14:paraId="4DDFBDE0"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 xml:space="preserve">Alshaer, R., &amp; </w:t>
      </w:r>
      <w:proofErr w:type="spellStart"/>
      <w:r w:rsidRPr="003F1B69">
        <w:rPr>
          <w:sz w:val="24"/>
          <w:szCs w:val="24"/>
          <w:lang w:val="en-PH" w:eastAsia="en-PH"/>
        </w:rPr>
        <w:t>Sowan</w:t>
      </w:r>
      <w:proofErr w:type="spellEnd"/>
      <w:r w:rsidRPr="003F1B69">
        <w:rPr>
          <w:sz w:val="24"/>
          <w:szCs w:val="24"/>
          <w:lang w:val="en-PH" w:eastAsia="en-PH"/>
        </w:rPr>
        <w:t>, A. K. (2021). Professional attitude and its impact on job performance among nurses. Journal of Nursing Management, 29(4), 735–744. https://doi.org/10.1111/jonm.13141</w:t>
      </w:r>
    </w:p>
    <w:p w14:paraId="1B84132B"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 xml:space="preserve">Alshahrani, A., </w:t>
      </w:r>
      <w:proofErr w:type="spellStart"/>
      <w:r w:rsidRPr="003F1B69">
        <w:rPr>
          <w:sz w:val="24"/>
          <w:szCs w:val="24"/>
          <w:lang w:val="en-PH" w:eastAsia="en-PH"/>
        </w:rPr>
        <w:t>Assiri</w:t>
      </w:r>
      <w:proofErr w:type="spellEnd"/>
      <w:r w:rsidRPr="003F1B69">
        <w:rPr>
          <w:sz w:val="24"/>
          <w:szCs w:val="24"/>
          <w:lang w:val="en-PH" w:eastAsia="en-PH"/>
        </w:rPr>
        <w:t xml:space="preserve">, A., &amp; </w:t>
      </w:r>
      <w:proofErr w:type="spellStart"/>
      <w:r w:rsidRPr="003F1B69">
        <w:rPr>
          <w:sz w:val="24"/>
          <w:szCs w:val="24"/>
          <w:lang w:val="en-PH" w:eastAsia="en-PH"/>
        </w:rPr>
        <w:t>Alosaimi</w:t>
      </w:r>
      <w:proofErr w:type="spellEnd"/>
      <w:r w:rsidRPr="003F1B69">
        <w:rPr>
          <w:sz w:val="24"/>
          <w:szCs w:val="24"/>
          <w:lang w:val="en-PH" w:eastAsia="en-PH"/>
        </w:rPr>
        <w:t>, D. (2022). Workplace learning, professional development, and clinical competence among Saudi nurses: A correlational study. Nurse Education Today, 110, 105262. https://doi.org/10.1016/j.nedt.2022.105262</w:t>
      </w:r>
    </w:p>
    <w:p w14:paraId="13A43C97"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Amare, A. (2022). Educational preparation and professional attitude among early-career nurses. Journal of Nursing Education, 61(8), 415–422. https://doi.org/10.3928/01484834-20220719-04</w:t>
      </w:r>
    </w:p>
    <w:p w14:paraId="1EB535D7"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American Nurses Association. (2021). Nursing: Scope and Standards of Practice (4th ed.). ANA Publishing.</w:t>
      </w:r>
    </w:p>
    <w:p w14:paraId="28DF2970"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Amparo, M. L. (2023). Cultural competency and quality of care of nurses in a public hospital in Southern Philippines. Malaysian Journal of Nursing, 15(2), 45–52. https://ejournal.lucp.net/index.php/mjn/article/view/2645</w:t>
      </w:r>
    </w:p>
    <w:p w14:paraId="1445673C"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Ayed, A., et al. (2024). Relationship between professional values and caring behavior among nurses in NICUs. BioMed Central Nursing, 23, 318.</w:t>
      </w:r>
    </w:p>
    <w:p w14:paraId="45962F74"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Baclig, L. T., Ramos, E. B., &amp; Mercado, M. L. (2020). Professional autonomy and job satisfaction among Filipino nurses in tertiary hospitals. Philippine Journal of Nursing, 90(1), 34–40.</w:t>
      </w:r>
    </w:p>
    <w:p w14:paraId="2DA759FF"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 xml:space="preserve">Bahreini, M., Shahamat, S., </w:t>
      </w:r>
      <w:proofErr w:type="spellStart"/>
      <w:r w:rsidRPr="003F1B69">
        <w:rPr>
          <w:sz w:val="24"/>
          <w:szCs w:val="24"/>
          <w:lang w:val="en-PH" w:eastAsia="en-PH"/>
        </w:rPr>
        <w:t>Hayatdavoudi</w:t>
      </w:r>
      <w:proofErr w:type="spellEnd"/>
      <w:r w:rsidRPr="003F1B69">
        <w:rPr>
          <w:sz w:val="24"/>
          <w:szCs w:val="24"/>
          <w:lang w:val="en-PH" w:eastAsia="en-PH"/>
        </w:rPr>
        <w:t>, P., &amp; Mirzaei, M. (2013). Comparison of the clinical competence of nurses working in two university hospitals in Iran. Nursing and Midwifery Studies, 2(1), 39–43. https://doi.org/10.5812/nms.9894</w:t>
      </w:r>
    </w:p>
    <w:p w14:paraId="083451D9"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Benner, P. (1984). From novice to expert: Excellence and power in clinical nursing practice. Addison-Wesley Publishing.</w:t>
      </w:r>
    </w:p>
    <w:p w14:paraId="5A34ACE0"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Bautista, J., &amp; Morales, L. (2021). Demographic variables and nursing competence: A comparative study. International Journal of Nursing Studies, 115, Article 103867. https://doi.org/10.1016/j.ijnurstu.2020.10386</w:t>
      </w:r>
    </w:p>
    <w:p w14:paraId="31D8EC4F"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 xml:space="preserve">Cañete, K. P., </w:t>
      </w:r>
      <w:proofErr w:type="spellStart"/>
      <w:r w:rsidRPr="003F1B69">
        <w:rPr>
          <w:sz w:val="24"/>
          <w:szCs w:val="24"/>
          <w:lang w:val="en-PH" w:eastAsia="en-PH"/>
        </w:rPr>
        <w:t>Lunod</w:t>
      </w:r>
      <w:proofErr w:type="spellEnd"/>
      <w:r w:rsidRPr="003F1B69">
        <w:rPr>
          <w:sz w:val="24"/>
          <w:szCs w:val="24"/>
          <w:lang w:val="en-PH" w:eastAsia="en-PH"/>
        </w:rPr>
        <w:t xml:space="preserve">, J. M., &amp; Yu, C. J. (2020). Competence and caring efficacy among primary </w:t>
      </w:r>
      <w:r w:rsidRPr="003F1B69">
        <w:rPr>
          <w:sz w:val="24"/>
          <w:szCs w:val="24"/>
          <w:lang w:val="en-PH" w:eastAsia="en-PH"/>
        </w:rPr>
        <w:lastRenderedPageBreak/>
        <w:t>care nurses in a rural health unit in the Philippines. Philippine Journal of Health Research and Development, 24(2), 112–119.</w:t>
      </w:r>
    </w:p>
    <w:p w14:paraId="69EE71DB"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Çelik, S., &amp; Hisar, F. (2020). The effect of self-evaluation on the development of clinical competence in nursing students. Nurse Education Today, 85, 104257. https://doi.org/10.1016/j.nedt.2019.104257</w:t>
      </w:r>
    </w:p>
    <w:p w14:paraId="048968B2"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Choi, S., Lee, J., &amp; Kim, M. (2024). Managerial support, professional self-accomplishment, and retention among novice nurses: A cross-sectional study. BioMed Central Nursing, 23(58). https://doi.org/10.1186/s12912-024-01368-5</w:t>
      </w:r>
    </w:p>
    <w:p w14:paraId="26822C90"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Chuang, J. Y., et al. (2025). A Professional Nurses Competence Scale (PNCS): Development and validation. BioMed Central Nursing, 24, 123.</w:t>
      </w:r>
    </w:p>
    <w:p w14:paraId="6AF4571E"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Costello, J., Smith, R., &amp; Brown, L. (2022). Generational traits and workplace adaptation in early-career nurses. Journal of Nursing Education and Practice, 12(4), 45–54.</w:t>
      </w:r>
    </w:p>
    <w:p w14:paraId="3ABF0CB0" w14:textId="77777777" w:rsidR="003F1B69" w:rsidRPr="003F1B69" w:rsidRDefault="003F1B69" w:rsidP="003F1B69">
      <w:pPr>
        <w:spacing w:before="100" w:beforeAutospacing="1" w:after="100" w:afterAutospacing="1"/>
        <w:ind w:left="720" w:hanging="720"/>
        <w:jc w:val="both"/>
        <w:rPr>
          <w:sz w:val="24"/>
          <w:szCs w:val="24"/>
          <w:lang w:val="en-PH" w:eastAsia="en-PH"/>
        </w:rPr>
      </w:pPr>
      <w:proofErr w:type="spellStart"/>
      <w:r w:rsidRPr="003F1B69">
        <w:rPr>
          <w:sz w:val="24"/>
          <w:szCs w:val="24"/>
          <w:lang w:val="en-PH" w:eastAsia="en-PH"/>
        </w:rPr>
        <w:t>Dauvrin</w:t>
      </w:r>
      <w:proofErr w:type="spellEnd"/>
      <w:r w:rsidRPr="003F1B69">
        <w:rPr>
          <w:sz w:val="24"/>
          <w:szCs w:val="24"/>
          <w:lang w:val="en-PH" w:eastAsia="en-PH"/>
        </w:rPr>
        <w:t>, M., &amp; Lorant, V. (2020). The impact of leadership and organizational culture on nurse competence development: A correlational analysis. International Journal of Nursing Studies, 107, 103583. https://doi.org/10.1016/j.ijnurstu.2020.103583</w:t>
      </w:r>
    </w:p>
    <w:p w14:paraId="4E56A044"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Department of Health (Philippines). (2015). Administrative Order No. 2015-0025: Definition of DOH-retained hospitals.</w:t>
      </w:r>
    </w:p>
    <w:p w14:paraId="6C4F32DB"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Dizon, R. M., &amp; Dela Cruz, J. P. (2022). Perceived competencies and training needs of public health nurses in the Philippines. Acta Medica Philippina, 56(5), 321–328. https://actamedicaphilippina.upm.edu.ph/index.php/acta/article/view/9301</w:t>
      </w:r>
    </w:p>
    <w:p w14:paraId="355EF9D0" w14:textId="77777777" w:rsidR="003F1B69" w:rsidRPr="003F1B69" w:rsidRDefault="003F1B69" w:rsidP="003F1B69">
      <w:pPr>
        <w:spacing w:before="100" w:beforeAutospacing="1" w:after="100" w:afterAutospacing="1"/>
        <w:ind w:left="720" w:hanging="720"/>
        <w:jc w:val="both"/>
        <w:rPr>
          <w:sz w:val="24"/>
          <w:szCs w:val="24"/>
          <w:lang w:val="en-PH" w:eastAsia="en-PH"/>
        </w:rPr>
      </w:pPr>
      <w:proofErr w:type="spellStart"/>
      <w:r w:rsidRPr="003F1B69">
        <w:rPr>
          <w:sz w:val="24"/>
          <w:szCs w:val="24"/>
          <w:lang w:val="en-PH" w:eastAsia="en-PH"/>
        </w:rPr>
        <w:t>Elhami</w:t>
      </w:r>
      <w:proofErr w:type="spellEnd"/>
      <w:r w:rsidRPr="003F1B69">
        <w:rPr>
          <w:sz w:val="24"/>
          <w:szCs w:val="24"/>
          <w:lang w:val="en-PH" w:eastAsia="en-PH"/>
        </w:rPr>
        <w:t xml:space="preserve">, S., Karami, A., Mokhtari Nouri, J., &amp; </w:t>
      </w:r>
      <w:proofErr w:type="spellStart"/>
      <w:r w:rsidRPr="003F1B69">
        <w:rPr>
          <w:sz w:val="24"/>
          <w:szCs w:val="24"/>
          <w:lang w:val="en-PH" w:eastAsia="en-PH"/>
        </w:rPr>
        <w:t>Mirlashari</w:t>
      </w:r>
      <w:proofErr w:type="spellEnd"/>
      <w:r w:rsidRPr="003F1B69">
        <w:rPr>
          <w:sz w:val="24"/>
          <w:szCs w:val="24"/>
          <w:lang w:val="en-PH" w:eastAsia="en-PH"/>
        </w:rPr>
        <w:t>, J. (2018). The relationship between nurses’ clinical competency and patient satisfaction. Iranian Journal of Nursing Research, 13(5), 1–9.</w:t>
      </w:r>
    </w:p>
    <w:p w14:paraId="17A27CF4"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Espinosa, R. C., Dela Cruz, F. A., &amp; Salcedo, J. T. (2021). Attitudes toward nursing research and research competence among nurses in North Cotabato: A predictive correlational study. Asian Journal of Nursing Education and Research, 11(3), 345–350. https://doi.org/10.5958/2349-2996.2021.00064.3</w:t>
      </w:r>
    </w:p>
    <w:p w14:paraId="4FA04EB1"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 xml:space="preserve">Fukada, M. (2018). Nursing competency: Definition, structure and development. </w:t>
      </w:r>
      <w:proofErr w:type="spellStart"/>
      <w:r w:rsidRPr="003F1B69">
        <w:rPr>
          <w:sz w:val="24"/>
          <w:szCs w:val="24"/>
          <w:lang w:val="en-PH" w:eastAsia="en-PH"/>
        </w:rPr>
        <w:t>Yonago</w:t>
      </w:r>
      <w:proofErr w:type="spellEnd"/>
      <w:r w:rsidRPr="003F1B69">
        <w:rPr>
          <w:sz w:val="24"/>
          <w:szCs w:val="24"/>
          <w:lang w:val="en-PH" w:eastAsia="en-PH"/>
        </w:rPr>
        <w:t xml:space="preserve"> Acta Medica, 61(1), 1–7. https://doi.org/10.33160/yam.2018.03.001</w:t>
      </w:r>
    </w:p>
    <w:p w14:paraId="53F7C307"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Garcia, L., &amp; Lee, H. (2024). Work–life balance and career satisfaction among early-career nurses. Journal of Nursing Management, 32(1), 85–92. https://doi.org/10.1111/jonm.13810</w:t>
      </w:r>
    </w:p>
    <w:p w14:paraId="6301BE81"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García-Sánchez, E., Pérez, M., &amp; López, F. (2021). Adapting to clinical environments: Age and career transition in nursing students. Nurse Education Today, 101, 104900.</w:t>
      </w:r>
    </w:p>
    <w:p w14:paraId="54F64855" w14:textId="77777777" w:rsidR="003F1B69" w:rsidRPr="003F1B69" w:rsidRDefault="003F1B69" w:rsidP="003F1B69">
      <w:pPr>
        <w:spacing w:before="100" w:beforeAutospacing="1" w:after="100" w:afterAutospacing="1"/>
        <w:ind w:left="720" w:hanging="720"/>
        <w:jc w:val="both"/>
        <w:rPr>
          <w:sz w:val="24"/>
          <w:szCs w:val="24"/>
          <w:lang w:val="en-PH" w:eastAsia="en-PH"/>
        </w:rPr>
      </w:pPr>
      <w:proofErr w:type="spellStart"/>
      <w:r w:rsidRPr="003F1B69">
        <w:rPr>
          <w:sz w:val="24"/>
          <w:szCs w:val="24"/>
          <w:lang w:val="en-PH" w:eastAsia="en-PH"/>
        </w:rPr>
        <w:lastRenderedPageBreak/>
        <w:t>Ghadirian</w:t>
      </w:r>
      <w:proofErr w:type="spellEnd"/>
      <w:r w:rsidRPr="003F1B69">
        <w:rPr>
          <w:sz w:val="24"/>
          <w:szCs w:val="24"/>
          <w:lang w:val="en-PH" w:eastAsia="en-PH"/>
        </w:rPr>
        <w:t xml:space="preserve">, F., </w:t>
      </w:r>
      <w:proofErr w:type="spellStart"/>
      <w:r w:rsidRPr="003F1B69">
        <w:rPr>
          <w:sz w:val="24"/>
          <w:szCs w:val="24"/>
          <w:lang w:val="en-PH" w:eastAsia="en-PH"/>
        </w:rPr>
        <w:t>Salsali</w:t>
      </w:r>
      <w:proofErr w:type="spellEnd"/>
      <w:r w:rsidRPr="003F1B69">
        <w:rPr>
          <w:sz w:val="24"/>
          <w:szCs w:val="24"/>
          <w:lang w:val="en-PH" w:eastAsia="en-PH"/>
        </w:rPr>
        <w:t>, M., &amp; Cheraghi, M. A. (2020). Professionalism: An evolutionary concept analysis. Iranian Journal of Nursing and Midwifery Research, 25(1), 5–12. https://doi.org/10.4103/ijnmr.IJNMR_201_18</w:t>
      </w:r>
    </w:p>
    <w:p w14:paraId="0741CD2F"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 xml:space="preserve">Ghaffari, F., </w:t>
      </w:r>
      <w:proofErr w:type="spellStart"/>
      <w:r w:rsidRPr="003F1B69">
        <w:rPr>
          <w:sz w:val="24"/>
          <w:szCs w:val="24"/>
          <w:lang w:val="en-PH" w:eastAsia="en-PH"/>
        </w:rPr>
        <w:t>Navvabi</w:t>
      </w:r>
      <w:proofErr w:type="spellEnd"/>
      <w:r w:rsidRPr="003F1B69">
        <w:rPr>
          <w:sz w:val="24"/>
          <w:szCs w:val="24"/>
          <w:lang w:val="en-PH" w:eastAsia="en-PH"/>
        </w:rPr>
        <w:t>, N., &amp; Moosavi, S. (2020). Exploring Iranian nurses’ experiences regarding professionalization: A qualitative study. Journal of Professional Nursing, 36(2), 72–78. https://doi.org/10.1016/j.profnurs.2019.06.005</w:t>
      </w:r>
    </w:p>
    <w:p w14:paraId="0269318F"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Halabi, J. O., et al. (2023). The Nurse Professional Competence (NPC) Scale—Short version: Evidence of validity. Saudi Journal of Health Sciences, 12(1), 11–20.</w:t>
      </w:r>
    </w:p>
    <w:p w14:paraId="189EF83E"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Hartigan-Go, K. Y. (2024). Confronting the nursing crisis (Philippines). Optum Health Education.</w:t>
      </w:r>
    </w:p>
    <w:p w14:paraId="25A62C55"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International Council of Nurses. (2020). ICN framework of competencies for the general nurse. https://www.icn.ch</w:t>
      </w:r>
    </w:p>
    <w:p w14:paraId="72FF8022"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International Council of Nurses. (2023). Patient safety: ICN position statement.</w:t>
      </w:r>
    </w:p>
    <w:p w14:paraId="4EE38E96"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Jho, M. Y., Kang, J., &amp; Park, J. S. (2023). Continuing education and its impact on clinical competence and patient outcomes among hospital nurses. International Journal of Nursing Studies, 139, 104473. https://doi.org/10.1016/j.ijnurstu.2023.104473</w:t>
      </w:r>
    </w:p>
    <w:p w14:paraId="0AE2029D"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Johnson, P., &amp; Jansson, L. (2022). Gender socialization and communication patterns in nursing practice. Nursing Outlook, 70(4), 574–582. https://doi.org/10.1016/j.outlook.2022.05.009</w:t>
      </w:r>
    </w:p>
    <w:p w14:paraId="38BD64A6"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 xml:space="preserve">Karami, A., </w:t>
      </w:r>
      <w:proofErr w:type="spellStart"/>
      <w:r w:rsidRPr="003F1B69">
        <w:rPr>
          <w:sz w:val="24"/>
          <w:szCs w:val="24"/>
          <w:lang w:val="en-PH" w:eastAsia="en-PH"/>
        </w:rPr>
        <w:t>Farokhzadian</w:t>
      </w:r>
      <w:proofErr w:type="spellEnd"/>
      <w:r w:rsidRPr="003F1B69">
        <w:rPr>
          <w:sz w:val="24"/>
          <w:szCs w:val="24"/>
          <w:lang w:val="en-PH" w:eastAsia="en-PH"/>
        </w:rPr>
        <w:t xml:space="preserve">, J., &amp; </w:t>
      </w:r>
      <w:proofErr w:type="spellStart"/>
      <w:r w:rsidRPr="003F1B69">
        <w:rPr>
          <w:sz w:val="24"/>
          <w:szCs w:val="24"/>
          <w:lang w:val="en-PH" w:eastAsia="en-PH"/>
        </w:rPr>
        <w:t>Foroughameri</w:t>
      </w:r>
      <w:proofErr w:type="spellEnd"/>
      <w:r w:rsidRPr="003F1B69">
        <w:rPr>
          <w:sz w:val="24"/>
          <w:szCs w:val="24"/>
          <w:lang w:val="en-PH" w:eastAsia="en-PH"/>
        </w:rPr>
        <w:t>, G. (2020). The relationship between professional competency and organizational commitment among nurses. BioMed Central (BMC) Nursing, 19, 74. https://doi.org/10.1186/s12912-020-00454-5</w:t>
      </w:r>
    </w:p>
    <w:p w14:paraId="54CAFF62"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 xml:space="preserve">Karimi, Z., </w:t>
      </w:r>
      <w:proofErr w:type="spellStart"/>
      <w:r w:rsidRPr="003F1B69">
        <w:rPr>
          <w:sz w:val="24"/>
          <w:szCs w:val="24"/>
          <w:lang w:val="en-PH" w:eastAsia="en-PH"/>
        </w:rPr>
        <w:t>Mazlom</w:t>
      </w:r>
      <w:proofErr w:type="spellEnd"/>
      <w:r w:rsidRPr="003F1B69">
        <w:rPr>
          <w:sz w:val="24"/>
          <w:szCs w:val="24"/>
          <w:lang w:val="en-PH" w:eastAsia="en-PH"/>
        </w:rPr>
        <w:t xml:space="preserve">, R., &amp; </w:t>
      </w:r>
      <w:proofErr w:type="spellStart"/>
      <w:r w:rsidRPr="003F1B69">
        <w:rPr>
          <w:sz w:val="24"/>
          <w:szCs w:val="24"/>
          <w:lang w:val="en-PH" w:eastAsia="en-PH"/>
        </w:rPr>
        <w:t>Norouzinia</w:t>
      </w:r>
      <w:proofErr w:type="spellEnd"/>
      <w:r w:rsidRPr="003F1B69">
        <w:rPr>
          <w:sz w:val="24"/>
          <w:szCs w:val="24"/>
          <w:lang w:val="en-PH" w:eastAsia="en-PH"/>
        </w:rPr>
        <w:t>, R. (2021). Organizational support and professional attitude among nurses. Journal of Professional Nursing, 37(5), 702–709. https://doi.org/10.1016/j.profnurs.2021.08.011</w:t>
      </w:r>
    </w:p>
    <w:p w14:paraId="0AB42C98" w14:textId="77777777" w:rsidR="003F1B69" w:rsidRPr="003F1B69" w:rsidRDefault="003F1B69" w:rsidP="003F1B69">
      <w:pPr>
        <w:spacing w:before="100" w:beforeAutospacing="1" w:after="100" w:afterAutospacing="1"/>
        <w:ind w:left="720" w:hanging="720"/>
        <w:jc w:val="both"/>
        <w:rPr>
          <w:sz w:val="24"/>
          <w:szCs w:val="24"/>
          <w:lang w:val="en-PH" w:eastAsia="en-PH"/>
        </w:rPr>
      </w:pPr>
      <w:proofErr w:type="spellStart"/>
      <w:r w:rsidRPr="003F1B69">
        <w:rPr>
          <w:sz w:val="24"/>
          <w:szCs w:val="24"/>
          <w:lang w:val="en-PH" w:eastAsia="en-PH"/>
        </w:rPr>
        <w:t>Karamoozian</w:t>
      </w:r>
      <w:proofErr w:type="spellEnd"/>
      <w:r w:rsidRPr="003F1B69">
        <w:rPr>
          <w:sz w:val="24"/>
          <w:szCs w:val="24"/>
          <w:lang w:val="en-PH" w:eastAsia="en-PH"/>
        </w:rPr>
        <w:t xml:space="preserve">, M., </w:t>
      </w:r>
      <w:proofErr w:type="spellStart"/>
      <w:r w:rsidRPr="003F1B69">
        <w:rPr>
          <w:sz w:val="24"/>
          <w:szCs w:val="24"/>
          <w:lang w:val="en-PH" w:eastAsia="en-PH"/>
        </w:rPr>
        <w:t>Behnampour</w:t>
      </w:r>
      <w:proofErr w:type="spellEnd"/>
      <w:r w:rsidRPr="003F1B69">
        <w:rPr>
          <w:sz w:val="24"/>
          <w:szCs w:val="24"/>
          <w:lang w:val="en-PH" w:eastAsia="en-PH"/>
        </w:rPr>
        <w:t>, N., &amp; Shafiei, Z. (2021). The challenges of developing professional identity among nurses: A qualitative study. BioMed Central (BMC) Nursing, 20, 149. https://doi.org/10.1186/s12912-021-00665-0</w:t>
      </w:r>
    </w:p>
    <w:p w14:paraId="3D1F7C77"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Khan, A., Begum, T., &amp; Parvin, R. (2021). Self-assessment of clinical competency among nurses in tertiary hospitals in Bangladesh: Implications for training and professional development. BioMed Central (BMC) Nursing, 20, 86. https://doi.org/10.1186/s12912-021-00588-w</w:t>
      </w:r>
    </w:p>
    <w:p w14:paraId="42260237"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Kim, J., &amp; Lee, H. (2022). Impact of patient education by novice nurses on chronic disease management. Journal of Nursing Care Quality, 37(4), 320–327. https://doi.org/10.1097/NCQ.0000000000000604</w:t>
      </w:r>
    </w:p>
    <w:p w14:paraId="472FBCD7"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 xml:space="preserve">Kim, S., &amp; Lee, J. (2022). Evidence-based teaching and patient education by novice nurses. Journal </w:t>
      </w:r>
      <w:r w:rsidRPr="003F1B69">
        <w:rPr>
          <w:sz w:val="24"/>
          <w:szCs w:val="24"/>
          <w:lang w:val="en-PH" w:eastAsia="en-PH"/>
        </w:rPr>
        <w:lastRenderedPageBreak/>
        <w:t>of Clinical Nursing, 31(7–8), 895–905.</w:t>
      </w:r>
    </w:p>
    <w:p w14:paraId="0D6C5B2D"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Kim, S., &amp; Kim, H. (2024). Novice perioperative nurses’ perceptions of nursing competence and strategies used to enhance competence. Journal of Perioperative Nursing, 37(1), 1–10. https://pubmed.ncbi.nlm.nih.gov/40013687</w:t>
      </w:r>
    </w:p>
    <w:p w14:paraId="10F28360"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Kim, J., &amp; Park, H. (2023). Influence of gender on professional values and nursing attitudes. Nurse Education Today, 128, Article 105273. https://doi.org/10.1016/j.nedt.2023.105273</w:t>
      </w:r>
    </w:p>
    <w:p w14:paraId="42A6ABED"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Kukkonen, P., et al. (2025). The professional competence of newly graduated nurses in international comparisons. International Journal of Work-Integrated Learning in Health, 14(2), 1–10.</w:t>
      </w:r>
    </w:p>
    <w:p w14:paraId="0F1E89D4"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Kumar, S., &amp; Singh, R. (2023). Gender diversity in nursing: Impacts on teamwork and clinical communication. Nurse Education Today, 129, 105404. https://doi.org/10.1016/j.nedt.2023.105404</w:t>
      </w:r>
    </w:p>
    <w:p w14:paraId="64770F29" w14:textId="77777777" w:rsidR="003F1B69" w:rsidRPr="003F1B69" w:rsidRDefault="003F1B69" w:rsidP="003F1B69">
      <w:pPr>
        <w:spacing w:before="100" w:beforeAutospacing="1" w:after="100" w:afterAutospacing="1"/>
        <w:ind w:left="720" w:hanging="720"/>
        <w:jc w:val="both"/>
        <w:rPr>
          <w:sz w:val="24"/>
          <w:szCs w:val="24"/>
          <w:lang w:val="en-PH" w:eastAsia="en-PH"/>
        </w:rPr>
      </w:pPr>
      <w:proofErr w:type="spellStart"/>
      <w:r w:rsidRPr="003F1B69">
        <w:rPr>
          <w:sz w:val="24"/>
          <w:szCs w:val="24"/>
          <w:lang w:val="en-PH" w:eastAsia="en-PH"/>
        </w:rPr>
        <w:t>Labrague</w:t>
      </w:r>
      <w:proofErr w:type="spellEnd"/>
      <w:r w:rsidRPr="003F1B69">
        <w:rPr>
          <w:sz w:val="24"/>
          <w:szCs w:val="24"/>
          <w:lang w:val="en-PH" w:eastAsia="en-PH"/>
        </w:rPr>
        <w:t xml:space="preserve">, L. J., De </w:t>
      </w:r>
      <w:proofErr w:type="spellStart"/>
      <w:r w:rsidRPr="003F1B69">
        <w:rPr>
          <w:sz w:val="24"/>
          <w:szCs w:val="24"/>
          <w:lang w:val="en-PH" w:eastAsia="en-PH"/>
        </w:rPr>
        <w:t>los</w:t>
      </w:r>
      <w:proofErr w:type="spellEnd"/>
      <w:r w:rsidRPr="003F1B69">
        <w:rPr>
          <w:sz w:val="24"/>
          <w:szCs w:val="24"/>
          <w:lang w:val="en-PH" w:eastAsia="en-PH"/>
        </w:rPr>
        <w:t xml:space="preserve"> Santos, J. A. A., &amp; Resurreccion, D. L. (2022). Professional identity, organizational commitment, and turnover intention among nurses: The mediating role of work engagement. Journal of Nursing Management, 30(3), 736–744. https://doi.org/10.1111/jonm.13566</w:t>
      </w:r>
    </w:p>
    <w:p w14:paraId="468D921A" w14:textId="77777777" w:rsidR="003F1B69" w:rsidRPr="003F1B69" w:rsidRDefault="003F1B69" w:rsidP="003F1B69">
      <w:pPr>
        <w:spacing w:before="100" w:beforeAutospacing="1" w:after="100" w:afterAutospacing="1"/>
        <w:ind w:left="720" w:hanging="720"/>
        <w:jc w:val="both"/>
        <w:rPr>
          <w:sz w:val="24"/>
          <w:szCs w:val="24"/>
          <w:lang w:val="en-PH" w:eastAsia="en-PH"/>
        </w:rPr>
      </w:pPr>
      <w:proofErr w:type="spellStart"/>
      <w:r w:rsidRPr="003F1B69">
        <w:rPr>
          <w:sz w:val="24"/>
          <w:szCs w:val="24"/>
          <w:lang w:val="en-PH" w:eastAsia="en-PH"/>
        </w:rPr>
        <w:t>Labrague</w:t>
      </w:r>
      <w:proofErr w:type="spellEnd"/>
      <w:r w:rsidRPr="003F1B69">
        <w:rPr>
          <w:sz w:val="24"/>
          <w:szCs w:val="24"/>
          <w:lang w:val="en-PH" w:eastAsia="en-PH"/>
        </w:rPr>
        <w:t>, L. J., et al. (2024). Reality shock, caring ability, and missed nursing care among newly graduated critical care nurses. Intensive and Critical Care Nursing, 78, 103600.</w:t>
      </w:r>
    </w:p>
    <w:p w14:paraId="45F15640"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Lee, Y., &amp; Kim, S. (2023). Reflective practice and professional identity development in Korean hospital nurses: A mixed-methods study. Nurse Education Today, 125, 105814. https://doi.org/10.1016/j.nedt.2023.105814</w:t>
      </w:r>
    </w:p>
    <w:p w14:paraId="442D37A2"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Lewis, L. S. (2022). Nursing education practice update: Competency-based education and clinical judgment. Nurse Educator, 47(6), 301–305.</w:t>
      </w:r>
    </w:p>
    <w:p w14:paraId="15BC2655"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Lewis, M., Smith, K., &amp; Lee, J. (2023). The impact of advanced education on clinical competency: A systematic review. Nurse Education Today, 125, 105612. https://doi.org/10.1016/j.nedt.2023.105612</w:t>
      </w:r>
    </w:p>
    <w:p w14:paraId="6E17549B"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Lindfors, K., et al. (2022). New graduate registered nurses’ professional competence over the first nine months. BioMed Central Nursing, 21, 325.</w:t>
      </w:r>
    </w:p>
    <w:p w14:paraId="7B251A78"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 xml:space="preserve">Liu, Y., </w:t>
      </w:r>
      <w:proofErr w:type="spellStart"/>
      <w:r w:rsidRPr="003F1B69">
        <w:rPr>
          <w:sz w:val="24"/>
          <w:szCs w:val="24"/>
          <w:lang w:val="en-PH" w:eastAsia="en-PH"/>
        </w:rPr>
        <w:t>Aungsuroch</w:t>
      </w:r>
      <w:proofErr w:type="spellEnd"/>
      <w:r w:rsidRPr="003F1B69">
        <w:rPr>
          <w:sz w:val="24"/>
          <w:szCs w:val="24"/>
          <w:lang w:val="en-PH" w:eastAsia="en-PH"/>
        </w:rPr>
        <w:t xml:space="preserve">, Y., &amp; </w:t>
      </w:r>
      <w:proofErr w:type="spellStart"/>
      <w:r w:rsidRPr="003F1B69">
        <w:rPr>
          <w:sz w:val="24"/>
          <w:szCs w:val="24"/>
          <w:lang w:val="en-PH" w:eastAsia="en-PH"/>
        </w:rPr>
        <w:t>Yunibhand</w:t>
      </w:r>
      <w:proofErr w:type="spellEnd"/>
      <w:r w:rsidRPr="003F1B69">
        <w:rPr>
          <w:sz w:val="24"/>
          <w:szCs w:val="24"/>
          <w:lang w:val="en-PH" w:eastAsia="en-PH"/>
        </w:rPr>
        <w:t>, J. (2023). Predictors of clinical competence among nurses: A structural equation model. International Nursing Review, 70(2), 135–144. https://doi.org/10.1111/inr.12800</w:t>
      </w:r>
    </w:p>
    <w:p w14:paraId="597572AA"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Liu, Y., Zhang, H., &amp; Wang, J. (2022). Professional attitude and ethical sensitivity in early-career nurses. Nursing Ethics, 29(5), 1234–1245.</w:t>
      </w:r>
    </w:p>
    <w:p w14:paraId="09BCD461"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lastRenderedPageBreak/>
        <w:t>Lopez, R., Martinez, P., &amp; Garcia, L. (2023). Simulation-based training and decision-making skills of novice nurses. Journal of Clinical Nursing, 32(14), 2740–2752. https://doi.org/10.1111/jocn.16432</w:t>
      </w:r>
    </w:p>
    <w:p w14:paraId="38C41DC4"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Lopez, M., Torres, A., &amp; Fernandez, R. (2023). Simulation-based training and prioritization skills in new nurses. Nurse Education in Practice, 63, 104153.</w:t>
      </w:r>
    </w:p>
    <w:p w14:paraId="3A5367C9"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Martinez, L., Perez, S., &amp; Gutierrez, M. (2023). Quality improvement engagement of novice nurses in hospital systems. Journal of Nursing Management, 31(3), 456–468.</w:t>
      </w:r>
    </w:p>
    <w:p w14:paraId="2CC14B35"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Nakayama, M., Kato, Y., &amp; Nagai, M. (2018). A concept analysis of nursing competency. Nursing &amp; Health Sciences, 20(3), 341–349. https://doi.org/10.1111/nhs.12410</w:t>
      </w:r>
    </w:p>
    <w:p w14:paraId="0E6F0B25"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Navales, R. R., Sanchez, J. E., &amp; Millares, K. P. (2022). Research attitude and competence of nursing students in a Philippine university: Implications for curriculum enhancement. Journal of Nursing Education and Practice, 12(4), 52–58. https://doi.org/10.5430/jnep.v12n4p52</w:t>
      </w:r>
    </w:p>
    <w:p w14:paraId="2D38FC30"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Nguyen, T., &amp; Tran, M. (2022). Educational attainment and clinical reasoning in nursing practice. International Journal of Nursing Studies, 129, 104271. https://doi.org/10.1016/j.ijnurstu.2021.104271</w:t>
      </w:r>
    </w:p>
    <w:p w14:paraId="7E2F90E7"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Nguyen, T., Tran, H., &amp; Pham, D. (2021). Diagnostic reasoning and mentorship in early-career nurses. Journal of Nursing Education, 60(4), 201–210.</w:t>
      </w:r>
    </w:p>
    <w:p w14:paraId="01D6FB76"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Numminen, O., Leino-</w:t>
      </w:r>
      <w:proofErr w:type="spellStart"/>
      <w:r w:rsidRPr="003F1B69">
        <w:rPr>
          <w:sz w:val="24"/>
          <w:szCs w:val="24"/>
          <w:lang w:val="en-PH" w:eastAsia="en-PH"/>
        </w:rPr>
        <w:t>Kilpi</w:t>
      </w:r>
      <w:proofErr w:type="spellEnd"/>
      <w:r w:rsidRPr="003F1B69">
        <w:rPr>
          <w:sz w:val="24"/>
          <w:szCs w:val="24"/>
          <w:lang w:val="en-PH" w:eastAsia="en-PH"/>
        </w:rPr>
        <w:t xml:space="preserve">, H., </w:t>
      </w:r>
      <w:proofErr w:type="spellStart"/>
      <w:r w:rsidRPr="003F1B69">
        <w:rPr>
          <w:sz w:val="24"/>
          <w:szCs w:val="24"/>
          <w:lang w:val="en-PH" w:eastAsia="en-PH"/>
        </w:rPr>
        <w:t>Isoaho</w:t>
      </w:r>
      <w:proofErr w:type="spellEnd"/>
      <w:r w:rsidRPr="003F1B69">
        <w:rPr>
          <w:sz w:val="24"/>
          <w:szCs w:val="24"/>
          <w:lang w:val="en-PH" w:eastAsia="en-PH"/>
        </w:rPr>
        <w:t xml:space="preserve">, H., &amp; </w:t>
      </w:r>
      <w:proofErr w:type="spellStart"/>
      <w:r w:rsidRPr="003F1B69">
        <w:rPr>
          <w:sz w:val="24"/>
          <w:szCs w:val="24"/>
          <w:lang w:val="en-PH" w:eastAsia="en-PH"/>
        </w:rPr>
        <w:t>Meretoja</w:t>
      </w:r>
      <w:proofErr w:type="spellEnd"/>
      <w:r w:rsidRPr="003F1B69">
        <w:rPr>
          <w:sz w:val="24"/>
          <w:szCs w:val="24"/>
          <w:lang w:val="en-PH" w:eastAsia="en-PH"/>
        </w:rPr>
        <w:t>, R. (2022). Newly graduated nurses’ competence and individual and organizational factors: A multivariate analysis. BioMed Central Nursing, 21(1), 47. https://doi.org/10.1186/s12912-022-00813-4</w:t>
      </w:r>
    </w:p>
    <w:p w14:paraId="667BE69F"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Park, S., &amp; Kim, Y. (2022). Quality improvement participation of novice nurses and impact on hospital safety culture. Nurse Education Today, 108, 105–114. https://doi.org/10.1016/j.nedt.2022.105114</w:t>
      </w:r>
    </w:p>
    <w:p w14:paraId="36BC85EC"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Pérez-García, E., Ortega-Galán, Á. M., Ibáñez-Masero, O., Ramos-Pichardo, J. D., Fernández-Leyva, A., &amp; Fernández-López, E. (2023). Factors influencing nursing competency: A cross-sectional study in clinical settings. Healthcare, 11(21), 2808. https://doi.org/10.3390/healthcare11212808</w:t>
      </w:r>
    </w:p>
    <w:p w14:paraId="796A89B2"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Perez, M., &amp; Torres, J. (2023). Unit-based support systems and novice nurse competency in high-acuity wards. Journal of Clinical Nursing, 32(15–16), 2468–2477. https://doi.org/10.1111/jocn.16482</w:t>
      </w:r>
    </w:p>
    <w:p w14:paraId="07315F23"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Podgorica, N., et al. (2024). Nursing Professional Values Scale-3 in an Austrian context. BMC Nursing, 23, 142.</w:t>
      </w:r>
    </w:p>
    <w:p w14:paraId="16995163" w14:textId="77777777" w:rsidR="003F1B69" w:rsidRPr="003F1B69" w:rsidRDefault="003F1B69" w:rsidP="003F1B69">
      <w:pPr>
        <w:spacing w:before="100" w:beforeAutospacing="1" w:after="100" w:afterAutospacing="1"/>
        <w:ind w:left="720" w:hanging="720"/>
        <w:jc w:val="both"/>
        <w:rPr>
          <w:sz w:val="24"/>
          <w:szCs w:val="24"/>
          <w:lang w:val="en-PH" w:eastAsia="en-PH"/>
        </w:rPr>
      </w:pPr>
      <w:proofErr w:type="spellStart"/>
      <w:r w:rsidRPr="003F1B69">
        <w:rPr>
          <w:sz w:val="24"/>
          <w:szCs w:val="24"/>
          <w:lang w:val="en-PH" w:eastAsia="en-PH"/>
        </w:rPr>
        <w:t>Ramezanli</w:t>
      </w:r>
      <w:proofErr w:type="spellEnd"/>
      <w:r w:rsidRPr="003F1B69">
        <w:rPr>
          <w:sz w:val="24"/>
          <w:szCs w:val="24"/>
          <w:lang w:val="en-PH" w:eastAsia="en-PH"/>
        </w:rPr>
        <w:t xml:space="preserve">, S., Khalesi, N., &amp; Hosseini, M. (2021). Professional attitude and job satisfaction in </w:t>
      </w:r>
      <w:r w:rsidRPr="003F1B69">
        <w:rPr>
          <w:sz w:val="24"/>
          <w:szCs w:val="24"/>
          <w:lang w:val="en-PH" w:eastAsia="en-PH"/>
        </w:rPr>
        <w:lastRenderedPageBreak/>
        <w:t>novice nurses: Implications for retention. Journal of Clinical Nursing, 30(7–8), 1012–1021.</w:t>
      </w:r>
    </w:p>
    <w:p w14:paraId="12D3FC23"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Raqueno, L., et al. (2025). Peer support strategies for newly qualified nurses: A systematic review. International Journal of Nursing Studies, 155, 104331.</w:t>
      </w:r>
    </w:p>
    <w:p w14:paraId="697C94E4"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Rodriguez, M., Torres, A., &amp; Liu, H. (2022). Collaboration and professional engagement among novice nurses in hospital settings. Nurse Education Today, 112, 105–118. https://doi.org/10.1016/j.nedt.2022.105118</w:t>
      </w:r>
    </w:p>
    <w:p w14:paraId="6B68E849"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Rosa, J., Santos, M., &amp; Lee, Y. (2023). Patient teaching and coaching by novice nurses: Outcomes on adherence. Journal of Nursing Care Quality, 38(1), 56–64. https://doi.org/10.1097/NCQ.0000000000000651</w:t>
      </w:r>
    </w:p>
    <w:p w14:paraId="5DE7E7FE"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Sánchez-Gómez, M., López, F., &amp; Martínez, A. (2022). Relational competence and patient adherence in early-career nurses. International Journal of Nursing Studies, 126, 104–112. https://doi.org/10.1016/j.ijnurstu.2021.104112</w:t>
      </w:r>
    </w:p>
    <w:p w14:paraId="24BBF482"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Salmond, S. W., Salmond, S. S., Ames, M., Kamienski, M., &amp; Holly, C. (2021). Experiences of frontline nurses during the COVID-19 pandemic: A qualitative study. Nursing Outlook, 69(5), 847–856. https://doi.org/10.1016/j.outlook.2021.03.016</w:t>
      </w:r>
    </w:p>
    <w:p w14:paraId="599FF505"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 xml:space="preserve">Salonen, A., </w:t>
      </w:r>
      <w:proofErr w:type="spellStart"/>
      <w:r w:rsidRPr="003F1B69">
        <w:rPr>
          <w:sz w:val="24"/>
          <w:szCs w:val="24"/>
          <w:lang w:val="en-PH" w:eastAsia="en-PH"/>
        </w:rPr>
        <w:t>Kaunonen</w:t>
      </w:r>
      <w:proofErr w:type="spellEnd"/>
      <w:r w:rsidRPr="003F1B69">
        <w:rPr>
          <w:sz w:val="24"/>
          <w:szCs w:val="24"/>
          <w:lang w:val="en-PH" w:eastAsia="en-PH"/>
        </w:rPr>
        <w:t xml:space="preserve">, M., &amp; </w:t>
      </w:r>
      <w:proofErr w:type="spellStart"/>
      <w:r w:rsidRPr="003F1B69">
        <w:rPr>
          <w:sz w:val="24"/>
          <w:szCs w:val="24"/>
          <w:lang w:val="en-PH" w:eastAsia="en-PH"/>
        </w:rPr>
        <w:t>Meretoja</w:t>
      </w:r>
      <w:proofErr w:type="spellEnd"/>
      <w:r w:rsidRPr="003F1B69">
        <w:rPr>
          <w:sz w:val="24"/>
          <w:szCs w:val="24"/>
          <w:lang w:val="en-PH" w:eastAsia="en-PH"/>
        </w:rPr>
        <w:t>, R. (2022). Exploration of the expected and achieved competency levels of new graduate nurses. Nurse Education Today, 117, 105490. https://doi.org/10.1016/j.nedt.2022.105490</w:t>
      </w:r>
    </w:p>
    <w:p w14:paraId="688799D4"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Shiferaw, K., &amp; Mehari, K. (2023). Workplace environment and professional attitude among early-career nurses. BioMed Central Nursing, 22, Article 42. https://doi.org/10.1186/s12912-023-01234-6</w:t>
      </w:r>
    </w:p>
    <w:p w14:paraId="73CC75FB"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Shin, S., Park, J., &amp; Kim, J. (2021). Professionalism and job satisfaction among nurses: The mediating effect of emotional labor. BioMed Central (BMC) Nursing, 20, 197. https://doi.org/10.1186/s12912-021-00706-8</w:t>
      </w:r>
    </w:p>
    <w:p w14:paraId="05D70EA8"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Smith, J., &amp; Curtis, K. (2022). Transition support and skill development in early-career nurses. Nurse Education in Practice, 64, 103484. https://doi.org/10.1016/j.nepr.2022.103484</w:t>
      </w:r>
    </w:p>
    <w:p w14:paraId="2659E8DF"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 xml:space="preserve">Sterner, A., </w:t>
      </w:r>
      <w:proofErr w:type="spellStart"/>
      <w:r w:rsidRPr="003F1B69">
        <w:rPr>
          <w:sz w:val="24"/>
          <w:szCs w:val="24"/>
          <w:lang w:val="en-PH" w:eastAsia="en-PH"/>
        </w:rPr>
        <w:t>Ramstrand</w:t>
      </w:r>
      <w:proofErr w:type="spellEnd"/>
      <w:r w:rsidRPr="003F1B69">
        <w:rPr>
          <w:sz w:val="24"/>
          <w:szCs w:val="24"/>
          <w:lang w:val="en-PH" w:eastAsia="en-PH"/>
        </w:rPr>
        <w:t xml:space="preserve">, N., </w:t>
      </w:r>
      <w:proofErr w:type="spellStart"/>
      <w:r w:rsidRPr="003F1B69">
        <w:rPr>
          <w:sz w:val="24"/>
          <w:szCs w:val="24"/>
          <w:lang w:val="en-PH" w:eastAsia="en-PH"/>
        </w:rPr>
        <w:t>Palmér</w:t>
      </w:r>
      <w:proofErr w:type="spellEnd"/>
      <w:r w:rsidRPr="003F1B69">
        <w:rPr>
          <w:sz w:val="24"/>
          <w:szCs w:val="24"/>
          <w:lang w:val="en-PH" w:eastAsia="en-PH"/>
        </w:rPr>
        <w:t>, L., &amp; Andersson Hagiwara, M. (2022). A study of factors that predict novice nurses’ perceived ability to provide care in acute situations. Nursing Open, 9(4), 1933–1942.</w:t>
      </w:r>
    </w:p>
    <w:p w14:paraId="6247826F"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Tahan, H. M., et al. (2025). New graduate nurse competencies—Part II: Perceptions of faculty and practice leaders. Nursing, 55(4), 54–63.</w:t>
      </w:r>
    </w:p>
    <w:p w14:paraId="6C63CAD7"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Takase, M., &amp; Teraoka, S. (2020). Development of the holistic nursing competency scale. International Journal of Nursing Practice, 26(1), e12792. https://doi.org/10.1111/ijn.12792</w:t>
      </w:r>
    </w:p>
    <w:p w14:paraId="4B69973C"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lastRenderedPageBreak/>
        <w:t>Tanabe, S., et al. (2025). NPC-SF Japanese version: Validity and reliability among graduating students. Belitung Nursing Journal, 11, e-publication ahead of print.</w:t>
      </w:r>
    </w:p>
    <w:p w14:paraId="2CDBBFD3"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Tang, C. J., Chan, S. W. C., Zhou, W. T., &amp; Liaw, S. Y. (2021). Collaboration between hospital nurses and physicians: An integrated literature review. International Nursing Review, 68(1), 24–33. https://doi.org/10.1111/inr.12632</w:t>
      </w:r>
    </w:p>
    <w:p w14:paraId="055AD221"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Torres, A., Lopez, M., &amp; Fernandez, R. (2022). Mentorship and diagnostic accuracy in novice nurses. Journal of Nursing Care Quality, 37(1), 67–74.</w:t>
      </w:r>
    </w:p>
    <w:p w14:paraId="083BF29D"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Torres, M., Ramirez, L., &amp; Chen, Y. (2022). Mentorship and diagnostic competency in novice nurses. Journal of Nursing Education, 61(7), 385–392. https://doi.org/10.3928/01484834-20220614-04</w:t>
      </w:r>
    </w:p>
    <w:p w14:paraId="7ED73478"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Twenge, J. M., Campbell, S. M., &amp; Freeman, E. C. (2019). Generational differences in work attitudes and professional behavior. Journal of Organizational Behavior, 40(2), 151–167.</w:t>
      </w:r>
    </w:p>
    <w:p w14:paraId="2104CBB8"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United Nations, Department of Economic and Social Affairs. (2025). SDG 8: Decent Work and Economic Growth—Summary of the Expert Group Meeting.</w:t>
      </w:r>
    </w:p>
    <w:p w14:paraId="5F61E538"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Wang, L., Zhang, Y., &amp; Liu, J. (2021). Professional commitment and competence: A study among early career nurses. Journal of Advanced Nursing, 77(11), 4501–4512. https://doi.org/10.1111/jan.15012</w:t>
      </w:r>
    </w:p>
    <w:p w14:paraId="49A36E22"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Wojtowicz, A., Hagen, B., &amp; O’Grady, L. (2020). The struggle for professional identity: A qualitative study of nursing students in transition. Nurse Education Today, 88, 104366. https://doi.org/10.1016/j.nedt.2020.104366</w:t>
      </w:r>
    </w:p>
    <w:p w14:paraId="1ECBBCAF"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World Health Organization; International Council of Nurses. (2025). State of the world’s nursing: 2025 update—Workforce grows, inequities persist.</w:t>
      </w:r>
    </w:p>
    <w:p w14:paraId="091235E8"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Yang, J., &amp; Kim, H. (2020). The relationship between professional autonomy and organizational commitment among nurses: Mediating effects of job satisfaction. International Journal of Nursing Practice, 26(5), e12817. https://doi.org/10.1111/ijn.12817</w:t>
      </w:r>
    </w:p>
    <w:p w14:paraId="236791AD" w14:textId="374636CE" w:rsidR="003F1B69" w:rsidRPr="003F1B69" w:rsidRDefault="003F1B69" w:rsidP="00D22EE5">
      <w:pPr>
        <w:spacing w:before="100" w:beforeAutospacing="1" w:after="100" w:afterAutospacing="1"/>
        <w:ind w:left="720" w:hanging="720"/>
        <w:jc w:val="both"/>
        <w:rPr>
          <w:sz w:val="24"/>
          <w:szCs w:val="24"/>
          <w:lang w:val="en-PH" w:eastAsia="en-PH"/>
        </w:rPr>
      </w:pPr>
      <w:r w:rsidRPr="003F1B69">
        <w:rPr>
          <w:sz w:val="24"/>
          <w:szCs w:val="24"/>
          <w:lang w:val="en-PH" w:eastAsia="en-PH"/>
        </w:rPr>
        <w:t>Yilmaz, M., Demir, R. H., &amp; Alparslan, G. (2022). The role of workplace respect and organizational climate on nurses’ professional behavior. Journal of Nursing Research, 30(2), e191. https://doi.org/10.1097/jnr.0000000000000466</w:t>
      </w:r>
    </w:p>
    <w:p w14:paraId="574C5856"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Zhang, L. (2022). Gender differences and empathy in nursing practice. Journal of Clinical Nursing, 31(15-16), 2400–2410. https://doi.org/10.1111/jocn.16234</w:t>
      </w:r>
    </w:p>
    <w:p w14:paraId="582F57F8" w14:textId="77777777" w:rsidR="003F1B69" w:rsidRPr="003F1B69" w:rsidRDefault="003F1B69" w:rsidP="003F1B69">
      <w:pPr>
        <w:spacing w:before="100" w:beforeAutospacing="1" w:after="100" w:afterAutospacing="1"/>
        <w:ind w:left="720" w:hanging="720"/>
        <w:jc w:val="both"/>
        <w:rPr>
          <w:sz w:val="24"/>
          <w:szCs w:val="24"/>
          <w:lang w:val="en-PH" w:eastAsia="en-PH"/>
        </w:rPr>
      </w:pPr>
      <w:r w:rsidRPr="003F1B69">
        <w:rPr>
          <w:sz w:val="24"/>
          <w:szCs w:val="24"/>
          <w:lang w:val="en-PH" w:eastAsia="en-PH"/>
        </w:rPr>
        <w:t>Zhao, X., &amp; Sun, Q. (2023). Teamwork and care coordination of novice nurses in hospital settings. Journal of Nursing Management, 31(1), 110–121. https://doi.org/10.1111/jonm.13780</w:t>
      </w:r>
    </w:p>
    <w:p w14:paraId="0367FEFA" w14:textId="33663B81" w:rsidR="00167428" w:rsidRPr="00193713" w:rsidRDefault="00167428" w:rsidP="003F1B69">
      <w:pPr>
        <w:spacing w:before="100" w:beforeAutospacing="1" w:after="100" w:afterAutospacing="1"/>
        <w:ind w:left="720" w:hanging="720"/>
        <w:jc w:val="both"/>
        <w:rPr>
          <w:sz w:val="24"/>
          <w:szCs w:val="24"/>
          <w:lang w:val="en-PH" w:eastAsia="en-PH"/>
        </w:rPr>
      </w:pPr>
    </w:p>
    <w:sectPr w:rsidR="00167428" w:rsidRPr="00193713" w:rsidSect="00E70281">
      <w:headerReference w:type="default" r:id="rId8"/>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BD2F4" w14:textId="77777777" w:rsidR="00BA2019" w:rsidRDefault="00BA2019" w:rsidP="007429CC">
      <w:r>
        <w:separator/>
      </w:r>
    </w:p>
  </w:endnote>
  <w:endnote w:type="continuationSeparator" w:id="0">
    <w:p w14:paraId="5C5093CD" w14:textId="77777777" w:rsidR="00BA2019" w:rsidRDefault="00BA2019"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A6894" w14:textId="77777777" w:rsidR="00BA2019" w:rsidRDefault="00BA2019" w:rsidP="007429CC">
      <w:r>
        <w:separator/>
      </w:r>
    </w:p>
  </w:footnote>
  <w:footnote w:type="continuationSeparator" w:id="0">
    <w:p w14:paraId="548FF128" w14:textId="77777777" w:rsidR="00BA2019" w:rsidRDefault="00BA2019" w:rsidP="0074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AD103D">
      <w:rPr>
        <w:noProof/>
      </w:rPr>
      <w:t>1</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 w15:restartNumberingAfterBreak="0">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6" w15:restartNumberingAfterBreak="0">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8" w15:restartNumberingAfterBreak="0">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409408">
    <w:abstractNumId w:val="8"/>
  </w:num>
  <w:num w:numId="2" w16cid:durableId="1803769808">
    <w:abstractNumId w:val="1"/>
  </w:num>
  <w:num w:numId="3" w16cid:durableId="1020858721">
    <w:abstractNumId w:val="6"/>
  </w:num>
  <w:num w:numId="4" w16cid:durableId="93021007">
    <w:abstractNumId w:val="7"/>
  </w:num>
  <w:num w:numId="5" w16cid:durableId="581715566">
    <w:abstractNumId w:val="3"/>
  </w:num>
  <w:num w:numId="6" w16cid:durableId="27798055">
    <w:abstractNumId w:val="2"/>
  </w:num>
  <w:num w:numId="7" w16cid:durableId="244651265">
    <w:abstractNumId w:val="5"/>
  </w:num>
  <w:num w:numId="8" w16cid:durableId="324210136">
    <w:abstractNumId w:val="0"/>
  </w:num>
  <w:num w:numId="9" w16cid:durableId="69632021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CC"/>
    <w:rsid w:val="00007CBD"/>
    <w:rsid w:val="00016985"/>
    <w:rsid w:val="00021B60"/>
    <w:rsid w:val="00034C61"/>
    <w:rsid w:val="000409D5"/>
    <w:rsid w:val="0004215A"/>
    <w:rsid w:val="0008782C"/>
    <w:rsid w:val="00093D17"/>
    <w:rsid w:val="000C58F3"/>
    <w:rsid w:val="000F14F9"/>
    <w:rsid w:val="00115B09"/>
    <w:rsid w:val="0015088E"/>
    <w:rsid w:val="00167428"/>
    <w:rsid w:val="00170CE1"/>
    <w:rsid w:val="00193713"/>
    <w:rsid w:val="00195F61"/>
    <w:rsid w:val="00196940"/>
    <w:rsid w:val="001A39D2"/>
    <w:rsid w:val="001C38DD"/>
    <w:rsid w:val="001E2F40"/>
    <w:rsid w:val="001E43F4"/>
    <w:rsid w:val="00202FB7"/>
    <w:rsid w:val="00220782"/>
    <w:rsid w:val="002367B7"/>
    <w:rsid w:val="00255E36"/>
    <w:rsid w:val="00262952"/>
    <w:rsid w:val="00267BD1"/>
    <w:rsid w:val="00293B1F"/>
    <w:rsid w:val="002C7222"/>
    <w:rsid w:val="002D1F40"/>
    <w:rsid w:val="002E11CE"/>
    <w:rsid w:val="002F3080"/>
    <w:rsid w:val="00324F75"/>
    <w:rsid w:val="00377511"/>
    <w:rsid w:val="00377785"/>
    <w:rsid w:val="003805CF"/>
    <w:rsid w:val="00381DEA"/>
    <w:rsid w:val="00385845"/>
    <w:rsid w:val="0039072B"/>
    <w:rsid w:val="003A3836"/>
    <w:rsid w:val="003B0182"/>
    <w:rsid w:val="003F1B69"/>
    <w:rsid w:val="0046177F"/>
    <w:rsid w:val="00463FDD"/>
    <w:rsid w:val="004774BC"/>
    <w:rsid w:val="00482339"/>
    <w:rsid w:val="004A18D9"/>
    <w:rsid w:val="004B5501"/>
    <w:rsid w:val="004E763D"/>
    <w:rsid w:val="004F41A7"/>
    <w:rsid w:val="00530B1D"/>
    <w:rsid w:val="0055775A"/>
    <w:rsid w:val="00561FB2"/>
    <w:rsid w:val="005801DA"/>
    <w:rsid w:val="00581474"/>
    <w:rsid w:val="005878AC"/>
    <w:rsid w:val="005A7E20"/>
    <w:rsid w:val="005C26E8"/>
    <w:rsid w:val="005C4FDA"/>
    <w:rsid w:val="005D1411"/>
    <w:rsid w:val="005E74C3"/>
    <w:rsid w:val="00601EAD"/>
    <w:rsid w:val="00602399"/>
    <w:rsid w:val="00621BDC"/>
    <w:rsid w:val="00631704"/>
    <w:rsid w:val="00671471"/>
    <w:rsid w:val="006B4DE6"/>
    <w:rsid w:val="006F1C28"/>
    <w:rsid w:val="006F31AB"/>
    <w:rsid w:val="00705462"/>
    <w:rsid w:val="00710924"/>
    <w:rsid w:val="0071391C"/>
    <w:rsid w:val="00715E8A"/>
    <w:rsid w:val="00721E24"/>
    <w:rsid w:val="00722C3D"/>
    <w:rsid w:val="007429CC"/>
    <w:rsid w:val="00762BE3"/>
    <w:rsid w:val="00772476"/>
    <w:rsid w:val="00775FED"/>
    <w:rsid w:val="00776E04"/>
    <w:rsid w:val="00777A6A"/>
    <w:rsid w:val="00781E1E"/>
    <w:rsid w:val="007A05F4"/>
    <w:rsid w:val="007B64B1"/>
    <w:rsid w:val="007D03AF"/>
    <w:rsid w:val="007D539C"/>
    <w:rsid w:val="007D70BE"/>
    <w:rsid w:val="007E1C29"/>
    <w:rsid w:val="007F0B36"/>
    <w:rsid w:val="008134E9"/>
    <w:rsid w:val="00815EEA"/>
    <w:rsid w:val="0081664C"/>
    <w:rsid w:val="0083483F"/>
    <w:rsid w:val="008462A1"/>
    <w:rsid w:val="008473E3"/>
    <w:rsid w:val="00863613"/>
    <w:rsid w:val="008A2A8E"/>
    <w:rsid w:val="008A2E4F"/>
    <w:rsid w:val="008B76F9"/>
    <w:rsid w:val="008D2135"/>
    <w:rsid w:val="00920F62"/>
    <w:rsid w:val="00927058"/>
    <w:rsid w:val="00931CE8"/>
    <w:rsid w:val="009360FC"/>
    <w:rsid w:val="00946F29"/>
    <w:rsid w:val="00967124"/>
    <w:rsid w:val="009739C8"/>
    <w:rsid w:val="009933FF"/>
    <w:rsid w:val="009976F4"/>
    <w:rsid w:val="009F0948"/>
    <w:rsid w:val="009F418C"/>
    <w:rsid w:val="00A0741B"/>
    <w:rsid w:val="00A13AE8"/>
    <w:rsid w:val="00A415F2"/>
    <w:rsid w:val="00A43B02"/>
    <w:rsid w:val="00A51084"/>
    <w:rsid w:val="00AD103D"/>
    <w:rsid w:val="00AD6C89"/>
    <w:rsid w:val="00AE345C"/>
    <w:rsid w:val="00B20184"/>
    <w:rsid w:val="00B318F4"/>
    <w:rsid w:val="00B34671"/>
    <w:rsid w:val="00B5645A"/>
    <w:rsid w:val="00B56947"/>
    <w:rsid w:val="00B945D9"/>
    <w:rsid w:val="00BA2019"/>
    <w:rsid w:val="00BA7ACD"/>
    <w:rsid w:val="00BC1BD2"/>
    <w:rsid w:val="00BD4E49"/>
    <w:rsid w:val="00BD60B4"/>
    <w:rsid w:val="00BE486B"/>
    <w:rsid w:val="00BF10D5"/>
    <w:rsid w:val="00BF4CE9"/>
    <w:rsid w:val="00C304B4"/>
    <w:rsid w:val="00C34A2E"/>
    <w:rsid w:val="00C711C6"/>
    <w:rsid w:val="00C95091"/>
    <w:rsid w:val="00CA3F76"/>
    <w:rsid w:val="00CB70E3"/>
    <w:rsid w:val="00CC5567"/>
    <w:rsid w:val="00CD40EB"/>
    <w:rsid w:val="00CF0DC9"/>
    <w:rsid w:val="00D01AD5"/>
    <w:rsid w:val="00D1224A"/>
    <w:rsid w:val="00D17257"/>
    <w:rsid w:val="00D22EE5"/>
    <w:rsid w:val="00D40CA5"/>
    <w:rsid w:val="00D45A5B"/>
    <w:rsid w:val="00D50B1B"/>
    <w:rsid w:val="00D56482"/>
    <w:rsid w:val="00D66518"/>
    <w:rsid w:val="00D92AE5"/>
    <w:rsid w:val="00D94BDF"/>
    <w:rsid w:val="00DB1FA3"/>
    <w:rsid w:val="00DB70AC"/>
    <w:rsid w:val="00DC2379"/>
    <w:rsid w:val="00DD0354"/>
    <w:rsid w:val="00DE3846"/>
    <w:rsid w:val="00DE6854"/>
    <w:rsid w:val="00DF3087"/>
    <w:rsid w:val="00E2737F"/>
    <w:rsid w:val="00E44B7B"/>
    <w:rsid w:val="00E5048A"/>
    <w:rsid w:val="00E55CE5"/>
    <w:rsid w:val="00E62293"/>
    <w:rsid w:val="00E70281"/>
    <w:rsid w:val="00E84656"/>
    <w:rsid w:val="00EA636F"/>
    <w:rsid w:val="00EC4696"/>
    <w:rsid w:val="00EC5241"/>
    <w:rsid w:val="00EC5808"/>
    <w:rsid w:val="00EC6037"/>
    <w:rsid w:val="00ED205F"/>
    <w:rsid w:val="00ED4C89"/>
    <w:rsid w:val="00F02580"/>
    <w:rsid w:val="00F05691"/>
    <w:rsid w:val="00F23EE9"/>
    <w:rsid w:val="00F338DF"/>
    <w:rsid w:val="00F418C0"/>
    <w:rsid w:val="00F86731"/>
    <w:rsid w:val="00F9356D"/>
    <w:rsid w:val="00FA37F9"/>
    <w:rsid w:val="00FA460F"/>
    <w:rsid w:val="00FC0090"/>
    <w:rsid w:val="00FC57BC"/>
    <w:rsid w:val="00FD7E15"/>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B1FE"/>
  <w15:chartTrackingRefBased/>
  <w15:docId w15:val="{68914179-E85B-4061-B476-E3B9A45B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080"/>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7F33-80A2-4FE9-BD62-EEC17524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22</Pages>
  <Words>9156</Words>
  <Characters>52190</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Joan</cp:lastModifiedBy>
  <cp:revision>14</cp:revision>
  <dcterms:created xsi:type="dcterms:W3CDTF">2026-02-28T07:14:00Z</dcterms:created>
  <dcterms:modified xsi:type="dcterms:W3CDTF">2026-03-02T02:13:00Z</dcterms:modified>
</cp:coreProperties>
</file>