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47" w:lineRule="auto" w:before="81"/>
        <w:ind w:left="1116" w:right="1111"/>
        <w:jc w:val="center"/>
      </w:pPr>
      <w:r>
        <w:rPr/>
        <w:t>The</w:t>
      </w:r>
      <w:r>
        <w:rPr>
          <w:spacing w:val="-4"/>
        </w:rPr>
        <w:t> </w:t>
      </w:r>
      <w:r>
        <w:rPr/>
        <w:t>Mediating</w:t>
      </w:r>
      <w:r>
        <w:rPr>
          <w:spacing w:val="-5"/>
        </w:rPr>
        <w:t> </w:t>
      </w:r>
      <w:r>
        <w:rPr/>
        <w:t>Role</w:t>
      </w:r>
      <w:r>
        <w:rPr>
          <w:spacing w:val="-4"/>
        </w:rPr>
        <w:t> </w:t>
      </w:r>
      <w:r>
        <w:rPr/>
        <w:t>of</w:t>
      </w:r>
      <w:r>
        <w:rPr>
          <w:spacing w:val="-5"/>
        </w:rPr>
        <w:t> </w:t>
      </w:r>
      <w:r>
        <w:rPr/>
        <w:t>Grit</w:t>
      </w:r>
      <w:r>
        <w:rPr>
          <w:spacing w:val="-2"/>
        </w:rPr>
        <w:t> </w:t>
      </w:r>
      <w:r>
        <w:rPr/>
        <w:t>in</w:t>
      </w:r>
      <w:r>
        <w:rPr>
          <w:spacing w:val="-2"/>
        </w:rPr>
        <w:t> </w:t>
      </w:r>
      <w:r>
        <w:rPr/>
        <w:t>the</w:t>
      </w:r>
      <w:r>
        <w:rPr>
          <w:spacing w:val="-3"/>
        </w:rPr>
        <w:t> </w:t>
      </w:r>
      <w:r>
        <w:rPr/>
        <w:t>Relationship</w:t>
      </w:r>
      <w:r>
        <w:rPr>
          <w:spacing w:val="-3"/>
        </w:rPr>
        <w:t> </w:t>
      </w:r>
      <w:r>
        <w:rPr/>
        <w:t>Between</w:t>
      </w:r>
      <w:r>
        <w:rPr>
          <w:spacing w:val="-4"/>
        </w:rPr>
        <w:t> </w:t>
      </w:r>
      <w:r>
        <w:rPr/>
        <w:t>Achievement</w:t>
      </w:r>
      <w:r>
        <w:rPr>
          <w:spacing w:val="-4"/>
        </w:rPr>
        <w:t> </w:t>
      </w:r>
      <w:r>
        <w:rPr/>
        <w:t>Goals</w:t>
      </w:r>
      <w:r>
        <w:rPr>
          <w:spacing w:val="-4"/>
        </w:rPr>
        <w:t> </w:t>
      </w:r>
      <w:r>
        <w:rPr/>
        <w:t>and Writing Strategies of Technical Writing Students</w:t>
      </w:r>
    </w:p>
    <w:p>
      <w:pPr>
        <w:pStyle w:val="BodyText"/>
        <w:spacing w:line="242" w:lineRule="auto" w:before="263"/>
        <w:ind w:left="1146" w:right="1143" w:firstLine="1432"/>
      </w:pPr>
      <w:r>
        <w:rPr>
          <w:sz w:val="22"/>
        </w:rPr>
        <w:t>Marevel B. Caburnay</w:t>
      </w:r>
      <w:r>
        <w:rPr>
          <w:sz w:val="22"/>
          <w:vertAlign w:val="superscript"/>
        </w:rPr>
        <w:t>1</w:t>
      </w:r>
      <w:r>
        <w:rPr>
          <w:vertAlign w:val="baseline"/>
        </w:rPr>
        <w:t>, Joy C. Bulig</w:t>
      </w:r>
      <w:r>
        <w:rPr>
          <w:position w:val="8"/>
          <w:sz w:val="16"/>
          <w:vertAlign w:val="baseline"/>
        </w:rPr>
        <w:t>2</w:t>
      </w:r>
      <w:r>
        <w:rPr>
          <w:vertAlign w:val="baseline"/>
        </w:rPr>
        <w:t>, Brandon N. Obenza, Ph.D</w:t>
      </w:r>
      <w:r>
        <w:rPr>
          <w:position w:val="8"/>
          <w:sz w:val="16"/>
          <w:vertAlign w:val="baseline"/>
        </w:rPr>
        <w:t>3</w:t>
      </w:r>
      <w:r>
        <w:rPr>
          <w:spacing w:val="80"/>
          <w:position w:val="8"/>
          <w:sz w:val="16"/>
          <w:vertAlign w:val="baseline"/>
        </w:rPr>
        <w:t> </w:t>
      </w:r>
      <w:r>
        <w:rPr>
          <w:position w:val="8"/>
          <w:sz w:val="16"/>
          <w:vertAlign w:val="baseline"/>
        </w:rPr>
        <w:t>1</w:t>
      </w:r>
      <w:r>
        <w:rPr>
          <w:vertAlign w:val="baseline"/>
        </w:rPr>
        <w:t>Instructor</w:t>
      </w:r>
      <w:r>
        <w:rPr>
          <w:spacing w:val="-3"/>
          <w:vertAlign w:val="baseline"/>
        </w:rPr>
        <w:t> </w:t>
      </w:r>
      <w:r>
        <w:rPr>
          <w:vertAlign w:val="baseline"/>
        </w:rPr>
        <w:t>I,</w:t>
      </w:r>
      <w:r>
        <w:rPr>
          <w:spacing w:val="-5"/>
          <w:vertAlign w:val="baseline"/>
        </w:rPr>
        <w:t> </w:t>
      </w:r>
      <w:r>
        <w:rPr>
          <w:vertAlign w:val="baseline"/>
        </w:rPr>
        <w:t>University</w:t>
      </w:r>
      <w:r>
        <w:rPr>
          <w:spacing w:val="-4"/>
          <w:vertAlign w:val="baseline"/>
        </w:rPr>
        <w:t> </w:t>
      </w:r>
      <w:r>
        <w:rPr>
          <w:vertAlign w:val="baseline"/>
        </w:rPr>
        <w:t>of</w:t>
      </w:r>
      <w:r>
        <w:rPr>
          <w:spacing w:val="-4"/>
          <w:vertAlign w:val="baseline"/>
        </w:rPr>
        <w:t> </w:t>
      </w:r>
      <w:r>
        <w:rPr>
          <w:vertAlign w:val="baseline"/>
        </w:rPr>
        <w:t>Science</w:t>
      </w:r>
      <w:r>
        <w:rPr>
          <w:spacing w:val="-3"/>
          <w:vertAlign w:val="baseline"/>
        </w:rPr>
        <w:t> </w:t>
      </w:r>
      <w:r>
        <w:rPr>
          <w:vertAlign w:val="baseline"/>
        </w:rPr>
        <w:t>and</w:t>
      </w:r>
      <w:r>
        <w:rPr>
          <w:spacing w:val="-3"/>
          <w:vertAlign w:val="baseline"/>
        </w:rPr>
        <w:t> </w:t>
      </w:r>
      <w:r>
        <w:rPr>
          <w:vertAlign w:val="baseline"/>
        </w:rPr>
        <w:t>Technology</w:t>
      </w:r>
      <w:r>
        <w:rPr>
          <w:spacing w:val="-3"/>
          <w:vertAlign w:val="baseline"/>
        </w:rPr>
        <w:t> </w:t>
      </w:r>
      <w:r>
        <w:rPr>
          <w:vertAlign w:val="baseline"/>
        </w:rPr>
        <w:t>of</w:t>
      </w:r>
      <w:r>
        <w:rPr>
          <w:spacing w:val="-4"/>
          <w:vertAlign w:val="baseline"/>
        </w:rPr>
        <w:t> </w:t>
      </w:r>
      <w:r>
        <w:rPr>
          <w:vertAlign w:val="baseline"/>
        </w:rPr>
        <w:t>Southern</w:t>
      </w:r>
      <w:r>
        <w:rPr>
          <w:spacing w:val="-3"/>
          <w:vertAlign w:val="baseline"/>
        </w:rPr>
        <w:t> </w:t>
      </w:r>
      <w:r>
        <w:rPr>
          <w:vertAlign w:val="baseline"/>
        </w:rPr>
        <w:t>Philippines</w:t>
      </w:r>
      <w:r>
        <w:rPr>
          <w:spacing w:val="-3"/>
          <w:vertAlign w:val="baseline"/>
        </w:rPr>
        <w:t> </w:t>
      </w:r>
      <w:r>
        <w:rPr>
          <w:vertAlign w:val="baseline"/>
        </w:rPr>
        <w:t>–</w:t>
      </w:r>
      <w:r>
        <w:rPr>
          <w:spacing w:val="-3"/>
          <w:vertAlign w:val="baseline"/>
        </w:rPr>
        <w:t> </w:t>
      </w:r>
      <w:r>
        <w:rPr>
          <w:vertAlign w:val="baseline"/>
        </w:rPr>
        <w:t>Oroquieta</w:t>
      </w:r>
    </w:p>
    <w:p>
      <w:pPr>
        <w:pStyle w:val="BodyText"/>
        <w:ind w:left="4057" w:right="1143" w:hanging="1699"/>
      </w:pPr>
      <w:r>
        <w:rPr/>
        <w:t>Campus,</w:t>
      </w:r>
      <w:r>
        <w:rPr>
          <w:spacing w:val="-7"/>
        </w:rPr>
        <w:t> </w:t>
      </w:r>
      <w:r>
        <w:rPr/>
        <w:t>Oroquieta</w:t>
      </w:r>
      <w:r>
        <w:rPr>
          <w:spacing w:val="-6"/>
        </w:rPr>
        <w:t> </w:t>
      </w:r>
      <w:r>
        <w:rPr/>
        <w:t>City,</w:t>
      </w:r>
      <w:r>
        <w:rPr>
          <w:spacing w:val="-8"/>
        </w:rPr>
        <w:t> </w:t>
      </w:r>
      <w:r>
        <w:rPr/>
        <w:t>Misamis</w:t>
      </w:r>
      <w:r>
        <w:rPr>
          <w:spacing w:val="-7"/>
        </w:rPr>
        <w:t> </w:t>
      </w:r>
      <w:r>
        <w:rPr/>
        <w:t>Occidental,</w:t>
      </w:r>
      <w:r>
        <w:rPr>
          <w:spacing w:val="-8"/>
        </w:rPr>
        <w:t> </w:t>
      </w:r>
      <w:r>
        <w:rPr/>
        <w:t>7207,</w:t>
      </w:r>
      <w:r>
        <w:rPr>
          <w:spacing w:val="-7"/>
        </w:rPr>
        <w:t> </w:t>
      </w:r>
      <w:r>
        <w:rPr/>
        <w:t>Philippines; </w:t>
      </w:r>
      <w:hyperlink r:id="rId5">
        <w:r>
          <w:rPr>
            <w:spacing w:val="-2"/>
          </w:rPr>
          <w:t>marevel.caburnay@ustp.edu.ph</w:t>
        </w:r>
      </w:hyperlink>
    </w:p>
    <w:p>
      <w:pPr>
        <w:pStyle w:val="BodyText"/>
        <w:spacing w:before="268"/>
        <w:ind w:left="1112" w:right="1112"/>
        <w:jc w:val="center"/>
      </w:pPr>
      <w:r>
        <w:rPr>
          <w:position w:val="8"/>
          <w:sz w:val="16"/>
        </w:rPr>
        <w:t>2</w:t>
      </w:r>
      <w:r>
        <w:rPr/>
        <w:t>Teacher</w:t>
      </w:r>
      <w:r>
        <w:rPr>
          <w:spacing w:val="-4"/>
        </w:rPr>
        <w:t> </w:t>
      </w:r>
      <w:r>
        <w:rPr/>
        <w:t>III,</w:t>
      </w:r>
      <w:r>
        <w:rPr>
          <w:spacing w:val="-6"/>
        </w:rPr>
        <w:t> </w:t>
      </w:r>
      <w:r>
        <w:rPr/>
        <w:t>Baguio</w:t>
      </w:r>
      <w:r>
        <w:rPr>
          <w:spacing w:val="-4"/>
        </w:rPr>
        <w:t> </w:t>
      </w:r>
      <w:r>
        <w:rPr/>
        <w:t>Central</w:t>
      </w:r>
      <w:r>
        <w:rPr>
          <w:spacing w:val="-4"/>
        </w:rPr>
        <w:t> </w:t>
      </w:r>
      <w:r>
        <w:rPr/>
        <w:t>Elementary</w:t>
      </w:r>
      <w:r>
        <w:rPr>
          <w:spacing w:val="-4"/>
        </w:rPr>
        <w:t> </w:t>
      </w:r>
      <w:r>
        <w:rPr/>
        <w:t>School,</w:t>
      </w:r>
      <w:r>
        <w:rPr>
          <w:spacing w:val="-6"/>
        </w:rPr>
        <w:t> </w:t>
      </w:r>
      <w:r>
        <w:rPr/>
        <w:t>Department</w:t>
      </w:r>
      <w:r>
        <w:rPr>
          <w:spacing w:val="-5"/>
        </w:rPr>
        <w:t> </w:t>
      </w:r>
      <w:r>
        <w:rPr/>
        <w:t>of</w:t>
      </w:r>
      <w:r>
        <w:rPr>
          <w:spacing w:val="-5"/>
        </w:rPr>
        <w:t> </w:t>
      </w:r>
      <w:r>
        <w:rPr/>
        <w:t>Education,</w:t>
      </w:r>
      <w:r>
        <w:rPr>
          <w:spacing w:val="-5"/>
        </w:rPr>
        <w:t> </w:t>
      </w:r>
      <w:r>
        <w:rPr/>
        <w:t>Davao</w:t>
      </w:r>
      <w:r>
        <w:rPr>
          <w:spacing w:val="-4"/>
        </w:rPr>
        <w:t> </w:t>
      </w:r>
      <w:r>
        <w:rPr/>
        <w:t>City Division, Philippines; </w:t>
      </w:r>
      <w:hyperlink r:id="rId6">
        <w:r>
          <w:rPr/>
          <w:t>joy.bulig@deped.gov.ph</w:t>
        </w:r>
      </w:hyperlink>
    </w:p>
    <w:p>
      <w:pPr>
        <w:pStyle w:val="BodyText"/>
        <w:spacing w:before="271"/>
        <w:ind w:left="1112" w:right="1111"/>
        <w:jc w:val="center"/>
      </w:pPr>
      <w:r>
        <w:rPr>
          <w:position w:val="8"/>
          <w:sz w:val="16"/>
        </w:rPr>
        <w:t>3</w:t>
      </w:r>
      <w:r>
        <w:rPr/>
        <w:t>Associate</w:t>
      </w:r>
      <w:r>
        <w:rPr>
          <w:spacing w:val="-4"/>
        </w:rPr>
        <w:t> </w:t>
      </w:r>
      <w:r>
        <w:rPr/>
        <w:t>Professor,</w:t>
      </w:r>
      <w:r>
        <w:rPr>
          <w:spacing w:val="-5"/>
        </w:rPr>
        <w:t> </w:t>
      </w:r>
      <w:r>
        <w:rPr/>
        <w:t>Mindanao</w:t>
      </w:r>
      <w:r>
        <w:rPr>
          <w:spacing w:val="-4"/>
        </w:rPr>
        <w:t> </w:t>
      </w:r>
      <w:r>
        <w:rPr/>
        <w:t>State</w:t>
      </w:r>
      <w:r>
        <w:rPr>
          <w:spacing w:val="-4"/>
        </w:rPr>
        <w:t> </w:t>
      </w:r>
      <w:r>
        <w:rPr/>
        <w:t>University</w:t>
      </w:r>
      <w:r>
        <w:rPr>
          <w:spacing w:val="-4"/>
        </w:rPr>
        <w:t> </w:t>
      </w:r>
      <w:r>
        <w:rPr/>
        <w:t>–</w:t>
      </w:r>
      <w:r>
        <w:rPr>
          <w:spacing w:val="-5"/>
        </w:rPr>
        <w:t> </w:t>
      </w:r>
      <w:r>
        <w:rPr/>
        <w:t>General</w:t>
      </w:r>
      <w:r>
        <w:rPr>
          <w:spacing w:val="-3"/>
        </w:rPr>
        <w:t> </w:t>
      </w:r>
      <w:r>
        <w:rPr/>
        <w:t>Santos,</w:t>
      </w:r>
      <w:r>
        <w:rPr>
          <w:spacing w:val="-5"/>
        </w:rPr>
        <w:t> </w:t>
      </w:r>
      <w:r>
        <w:rPr/>
        <w:t>General</w:t>
      </w:r>
      <w:r>
        <w:rPr>
          <w:spacing w:val="-4"/>
        </w:rPr>
        <w:t> </w:t>
      </w:r>
      <w:r>
        <w:rPr/>
        <w:t>Santos City, Philippines; </w:t>
      </w:r>
      <w:hyperlink r:id="rId7">
        <w:r>
          <w:rPr/>
          <w:t>Brandon.obenza@msugensan.edu.ph</w:t>
        </w:r>
      </w:hyperlink>
    </w:p>
    <w:p>
      <w:pPr>
        <w:pStyle w:val="BodyText"/>
        <w:ind w:left="0"/>
      </w:pPr>
    </w:p>
    <w:p>
      <w:pPr>
        <w:pStyle w:val="Heading1"/>
        <w:spacing w:before="1"/>
        <w:ind w:left="1080"/>
      </w:pPr>
      <w:r>
        <w:rPr>
          <w:spacing w:val="-2"/>
        </w:rPr>
        <w:t>Abstract</w:t>
      </w:r>
    </w:p>
    <w:p>
      <w:pPr>
        <w:pStyle w:val="BodyText"/>
        <w:spacing w:before="12"/>
        <w:ind w:left="0"/>
        <w:rPr>
          <w:rFonts w:ascii="Arial"/>
          <w:b/>
        </w:rPr>
      </w:pPr>
    </w:p>
    <w:p>
      <w:pPr>
        <w:pStyle w:val="BodyText"/>
        <w:ind w:right="1073" w:firstLine="719"/>
        <w:jc w:val="both"/>
      </w:pPr>
      <w:r>
        <w:rPr/>
        <w:t>This study explored the mediating role of grit in the relationship between achievement</w:t>
      </w:r>
      <w:r>
        <w:rPr>
          <w:spacing w:val="-17"/>
        </w:rPr>
        <w:t> </w:t>
      </w:r>
      <w:r>
        <w:rPr/>
        <w:t>goals</w:t>
      </w:r>
      <w:r>
        <w:rPr>
          <w:spacing w:val="-15"/>
        </w:rPr>
        <w:t> </w:t>
      </w:r>
      <w:r>
        <w:rPr/>
        <w:t>and</w:t>
      </w:r>
      <w:r>
        <w:rPr>
          <w:spacing w:val="-16"/>
        </w:rPr>
        <w:t> </w:t>
      </w:r>
      <w:r>
        <w:rPr/>
        <w:t>writing</w:t>
      </w:r>
      <w:r>
        <w:rPr>
          <w:spacing w:val="-15"/>
        </w:rPr>
        <w:t> </w:t>
      </w:r>
      <w:r>
        <w:rPr/>
        <w:t>strategies</w:t>
      </w:r>
      <w:r>
        <w:rPr>
          <w:spacing w:val="-13"/>
        </w:rPr>
        <w:t> </w:t>
      </w:r>
      <w:r>
        <w:rPr/>
        <w:t>among</w:t>
      </w:r>
      <w:r>
        <w:rPr>
          <w:spacing w:val="-15"/>
        </w:rPr>
        <w:t> </w:t>
      </w:r>
      <w:r>
        <w:rPr/>
        <w:t>technical</w:t>
      </w:r>
      <w:r>
        <w:rPr>
          <w:spacing w:val="-17"/>
        </w:rPr>
        <w:t> </w:t>
      </w:r>
      <w:r>
        <w:rPr/>
        <w:t>writing</w:t>
      </w:r>
      <w:r>
        <w:rPr>
          <w:spacing w:val="-14"/>
        </w:rPr>
        <w:t> </w:t>
      </w:r>
      <w:r>
        <w:rPr/>
        <w:t>students.</w:t>
      </w:r>
      <w:r>
        <w:rPr>
          <w:spacing w:val="-14"/>
        </w:rPr>
        <w:t> </w:t>
      </w:r>
      <w:r>
        <w:rPr/>
        <w:t>A</w:t>
      </w:r>
      <w:r>
        <w:rPr>
          <w:spacing w:val="-14"/>
        </w:rPr>
        <w:t> </w:t>
      </w:r>
      <w:r>
        <w:rPr/>
        <w:t>quantitative non-experimental correlational design was employed, including 121 third-year Bachelor of</w:t>
      </w:r>
      <w:r>
        <w:rPr>
          <w:spacing w:val="-7"/>
        </w:rPr>
        <w:t> </w:t>
      </w:r>
      <w:r>
        <w:rPr/>
        <w:t>Food</w:t>
      </w:r>
      <w:r>
        <w:rPr>
          <w:spacing w:val="-7"/>
        </w:rPr>
        <w:t> </w:t>
      </w:r>
      <w:r>
        <w:rPr/>
        <w:t>Processing</w:t>
      </w:r>
      <w:r>
        <w:rPr>
          <w:spacing w:val="-7"/>
        </w:rPr>
        <w:t> </w:t>
      </w:r>
      <w:r>
        <w:rPr/>
        <w:t>and</w:t>
      </w:r>
      <w:r>
        <w:rPr>
          <w:spacing w:val="-7"/>
        </w:rPr>
        <w:t> </w:t>
      </w:r>
      <w:r>
        <w:rPr/>
        <w:t>Technology</w:t>
      </w:r>
      <w:r>
        <w:rPr>
          <w:spacing w:val="-9"/>
        </w:rPr>
        <w:t> </w:t>
      </w:r>
      <w:r>
        <w:rPr/>
        <w:t>students</w:t>
      </w:r>
      <w:r>
        <w:rPr>
          <w:spacing w:val="-8"/>
        </w:rPr>
        <w:t> </w:t>
      </w:r>
      <w:r>
        <w:rPr/>
        <w:t>who</w:t>
      </w:r>
      <w:r>
        <w:rPr>
          <w:spacing w:val="-9"/>
        </w:rPr>
        <w:t> </w:t>
      </w:r>
      <w:r>
        <w:rPr/>
        <w:t>were</w:t>
      </w:r>
      <w:r>
        <w:rPr>
          <w:spacing w:val="-9"/>
        </w:rPr>
        <w:t> </w:t>
      </w:r>
      <w:r>
        <w:rPr/>
        <w:t>officially</w:t>
      </w:r>
      <w:r>
        <w:rPr>
          <w:spacing w:val="-9"/>
        </w:rPr>
        <w:t> </w:t>
      </w:r>
      <w:r>
        <w:rPr/>
        <w:t>enrolled</w:t>
      </w:r>
      <w:r>
        <w:rPr>
          <w:spacing w:val="-8"/>
        </w:rPr>
        <w:t> </w:t>
      </w:r>
      <w:r>
        <w:rPr/>
        <w:t>in</w:t>
      </w:r>
      <w:r>
        <w:rPr>
          <w:spacing w:val="-7"/>
        </w:rPr>
        <w:t> </w:t>
      </w:r>
      <w:r>
        <w:rPr/>
        <w:t>the</w:t>
      </w:r>
      <w:r>
        <w:rPr>
          <w:spacing w:val="-7"/>
        </w:rPr>
        <w:t> </w:t>
      </w:r>
      <w:r>
        <w:rPr/>
        <w:t>technical writing course for the First Semester, Academic Year 2025-2026 of the University of Science and Technology of Southern Philippines in Oroquieta, Misamis Occidental (USTP Oroquieta). The study adopted validated measurement scales for Writing Achievement Goals Scale, Grit Scale, and Writing Strategy Questionnaire. Reliability tests of the data from these instruments show strong internal consistency across </w:t>
      </w:r>
      <w:r>
        <w:rPr>
          <w:spacing w:val="-2"/>
        </w:rPr>
        <w:t>individual</w:t>
      </w:r>
      <w:r>
        <w:rPr>
          <w:spacing w:val="-11"/>
        </w:rPr>
        <w:t> </w:t>
      </w:r>
      <w:r>
        <w:rPr>
          <w:spacing w:val="-2"/>
        </w:rPr>
        <w:t>constructs</w:t>
      </w:r>
      <w:r>
        <w:rPr>
          <w:spacing w:val="-11"/>
        </w:rPr>
        <w:t> </w:t>
      </w:r>
      <w:r>
        <w:rPr>
          <w:spacing w:val="-2"/>
        </w:rPr>
        <w:t>(α</w:t>
      </w:r>
      <w:r>
        <w:rPr>
          <w:spacing w:val="-12"/>
        </w:rPr>
        <w:t> </w:t>
      </w:r>
      <w:r>
        <w:rPr>
          <w:spacing w:val="-2"/>
        </w:rPr>
        <w:t>=.822–.934)</w:t>
      </w:r>
      <w:r>
        <w:rPr>
          <w:spacing w:val="-11"/>
        </w:rPr>
        <w:t> </w:t>
      </w:r>
      <w:r>
        <w:rPr>
          <w:spacing w:val="-2"/>
        </w:rPr>
        <w:t>and</w:t>
      </w:r>
      <w:r>
        <w:rPr>
          <w:spacing w:val="-10"/>
        </w:rPr>
        <w:t> </w:t>
      </w:r>
      <w:r>
        <w:rPr>
          <w:spacing w:val="-2"/>
        </w:rPr>
        <w:t>satisfactory</w:t>
      </w:r>
      <w:r>
        <w:rPr>
          <w:spacing w:val="-11"/>
        </w:rPr>
        <w:t> </w:t>
      </w:r>
      <w:r>
        <w:rPr>
          <w:spacing w:val="-2"/>
        </w:rPr>
        <w:t>convergent</w:t>
      </w:r>
      <w:r>
        <w:rPr>
          <w:spacing w:val="-12"/>
        </w:rPr>
        <w:t> </w:t>
      </w:r>
      <w:r>
        <w:rPr>
          <w:spacing w:val="-2"/>
        </w:rPr>
        <w:t>and</w:t>
      </w:r>
      <w:r>
        <w:rPr>
          <w:spacing w:val="-11"/>
        </w:rPr>
        <w:t> </w:t>
      </w:r>
      <w:r>
        <w:rPr>
          <w:spacing w:val="-2"/>
        </w:rPr>
        <w:t>discriminant</w:t>
      </w:r>
      <w:r>
        <w:rPr>
          <w:spacing w:val="-11"/>
        </w:rPr>
        <w:t> </w:t>
      </w:r>
      <w:r>
        <w:rPr>
          <w:spacing w:val="-2"/>
        </w:rPr>
        <w:t>validity. </w:t>
      </w:r>
      <w:r>
        <w:rPr/>
        <w:t>Using SmartPLS 4.0 software a mediation analysis was conducted on the data. The results revealed that achievement goals significantly predicted grit (β = .351, p &lt; .001) and writing strategies (β = .310, p = .001). Also, grit had a smaller but significant direct effect on writing strategies (β = .202, p = .040). However, the indirect effect of achievement goals on</w:t>
      </w:r>
      <w:r>
        <w:rPr>
          <w:spacing w:val="15"/>
        </w:rPr>
        <w:t> </w:t>
      </w:r>
      <w:r>
        <w:rPr/>
        <w:t>writing</w:t>
      </w:r>
      <w:r>
        <w:rPr>
          <w:spacing w:val="15"/>
        </w:rPr>
        <w:t> </w:t>
      </w:r>
      <w:r>
        <w:rPr/>
        <w:t>strategies</w:t>
      </w:r>
      <w:r>
        <w:rPr>
          <w:spacing w:val="15"/>
        </w:rPr>
        <w:t> </w:t>
      </w:r>
      <w:r>
        <w:rPr/>
        <w:t>through grit was</w:t>
      </w:r>
      <w:r>
        <w:rPr>
          <w:spacing w:val="15"/>
        </w:rPr>
        <w:t> </w:t>
      </w:r>
      <w:r>
        <w:rPr/>
        <w:t>not significant</w:t>
      </w:r>
      <w:r>
        <w:rPr>
          <w:spacing w:val="20"/>
        </w:rPr>
        <w:t> </w:t>
      </w:r>
      <w:r>
        <w:rPr/>
        <w:t>(β =</w:t>
      </w:r>
      <w:r>
        <w:rPr>
          <w:spacing w:val="15"/>
        </w:rPr>
        <w:t> </w:t>
      </w:r>
      <w:r>
        <w:rPr/>
        <w:t>.071, p</w:t>
      </w:r>
      <w:r>
        <w:rPr>
          <w:spacing w:val="15"/>
        </w:rPr>
        <w:t> </w:t>
      </w:r>
      <w:r>
        <w:rPr/>
        <w:t>=</w:t>
      </w:r>
    </w:p>
    <w:p>
      <w:pPr>
        <w:pStyle w:val="BodyText"/>
        <w:spacing w:before="1"/>
        <w:ind w:right="1076"/>
        <w:jc w:val="both"/>
      </w:pPr>
      <w:r>
        <w:rPr/>
        <w:t>.092), showing no mediation. The model accounted for 18.1% of the variance in writing strategies. The study highlights that achievement goals significantly impact students' writing strategies;</w:t>
      </w:r>
      <w:r>
        <w:rPr>
          <w:spacing w:val="-2"/>
        </w:rPr>
        <w:t> </w:t>
      </w:r>
      <w:r>
        <w:rPr/>
        <w:t>yet,</w:t>
      </w:r>
      <w:r>
        <w:rPr>
          <w:spacing w:val="-1"/>
        </w:rPr>
        <w:t> </w:t>
      </w:r>
      <w:r>
        <w:rPr/>
        <w:t>grit</w:t>
      </w:r>
      <w:r>
        <w:rPr>
          <w:spacing w:val="-1"/>
        </w:rPr>
        <w:t> </w:t>
      </w:r>
      <w:r>
        <w:rPr/>
        <w:t>functions as a supporting yet</w:t>
      </w:r>
      <w:r>
        <w:rPr>
          <w:spacing w:val="-2"/>
        </w:rPr>
        <w:t> </w:t>
      </w:r>
      <w:r>
        <w:rPr/>
        <w:t>non-mediating factor suggesting that</w:t>
      </w:r>
      <w:r>
        <w:rPr>
          <w:spacing w:val="-5"/>
        </w:rPr>
        <w:t> </w:t>
      </w:r>
      <w:r>
        <w:rPr/>
        <w:t>curriculum</w:t>
      </w:r>
      <w:r>
        <w:rPr>
          <w:spacing w:val="-4"/>
        </w:rPr>
        <w:t> </w:t>
      </w:r>
      <w:r>
        <w:rPr/>
        <w:t>design</w:t>
      </w:r>
      <w:r>
        <w:rPr>
          <w:spacing w:val="-4"/>
        </w:rPr>
        <w:t> </w:t>
      </w:r>
      <w:r>
        <w:rPr/>
        <w:t>may</w:t>
      </w:r>
      <w:r>
        <w:rPr>
          <w:spacing w:val="-5"/>
        </w:rPr>
        <w:t> </w:t>
      </w:r>
      <w:r>
        <w:rPr/>
        <w:t>benefit</w:t>
      </w:r>
      <w:r>
        <w:rPr>
          <w:spacing w:val="-5"/>
        </w:rPr>
        <w:t> </w:t>
      </w:r>
      <w:r>
        <w:rPr/>
        <w:t>from</w:t>
      </w:r>
      <w:r>
        <w:rPr>
          <w:spacing w:val="-4"/>
        </w:rPr>
        <w:t> </w:t>
      </w:r>
      <w:r>
        <w:rPr/>
        <w:t>integrating</w:t>
      </w:r>
      <w:r>
        <w:rPr>
          <w:spacing w:val="-4"/>
        </w:rPr>
        <w:t> </w:t>
      </w:r>
      <w:r>
        <w:rPr/>
        <w:t>structured</w:t>
      </w:r>
      <w:r>
        <w:rPr>
          <w:spacing w:val="-4"/>
        </w:rPr>
        <w:t> </w:t>
      </w:r>
      <w:r>
        <w:rPr/>
        <w:t>writing</w:t>
      </w:r>
      <w:r>
        <w:rPr>
          <w:spacing w:val="-4"/>
        </w:rPr>
        <w:t> </w:t>
      </w:r>
      <w:r>
        <w:rPr/>
        <w:t>strategy</w:t>
      </w:r>
      <w:r>
        <w:rPr>
          <w:spacing w:val="-5"/>
        </w:rPr>
        <w:t> </w:t>
      </w:r>
      <w:r>
        <w:rPr/>
        <w:t>instruction aligned with students’ goal orientation.</w:t>
      </w:r>
    </w:p>
    <w:p>
      <w:pPr>
        <w:pStyle w:val="BodyText"/>
        <w:spacing w:before="4"/>
        <w:ind w:left="0"/>
      </w:pPr>
    </w:p>
    <w:p>
      <w:pPr>
        <w:spacing w:before="0"/>
        <w:ind w:left="1080" w:right="0" w:firstLine="0"/>
        <w:jc w:val="left"/>
        <w:rPr>
          <w:rFonts w:ascii="Arial"/>
          <w:i/>
          <w:sz w:val="24"/>
        </w:rPr>
      </w:pPr>
      <w:r>
        <w:rPr>
          <w:sz w:val="24"/>
        </w:rPr>
        <w:t>Keywords:</w:t>
      </w:r>
      <w:r>
        <w:rPr>
          <w:spacing w:val="-8"/>
          <w:sz w:val="24"/>
        </w:rPr>
        <w:t> </w:t>
      </w:r>
      <w:r>
        <w:rPr>
          <w:rFonts w:ascii="Arial"/>
          <w:i/>
          <w:sz w:val="24"/>
        </w:rPr>
        <w:t>Achievement</w:t>
      </w:r>
      <w:r>
        <w:rPr>
          <w:rFonts w:ascii="Arial"/>
          <w:i/>
          <w:spacing w:val="-7"/>
          <w:sz w:val="24"/>
        </w:rPr>
        <w:t> </w:t>
      </w:r>
      <w:r>
        <w:rPr>
          <w:rFonts w:ascii="Arial"/>
          <w:i/>
          <w:sz w:val="24"/>
        </w:rPr>
        <w:t>goals,</w:t>
      </w:r>
      <w:r>
        <w:rPr>
          <w:rFonts w:ascii="Arial"/>
          <w:i/>
          <w:spacing w:val="-5"/>
          <w:sz w:val="24"/>
        </w:rPr>
        <w:t> </w:t>
      </w:r>
      <w:r>
        <w:rPr>
          <w:rFonts w:ascii="Arial"/>
          <w:i/>
          <w:sz w:val="24"/>
        </w:rPr>
        <w:t>Grit,</w:t>
      </w:r>
      <w:r>
        <w:rPr>
          <w:rFonts w:ascii="Arial"/>
          <w:i/>
          <w:spacing w:val="-6"/>
          <w:sz w:val="24"/>
        </w:rPr>
        <w:t> </w:t>
      </w:r>
      <w:r>
        <w:rPr>
          <w:rFonts w:ascii="Arial"/>
          <w:i/>
          <w:sz w:val="24"/>
        </w:rPr>
        <w:t>Writing</w:t>
      </w:r>
      <w:r>
        <w:rPr>
          <w:rFonts w:ascii="Arial"/>
          <w:i/>
          <w:spacing w:val="-5"/>
          <w:sz w:val="24"/>
        </w:rPr>
        <w:t> </w:t>
      </w:r>
      <w:r>
        <w:rPr>
          <w:rFonts w:ascii="Arial"/>
          <w:i/>
          <w:sz w:val="24"/>
        </w:rPr>
        <w:t>Strategies,</w:t>
      </w:r>
      <w:r>
        <w:rPr>
          <w:rFonts w:ascii="Arial"/>
          <w:i/>
          <w:spacing w:val="-5"/>
          <w:sz w:val="24"/>
        </w:rPr>
        <w:t> </w:t>
      </w:r>
      <w:r>
        <w:rPr>
          <w:rFonts w:ascii="Arial"/>
          <w:i/>
          <w:sz w:val="24"/>
        </w:rPr>
        <w:t>Technical</w:t>
      </w:r>
      <w:r>
        <w:rPr>
          <w:rFonts w:ascii="Arial"/>
          <w:i/>
          <w:spacing w:val="-5"/>
          <w:sz w:val="24"/>
        </w:rPr>
        <w:t> </w:t>
      </w:r>
      <w:r>
        <w:rPr>
          <w:rFonts w:ascii="Arial"/>
          <w:i/>
          <w:sz w:val="24"/>
        </w:rPr>
        <w:t>Writing,</w:t>
      </w:r>
      <w:r>
        <w:rPr>
          <w:rFonts w:ascii="Arial"/>
          <w:i/>
          <w:spacing w:val="-6"/>
          <w:sz w:val="24"/>
        </w:rPr>
        <w:t> </w:t>
      </w:r>
      <w:r>
        <w:rPr>
          <w:rFonts w:ascii="Arial"/>
          <w:i/>
          <w:sz w:val="24"/>
        </w:rPr>
        <w:t>PLS-</w:t>
      </w:r>
      <w:r>
        <w:rPr>
          <w:rFonts w:ascii="Arial"/>
          <w:i/>
          <w:spacing w:val="-5"/>
          <w:sz w:val="24"/>
        </w:rPr>
        <w:t>SEM</w:t>
      </w:r>
    </w:p>
    <w:p>
      <w:pPr>
        <w:pStyle w:val="BodyText"/>
        <w:spacing w:before="12"/>
        <w:ind w:left="0"/>
        <w:rPr>
          <w:rFonts w:ascii="Arial"/>
          <w:i/>
        </w:rPr>
      </w:pPr>
    </w:p>
    <w:p>
      <w:pPr>
        <w:pStyle w:val="Heading1"/>
        <w:numPr>
          <w:ilvl w:val="0"/>
          <w:numId w:val="1"/>
        </w:numPr>
        <w:tabs>
          <w:tab w:pos="2050" w:val="left" w:leader="none"/>
        </w:tabs>
        <w:spacing w:line="240" w:lineRule="auto" w:before="0" w:after="0"/>
        <w:ind w:left="2050" w:right="0" w:hanging="610"/>
        <w:jc w:val="left"/>
      </w:pPr>
      <w:r>
        <w:rPr>
          <w:spacing w:val="-2"/>
        </w:rPr>
        <w:t>Introduction</w:t>
      </w:r>
    </w:p>
    <w:p>
      <w:pPr>
        <w:pStyle w:val="BodyText"/>
        <w:spacing w:before="12"/>
        <w:ind w:left="0"/>
        <w:rPr>
          <w:rFonts w:ascii="Arial"/>
          <w:b/>
        </w:rPr>
      </w:pPr>
    </w:p>
    <w:p>
      <w:pPr>
        <w:pStyle w:val="BodyText"/>
        <w:ind w:right="1077" w:firstLine="719"/>
        <w:jc w:val="both"/>
      </w:pPr>
      <w:r>
        <w:rPr/>
        <w:t>Technical writing requires a sustained cognitive engagement from effort in planning, drafting, revising and solving communication problems in technical writing </w:t>
      </w:r>
      <w:r>
        <w:rPr>
          <w:spacing w:val="-2"/>
        </w:rPr>
        <w:t>courses</w:t>
      </w:r>
      <w:r>
        <w:rPr>
          <w:spacing w:val="-5"/>
        </w:rPr>
        <w:t> </w:t>
      </w:r>
      <w:r>
        <w:rPr>
          <w:spacing w:val="-2"/>
        </w:rPr>
        <w:t>(Liempo</w:t>
      </w:r>
      <w:r>
        <w:rPr>
          <w:spacing w:val="-4"/>
        </w:rPr>
        <w:t> </w:t>
      </w:r>
      <w:r>
        <w:rPr>
          <w:spacing w:val="-2"/>
        </w:rPr>
        <w:t>&amp;</w:t>
      </w:r>
      <w:r>
        <w:rPr>
          <w:spacing w:val="-8"/>
        </w:rPr>
        <w:t> </w:t>
      </w:r>
      <w:r>
        <w:rPr>
          <w:spacing w:val="-2"/>
        </w:rPr>
        <w:t>Alves,</w:t>
      </w:r>
      <w:r>
        <w:rPr>
          <w:spacing w:val="-7"/>
        </w:rPr>
        <w:t> </w:t>
      </w:r>
      <w:r>
        <w:rPr>
          <w:spacing w:val="-2"/>
        </w:rPr>
        <w:t>2017).</w:t>
      </w:r>
      <w:r>
        <w:rPr>
          <w:spacing w:val="-7"/>
        </w:rPr>
        <w:t> </w:t>
      </w:r>
      <w:r>
        <w:rPr>
          <w:spacing w:val="-2"/>
        </w:rPr>
        <w:t>However,</w:t>
      </w:r>
      <w:r>
        <w:rPr>
          <w:spacing w:val="-7"/>
        </w:rPr>
        <w:t> </w:t>
      </w:r>
      <w:r>
        <w:rPr>
          <w:spacing w:val="-2"/>
        </w:rPr>
        <w:t>many</w:t>
      </w:r>
      <w:r>
        <w:rPr>
          <w:spacing w:val="-5"/>
        </w:rPr>
        <w:t> </w:t>
      </w:r>
      <w:r>
        <w:rPr>
          <w:spacing w:val="-2"/>
        </w:rPr>
        <w:t>science</w:t>
      </w:r>
      <w:r>
        <w:rPr>
          <w:spacing w:val="-8"/>
        </w:rPr>
        <w:t> </w:t>
      </w:r>
      <w:r>
        <w:rPr>
          <w:spacing w:val="-2"/>
        </w:rPr>
        <w:t>and</w:t>
      </w:r>
      <w:r>
        <w:rPr>
          <w:spacing w:val="-5"/>
        </w:rPr>
        <w:t> </w:t>
      </w:r>
      <w:r>
        <w:rPr>
          <w:spacing w:val="-2"/>
        </w:rPr>
        <w:t>technology</w:t>
      </w:r>
      <w:r>
        <w:rPr>
          <w:spacing w:val="-5"/>
        </w:rPr>
        <w:t> </w:t>
      </w:r>
      <w:r>
        <w:rPr>
          <w:spacing w:val="-2"/>
        </w:rPr>
        <w:t>undergraduates </w:t>
      </w:r>
      <w:r>
        <w:rPr/>
        <w:t>struggle</w:t>
      </w:r>
      <w:r>
        <w:rPr>
          <w:spacing w:val="-8"/>
        </w:rPr>
        <w:t> </w:t>
      </w:r>
      <w:r>
        <w:rPr/>
        <w:t>to</w:t>
      </w:r>
      <w:r>
        <w:rPr>
          <w:spacing w:val="-8"/>
        </w:rPr>
        <w:t> </w:t>
      </w:r>
      <w:r>
        <w:rPr/>
        <w:t>apply</w:t>
      </w:r>
      <w:r>
        <w:rPr>
          <w:spacing w:val="-8"/>
        </w:rPr>
        <w:t> </w:t>
      </w:r>
      <w:r>
        <w:rPr/>
        <w:t>consistently</w:t>
      </w:r>
      <w:r>
        <w:rPr>
          <w:spacing w:val="-8"/>
        </w:rPr>
        <w:t> </w:t>
      </w:r>
      <w:r>
        <w:rPr/>
        <w:t>effective</w:t>
      </w:r>
      <w:r>
        <w:rPr>
          <w:spacing w:val="-8"/>
        </w:rPr>
        <w:t> </w:t>
      </w:r>
      <w:r>
        <w:rPr/>
        <w:t>writing</w:t>
      </w:r>
      <w:r>
        <w:rPr>
          <w:spacing w:val="-7"/>
        </w:rPr>
        <w:t> </w:t>
      </w:r>
      <w:r>
        <w:rPr/>
        <w:t>strategies</w:t>
      </w:r>
      <w:r>
        <w:rPr>
          <w:spacing w:val="-10"/>
        </w:rPr>
        <w:t> </w:t>
      </w:r>
      <w:r>
        <w:rPr/>
        <w:t>(Pineteh,</w:t>
      </w:r>
      <w:r>
        <w:rPr>
          <w:spacing w:val="-9"/>
        </w:rPr>
        <w:t> </w:t>
      </w:r>
      <w:r>
        <w:rPr/>
        <w:t>2014,</w:t>
      </w:r>
      <w:r>
        <w:rPr>
          <w:spacing w:val="-8"/>
        </w:rPr>
        <w:t> </w:t>
      </w:r>
      <w:r>
        <w:rPr/>
        <w:t>Lammers,</w:t>
      </w:r>
      <w:r>
        <w:rPr>
          <w:spacing w:val="-9"/>
        </w:rPr>
        <w:t> </w:t>
      </w:r>
      <w:r>
        <w:rPr/>
        <w:t>2020,</w:t>
      </w:r>
    </w:p>
    <w:p>
      <w:pPr>
        <w:pStyle w:val="BodyText"/>
        <w:spacing w:after="0"/>
        <w:jc w:val="both"/>
        <w:sectPr>
          <w:type w:val="continuous"/>
          <w:pgSz w:w="12240" w:h="15840"/>
          <w:pgMar w:top="1360" w:bottom="280" w:left="360" w:right="360"/>
        </w:sectPr>
      </w:pPr>
    </w:p>
    <w:p>
      <w:pPr>
        <w:pStyle w:val="BodyText"/>
        <w:spacing w:before="81"/>
        <w:ind w:right="1082"/>
        <w:jc w:val="both"/>
      </w:pPr>
      <w:r>
        <w:rPr/>
        <mc:AlternateContent>
          <mc:Choice Requires="wps">
            <w:drawing>
              <wp:anchor distT="0" distB="0" distL="0" distR="0" allowOverlap="1" layoutInCell="1" locked="0" behindDoc="0" simplePos="0" relativeHeight="15730688">
                <wp:simplePos x="0" y="0"/>
                <wp:positionH relativeFrom="page">
                  <wp:posOffset>3142614</wp:posOffset>
                </wp:positionH>
                <wp:positionV relativeFrom="page">
                  <wp:posOffset>8400795</wp:posOffset>
                </wp:positionV>
                <wp:extent cx="1489075" cy="46926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489075" cy="469265"/>
                          <a:chExt cx="1489075" cy="469265"/>
                        </a:xfrm>
                      </wpg:grpSpPr>
                      <wps:wsp>
                        <wps:cNvPr id="2" name="Textbox 2"/>
                        <wps:cNvSpPr txBox="1"/>
                        <wps:spPr>
                          <a:xfrm>
                            <a:off x="3175" y="179959"/>
                            <a:ext cx="1482725" cy="285750"/>
                          </a:xfrm>
                          <a:prstGeom prst="rect">
                            <a:avLst/>
                          </a:prstGeom>
                          <a:ln w="6350">
                            <a:solidFill>
                              <a:srgbClr val="000000"/>
                            </a:solidFill>
                            <a:prstDash val="solid"/>
                          </a:ln>
                        </wps:spPr>
                        <wps:txbx>
                          <w:txbxContent>
                            <w:p>
                              <w:pPr>
                                <w:spacing w:line="439" w:lineRule="exact" w:before="1"/>
                                <w:ind w:left="0" w:right="1" w:firstLine="0"/>
                                <w:jc w:val="center"/>
                                <w:rPr>
                                  <w:rFonts w:ascii="Calibri"/>
                                  <w:b/>
                                  <w:sz w:val="36"/>
                                </w:rPr>
                              </w:pPr>
                              <w:r>
                                <w:rPr>
                                  <w:rFonts w:ascii="Calibri"/>
                                  <w:b/>
                                  <w:spacing w:val="-4"/>
                                  <w:sz w:val="36"/>
                                </w:rPr>
                                <w:t>Grit</w:t>
                              </w:r>
                            </w:p>
                          </w:txbxContent>
                        </wps:txbx>
                        <wps:bodyPr wrap="square" lIns="0" tIns="0" rIns="0" bIns="0" rtlCol="0">
                          <a:noAutofit/>
                        </wps:bodyPr>
                      </wps:wsp>
                      <wps:wsp>
                        <wps:cNvPr id="3" name="Textbox 3"/>
                        <wps:cNvSpPr txBox="1"/>
                        <wps:spPr>
                          <a:xfrm>
                            <a:off x="3175" y="3175"/>
                            <a:ext cx="1482725" cy="177165"/>
                          </a:xfrm>
                          <a:prstGeom prst="rect">
                            <a:avLst/>
                          </a:prstGeom>
                          <a:ln w="6350">
                            <a:solidFill>
                              <a:srgbClr val="000000"/>
                            </a:solidFill>
                            <a:prstDash val="solid"/>
                          </a:ln>
                        </wps:spPr>
                        <wps:txbx>
                          <w:txbxContent>
                            <w:p>
                              <w:pPr>
                                <w:spacing w:line="267" w:lineRule="exact" w:before="1"/>
                                <w:ind w:left="310" w:right="0" w:firstLine="0"/>
                                <w:jc w:val="left"/>
                                <w:rPr>
                                  <w:rFonts w:ascii="Calibri"/>
                                  <w:sz w:val="22"/>
                                </w:rPr>
                              </w:pPr>
                              <w:r>
                                <w:rPr>
                                  <w:rFonts w:ascii="Calibri"/>
                                  <w:sz w:val="22"/>
                                </w:rPr>
                                <w:t>Mediating</w:t>
                              </w:r>
                              <w:r>
                                <w:rPr>
                                  <w:rFonts w:ascii="Calibri"/>
                                  <w:spacing w:val="-2"/>
                                  <w:sz w:val="22"/>
                                </w:rPr>
                                <w:t> Variable</w:t>
                              </w:r>
                            </w:p>
                          </w:txbxContent>
                        </wps:txbx>
                        <wps:bodyPr wrap="square" lIns="0" tIns="0" rIns="0" bIns="0" rtlCol="0">
                          <a:noAutofit/>
                        </wps:bodyPr>
                      </wps:wsp>
                    </wpg:wgp>
                  </a:graphicData>
                </a:graphic>
              </wp:anchor>
            </w:drawing>
          </mc:Choice>
          <mc:Fallback>
            <w:pict>
              <v:group style="position:absolute;margin-left:247.449997pt;margin-top:661.479980pt;width:117.25pt;height:36.950pt;mso-position-horizontal-relative:page;mso-position-vertical-relative:page;z-index:15730688" id="docshapegroup1" coordorigin="4949,13230" coordsize="2345,739">
                <v:shapetype id="_x0000_t202" o:spt="202" coordsize="21600,21600" path="m,l,21600r21600,l21600,xe">
                  <v:stroke joinstyle="miter"/>
                  <v:path gradientshapeok="t" o:connecttype="rect"/>
                </v:shapetype>
                <v:shape style="position:absolute;left:4954;top:13513;width:2335;height:450" type="#_x0000_t202" id="docshape2" filled="false" stroked="true" strokeweight=".5pt" strokecolor="#000000">
                  <v:textbox inset="0,0,0,0">
                    <w:txbxContent>
                      <w:p>
                        <w:pPr>
                          <w:spacing w:line="439" w:lineRule="exact" w:before="1"/>
                          <w:ind w:left="0" w:right="1" w:firstLine="0"/>
                          <w:jc w:val="center"/>
                          <w:rPr>
                            <w:rFonts w:ascii="Calibri"/>
                            <w:b/>
                            <w:sz w:val="36"/>
                          </w:rPr>
                        </w:pPr>
                        <w:r>
                          <w:rPr>
                            <w:rFonts w:ascii="Calibri"/>
                            <w:b/>
                            <w:spacing w:val="-4"/>
                            <w:sz w:val="36"/>
                          </w:rPr>
                          <w:t>Grit</w:t>
                        </w:r>
                      </w:p>
                    </w:txbxContent>
                  </v:textbox>
                  <v:stroke dashstyle="solid"/>
                  <w10:wrap type="none"/>
                </v:shape>
                <v:shape style="position:absolute;left:4954;top:13234;width:2335;height:279" type="#_x0000_t202" id="docshape3" filled="false" stroked="true" strokeweight=".5pt" strokecolor="#000000">
                  <v:textbox inset="0,0,0,0">
                    <w:txbxContent>
                      <w:p>
                        <w:pPr>
                          <w:spacing w:line="267" w:lineRule="exact" w:before="1"/>
                          <w:ind w:left="310" w:right="0" w:firstLine="0"/>
                          <w:jc w:val="left"/>
                          <w:rPr>
                            <w:rFonts w:ascii="Calibri"/>
                            <w:sz w:val="22"/>
                          </w:rPr>
                        </w:pPr>
                        <w:r>
                          <w:rPr>
                            <w:rFonts w:ascii="Calibri"/>
                            <w:sz w:val="22"/>
                          </w:rPr>
                          <w:t>Mediating</w:t>
                        </w:r>
                        <w:r>
                          <w:rPr>
                            <w:rFonts w:ascii="Calibri"/>
                            <w:spacing w:val="-2"/>
                            <w:sz w:val="22"/>
                          </w:rPr>
                          <w:t> Variable</w:t>
                        </w:r>
                      </w:p>
                    </w:txbxContent>
                  </v:textbox>
                  <v:stroke dashstyle="solid"/>
                  <w10:wrap type="none"/>
                </v:shape>
                <w10:wrap type="none"/>
              </v:group>
            </w:pict>
          </mc:Fallback>
        </mc:AlternateContent>
      </w:r>
      <w:r>
        <w:rPr>
          <w:spacing w:val="-2"/>
        </w:rPr>
        <w:t>Taye</w:t>
      </w:r>
      <w:r>
        <w:rPr>
          <w:spacing w:val="-6"/>
        </w:rPr>
        <w:t> </w:t>
      </w:r>
      <w:r>
        <w:rPr>
          <w:spacing w:val="-2"/>
        </w:rPr>
        <w:t>&amp;</w:t>
      </w:r>
      <w:r>
        <w:rPr>
          <w:spacing w:val="-6"/>
        </w:rPr>
        <w:t> </w:t>
      </w:r>
      <w:r>
        <w:rPr>
          <w:spacing w:val="-2"/>
        </w:rPr>
        <w:t>Mengesha,</w:t>
      </w:r>
      <w:r>
        <w:rPr>
          <w:spacing w:val="-9"/>
        </w:rPr>
        <w:t> </w:t>
      </w:r>
      <w:r>
        <w:rPr>
          <w:spacing w:val="-2"/>
        </w:rPr>
        <w:t>2024).</w:t>
      </w:r>
      <w:r>
        <w:rPr>
          <w:spacing w:val="-7"/>
        </w:rPr>
        <w:t> </w:t>
      </w:r>
      <w:r>
        <w:rPr>
          <w:spacing w:val="-2"/>
        </w:rPr>
        <w:t>This</w:t>
      </w:r>
      <w:r>
        <w:rPr>
          <w:spacing w:val="-6"/>
        </w:rPr>
        <w:t> </w:t>
      </w:r>
      <w:r>
        <w:rPr>
          <w:spacing w:val="-2"/>
        </w:rPr>
        <w:t>implies</w:t>
      </w:r>
      <w:r>
        <w:rPr>
          <w:spacing w:val="-8"/>
        </w:rPr>
        <w:t> </w:t>
      </w:r>
      <w:r>
        <w:rPr>
          <w:spacing w:val="-2"/>
        </w:rPr>
        <w:t>that</w:t>
      </w:r>
      <w:r>
        <w:rPr>
          <w:spacing w:val="-6"/>
        </w:rPr>
        <w:t> </w:t>
      </w:r>
      <w:r>
        <w:rPr>
          <w:spacing w:val="-2"/>
        </w:rPr>
        <w:t>psychological</w:t>
      </w:r>
      <w:r>
        <w:rPr>
          <w:spacing w:val="-4"/>
        </w:rPr>
        <w:t> </w:t>
      </w:r>
      <w:r>
        <w:rPr>
          <w:spacing w:val="-2"/>
        </w:rPr>
        <w:t>factors</w:t>
      </w:r>
      <w:r>
        <w:rPr>
          <w:spacing w:val="-6"/>
        </w:rPr>
        <w:t> </w:t>
      </w:r>
      <w:r>
        <w:rPr>
          <w:spacing w:val="-2"/>
        </w:rPr>
        <w:t>may</w:t>
      </w:r>
      <w:r>
        <w:rPr>
          <w:spacing w:val="-6"/>
        </w:rPr>
        <w:t> </w:t>
      </w:r>
      <w:r>
        <w:rPr>
          <w:spacing w:val="-2"/>
        </w:rPr>
        <w:t>significant</w:t>
      </w:r>
      <w:r>
        <w:rPr>
          <w:spacing w:val="-7"/>
        </w:rPr>
        <w:t> </w:t>
      </w:r>
      <w:r>
        <w:rPr>
          <w:spacing w:val="-2"/>
        </w:rPr>
        <w:t>influence </w:t>
      </w:r>
      <w:r>
        <w:rPr/>
        <w:t>how students handle challenging technical-writing tasks.</w:t>
      </w:r>
    </w:p>
    <w:p>
      <w:pPr>
        <w:pStyle w:val="BodyText"/>
        <w:ind w:right="1074" w:firstLine="719"/>
        <w:jc w:val="both"/>
      </w:pPr>
      <w:r>
        <w:rPr/>
        <w:t>Grit</w:t>
      </w:r>
      <w:r>
        <w:rPr>
          <w:spacing w:val="-16"/>
        </w:rPr>
        <w:t> </w:t>
      </w:r>
      <w:r>
        <w:rPr/>
        <w:t>is</w:t>
      </w:r>
      <w:r>
        <w:rPr>
          <w:spacing w:val="-15"/>
        </w:rPr>
        <w:t> </w:t>
      </w:r>
      <w:r>
        <w:rPr/>
        <w:t>one</w:t>
      </w:r>
      <w:r>
        <w:rPr>
          <w:spacing w:val="-15"/>
        </w:rPr>
        <w:t> </w:t>
      </w:r>
      <w:r>
        <w:rPr/>
        <w:t>motivational</w:t>
      </w:r>
      <w:r>
        <w:rPr>
          <w:spacing w:val="-14"/>
        </w:rPr>
        <w:t> </w:t>
      </w:r>
      <w:r>
        <w:rPr/>
        <w:t>factor</w:t>
      </w:r>
      <w:r>
        <w:rPr>
          <w:spacing w:val="-14"/>
        </w:rPr>
        <w:t> </w:t>
      </w:r>
      <w:r>
        <w:rPr/>
        <w:t>that</w:t>
      </w:r>
      <w:r>
        <w:rPr>
          <w:spacing w:val="-15"/>
        </w:rPr>
        <w:t> </w:t>
      </w:r>
      <w:r>
        <w:rPr/>
        <w:t>has</w:t>
      </w:r>
      <w:r>
        <w:rPr>
          <w:spacing w:val="-15"/>
        </w:rPr>
        <w:t> </w:t>
      </w:r>
      <w:r>
        <w:rPr/>
        <w:t>gained</w:t>
      </w:r>
      <w:r>
        <w:rPr>
          <w:spacing w:val="-15"/>
        </w:rPr>
        <w:t> </w:t>
      </w:r>
      <w:r>
        <w:rPr/>
        <w:t>increasing</w:t>
      </w:r>
      <w:r>
        <w:rPr>
          <w:spacing w:val="-16"/>
        </w:rPr>
        <w:t> </w:t>
      </w:r>
      <w:r>
        <w:rPr/>
        <w:t>attention.</w:t>
      </w:r>
      <w:r>
        <w:rPr>
          <w:spacing w:val="-16"/>
        </w:rPr>
        <w:t> </w:t>
      </w:r>
      <w:r>
        <w:rPr/>
        <w:t>This</w:t>
      </w:r>
      <w:r>
        <w:rPr>
          <w:spacing w:val="-14"/>
        </w:rPr>
        <w:t> </w:t>
      </w:r>
      <w:r>
        <w:rPr/>
        <w:t>term</w:t>
      </w:r>
      <w:r>
        <w:rPr>
          <w:spacing w:val="-13"/>
        </w:rPr>
        <w:t> </w:t>
      </w:r>
      <w:r>
        <w:rPr/>
        <w:t>refers to perseverance and passion for long-term goals (Duckworth et al.,2007). In various research,</w:t>
      </w:r>
      <w:r>
        <w:rPr>
          <w:spacing w:val="-7"/>
        </w:rPr>
        <w:t> </w:t>
      </w:r>
      <w:r>
        <w:rPr/>
        <w:t>grit</w:t>
      </w:r>
      <w:r>
        <w:rPr>
          <w:spacing w:val="-7"/>
        </w:rPr>
        <w:t> </w:t>
      </w:r>
      <w:r>
        <w:rPr/>
        <w:t>has</w:t>
      </w:r>
      <w:r>
        <w:rPr>
          <w:spacing w:val="-6"/>
        </w:rPr>
        <w:t> </w:t>
      </w:r>
      <w:r>
        <w:rPr/>
        <w:t>been</w:t>
      </w:r>
      <w:r>
        <w:rPr>
          <w:spacing w:val="-6"/>
        </w:rPr>
        <w:t> </w:t>
      </w:r>
      <w:r>
        <w:rPr/>
        <w:t>linked</w:t>
      </w:r>
      <w:r>
        <w:rPr>
          <w:spacing w:val="-6"/>
        </w:rPr>
        <w:t> </w:t>
      </w:r>
      <w:r>
        <w:rPr/>
        <w:t>to</w:t>
      </w:r>
      <w:r>
        <w:rPr>
          <w:spacing w:val="-8"/>
        </w:rPr>
        <w:t> </w:t>
      </w:r>
      <w:r>
        <w:rPr/>
        <w:t>persistence,</w:t>
      </w:r>
      <w:r>
        <w:rPr>
          <w:spacing w:val="-6"/>
        </w:rPr>
        <w:t> </w:t>
      </w:r>
      <w:r>
        <w:rPr/>
        <w:t>self-regulation,</w:t>
      </w:r>
      <w:r>
        <w:rPr>
          <w:spacing w:val="-7"/>
        </w:rPr>
        <w:t> </w:t>
      </w:r>
      <w:r>
        <w:rPr/>
        <w:t>and</w:t>
      </w:r>
      <w:r>
        <w:rPr>
          <w:spacing w:val="-8"/>
        </w:rPr>
        <w:t> </w:t>
      </w:r>
      <w:r>
        <w:rPr/>
        <w:t>L2</w:t>
      </w:r>
      <w:r>
        <w:rPr>
          <w:spacing w:val="-5"/>
        </w:rPr>
        <w:t> </w:t>
      </w:r>
      <w:r>
        <w:rPr/>
        <w:t>writing</w:t>
      </w:r>
      <w:r>
        <w:rPr>
          <w:spacing w:val="-7"/>
        </w:rPr>
        <w:t> </w:t>
      </w:r>
      <w:r>
        <w:rPr/>
        <w:t>performance (Rad</w:t>
      </w:r>
      <w:r>
        <w:rPr>
          <w:spacing w:val="-11"/>
        </w:rPr>
        <w:t> </w:t>
      </w:r>
      <w:r>
        <w:rPr/>
        <w:t>&amp;</w:t>
      </w:r>
      <w:r>
        <w:rPr>
          <w:spacing w:val="-12"/>
        </w:rPr>
        <w:t> </w:t>
      </w:r>
      <w:r>
        <w:rPr/>
        <w:t>Jafarpour,</w:t>
      </w:r>
      <w:r>
        <w:rPr>
          <w:spacing w:val="-14"/>
        </w:rPr>
        <w:t> </w:t>
      </w:r>
      <w:r>
        <w:rPr/>
        <w:t>2022,</w:t>
      </w:r>
      <w:r>
        <w:rPr>
          <w:spacing w:val="-12"/>
        </w:rPr>
        <w:t> </w:t>
      </w:r>
      <w:r>
        <w:rPr/>
        <w:t>Zhang,</w:t>
      </w:r>
      <w:r>
        <w:rPr>
          <w:spacing w:val="-12"/>
        </w:rPr>
        <w:t> </w:t>
      </w:r>
      <w:r>
        <w:rPr/>
        <w:t>2023;</w:t>
      </w:r>
      <w:r>
        <w:rPr>
          <w:spacing w:val="-12"/>
        </w:rPr>
        <w:t> </w:t>
      </w:r>
      <w:r>
        <w:rPr/>
        <w:t>Zhang</w:t>
      </w:r>
      <w:r>
        <w:rPr>
          <w:spacing w:val="-12"/>
        </w:rPr>
        <w:t> </w:t>
      </w:r>
      <w:r>
        <w:rPr/>
        <w:t>&amp;</w:t>
      </w:r>
      <w:r>
        <w:rPr>
          <w:spacing w:val="-12"/>
        </w:rPr>
        <w:t> </w:t>
      </w:r>
      <w:r>
        <w:rPr/>
        <w:t>Zhang,</w:t>
      </w:r>
      <w:r>
        <w:rPr>
          <w:spacing w:val="-12"/>
        </w:rPr>
        <w:t> </w:t>
      </w:r>
      <w:r>
        <w:rPr/>
        <w:t>2023,</w:t>
      </w:r>
      <w:r>
        <w:rPr>
          <w:spacing w:val="-12"/>
        </w:rPr>
        <w:t> </w:t>
      </w:r>
      <w:r>
        <w:rPr/>
        <w:t>Mikami</w:t>
      </w:r>
      <w:r>
        <w:rPr>
          <w:spacing w:val="-11"/>
        </w:rPr>
        <w:t> </w:t>
      </w:r>
      <w:r>
        <w:rPr/>
        <w:t>&amp;</w:t>
      </w:r>
      <w:r>
        <w:rPr>
          <w:spacing w:val="-12"/>
        </w:rPr>
        <w:t> </w:t>
      </w:r>
      <w:r>
        <w:rPr/>
        <w:t>Shiozawa,</w:t>
      </w:r>
      <w:r>
        <w:rPr>
          <w:spacing w:val="-12"/>
        </w:rPr>
        <w:t> </w:t>
      </w:r>
      <w:r>
        <w:rPr/>
        <w:t>2024). However,</w:t>
      </w:r>
      <w:r>
        <w:rPr>
          <w:spacing w:val="-16"/>
        </w:rPr>
        <w:t> </w:t>
      </w:r>
      <w:r>
        <w:rPr/>
        <w:t>its</w:t>
      </w:r>
      <w:r>
        <w:rPr>
          <w:spacing w:val="-16"/>
        </w:rPr>
        <w:t> </w:t>
      </w:r>
      <w:r>
        <w:rPr/>
        <w:t>contribution</w:t>
      </w:r>
      <w:r>
        <w:rPr>
          <w:spacing w:val="-14"/>
        </w:rPr>
        <w:t> </w:t>
      </w:r>
      <w:r>
        <w:rPr/>
        <w:t>to</w:t>
      </w:r>
      <w:r>
        <w:rPr>
          <w:spacing w:val="-15"/>
        </w:rPr>
        <w:t> </w:t>
      </w:r>
      <w:r>
        <w:rPr/>
        <w:t>writing</w:t>
      </w:r>
      <w:r>
        <w:rPr>
          <w:spacing w:val="-14"/>
        </w:rPr>
        <w:t> </w:t>
      </w:r>
      <w:r>
        <w:rPr/>
        <w:t>strategies</w:t>
      </w:r>
      <w:r>
        <w:rPr>
          <w:spacing w:val="-15"/>
        </w:rPr>
        <w:t> </w:t>
      </w:r>
      <w:r>
        <w:rPr/>
        <w:t>remains</w:t>
      </w:r>
      <w:r>
        <w:rPr>
          <w:spacing w:val="-17"/>
        </w:rPr>
        <w:t> </w:t>
      </w:r>
      <w:r>
        <w:rPr/>
        <w:t>insufficiently</w:t>
      </w:r>
      <w:r>
        <w:rPr>
          <w:spacing w:val="-15"/>
        </w:rPr>
        <w:t> </w:t>
      </w:r>
      <w:r>
        <w:rPr/>
        <w:t>examined,</w:t>
      </w:r>
      <w:r>
        <w:rPr>
          <w:spacing w:val="-15"/>
        </w:rPr>
        <w:t> </w:t>
      </w:r>
      <w:r>
        <w:rPr/>
        <w:t>specifically with science and technology students in multilingual settings like the Philippines.</w:t>
      </w:r>
    </w:p>
    <w:p>
      <w:pPr>
        <w:pStyle w:val="BodyText"/>
        <w:ind w:right="1074" w:firstLine="719"/>
        <w:jc w:val="both"/>
      </w:pPr>
      <w:r>
        <w:rPr/>
        <w:t>Meanwhile, scholarly research grounded on achievement goal theory (Dweck &amp; Leggett, 1988; Elliot &amp; McGregor, 2001) indicates that students’ achievement goal orientation creates a different pattern of involvement. Mastery-approach goals highlight developing competence and are associated with deep learning strategies along with stronger self-regulation capabilities (Ames, 1992, Kljajic et.al, 2017). Performance- approach</w:t>
      </w:r>
      <w:r>
        <w:rPr>
          <w:spacing w:val="-17"/>
        </w:rPr>
        <w:t> </w:t>
      </w:r>
      <w:r>
        <w:rPr/>
        <w:t>goals</w:t>
      </w:r>
      <w:r>
        <w:rPr>
          <w:spacing w:val="-17"/>
        </w:rPr>
        <w:t> </w:t>
      </w:r>
      <w:r>
        <w:rPr/>
        <w:t>demonstrate</w:t>
      </w:r>
      <w:r>
        <w:rPr>
          <w:spacing w:val="-16"/>
        </w:rPr>
        <w:t> </w:t>
      </w:r>
      <w:r>
        <w:rPr/>
        <w:t>competence</w:t>
      </w:r>
      <w:r>
        <w:rPr>
          <w:spacing w:val="-17"/>
        </w:rPr>
        <w:t> </w:t>
      </w:r>
      <w:r>
        <w:rPr/>
        <w:t>and</w:t>
      </w:r>
      <w:r>
        <w:rPr>
          <w:spacing w:val="-17"/>
        </w:rPr>
        <w:t> </w:t>
      </w:r>
      <w:r>
        <w:rPr/>
        <w:t>generate</w:t>
      </w:r>
      <w:r>
        <w:rPr>
          <w:spacing w:val="-17"/>
        </w:rPr>
        <w:t> </w:t>
      </w:r>
      <w:r>
        <w:rPr/>
        <w:t>strategic</w:t>
      </w:r>
      <w:r>
        <w:rPr>
          <w:spacing w:val="-16"/>
        </w:rPr>
        <w:t> </w:t>
      </w:r>
      <w:r>
        <w:rPr/>
        <w:t>involvement</w:t>
      </w:r>
      <w:r>
        <w:rPr>
          <w:spacing w:val="-17"/>
        </w:rPr>
        <w:t> </w:t>
      </w:r>
      <w:r>
        <w:rPr/>
        <w:t>when</w:t>
      </w:r>
      <w:r>
        <w:rPr>
          <w:spacing w:val="-17"/>
        </w:rPr>
        <w:t> </w:t>
      </w:r>
      <w:r>
        <w:rPr/>
        <w:t>tasks provide</w:t>
      </w:r>
      <w:r>
        <w:rPr>
          <w:spacing w:val="-8"/>
        </w:rPr>
        <w:t> </w:t>
      </w:r>
      <w:r>
        <w:rPr/>
        <w:t>an</w:t>
      </w:r>
      <w:r>
        <w:rPr>
          <w:spacing w:val="-8"/>
        </w:rPr>
        <w:t> </w:t>
      </w:r>
      <w:r>
        <w:rPr/>
        <w:t>avenue</w:t>
      </w:r>
      <w:r>
        <w:rPr>
          <w:spacing w:val="-8"/>
        </w:rPr>
        <w:t> </w:t>
      </w:r>
      <w:r>
        <w:rPr/>
        <w:t>to</w:t>
      </w:r>
      <w:r>
        <w:rPr>
          <w:spacing w:val="-9"/>
        </w:rPr>
        <w:t> </w:t>
      </w:r>
      <w:r>
        <w:rPr/>
        <w:t>showcase</w:t>
      </w:r>
      <w:r>
        <w:rPr>
          <w:spacing w:val="-9"/>
        </w:rPr>
        <w:t> </w:t>
      </w:r>
      <w:r>
        <w:rPr/>
        <w:t>ability.</w:t>
      </w:r>
      <w:r>
        <w:rPr>
          <w:spacing w:val="-10"/>
        </w:rPr>
        <w:t> </w:t>
      </w:r>
      <w:r>
        <w:rPr/>
        <w:t>On</w:t>
      </w:r>
      <w:r>
        <w:rPr>
          <w:spacing w:val="-7"/>
        </w:rPr>
        <w:t> </w:t>
      </w:r>
      <w:r>
        <w:rPr/>
        <w:t>the</w:t>
      </w:r>
      <w:r>
        <w:rPr>
          <w:spacing w:val="-9"/>
        </w:rPr>
        <w:t> </w:t>
      </w:r>
      <w:r>
        <w:rPr/>
        <w:t>other</w:t>
      </w:r>
      <w:r>
        <w:rPr>
          <w:spacing w:val="-9"/>
        </w:rPr>
        <w:t> </w:t>
      </w:r>
      <w:r>
        <w:rPr/>
        <w:t>hand,</w:t>
      </w:r>
      <w:r>
        <w:rPr>
          <w:spacing w:val="-10"/>
        </w:rPr>
        <w:t> </w:t>
      </w:r>
      <w:r>
        <w:rPr/>
        <w:t>performance-avoidance</w:t>
      </w:r>
      <w:r>
        <w:rPr>
          <w:spacing w:val="-8"/>
        </w:rPr>
        <w:t> </w:t>
      </w:r>
      <w:r>
        <w:rPr/>
        <w:t>goals aimed</w:t>
      </w:r>
      <w:r>
        <w:rPr>
          <w:spacing w:val="-10"/>
        </w:rPr>
        <w:t> </w:t>
      </w:r>
      <w:r>
        <w:rPr/>
        <w:t>solely</w:t>
      </w:r>
      <w:r>
        <w:rPr>
          <w:spacing w:val="-11"/>
        </w:rPr>
        <w:t> </w:t>
      </w:r>
      <w:r>
        <w:rPr/>
        <w:t>at</w:t>
      </w:r>
      <w:r>
        <w:rPr>
          <w:spacing w:val="-11"/>
        </w:rPr>
        <w:t> </w:t>
      </w:r>
      <w:r>
        <w:rPr/>
        <w:t>escaping</w:t>
      </w:r>
      <w:r>
        <w:rPr>
          <w:spacing w:val="-10"/>
        </w:rPr>
        <w:t> </w:t>
      </w:r>
      <w:r>
        <w:rPr/>
        <w:t>negative</w:t>
      </w:r>
      <w:r>
        <w:rPr>
          <w:spacing w:val="-10"/>
        </w:rPr>
        <w:t> </w:t>
      </w:r>
      <w:r>
        <w:rPr/>
        <w:t>judgments</w:t>
      </w:r>
      <w:r>
        <w:rPr>
          <w:spacing w:val="-11"/>
        </w:rPr>
        <w:t> </w:t>
      </w:r>
      <w:r>
        <w:rPr/>
        <w:t>and</w:t>
      </w:r>
      <w:r>
        <w:rPr>
          <w:spacing w:val="-11"/>
        </w:rPr>
        <w:t> </w:t>
      </w:r>
      <w:r>
        <w:rPr/>
        <w:t>show</w:t>
      </w:r>
      <w:r>
        <w:rPr>
          <w:spacing w:val="-10"/>
        </w:rPr>
        <w:t> </w:t>
      </w:r>
      <w:r>
        <w:rPr/>
        <w:t>no</w:t>
      </w:r>
      <w:r>
        <w:rPr>
          <w:spacing w:val="-10"/>
        </w:rPr>
        <w:t> </w:t>
      </w:r>
      <w:r>
        <w:rPr/>
        <w:t>aspects</w:t>
      </w:r>
      <w:r>
        <w:rPr>
          <w:spacing w:val="-11"/>
        </w:rPr>
        <w:t> </w:t>
      </w:r>
      <w:r>
        <w:rPr/>
        <w:t>of</w:t>
      </w:r>
      <w:r>
        <w:rPr>
          <w:spacing w:val="-11"/>
        </w:rPr>
        <w:t> </w:t>
      </w:r>
      <w:r>
        <w:rPr/>
        <w:t>involvement</w:t>
      </w:r>
      <w:r>
        <w:rPr>
          <w:spacing w:val="-11"/>
        </w:rPr>
        <w:t> </w:t>
      </w:r>
      <w:r>
        <w:rPr/>
        <w:t>(Elliot, 1999; Soylu et al., 2017). Specifically, in writing research, mastery goals are the best predictors of good writing strategy use (Abdulhay et.al, 2020; Camacho et.al, 2022).</w:t>
      </w:r>
    </w:p>
    <w:p>
      <w:pPr>
        <w:pStyle w:val="BodyText"/>
        <w:spacing w:before="1"/>
        <w:ind w:right="1079" w:firstLine="719"/>
        <w:jc w:val="both"/>
      </w:pPr>
      <w:r>
        <w:rPr/>
        <w:t>Incorporating insights from both motivation and writing research suggests a mediating chain wherein achievement goals influence grit, which then shapes writing strategies. This assumes that goal orientations strengthen perseverance when writing tasks become more complex, and such sustained efforts push consistent application of cognitive and metacognitive strategies. In this framework, grit serves as the mediating </w:t>
      </w:r>
      <w:r>
        <w:rPr>
          <w:spacing w:val="-2"/>
        </w:rPr>
        <w:t>factor.</w:t>
      </w:r>
    </w:p>
    <w:p>
      <w:pPr>
        <w:pStyle w:val="BodyText"/>
        <w:ind w:right="1077" w:firstLine="719"/>
        <w:jc w:val="both"/>
      </w:pPr>
      <w:r>
        <w:rPr/>
        <mc:AlternateContent>
          <mc:Choice Requires="wps">
            <w:drawing>
              <wp:anchor distT="0" distB="0" distL="0" distR="0" allowOverlap="1" layoutInCell="1" locked="0" behindDoc="0" simplePos="0" relativeHeight="15729152">
                <wp:simplePos x="0" y="0"/>
                <wp:positionH relativeFrom="page">
                  <wp:posOffset>2371217</wp:posOffset>
                </wp:positionH>
                <wp:positionV relativeFrom="paragraph">
                  <wp:posOffset>2704568</wp:posOffset>
                </wp:positionV>
                <wp:extent cx="648335" cy="91757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48335" cy="917575"/>
                        </a:xfrm>
                        <a:custGeom>
                          <a:avLst/>
                          <a:gdLst/>
                          <a:ahLst/>
                          <a:cxnLst/>
                          <a:rect l="l" t="t" r="r" b="b"/>
                          <a:pathLst>
                            <a:path w="648335" h="917575">
                              <a:moveTo>
                                <a:pt x="572007" y="841374"/>
                              </a:moveTo>
                              <a:lnTo>
                                <a:pt x="572007" y="917574"/>
                              </a:lnTo>
                              <a:lnTo>
                                <a:pt x="641857" y="882649"/>
                              </a:lnTo>
                              <a:lnTo>
                                <a:pt x="584707" y="882649"/>
                              </a:lnTo>
                              <a:lnTo>
                                <a:pt x="584707" y="876299"/>
                              </a:lnTo>
                              <a:lnTo>
                                <a:pt x="641857" y="876299"/>
                              </a:lnTo>
                              <a:lnTo>
                                <a:pt x="572007" y="841374"/>
                              </a:lnTo>
                              <a:close/>
                            </a:path>
                            <a:path w="648335" h="917575">
                              <a:moveTo>
                                <a:pt x="0" y="3174"/>
                              </a:moveTo>
                              <a:lnTo>
                                <a:pt x="0" y="882649"/>
                              </a:lnTo>
                              <a:lnTo>
                                <a:pt x="572007" y="882649"/>
                              </a:lnTo>
                              <a:lnTo>
                                <a:pt x="572007" y="879474"/>
                              </a:lnTo>
                              <a:lnTo>
                                <a:pt x="6350" y="879474"/>
                              </a:lnTo>
                              <a:lnTo>
                                <a:pt x="3175" y="876299"/>
                              </a:lnTo>
                              <a:lnTo>
                                <a:pt x="6350" y="876299"/>
                              </a:lnTo>
                              <a:lnTo>
                                <a:pt x="6350" y="6349"/>
                              </a:lnTo>
                              <a:lnTo>
                                <a:pt x="507" y="6349"/>
                              </a:lnTo>
                              <a:lnTo>
                                <a:pt x="507" y="3682"/>
                              </a:lnTo>
                              <a:lnTo>
                                <a:pt x="0" y="3174"/>
                              </a:lnTo>
                              <a:close/>
                            </a:path>
                            <a:path w="648335" h="917575">
                              <a:moveTo>
                                <a:pt x="641857" y="876299"/>
                              </a:moveTo>
                              <a:lnTo>
                                <a:pt x="584707" y="876299"/>
                              </a:lnTo>
                              <a:lnTo>
                                <a:pt x="584707" y="882649"/>
                              </a:lnTo>
                              <a:lnTo>
                                <a:pt x="641857" y="882649"/>
                              </a:lnTo>
                              <a:lnTo>
                                <a:pt x="648207" y="879474"/>
                              </a:lnTo>
                              <a:lnTo>
                                <a:pt x="641857" y="876299"/>
                              </a:lnTo>
                              <a:close/>
                            </a:path>
                            <a:path w="648335" h="917575">
                              <a:moveTo>
                                <a:pt x="6350" y="876299"/>
                              </a:moveTo>
                              <a:lnTo>
                                <a:pt x="3175" y="876299"/>
                              </a:lnTo>
                              <a:lnTo>
                                <a:pt x="6350" y="879474"/>
                              </a:lnTo>
                              <a:lnTo>
                                <a:pt x="6350" y="876299"/>
                              </a:lnTo>
                              <a:close/>
                            </a:path>
                            <a:path w="648335" h="917575">
                              <a:moveTo>
                                <a:pt x="572007" y="876299"/>
                              </a:moveTo>
                              <a:lnTo>
                                <a:pt x="6350" y="876299"/>
                              </a:lnTo>
                              <a:lnTo>
                                <a:pt x="6350" y="879474"/>
                              </a:lnTo>
                              <a:lnTo>
                                <a:pt x="572007" y="879474"/>
                              </a:lnTo>
                              <a:lnTo>
                                <a:pt x="572007" y="876299"/>
                              </a:lnTo>
                              <a:close/>
                            </a:path>
                            <a:path w="648335" h="917575">
                              <a:moveTo>
                                <a:pt x="507" y="3682"/>
                              </a:moveTo>
                              <a:lnTo>
                                <a:pt x="507" y="6349"/>
                              </a:lnTo>
                              <a:lnTo>
                                <a:pt x="3175" y="6349"/>
                              </a:lnTo>
                              <a:lnTo>
                                <a:pt x="507" y="3682"/>
                              </a:lnTo>
                              <a:close/>
                            </a:path>
                            <a:path w="648335" h="917575">
                              <a:moveTo>
                                <a:pt x="6350" y="0"/>
                              </a:moveTo>
                              <a:lnTo>
                                <a:pt x="507" y="0"/>
                              </a:lnTo>
                              <a:lnTo>
                                <a:pt x="507" y="3682"/>
                              </a:lnTo>
                              <a:lnTo>
                                <a:pt x="3175" y="6349"/>
                              </a:lnTo>
                              <a:lnTo>
                                <a:pt x="6350" y="6349"/>
                              </a:lnTo>
                              <a:lnTo>
                                <a:pt x="6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86.710007pt;margin-top:212.95813pt;width:51.05pt;height:72.25pt;mso-position-horizontal-relative:page;mso-position-vertical-relative:paragraph;z-index:15729152" id="docshape4" coordorigin="3734,4259" coordsize="1021,1445" path="m4635,5584l4635,5704,4745,5649,4655,5649,4655,5639,4745,5639,4635,5584xm3734,4264l3734,5649,4635,5649,4635,5644,3744,5644,3739,5639,3744,5639,3744,4269,3735,4269,3735,4265,3734,4264xm4745,5639l4655,5639,4655,5649,4745,5649,4755,5644,4745,5639xm3744,5639l3739,5639,3744,5644,3744,5639xm4635,5639l3744,5639,3744,5644,4635,5644,4635,5639xm3735,4265l3735,4269,3739,4269,3735,4265xm3744,4259l3735,4259,3735,4265,3739,4269,3744,4269,3744,4259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3209925</wp:posOffset>
                </wp:positionH>
                <wp:positionV relativeFrom="paragraph">
                  <wp:posOffset>2297660</wp:posOffset>
                </wp:positionV>
                <wp:extent cx="1371600" cy="762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371600" cy="76200"/>
                        </a:xfrm>
                        <a:custGeom>
                          <a:avLst/>
                          <a:gdLst/>
                          <a:ahLst/>
                          <a:cxnLst/>
                          <a:rect l="l" t="t" r="r" b="b"/>
                          <a:pathLst>
                            <a:path w="1371600" h="76200">
                              <a:moveTo>
                                <a:pt x="1295653" y="0"/>
                              </a:moveTo>
                              <a:lnTo>
                                <a:pt x="1295146" y="76199"/>
                              </a:lnTo>
                              <a:lnTo>
                                <a:pt x="1365917" y="41401"/>
                              </a:lnTo>
                              <a:lnTo>
                                <a:pt x="1308100" y="41401"/>
                              </a:lnTo>
                              <a:lnTo>
                                <a:pt x="1308100" y="35051"/>
                              </a:lnTo>
                              <a:lnTo>
                                <a:pt x="1364604" y="35051"/>
                              </a:lnTo>
                              <a:lnTo>
                                <a:pt x="1295653" y="0"/>
                              </a:lnTo>
                              <a:close/>
                            </a:path>
                            <a:path w="1371600" h="76200">
                              <a:moveTo>
                                <a:pt x="0" y="25907"/>
                              </a:moveTo>
                              <a:lnTo>
                                <a:pt x="0" y="32257"/>
                              </a:lnTo>
                              <a:lnTo>
                                <a:pt x="1308099" y="41401"/>
                              </a:lnTo>
                              <a:lnTo>
                                <a:pt x="1295377" y="41401"/>
                              </a:lnTo>
                              <a:lnTo>
                                <a:pt x="1295420" y="35051"/>
                              </a:lnTo>
                              <a:lnTo>
                                <a:pt x="1308100" y="35051"/>
                              </a:lnTo>
                              <a:lnTo>
                                <a:pt x="0" y="25907"/>
                              </a:lnTo>
                              <a:close/>
                            </a:path>
                            <a:path w="1371600" h="76200">
                              <a:moveTo>
                                <a:pt x="1364604" y="35051"/>
                              </a:moveTo>
                              <a:lnTo>
                                <a:pt x="1308100" y="35051"/>
                              </a:lnTo>
                              <a:lnTo>
                                <a:pt x="1308100" y="41401"/>
                              </a:lnTo>
                              <a:lnTo>
                                <a:pt x="1365917" y="41401"/>
                              </a:lnTo>
                              <a:lnTo>
                                <a:pt x="1371600" y="38607"/>
                              </a:lnTo>
                              <a:lnTo>
                                <a:pt x="1364604" y="350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2.75pt;margin-top:180.918121pt;width:108pt;height:6pt;mso-position-horizontal-relative:page;mso-position-vertical-relative:paragraph;z-index:15729664" id="docshape5" coordorigin="5055,3618" coordsize="2160,120" path="m7095,3618l7095,3738,7206,3684,7115,3684,7115,3674,7204,3674,7095,3618xm5055,3659l5055,3669,7115,3684,7095,3684,7095,3674,7115,3674,5055,3659xm7204,3674l7115,3674,7115,3684,7206,3684,7215,3679,7204,3674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4714240</wp:posOffset>
                </wp:positionH>
                <wp:positionV relativeFrom="paragraph">
                  <wp:posOffset>2723618</wp:posOffset>
                </wp:positionV>
                <wp:extent cx="657225" cy="8699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57225" cy="869950"/>
                        </a:xfrm>
                        <a:custGeom>
                          <a:avLst/>
                          <a:gdLst/>
                          <a:ahLst/>
                          <a:cxnLst/>
                          <a:rect l="l" t="t" r="r" b="b"/>
                          <a:pathLst>
                            <a:path w="657225" h="869950">
                              <a:moveTo>
                                <a:pt x="76200" y="793749"/>
                              </a:moveTo>
                              <a:lnTo>
                                <a:pt x="0" y="831849"/>
                              </a:lnTo>
                              <a:lnTo>
                                <a:pt x="76200" y="869949"/>
                              </a:lnTo>
                              <a:lnTo>
                                <a:pt x="76200" y="835024"/>
                              </a:lnTo>
                              <a:lnTo>
                                <a:pt x="63500" y="835024"/>
                              </a:lnTo>
                              <a:lnTo>
                                <a:pt x="63500" y="828674"/>
                              </a:lnTo>
                              <a:lnTo>
                                <a:pt x="76200" y="828674"/>
                              </a:lnTo>
                              <a:lnTo>
                                <a:pt x="76200" y="793749"/>
                              </a:lnTo>
                              <a:close/>
                            </a:path>
                            <a:path w="657225" h="869950">
                              <a:moveTo>
                                <a:pt x="76200" y="828674"/>
                              </a:moveTo>
                              <a:lnTo>
                                <a:pt x="63500" y="828674"/>
                              </a:lnTo>
                              <a:lnTo>
                                <a:pt x="63500" y="835024"/>
                              </a:lnTo>
                              <a:lnTo>
                                <a:pt x="76200" y="835024"/>
                              </a:lnTo>
                              <a:lnTo>
                                <a:pt x="76200" y="828674"/>
                              </a:lnTo>
                              <a:close/>
                            </a:path>
                            <a:path w="657225" h="869950">
                              <a:moveTo>
                                <a:pt x="650113" y="828674"/>
                              </a:moveTo>
                              <a:lnTo>
                                <a:pt x="76200" y="828674"/>
                              </a:lnTo>
                              <a:lnTo>
                                <a:pt x="76200" y="835024"/>
                              </a:lnTo>
                              <a:lnTo>
                                <a:pt x="656463" y="835024"/>
                              </a:lnTo>
                              <a:lnTo>
                                <a:pt x="656463" y="831849"/>
                              </a:lnTo>
                              <a:lnTo>
                                <a:pt x="650113" y="831849"/>
                              </a:lnTo>
                              <a:lnTo>
                                <a:pt x="650113" y="828674"/>
                              </a:lnTo>
                              <a:close/>
                            </a:path>
                            <a:path w="657225" h="869950">
                              <a:moveTo>
                                <a:pt x="657225" y="0"/>
                              </a:moveTo>
                              <a:lnTo>
                                <a:pt x="650113" y="0"/>
                              </a:lnTo>
                              <a:lnTo>
                                <a:pt x="650113" y="831849"/>
                              </a:lnTo>
                              <a:lnTo>
                                <a:pt x="653288" y="828674"/>
                              </a:lnTo>
                              <a:lnTo>
                                <a:pt x="656463" y="828674"/>
                              </a:lnTo>
                              <a:lnTo>
                                <a:pt x="656463" y="6349"/>
                              </a:lnTo>
                              <a:lnTo>
                                <a:pt x="653288" y="6349"/>
                              </a:lnTo>
                              <a:lnTo>
                                <a:pt x="656463" y="3174"/>
                              </a:lnTo>
                              <a:lnTo>
                                <a:pt x="657225" y="3174"/>
                              </a:lnTo>
                              <a:lnTo>
                                <a:pt x="657225" y="0"/>
                              </a:lnTo>
                              <a:close/>
                            </a:path>
                            <a:path w="657225" h="869950">
                              <a:moveTo>
                                <a:pt x="656463" y="828674"/>
                              </a:moveTo>
                              <a:lnTo>
                                <a:pt x="653288" y="828674"/>
                              </a:lnTo>
                              <a:lnTo>
                                <a:pt x="650113" y="831849"/>
                              </a:lnTo>
                              <a:lnTo>
                                <a:pt x="656463" y="831849"/>
                              </a:lnTo>
                              <a:lnTo>
                                <a:pt x="656463" y="828674"/>
                              </a:lnTo>
                              <a:close/>
                            </a:path>
                            <a:path w="657225" h="869950">
                              <a:moveTo>
                                <a:pt x="656463" y="3174"/>
                              </a:moveTo>
                              <a:lnTo>
                                <a:pt x="653288" y="6349"/>
                              </a:lnTo>
                              <a:lnTo>
                                <a:pt x="656463" y="6349"/>
                              </a:lnTo>
                              <a:lnTo>
                                <a:pt x="656463" y="3174"/>
                              </a:lnTo>
                              <a:close/>
                            </a:path>
                            <a:path w="657225" h="869950">
                              <a:moveTo>
                                <a:pt x="657225" y="3174"/>
                              </a:moveTo>
                              <a:lnTo>
                                <a:pt x="656463" y="3174"/>
                              </a:lnTo>
                              <a:lnTo>
                                <a:pt x="656463" y="6349"/>
                              </a:lnTo>
                              <a:lnTo>
                                <a:pt x="657225" y="6349"/>
                              </a:lnTo>
                              <a:lnTo>
                                <a:pt x="657225" y="31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71.200012pt;margin-top:214.45813pt;width:51.75pt;height:68.5pt;mso-position-horizontal-relative:page;mso-position-vertical-relative:paragraph;z-index:15730176" id="docshape6" coordorigin="7424,4289" coordsize="1035,1370" path="m7544,5539l7424,5599,7544,5659,7544,5604,7524,5604,7524,5594,7544,5594,7544,5539xm7544,5594l7524,5594,7524,5604,7544,5604,7544,5594xm8448,5594l7544,5594,7544,5604,8458,5604,8458,5599,8448,5599,8448,5594xm8459,4289l8448,4289,8448,5599,8453,5594,8458,5594,8458,4299,8453,4299,8458,4294,8459,4294,8459,4289xm8458,5594l8453,5594,8448,5599,8458,5599,8458,5594xm8458,4294l8453,4299,8458,4299,8458,4294xm8459,4294l8458,4294,8458,4299,8459,4299,8459,4294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4640326</wp:posOffset>
                </wp:positionH>
                <wp:positionV relativeFrom="paragraph">
                  <wp:posOffset>1957046</wp:posOffset>
                </wp:positionV>
                <wp:extent cx="1488440" cy="74866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488440" cy="748665"/>
                          <a:chExt cx="1488440" cy="748665"/>
                        </a:xfrm>
                      </wpg:grpSpPr>
                      <wps:wsp>
                        <wps:cNvPr id="8" name="Textbox 8"/>
                        <wps:cNvSpPr txBox="1"/>
                        <wps:spPr>
                          <a:xfrm>
                            <a:off x="3175" y="179831"/>
                            <a:ext cx="1482090" cy="565150"/>
                          </a:xfrm>
                          <a:prstGeom prst="rect">
                            <a:avLst/>
                          </a:prstGeom>
                          <a:ln w="6350">
                            <a:solidFill>
                              <a:srgbClr val="000000"/>
                            </a:solidFill>
                            <a:prstDash val="solid"/>
                          </a:ln>
                        </wps:spPr>
                        <wps:txbx>
                          <w:txbxContent>
                            <w:p>
                              <w:pPr>
                                <w:spacing w:before="1"/>
                                <w:ind w:left="416" w:right="0" w:firstLine="186"/>
                                <w:jc w:val="left"/>
                                <w:rPr>
                                  <w:rFonts w:ascii="Calibri"/>
                                  <w:b/>
                                  <w:sz w:val="36"/>
                                </w:rPr>
                              </w:pPr>
                              <w:r>
                                <w:rPr>
                                  <w:rFonts w:ascii="Calibri"/>
                                  <w:b/>
                                  <w:spacing w:val="-2"/>
                                  <w:sz w:val="36"/>
                                </w:rPr>
                                <w:t>Writing Strategies</w:t>
                              </w:r>
                            </w:p>
                          </w:txbxContent>
                        </wps:txbx>
                        <wps:bodyPr wrap="square" lIns="0" tIns="0" rIns="0" bIns="0" rtlCol="0">
                          <a:noAutofit/>
                        </wps:bodyPr>
                      </wps:wsp>
                      <wps:wsp>
                        <wps:cNvPr id="9" name="Textbox 9"/>
                        <wps:cNvSpPr txBox="1"/>
                        <wps:spPr>
                          <a:xfrm>
                            <a:off x="3175" y="3175"/>
                            <a:ext cx="1482090" cy="177165"/>
                          </a:xfrm>
                          <a:prstGeom prst="rect">
                            <a:avLst/>
                          </a:prstGeom>
                          <a:ln w="6350">
                            <a:solidFill>
                              <a:srgbClr val="000000"/>
                            </a:solidFill>
                            <a:prstDash val="solid"/>
                          </a:ln>
                        </wps:spPr>
                        <wps:txbx>
                          <w:txbxContent>
                            <w:p>
                              <w:pPr>
                                <w:spacing w:line="268" w:lineRule="exact" w:before="0"/>
                                <w:ind w:left="265" w:right="0" w:firstLine="0"/>
                                <w:jc w:val="left"/>
                                <w:rPr>
                                  <w:rFonts w:ascii="Calibri"/>
                                  <w:sz w:val="22"/>
                                </w:rPr>
                              </w:pPr>
                              <w:r>
                                <w:rPr>
                                  <w:rFonts w:ascii="Calibri"/>
                                  <w:sz w:val="22"/>
                                </w:rPr>
                                <w:t>Dependent</w:t>
                              </w:r>
                              <w:r>
                                <w:rPr>
                                  <w:rFonts w:ascii="Calibri"/>
                                  <w:spacing w:val="-5"/>
                                  <w:sz w:val="22"/>
                                </w:rPr>
                                <w:t> </w:t>
                              </w:r>
                              <w:r>
                                <w:rPr>
                                  <w:rFonts w:ascii="Calibri"/>
                                  <w:spacing w:val="-2"/>
                                  <w:sz w:val="22"/>
                                </w:rPr>
                                <w:t>Variable</w:t>
                              </w:r>
                            </w:p>
                          </w:txbxContent>
                        </wps:txbx>
                        <wps:bodyPr wrap="square" lIns="0" tIns="0" rIns="0" bIns="0" rtlCol="0">
                          <a:noAutofit/>
                        </wps:bodyPr>
                      </wps:wsp>
                    </wpg:wgp>
                  </a:graphicData>
                </a:graphic>
              </wp:anchor>
            </w:drawing>
          </mc:Choice>
          <mc:Fallback>
            <w:pict>
              <v:group style="position:absolute;margin-left:365.380005pt;margin-top:154.098129pt;width:117.2pt;height:58.95pt;mso-position-horizontal-relative:page;mso-position-vertical-relative:paragraph;z-index:15731200" id="docshapegroup7" coordorigin="7308,3082" coordsize="2344,1179">
                <v:shape style="position:absolute;left:7312;top:3365;width:2334;height:890" type="#_x0000_t202" id="docshape8" filled="false" stroked="true" strokeweight=".5pt" strokecolor="#000000">
                  <v:textbox inset="0,0,0,0">
                    <w:txbxContent>
                      <w:p>
                        <w:pPr>
                          <w:spacing w:before="1"/>
                          <w:ind w:left="416" w:right="0" w:firstLine="186"/>
                          <w:jc w:val="left"/>
                          <w:rPr>
                            <w:rFonts w:ascii="Calibri"/>
                            <w:b/>
                            <w:sz w:val="36"/>
                          </w:rPr>
                        </w:pPr>
                        <w:r>
                          <w:rPr>
                            <w:rFonts w:ascii="Calibri"/>
                            <w:b/>
                            <w:spacing w:val="-2"/>
                            <w:sz w:val="36"/>
                          </w:rPr>
                          <w:t>Writing Strategies</w:t>
                        </w:r>
                      </w:p>
                    </w:txbxContent>
                  </v:textbox>
                  <v:stroke dashstyle="solid"/>
                  <w10:wrap type="none"/>
                </v:shape>
                <v:shape style="position:absolute;left:7312;top:3086;width:2334;height:279" type="#_x0000_t202" id="docshape9" filled="false" stroked="true" strokeweight=".5pt" strokecolor="#000000">
                  <v:textbox inset="0,0,0,0">
                    <w:txbxContent>
                      <w:p>
                        <w:pPr>
                          <w:spacing w:line="268" w:lineRule="exact" w:before="0"/>
                          <w:ind w:left="265" w:right="0" w:firstLine="0"/>
                          <w:jc w:val="left"/>
                          <w:rPr>
                            <w:rFonts w:ascii="Calibri"/>
                            <w:sz w:val="22"/>
                          </w:rPr>
                        </w:pPr>
                        <w:r>
                          <w:rPr>
                            <w:rFonts w:ascii="Calibri"/>
                            <w:sz w:val="22"/>
                          </w:rPr>
                          <w:t>Dependent</w:t>
                        </w:r>
                        <w:r>
                          <w:rPr>
                            <w:rFonts w:ascii="Calibri"/>
                            <w:spacing w:val="-5"/>
                            <w:sz w:val="22"/>
                          </w:rPr>
                          <w:t> </w:t>
                        </w:r>
                        <w:r>
                          <w:rPr>
                            <w:rFonts w:ascii="Calibri"/>
                            <w:spacing w:val="-2"/>
                            <w:sz w:val="22"/>
                          </w:rPr>
                          <w:t>Variable</w:t>
                        </w:r>
                      </w:p>
                    </w:txbxContent>
                  </v:textbox>
                  <v:stroke dashstyle="solid"/>
                  <w10:wrap type="none"/>
                </v:shape>
                <w10:wrap type="none"/>
              </v:group>
            </w:pict>
          </mc:Fallback>
        </mc:AlternateContent>
      </w:r>
      <w:r>
        <w:rPr/>
        <w:t>However, empirical research validating this pathway in the technical writing context, particularly among science and technology universities, is limited. Despite the importance of technical writing in the Food Processing and Technology course as an academic and professional skill yet the motivational factors that support students’ strategic writing behaviors have yet to be thoroughly studied. To address this gap, this paper examines whether grit mediates the relationship between achievement goals and students ’writing strategies. This proposes the hypothesis that students with stronger achievement goals are more likely to have higher grit, which enhances their use of effective writing strategies which as shown in the conceptual framework below.</w:t>
      </w:r>
    </w:p>
    <w:p>
      <w:pPr>
        <w:pStyle w:val="BodyText"/>
        <w:ind w:left="0"/>
        <w:rPr>
          <w:sz w:val="20"/>
        </w:rPr>
      </w:pPr>
    </w:p>
    <w:p>
      <w:pPr>
        <w:pStyle w:val="BodyText"/>
        <w:spacing w:before="68"/>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1634870</wp:posOffset>
                </wp:positionH>
                <wp:positionV relativeFrom="paragraph">
                  <wp:posOffset>204719</wp:posOffset>
                </wp:positionV>
                <wp:extent cx="1490345" cy="74676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1490345" cy="746760"/>
                          <a:chExt cx="1490345" cy="746760"/>
                        </a:xfrm>
                      </wpg:grpSpPr>
                      <wps:wsp>
                        <wps:cNvPr id="11" name="Textbox 11"/>
                        <wps:cNvSpPr txBox="1"/>
                        <wps:spPr>
                          <a:xfrm>
                            <a:off x="3175" y="179704"/>
                            <a:ext cx="1483995" cy="563880"/>
                          </a:xfrm>
                          <a:prstGeom prst="rect">
                            <a:avLst/>
                          </a:prstGeom>
                          <a:ln w="6350">
                            <a:solidFill>
                              <a:srgbClr val="000000"/>
                            </a:solidFill>
                            <a:prstDash val="solid"/>
                          </a:ln>
                        </wps:spPr>
                        <wps:txbx>
                          <w:txbxContent>
                            <w:p>
                              <w:pPr>
                                <w:spacing w:before="0"/>
                                <w:ind w:left="745" w:right="0" w:hanging="572"/>
                                <w:jc w:val="left"/>
                                <w:rPr>
                                  <w:rFonts w:ascii="Calibri"/>
                                  <w:b/>
                                  <w:sz w:val="36"/>
                                </w:rPr>
                              </w:pPr>
                              <w:r>
                                <w:rPr>
                                  <w:rFonts w:ascii="Calibri"/>
                                  <w:b/>
                                  <w:spacing w:val="-2"/>
                                  <w:sz w:val="36"/>
                                </w:rPr>
                                <w:t>Achievement Goals</w:t>
                              </w:r>
                            </w:p>
                          </w:txbxContent>
                        </wps:txbx>
                        <wps:bodyPr wrap="square" lIns="0" tIns="0" rIns="0" bIns="0" rtlCol="0">
                          <a:noAutofit/>
                        </wps:bodyPr>
                      </wps:wsp>
                      <wps:wsp>
                        <wps:cNvPr id="12" name="Textbox 12"/>
                        <wps:cNvSpPr txBox="1"/>
                        <wps:spPr>
                          <a:xfrm>
                            <a:off x="3175" y="3175"/>
                            <a:ext cx="1483995" cy="176530"/>
                          </a:xfrm>
                          <a:prstGeom prst="rect">
                            <a:avLst/>
                          </a:prstGeom>
                          <a:ln w="6350">
                            <a:solidFill>
                              <a:srgbClr val="000000"/>
                            </a:solidFill>
                            <a:prstDash val="solid"/>
                          </a:ln>
                        </wps:spPr>
                        <wps:txbx>
                          <w:txbxContent>
                            <w:p>
                              <w:pPr>
                                <w:spacing w:line="267" w:lineRule="exact" w:before="0"/>
                                <w:ind w:left="192" w:right="0" w:firstLine="0"/>
                                <w:jc w:val="left"/>
                                <w:rPr>
                                  <w:rFonts w:ascii="Calibri"/>
                                  <w:sz w:val="22"/>
                                </w:rPr>
                              </w:pPr>
                              <w:r>
                                <w:rPr>
                                  <w:rFonts w:ascii="Calibri"/>
                                  <w:sz w:val="22"/>
                                </w:rPr>
                                <w:t>Independent</w:t>
                              </w:r>
                              <w:r>
                                <w:rPr>
                                  <w:rFonts w:ascii="Calibri"/>
                                  <w:spacing w:val="-6"/>
                                  <w:sz w:val="22"/>
                                </w:rPr>
                                <w:t> </w:t>
                              </w:r>
                              <w:r>
                                <w:rPr>
                                  <w:rFonts w:ascii="Calibri"/>
                                  <w:spacing w:val="-2"/>
                                  <w:sz w:val="22"/>
                                </w:rPr>
                                <w:t>Variable</w:t>
                              </w:r>
                            </w:p>
                          </w:txbxContent>
                        </wps:txbx>
                        <wps:bodyPr wrap="square" lIns="0" tIns="0" rIns="0" bIns="0" rtlCol="0">
                          <a:noAutofit/>
                        </wps:bodyPr>
                      </wps:wsp>
                    </wpg:wgp>
                  </a:graphicData>
                </a:graphic>
              </wp:anchor>
            </w:drawing>
          </mc:Choice>
          <mc:Fallback>
            <w:pict>
              <v:group style="position:absolute;margin-left:128.729996pt;margin-top:16.119648pt;width:117.35pt;height:58.8pt;mso-position-horizontal-relative:page;mso-position-vertical-relative:paragraph;z-index:-15728640;mso-wrap-distance-left:0;mso-wrap-distance-right:0" id="docshapegroup10" coordorigin="2575,322" coordsize="2347,1176">
                <v:shape style="position:absolute;left:2579;top:605;width:2337;height:888" type="#_x0000_t202" id="docshape11" filled="false" stroked="true" strokeweight=".5pt" strokecolor="#000000">
                  <v:textbox inset="0,0,0,0">
                    <w:txbxContent>
                      <w:p>
                        <w:pPr>
                          <w:spacing w:before="0"/>
                          <w:ind w:left="745" w:right="0" w:hanging="572"/>
                          <w:jc w:val="left"/>
                          <w:rPr>
                            <w:rFonts w:ascii="Calibri"/>
                            <w:b/>
                            <w:sz w:val="36"/>
                          </w:rPr>
                        </w:pPr>
                        <w:r>
                          <w:rPr>
                            <w:rFonts w:ascii="Calibri"/>
                            <w:b/>
                            <w:spacing w:val="-2"/>
                            <w:sz w:val="36"/>
                          </w:rPr>
                          <w:t>Achievement Goals</w:t>
                        </w:r>
                      </w:p>
                    </w:txbxContent>
                  </v:textbox>
                  <v:stroke dashstyle="solid"/>
                  <w10:wrap type="none"/>
                </v:shape>
                <v:shape style="position:absolute;left:2579;top:327;width:2337;height:278" type="#_x0000_t202" id="docshape12" filled="false" stroked="true" strokeweight=".5pt" strokecolor="#000000">
                  <v:textbox inset="0,0,0,0">
                    <w:txbxContent>
                      <w:p>
                        <w:pPr>
                          <w:spacing w:line="267" w:lineRule="exact" w:before="0"/>
                          <w:ind w:left="192" w:right="0" w:firstLine="0"/>
                          <w:jc w:val="left"/>
                          <w:rPr>
                            <w:rFonts w:ascii="Calibri"/>
                            <w:sz w:val="22"/>
                          </w:rPr>
                        </w:pPr>
                        <w:r>
                          <w:rPr>
                            <w:rFonts w:ascii="Calibri"/>
                            <w:sz w:val="22"/>
                          </w:rPr>
                          <w:t>Independent</w:t>
                        </w:r>
                        <w:r>
                          <w:rPr>
                            <w:rFonts w:ascii="Calibri"/>
                            <w:spacing w:val="-6"/>
                            <w:sz w:val="22"/>
                          </w:rPr>
                          <w:t> </w:t>
                        </w:r>
                        <w:r>
                          <w:rPr>
                            <w:rFonts w:ascii="Calibri"/>
                            <w:spacing w:val="-2"/>
                            <w:sz w:val="22"/>
                          </w:rPr>
                          <w:t>Variable</w:t>
                        </w:r>
                      </w:p>
                    </w:txbxContent>
                  </v:textbox>
                  <v:stroke dashstyle="solid"/>
                  <w10:wrap type="none"/>
                </v:shape>
                <w10:wrap type="topAndBottom"/>
              </v:group>
            </w:pict>
          </mc:Fallback>
        </mc:AlternateContent>
      </w:r>
    </w:p>
    <w:p>
      <w:pPr>
        <w:pStyle w:val="BodyText"/>
        <w:spacing w:after="0"/>
        <w:rPr>
          <w:sz w:val="20"/>
        </w:rPr>
        <w:sectPr>
          <w:pgSz w:w="12240" w:h="15840"/>
          <w:pgMar w:top="1360" w:bottom="280" w:left="360" w:right="360"/>
        </w:sectPr>
      </w:pPr>
    </w:p>
    <w:p>
      <w:pPr>
        <w:pStyle w:val="BodyText"/>
        <w:spacing w:before="81"/>
        <w:ind w:left="1800"/>
      </w:pPr>
      <w:r>
        <w:rPr/>
        <w:t>1.2</w:t>
      </w:r>
      <w:r>
        <w:rPr>
          <w:spacing w:val="-5"/>
        </w:rPr>
        <w:t> </w:t>
      </w:r>
      <w:r>
        <w:rPr/>
        <w:t>Theoretical</w:t>
      </w:r>
      <w:r>
        <w:rPr>
          <w:spacing w:val="-5"/>
        </w:rPr>
        <w:t> </w:t>
      </w:r>
      <w:r>
        <w:rPr>
          <w:spacing w:val="-2"/>
        </w:rPr>
        <w:t>Framework</w:t>
      </w:r>
    </w:p>
    <w:p>
      <w:pPr>
        <w:pStyle w:val="BodyText"/>
        <w:ind w:left="0"/>
      </w:pPr>
    </w:p>
    <w:p>
      <w:pPr>
        <w:pStyle w:val="BodyText"/>
        <w:spacing w:line="259" w:lineRule="auto"/>
        <w:ind w:right="1073" w:firstLine="719"/>
        <w:jc w:val="both"/>
      </w:pPr>
      <w:r>
        <w:rPr/>
        <w:t>This</w:t>
      </w:r>
      <w:r>
        <w:rPr>
          <w:spacing w:val="-12"/>
        </w:rPr>
        <w:t> </w:t>
      </w:r>
      <w:r>
        <w:rPr/>
        <w:t>study</w:t>
      </w:r>
      <w:r>
        <w:rPr>
          <w:spacing w:val="-12"/>
        </w:rPr>
        <w:t> </w:t>
      </w:r>
      <w:r>
        <w:rPr/>
        <w:t>was</w:t>
      </w:r>
      <w:r>
        <w:rPr>
          <w:spacing w:val="-12"/>
        </w:rPr>
        <w:t> </w:t>
      </w:r>
      <w:r>
        <w:rPr/>
        <w:t>primarily</w:t>
      </w:r>
      <w:r>
        <w:rPr>
          <w:spacing w:val="-12"/>
        </w:rPr>
        <w:t> </w:t>
      </w:r>
      <w:r>
        <w:rPr/>
        <w:t>anchored</w:t>
      </w:r>
      <w:r>
        <w:rPr>
          <w:spacing w:val="-13"/>
        </w:rPr>
        <w:t> </w:t>
      </w:r>
      <w:r>
        <w:rPr/>
        <w:t>on</w:t>
      </w:r>
      <w:r>
        <w:rPr>
          <w:spacing w:val="-13"/>
        </w:rPr>
        <w:t> </w:t>
      </w:r>
      <w:r>
        <w:rPr/>
        <w:t>the</w:t>
      </w:r>
      <w:r>
        <w:rPr>
          <w:spacing w:val="-12"/>
        </w:rPr>
        <w:t> </w:t>
      </w:r>
      <w:r>
        <w:rPr/>
        <w:t>Achievement</w:t>
      </w:r>
      <w:r>
        <w:rPr>
          <w:spacing w:val="-12"/>
        </w:rPr>
        <w:t> </w:t>
      </w:r>
      <w:r>
        <w:rPr/>
        <w:t>Goal</w:t>
      </w:r>
      <w:r>
        <w:rPr>
          <w:spacing w:val="-12"/>
        </w:rPr>
        <w:t> </w:t>
      </w:r>
      <w:r>
        <w:rPr/>
        <w:t>Theory</w:t>
      </w:r>
      <w:r>
        <w:rPr>
          <w:spacing w:val="-12"/>
        </w:rPr>
        <w:t> </w:t>
      </w:r>
      <w:r>
        <w:rPr/>
        <w:t>Trichotomous Model (Elliot,1999), which explains that the type of goals that students adopt influence their</w:t>
      </w:r>
      <w:r>
        <w:rPr>
          <w:spacing w:val="-13"/>
        </w:rPr>
        <w:t> </w:t>
      </w:r>
      <w:r>
        <w:rPr/>
        <w:t>learning</w:t>
      </w:r>
      <w:r>
        <w:rPr>
          <w:spacing w:val="-13"/>
        </w:rPr>
        <w:t> </w:t>
      </w:r>
      <w:r>
        <w:rPr/>
        <w:t>behavior.</w:t>
      </w:r>
      <w:r>
        <w:rPr>
          <w:spacing w:val="-13"/>
        </w:rPr>
        <w:t> </w:t>
      </w:r>
      <w:r>
        <w:rPr/>
        <w:t>Within</w:t>
      </w:r>
      <w:r>
        <w:rPr>
          <w:spacing w:val="-12"/>
        </w:rPr>
        <w:t> </w:t>
      </w:r>
      <w:r>
        <w:rPr/>
        <w:t>the</w:t>
      </w:r>
      <w:r>
        <w:rPr>
          <w:spacing w:val="-13"/>
        </w:rPr>
        <w:t> </w:t>
      </w:r>
      <w:r>
        <w:rPr/>
        <w:t>trichotomous</w:t>
      </w:r>
      <w:r>
        <w:rPr>
          <w:spacing w:val="-13"/>
        </w:rPr>
        <w:t> </w:t>
      </w:r>
      <w:r>
        <w:rPr/>
        <w:t>model,</w:t>
      </w:r>
      <w:r>
        <w:rPr>
          <w:spacing w:val="-14"/>
        </w:rPr>
        <w:t> </w:t>
      </w:r>
      <w:r>
        <w:rPr/>
        <w:t>three</w:t>
      </w:r>
      <w:r>
        <w:rPr>
          <w:spacing w:val="-13"/>
        </w:rPr>
        <w:t> </w:t>
      </w:r>
      <w:r>
        <w:rPr/>
        <w:t>types</w:t>
      </w:r>
      <w:r>
        <w:rPr>
          <w:spacing w:val="-13"/>
        </w:rPr>
        <w:t> </w:t>
      </w:r>
      <w:r>
        <w:rPr/>
        <w:t>of</w:t>
      </w:r>
      <w:r>
        <w:rPr>
          <w:spacing w:val="-13"/>
        </w:rPr>
        <w:t> </w:t>
      </w:r>
      <w:r>
        <w:rPr/>
        <w:t>goals</w:t>
      </w:r>
      <w:r>
        <w:rPr>
          <w:spacing w:val="-13"/>
        </w:rPr>
        <w:t> </w:t>
      </w:r>
      <w:r>
        <w:rPr/>
        <w:t>are</w:t>
      </w:r>
      <w:r>
        <w:rPr>
          <w:spacing w:val="-12"/>
        </w:rPr>
        <w:t> </w:t>
      </w:r>
      <w:r>
        <w:rPr/>
        <w:t>identified: mastery</w:t>
      </w:r>
      <w:r>
        <w:rPr>
          <w:spacing w:val="-11"/>
        </w:rPr>
        <w:t> </w:t>
      </w:r>
      <w:r>
        <w:rPr/>
        <w:t>goals,</w:t>
      </w:r>
      <w:r>
        <w:rPr>
          <w:spacing w:val="-12"/>
        </w:rPr>
        <w:t> </w:t>
      </w:r>
      <w:r>
        <w:rPr/>
        <w:t>which</w:t>
      </w:r>
      <w:r>
        <w:rPr>
          <w:spacing w:val="-11"/>
        </w:rPr>
        <w:t> </w:t>
      </w:r>
      <w:r>
        <w:rPr/>
        <w:t>highlight</w:t>
      </w:r>
      <w:r>
        <w:rPr>
          <w:spacing w:val="-12"/>
        </w:rPr>
        <w:t> </w:t>
      </w:r>
      <w:r>
        <w:rPr/>
        <w:t>intrinsic</w:t>
      </w:r>
      <w:r>
        <w:rPr>
          <w:spacing w:val="-11"/>
        </w:rPr>
        <w:t> </w:t>
      </w:r>
      <w:r>
        <w:rPr/>
        <w:t>motivation</w:t>
      </w:r>
      <w:r>
        <w:rPr>
          <w:spacing w:val="-10"/>
        </w:rPr>
        <w:t> </w:t>
      </w:r>
      <w:r>
        <w:rPr/>
        <w:t>to</w:t>
      </w:r>
      <w:r>
        <w:rPr>
          <w:spacing w:val="-11"/>
        </w:rPr>
        <w:t> </w:t>
      </w:r>
      <w:r>
        <w:rPr/>
        <w:t>improve</w:t>
      </w:r>
      <w:r>
        <w:rPr>
          <w:spacing w:val="-10"/>
        </w:rPr>
        <w:t> </w:t>
      </w:r>
      <w:r>
        <w:rPr/>
        <w:t>self-</w:t>
      </w:r>
      <w:r>
        <w:rPr>
          <w:spacing w:val="-11"/>
        </w:rPr>
        <w:t> </w:t>
      </w:r>
      <w:r>
        <w:rPr/>
        <w:t>competence</w:t>
      </w:r>
      <w:r>
        <w:rPr>
          <w:spacing w:val="-10"/>
        </w:rPr>
        <w:t> </w:t>
      </w:r>
      <w:r>
        <w:rPr/>
        <w:t>and</w:t>
      </w:r>
      <w:r>
        <w:rPr>
          <w:spacing w:val="-11"/>
        </w:rPr>
        <w:t> </w:t>
      </w:r>
      <w:r>
        <w:rPr/>
        <w:t>skills; performance-approach</w:t>
      </w:r>
      <w:r>
        <w:rPr>
          <w:spacing w:val="-17"/>
        </w:rPr>
        <w:t> </w:t>
      </w:r>
      <w:r>
        <w:rPr/>
        <w:t>goals,</w:t>
      </w:r>
      <w:r>
        <w:rPr>
          <w:spacing w:val="-17"/>
        </w:rPr>
        <w:t> </w:t>
      </w:r>
      <w:r>
        <w:rPr/>
        <w:t>which</w:t>
      </w:r>
      <w:r>
        <w:rPr>
          <w:spacing w:val="-16"/>
        </w:rPr>
        <w:t> </w:t>
      </w:r>
      <w:r>
        <w:rPr/>
        <w:t>rely</w:t>
      </w:r>
      <w:r>
        <w:rPr>
          <w:spacing w:val="-17"/>
        </w:rPr>
        <w:t> </w:t>
      </w:r>
      <w:r>
        <w:rPr/>
        <w:t>on</w:t>
      </w:r>
      <w:r>
        <w:rPr>
          <w:spacing w:val="-17"/>
        </w:rPr>
        <w:t> </w:t>
      </w:r>
      <w:r>
        <w:rPr/>
        <w:t>extrinsic</w:t>
      </w:r>
      <w:r>
        <w:rPr>
          <w:spacing w:val="-17"/>
        </w:rPr>
        <w:t> </w:t>
      </w:r>
      <w:r>
        <w:rPr/>
        <w:t>motivation,</w:t>
      </w:r>
      <w:r>
        <w:rPr>
          <w:spacing w:val="-16"/>
        </w:rPr>
        <w:t> </w:t>
      </w:r>
      <w:r>
        <w:rPr/>
        <w:t>usually</w:t>
      </w:r>
      <w:r>
        <w:rPr>
          <w:spacing w:val="-17"/>
        </w:rPr>
        <w:t> </w:t>
      </w:r>
      <w:r>
        <w:rPr/>
        <w:t>driven</w:t>
      </w:r>
      <w:r>
        <w:rPr>
          <w:spacing w:val="-17"/>
        </w:rPr>
        <w:t> </w:t>
      </w:r>
      <w:r>
        <w:rPr/>
        <w:t>by</w:t>
      </w:r>
      <w:r>
        <w:rPr>
          <w:spacing w:val="-16"/>
        </w:rPr>
        <w:t> </w:t>
      </w:r>
      <w:r>
        <w:rPr/>
        <w:t>grades, recognition, or comparison with others; and the performance-avoidance goals, which involve avoiding failure or appearing incompetent. The goals adopted by the students may determine the intensity of their writing strategies; hence, this theory was relevant in this context.</w:t>
      </w:r>
    </w:p>
    <w:p>
      <w:pPr>
        <w:pStyle w:val="BodyText"/>
        <w:spacing w:line="259" w:lineRule="auto" w:before="158"/>
        <w:ind w:right="1075" w:firstLine="719"/>
        <w:jc w:val="both"/>
      </w:pPr>
      <w:r>
        <w:rPr/>
        <w:t>This study was further supported by Duckworth’s grit theory (Duckworth et.al., 2007).</w:t>
      </w:r>
      <w:r>
        <w:rPr>
          <w:spacing w:val="-5"/>
        </w:rPr>
        <w:t> </w:t>
      </w:r>
      <w:r>
        <w:rPr/>
        <w:t>Grit</w:t>
      </w:r>
      <w:r>
        <w:rPr>
          <w:spacing w:val="-5"/>
        </w:rPr>
        <w:t> </w:t>
      </w:r>
      <w:r>
        <w:rPr/>
        <w:t>is</w:t>
      </w:r>
      <w:r>
        <w:rPr>
          <w:spacing w:val="-4"/>
        </w:rPr>
        <w:t> </w:t>
      </w:r>
      <w:r>
        <w:rPr/>
        <w:t>described</w:t>
      </w:r>
      <w:r>
        <w:rPr>
          <w:spacing w:val="-4"/>
        </w:rPr>
        <w:t> </w:t>
      </w:r>
      <w:r>
        <w:rPr/>
        <w:t>as</w:t>
      </w:r>
      <w:r>
        <w:rPr>
          <w:spacing w:val="-4"/>
        </w:rPr>
        <w:t> </w:t>
      </w:r>
      <w:r>
        <w:rPr/>
        <w:t>the</w:t>
      </w:r>
      <w:r>
        <w:rPr>
          <w:spacing w:val="-4"/>
        </w:rPr>
        <w:t> </w:t>
      </w:r>
      <w:r>
        <w:rPr/>
        <w:t>capacity</w:t>
      </w:r>
      <w:r>
        <w:rPr>
          <w:spacing w:val="-5"/>
        </w:rPr>
        <w:t> </w:t>
      </w:r>
      <w:r>
        <w:rPr/>
        <w:t>to</w:t>
      </w:r>
      <w:r>
        <w:rPr>
          <w:spacing w:val="-4"/>
        </w:rPr>
        <w:t> </w:t>
      </w:r>
      <w:r>
        <w:rPr/>
        <w:t>maintain</w:t>
      </w:r>
      <w:r>
        <w:rPr>
          <w:spacing w:val="-4"/>
        </w:rPr>
        <w:t> </w:t>
      </w:r>
      <w:r>
        <w:rPr/>
        <w:t>and</w:t>
      </w:r>
      <w:r>
        <w:rPr>
          <w:spacing w:val="-4"/>
        </w:rPr>
        <w:t> </w:t>
      </w:r>
      <w:r>
        <w:rPr/>
        <w:t>strengthen</w:t>
      </w:r>
      <w:r>
        <w:rPr>
          <w:spacing w:val="-3"/>
        </w:rPr>
        <w:t> </w:t>
      </w:r>
      <w:r>
        <w:rPr/>
        <w:t>efforts</w:t>
      </w:r>
      <w:r>
        <w:rPr>
          <w:spacing w:val="-4"/>
        </w:rPr>
        <w:t> </w:t>
      </w:r>
      <w:r>
        <w:rPr/>
        <w:t>and</w:t>
      </w:r>
      <w:r>
        <w:rPr>
          <w:spacing w:val="-3"/>
        </w:rPr>
        <w:t> </w:t>
      </w:r>
      <w:r>
        <w:rPr/>
        <w:t>interest</w:t>
      </w:r>
      <w:r>
        <w:rPr>
          <w:spacing w:val="-5"/>
        </w:rPr>
        <w:t> </w:t>
      </w:r>
      <w:r>
        <w:rPr/>
        <w:t>to achieve long-term goals. It has been acknowledged as an element of success in both academic and professional undertakings. This theory suggests that while intellectual ability</w:t>
      </w:r>
      <w:r>
        <w:rPr>
          <w:spacing w:val="-17"/>
        </w:rPr>
        <w:t> </w:t>
      </w:r>
      <w:r>
        <w:rPr/>
        <w:t>is</w:t>
      </w:r>
      <w:r>
        <w:rPr>
          <w:spacing w:val="-17"/>
        </w:rPr>
        <w:t> </w:t>
      </w:r>
      <w:r>
        <w:rPr/>
        <w:t>important</w:t>
      </w:r>
      <w:r>
        <w:rPr>
          <w:spacing w:val="-16"/>
        </w:rPr>
        <w:t> </w:t>
      </w:r>
      <w:r>
        <w:rPr/>
        <w:t>for</w:t>
      </w:r>
      <w:r>
        <w:rPr>
          <w:spacing w:val="-17"/>
        </w:rPr>
        <w:t> </w:t>
      </w:r>
      <w:r>
        <w:rPr/>
        <w:t>success,</w:t>
      </w:r>
      <w:r>
        <w:rPr>
          <w:spacing w:val="-17"/>
        </w:rPr>
        <w:t> </w:t>
      </w:r>
      <w:r>
        <w:rPr/>
        <w:t>the</w:t>
      </w:r>
      <w:r>
        <w:rPr>
          <w:spacing w:val="-17"/>
        </w:rPr>
        <w:t> </w:t>
      </w:r>
      <w:r>
        <w:rPr/>
        <w:t>role</w:t>
      </w:r>
      <w:r>
        <w:rPr>
          <w:spacing w:val="-16"/>
        </w:rPr>
        <w:t> </w:t>
      </w:r>
      <w:r>
        <w:rPr/>
        <w:t>of</w:t>
      </w:r>
      <w:r>
        <w:rPr>
          <w:spacing w:val="-17"/>
        </w:rPr>
        <w:t> </w:t>
      </w:r>
      <w:r>
        <w:rPr/>
        <w:t>grit</w:t>
      </w:r>
      <w:r>
        <w:rPr>
          <w:spacing w:val="-17"/>
        </w:rPr>
        <w:t> </w:t>
      </w:r>
      <w:r>
        <w:rPr/>
        <w:t>cannot</w:t>
      </w:r>
      <w:r>
        <w:rPr>
          <w:spacing w:val="-16"/>
        </w:rPr>
        <w:t> </w:t>
      </w:r>
      <w:r>
        <w:rPr/>
        <w:t>simply</w:t>
      </w:r>
      <w:r>
        <w:rPr>
          <w:spacing w:val="-17"/>
        </w:rPr>
        <w:t> </w:t>
      </w:r>
      <w:r>
        <w:rPr/>
        <w:t>be</w:t>
      </w:r>
      <w:r>
        <w:rPr>
          <w:spacing w:val="-17"/>
        </w:rPr>
        <w:t> </w:t>
      </w:r>
      <w:r>
        <w:rPr/>
        <w:t>understated.</w:t>
      </w:r>
      <w:r>
        <w:rPr>
          <w:spacing w:val="-16"/>
        </w:rPr>
        <w:t> </w:t>
      </w:r>
      <w:r>
        <w:rPr/>
        <w:t>In</w:t>
      </w:r>
      <w:r>
        <w:rPr>
          <w:spacing w:val="-17"/>
        </w:rPr>
        <w:t> </w:t>
      </w:r>
      <w:r>
        <w:rPr/>
        <w:t>the</w:t>
      </w:r>
      <w:r>
        <w:rPr>
          <w:spacing w:val="-17"/>
        </w:rPr>
        <w:t> </w:t>
      </w:r>
      <w:r>
        <w:rPr/>
        <w:t>context of</w:t>
      </w:r>
      <w:r>
        <w:rPr>
          <w:spacing w:val="-8"/>
        </w:rPr>
        <w:t> </w:t>
      </w:r>
      <w:r>
        <w:rPr/>
        <w:t>this</w:t>
      </w:r>
      <w:r>
        <w:rPr>
          <w:spacing w:val="-8"/>
        </w:rPr>
        <w:t> </w:t>
      </w:r>
      <w:r>
        <w:rPr/>
        <w:t>study,</w:t>
      </w:r>
      <w:r>
        <w:rPr>
          <w:spacing w:val="-9"/>
        </w:rPr>
        <w:t> </w:t>
      </w:r>
      <w:r>
        <w:rPr/>
        <w:t>grit</w:t>
      </w:r>
      <w:r>
        <w:rPr>
          <w:spacing w:val="-9"/>
        </w:rPr>
        <w:t> </w:t>
      </w:r>
      <w:r>
        <w:rPr/>
        <w:t>is</w:t>
      </w:r>
      <w:r>
        <w:rPr>
          <w:spacing w:val="-6"/>
        </w:rPr>
        <w:t> </w:t>
      </w:r>
      <w:r>
        <w:rPr/>
        <w:t>viewed</w:t>
      </w:r>
      <w:r>
        <w:rPr>
          <w:spacing w:val="-7"/>
        </w:rPr>
        <w:t> </w:t>
      </w:r>
      <w:r>
        <w:rPr/>
        <w:t>as</w:t>
      </w:r>
      <w:r>
        <w:rPr>
          <w:spacing w:val="-8"/>
        </w:rPr>
        <w:t> </w:t>
      </w:r>
      <w:r>
        <w:rPr/>
        <w:t>the</w:t>
      </w:r>
      <w:r>
        <w:rPr>
          <w:spacing w:val="-8"/>
        </w:rPr>
        <w:t> </w:t>
      </w:r>
      <w:r>
        <w:rPr/>
        <w:t>mediating</w:t>
      </w:r>
      <w:r>
        <w:rPr>
          <w:spacing w:val="-7"/>
        </w:rPr>
        <w:t> </w:t>
      </w:r>
      <w:r>
        <w:rPr/>
        <w:t>factor</w:t>
      </w:r>
      <w:r>
        <w:rPr>
          <w:spacing w:val="-8"/>
        </w:rPr>
        <w:t> </w:t>
      </w:r>
      <w:r>
        <w:rPr/>
        <w:t>that</w:t>
      </w:r>
      <w:r>
        <w:rPr>
          <w:spacing w:val="-8"/>
        </w:rPr>
        <w:t> </w:t>
      </w:r>
      <w:r>
        <w:rPr/>
        <w:t>enables</w:t>
      </w:r>
      <w:r>
        <w:rPr>
          <w:spacing w:val="-8"/>
        </w:rPr>
        <w:t> </w:t>
      </w:r>
      <w:r>
        <w:rPr/>
        <w:t>technical</w:t>
      </w:r>
      <w:r>
        <w:rPr>
          <w:spacing w:val="-4"/>
        </w:rPr>
        <w:t> </w:t>
      </w:r>
      <w:r>
        <w:rPr/>
        <w:t>writing</w:t>
      </w:r>
      <w:r>
        <w:rPr>
          <w:spacing w:val="-7"/>
        </w:rPr>
        <w:t> </w:t>
      </w:r>
      <w:r>
        <w:rPr/>
        <w:t>students to employ different writing strategies aligned with their goals. Students’ adopted goals may</w:t>
      </w:r>
      <w:r>
        <w:rPr>
          <w:spacing w:val="-4"/>
        </w:rPr>
        <w:t> </w:t>
      </w:r>
      <w:r>
        <w:rPr/>
        <w:t>influence</w:t>
      </w:r>
      <w:r>
        <w:rPr>
          <w:spacing w:val="-4"/>
        </w:rPr>
        <w:t> </w:t>
      </w:r>
      <w:r>
        <w:rPr/>
        <w:t>their</w:t>
      </w:r>
      <w:r>
        <w:rPr>
          <w:spacing w:val="-6"/>
        </w:rPr>
        <w:t> </w:t>
      </w:r>
      <w:r>
        <w:rPr/>
        <w:t>level</w:t>
      </w:r>
      <w:r>
        <w:rPr>
          <w:spacing w:val="-4"/>
        </w:rPr>
        <w:t> </w:t>
      </w:r>
      <w:r>
        <w:rPr/>
        <w:t>of</w:t>
      </w:r>
      <w:r>
        <w:rPr>
          <w:spacing w:val="-4"/>
        </w:rPr>
        <w:t> </w:t>
      </w:r>
      <w:r>
        <w:rPr/>
        <w:t>grit,</w:t>
      </w:r>
      <w:r>
        <w:rPr>
          <w:spacing w:val="-4"/>
        </w:rPr>
        <w:t> </w:t>
      </w:r>
      <w:r>
        <w:rPr/>
        <w:t>which</w:t>
      </w:r>
      <w:r>
        <w:rPr>
          <w:spacing w:val="-4"/>
        </w:rPr>
        <w:t> </w:t>
      </w:r>
      <w:r>
        <w:rPr/>
        <w:t>in</w:t>
      </w:r>
      <w:r>
        <w:rPr>
          <w:spacing w:val="-4"/>
        </w:rPr>
        <w:t> </w:t>
      </w:r>
      <w:r>
        <w:rPr/>
        <w:t>turn</w:t>
      </w:r>
      <w:r>
        <w:rPr>
          <w:spacing w:val="-4"/>
        </w:rPr>
        <w:t> </w:t>
      </w:r>
      <w:r>
        <w:rPr/>
        <w:t>determines</w:t>
      </w:r>
      <w:r>
        <w:rPr>
          <w:spacing w:val="-4"/>
        </w:rPr>
        <w:t> </w:t>
      </w:r>
      <w:r>
        <w:rPr/>
        <w:t>the</w:t>
      </w:r>
      <w:r>
        <w:rPr>
          <w:spacing w:val="-4"/>
        </w:rPr>
        <w:t> </w:t>
      </w:r>
      <w:r>
        <w:rPr/>
        <w:t>consistency</w:t>
      </w:r>
      <w:r>
        <w:rPr>
          <w:spacing w:val="-4"/>
        </w:rPr>
        <w:t> </w:t>
      </w:r>
      <w:r>
        <w:rPr/>
        <w:t>and</w:t>
      </w:r>
      <w:r>
        <w:rPr>
          <w:spacing w:val="-4"/>
        </w:rPr>
        <w:t> </w:t>
      </w:r>
      <w:r>
        <w:rPr/>
        <w:t>intensity</w:t>
      </w:r>
      <w:r>
        <w:rPr>
          <w:spacing w:val="-5"/>
        </w:rPr>
        <w:t> </w:t>
      </w:r>
      <w:r>
        <w:rPr/>
        <w:t>of the strategies they are using.</w:t>
      </w:r>
    </w:p>
    <w:p>
      <w:pPr>
        <w:pStyle w:val="BodyText"/>
        <w:spacing w:line="259" w:lineRule="auto" w:before="158"/>
        <w:ind w:right="1075" w:firstLine="719"/>
        <w:jc w:val="both"/>
      </w:pPr>
      <w:r>
        <w:rPr/>
        <w:t>This study assumed a causal pathway in which achievement goals shaped grit, and grit subsequently shaped the students’ writing strategies used in technical writing classes.</w:t>
      </w:r>
      <w:r>
        <w:rPr>
          <w:spacing w:val="-7"/>
        </w:rPr>
        <w:t> </w:t>
      </w:r>
      <w:r>
        <w:rPr/>
        <w:t>Students</w:t>
      </w:r>
      <w:r>
        <w:rPr>
          <w:spacing w:val="-7"/>
        </w:rPr>
        <w:t> </w:t>
      </w:r>
      <w:r>
        <w:rPr/>
        <w:t>who</w:t>
      </w:r>
      <w:r>
        <w:rPr>
          <w:spacing w:val="-6"/>
        </w:rPr>
        <w:t> </w:t>
      </w:r>
      <w:r>
        <w:rPr/>
        <w:t>adopted</w:t>
      </w:r>
      <w:r>
        <w:rPr>
          <w:spacing w:val="-5"/>
        </w:rPr>
        <w:t> </w:t>
      </w:r>
      <w:r>
        <w:rPr/>
        <w:t>mastery</w:t>
      </w:r>
      <w:r>
        <w:rPr>
          <w:spacing w:val="-6"/>
        </w:rPr>
        <w:t> </w:t>
      </w:r>
      <w:r>
        <w:rPr/>
        <w:t>or</w:t>
      </w:r>
      <w:r>
        <w:rPr>
          <w:spacing w:val="-6"/>
        </w:rPr>
        <w:t> </w:t>
      </w:r>
      <w:r>
        <w:rPr/>
        <w:t>performance-approach</w:t>
      </w:r>
      <w:r>
        <w:rPr>
          <w:spacing w:val="-6"/>
        </w:rPr>
        <w:t> </w:t>
      </w:r>
      <w:r>
        <w:rPr/>
        <w:t>goals</w:t>
      </w:r>
      <w:r>
        <w:rPr>
          <w:spacing w:val="-6"/>
        </w:rPr>
        <w:t> </w:t>
      </w:r>
      <w:r>
        <w:rPr/>
        <w:t>are</w:t>
      </w:r>
      <w:r>
        <w:rPr>
          <w:spacing w:val="-6"/>
        </w:rPr>
        <w:t> </w:t>
      </w:r>
      <w:r>
        <w:rPr/>
        <w:t>expected</w:t>
      </w:r>
      <w:r>
        <w:rPr>
          <w:spacing w:val="-5"/>
        </w:rPr>
        <w:t> </w:t>
      </w:r>
      <w:r>
        <w:rPr/>
        <w:t>to exhibit</w:t>
      </w:r>
      <w:r>
        <w:rPr>
          <w:spacing w:val="-5"/>
        </w:rPr>
        <w:t> </w:t>
      </w:r>
      <w:r>
        <w:rPr/>
        <w:t>a</w:t>
      </w:r>
      <w:r>
        <w:rPr>
          <w:spacing w:val="-5"/>
        </w:rPr>
        <w:t> </w:t>
      </w:r>
      <w:r>
        <w:rPr/>
        <w:t>higher</w:t>
      </w:r>
      <w:r>
        <w:rPr>
          <w:spacing w:val="-5"/>
        </w:rPr>
        <w:t> </w:t>
      </w:r>
      <w:r>
        <w:rPr/>
        <w:t>level</w:t>
      </w:r>
      <w:r>
        <w:rPr>
          <w:spacing w:val="-4"/>
        </w:rPr>
        <w:t> </w:t>
      </w:r>
      <w:r>
        <w:rPr/>
        <w:t>of</w:t>
      </w:r>
      <w:r>
        <w:rPr>
          <w:spacing w:val="-5"/>
        </w:rPr>
        <w:t> </w:t>
      </w:r>
      <w:r>
        <w:rPr/>
        <w:t>grit,</w:t>
      </w:r>
      <w:r>
        <w:rPr>
          <w:spacing w:val="-6"/>
        </w:rPr>
        <w:t> </w:t>
      </w:r>
      <w:r>
        <w:rPr/>
        <w:t>leading</w:t>
      </w:r>
      <w:r>
        <w:rPr>
          <w:spacing w:val="-4"/>
        </w:rPr>
        <w:t> </w:t>
      </w:r>
      <w:r>
        <w:rPr/>
        <w:t>to</w:t>
      </w:r>
      <w:r>
        <w:rPr>
          <w:spacing w:val="-6"/>
        </w:rPr>
        <w:t> </w:t>
      </w:r>
      <w:r>
        <w:rPr/>
        <w:t>a</w:t>
      </w:r>
      <w:r>
        <w:rPr>
          <w:spacing w:val="-5"/>
        </w:rPr>
        <w:t> </w:t>
      </w:r>
      <w:r>
        <w:rPr/>
        <w:t>more</w:t>
      </w:r>
      <w:r>
        <w:rPr>
          <w:spacing w:val="-5"/>
        </w:rPr>
        <w:t> </w:t>
      </w:r>
      <w:r>
        <w:rPr/>
        <w:t>persistent</w:t>
      </w:r>
      <w:r>
        <w:rPr>
          <w:spacing w:val="-6"/>
        </w:rPr>
        <w:t> </w:t>
      </w:r>
      <w:r>
        <w:rPr/>
        <w:t>strategy</w:t>
      </w:r>
      <w:r>
        <w:rPr>
          <w:spacing w:val="-5"/>
        </w:rPr>
        <w:t> </w:t>
      </w:r>
      <w:r>
        <w:rPr/>
        <w:t>use.</w:t>
      </w:r>
      <w:r>
        <w:rPr>
          <w:spacing w:val="40"/>
        </w:rPr>
        <w:t> </w:t>
      </w:r>
      <w:r>
        <w:rPr/>
        <w:t>The</w:t>
      </w:r>
      <w:r>
        <w:rPr>
          <w:spacing w:val="-5"/>
        </w:rPr>
        <w:t> </w:t>
      </w:r>
      <w:r>
        <w:rPr/>
        <w:t>integration</w:t>
      </w:r>
      <w:r>
        <w:rPr>
          <w:spacing w:val="-5"/>
        </w:rPr>
        <w:t> </w:t>
      </w:r>
      <w:r>
        <w:rPr/>
        <w:t>of the Achievement Goal Theory and Grit Theory became the researchers’ basis for hypothesizing that grit mediates the relationship between achievement goals and the writing strategies employed by technical writing students.</w:t>
      </w:r>
    </w:p>
    <w:p>
      <w:pPr>
        <w:pStyle w:val="BodyText"/>
        <w:ind w:left="0"/>
      </w:pPr>
    </w:p>
    <w:p>
      <w:pPr>
        <w:pStyle w:val="BodyText"/>
        <w:spacing w:before="66"/>
        <w:ind w:left="0"/>
      </w:pPr>
    </w:p>
    <w:p>
      <w:pPr>
        <w:pStyle w:val="Heading1"/>
        <w:numPr>
          <w:ilvl w:val="0"/>
          <w:numId w:val="1"/>
        </w:numPr>
        <w:tabs>
          <w:tab w:pos="1345" w:val="left" w:leader="none"/>
        </w:tabs>
        <w:spacing w:line="240" w:lineRule="auto" w:before="0" w:after="0"/>
        <w:ind w:left="1345" w:right="0" w:hanging="265"/>
        <w:jc w:val="left"/>
      </w:pPr>
      <w:r>
        <w:rPr/>
        <w:t>Materials</w:t>
      </w:r>
      <w:r>
        <w:rPr>
          <w:spacing w:val="-1"/>
        </w:rPr>
        <w:t> </w:t>
      </w:r>
      <w:r>
        <w:rPr/>
        <w:t>and</w:t>
      </w:r>
      <w:r>
        <w:rPr>
          <w:spacing w:val="-1"/>
        </w:rPr>
        <w:t> </w:t>
      </w:r>
      <w:r>
        <w:rPr>
          <w:spacing w:val="-2"/>
        </w:rPr>
        <w:t>Methods</w:t>
      </w:r>
    </w:p>
    <w:p>
      <w:pPr>
        <w:pStyle w:val="BodyText"/>
        <w:spacing w:before="8"/>
        <w:ind w:left="0"/>
        <w:rPr>
          <w:rFonts w:ascii="Arial"/>
          <w:b/>
        </w:rPr>
      </w:pPr>
    </w:p>
    <w:p>
      <w:pPr>
        <w:pStyle w:val="ListParagraph"/>
        <w:numPr>
          <w:ilvl w:val="1"/>
          <w:numId w:val="1"/>
        </w:numPr>
        <w:tabs>
          <w:tab w:pos="2266" w:val="left" w:leader="none"/>
        </w:tabs>
        <w:spacing w:line="240" w:lineRule="auto" w:before="0" w:after="0"/>
        <w:ind w:left="2266" w:right="0" w:hanging="466"/>
        <w:jc w:val="left"/>
        <w:rPr>
          <w:i/>
          <w:sz w:val="24"/>
        </w:rPr>
      </w:pPr>
      <w:r>
        <w:rPr>
          <w:i/>
          <w:sz w:val="24"/>
        </w:rPr>
        <w:t>Research</w:t>
      </w:r>
      <w:r>
        <w:rPr>
          <w:i/>
          <w:spacing w:val="-7"/>
          <w:sz w:val="24"/>
        </w:rPr>
        <w:t> </w:t>
      </w:r>
      <w:r>
        <w:rPr>
          <w:i/>
          <w:spacing w:val="-2"/>
          <w:sz w:val="24"/>
        </w:rPr>
        <w:t>Design</w:t>
      </w:r>
    </w:p>
    <w:p>
      <w:pPr>
        <w:pStyle w:val="BodyText"/>
        <w:ind w:left="0"/>
        <w:rPr>
          <w:rFonts w:ascii="Arial"/>
          <w:i/>
        </w:rPr>
      </w:pPr>
    </w:p>
    <w:p>
      <w:pPr>
        <w:pStyle w:val="BodyText"/>
        <w:spacing w:line="259" w:lineRule="auto"/>
        <w:ind w:right="1074" w:firstLine="719"/>
        <w:jc w:val="both"/>
      </w:pPr>
      <w:r>
        <w:rPr/>
        <w:t>This study employed a quantitative design, specifically the non-experimental correlational</w:t>
      </w:r>
      <w:r>
        <w:rPr>
          <w:spacing w:val="-17"/>
        </w:rPr>
        <w:t> </w:t>
      </w:r>
      <w:r>
        <w:rPr/>
        <w:t>approach,</w:t>
      </w:r>
      <w:r>
        <w:rPr>
          <w:spacing w:val="-17"/>
        </w:rPr>
        <w:t> </w:t>
      </w:r>
      <w:r>
        <w:rPr/>
        <w:t>to</w:t>
      </w:r>
      <w:r>
        <w:rPr>
          <w:spacing w:val="-16"/>
        </w:rPr>
        <w:t> </w:t>
      </w:r>
      <w:r>
        <w:rPr/>
        <w:t>investigate</w:t>
      </w:r>
      <w:r>
        <w:rPr>
          <w:spacing w:val="-16"/>
        </w:rPr>
        <w:t> </w:t>
      </w:r>
      <w:r>
        <w:rPr/>
        <w:t>the</w:t>
      </w:r>
      <w:r>
        <w:rPr>
          <w:spacing w:val="-15"/>
        </w:rPr>
        <w:t> </w:t>
      </w:r>
      <w:r>
        <w:rPr/>
        <w:t>relationship</w:t>
      </w:r>
      <w:r>
        <w:rPr>
          <w:spacing w:val="-16"/>
        </w:rPr>
        <w:t> </w:t>
      </w:r>
      <w:r>
        <w:rPr/>
        <w:t>among</w:t>
      </w:r>
      <w:r>
        <w:rPr>
          <w:spacing w:val="-16"/>
        </w:rPr>
        <w:t> </w:t>
      </w:r>
      <w:r>
        <w:rPr/>
        <w:t>achievement</w:t>
      </w:r>
      <w:r>
        <w:rPr>
          <w:spacing w:val="-16"/>
        </w:rPr>
        <w:t> </w:t>
      </w:r>
      <w:r>
        <w:rPr/>
        <w:t>goals,</w:t>
      </w:r>
      <w:r>
        <w:rPr>
          <w:spacing w:val="-17"/>
        </w:rPr>
        <w:t> </w:t>
      </w:r>
      <w:r>
        <w:rPr/>
        <w:t>grit,</w:t>
      </w:r>
      <w:r>
        <w:rPr>
          <w:spacing w:val="-17"/>
        </w:rPr>
        <w:t> </w:t>
      </w:r>
      <w:r>
        <w:rPr/>
        <w:t>and writing strategies of technical writing students. In addition, it also aimed to examine the mediating</w:t>
      </w:r>
      <w:r>
        <w:rPr>
          <w:spacing w:val="-5"/>
        </w:rPr>
        <w:t> </w:t>
      </w:r>
      <w:r>
        <w:rPr/>
        <w:t>role</w:t>
      </w:r>
      <w:r>
        <w:rPr>
          <w:spacing w:val="-5"/>
        </w:rPr>
        <w:t> </w:t>
      </w:r>
      <w:r>
        <w:rPr/>
        <w:t>of</w:t>
      </w:r>
      <w:r>
        <w:rPr>
          <w:spacing w:val="-5"/>
        </w:rPr>
        <w:t> </w:t>
      </w:r>
      <w:r>
        <w:rPr/>
        <w:t>grit</w:t>
      </w:r>
      <w:r>
        <w:rPr>
          <w:spacing w:val="-6"/>
        </w:rPr>
        <w:t> </w:t>
      </w:r>
      <w:r>
        <w:rPr/>
        <w:t>in</w:t>
      </w:r>
      <w:r>
        <w:rPr>
          <w:spacing w:val="-5"/>
        </w:rPr>
        <w:t> </w:t>
      </w:r>
      <w:r>
        <w:rPr/>
        <w:t>the</w:t>
      </w:r>
      <w:r>
        <w:rPr>
          <w:spacing w:val="-5"/>
        </w:rPr>
        <w:t> </w:t>
      </w:r>
      <w:r>
        <w:rPr/>
        <w:t>relationship</w:t>
      </w:r>
      <w:r>
        <w:rPr>
          <w:spacing w:val="-5"/>
        </w:rPr>
        <w:t> </w:t>
      </w:r>
      <w:r>
        <w:rPr/>
        <w:t>between</w:t>
      </w:r>
      <w:r>
        <w:rPr>
          <w:spacing w:val="-5"/>
        </w:rPr>
        <w:t> </w:t>
      </w:r>
      <w:r>
        <w:rPr/>
        <w:t>achievement</w:t>
      </w:r>
      <w:r>
        <w:rPr>
          <w:spacing w:val="-6"/>
        </w:rPr>
        <w:t> </w:t>
      </w:r>
      <w:r>
        <w:rPr/>
        <w:t>goals</w:t>
      </w:r>
      <w:r>
        <w:rPr>
          <w:spacing w:val="-5"/>
        </w:rPr>
        <w:t> </w:t>
      </w:r>
      <w:r>
        <w:rPr/>
        <w:t>and</w:t>
      </w:r>
      <w:r>
        <w:rPr>
          <w:spacing w:val="-5"/>
        </w:rPr>
        <w:t> </w:t>
      </w:r>
      <w:r>
        <w:rPr/>
        <w:t>writing</w:t>
      </w:r>
      <w:r>
        <w:rPr>
          <w:spacing w:val="-4"/>
        </w:rPr>
        <w:t> </w:t>
      </w:r>
      <w:r>
        <w:rPr/>
        <w:t>strategy. According</w:t>
      </w:r>
      <w:r>
        <w:rPr>
          <w:spacing w:val="-12"/>
        </w:rPr>
        <w:t> </w:t>
      </w:r>
      <w:r>
        <w:rPr/>
        <w:t>to</w:t>
      </w:r>
      <w:r>
        <w:rPr>
          <w:spacing w:val="-13"/>
        </w:rPr>
        <w:t> </w:t>
      </w:r>
      <w:r>
        <w:rPr/>
        <w:t>Creswell</w:t>
      </w:r>
      <w:r>
        <w:rPr>
          <w:spacing w:val="-13"/>
        </w:rPr>
        <w:t> </w:t>
      </w:r>
      <w:r>
        <w:rPr/>
        <w:t>and</w:t>
      </w:r>
      <w:r>
        <w:rPr>
          <w:spacing w:val="-13"/>
        </w:rPr>
        <w:t> </w:t>
      </w:r>
      <w:r>
        <w:rPr/>
        <w:t>Creswell</w:t>
      </w:r>
      <w:r>
        <w:rPr>
          <w:spacing w:val="-13"/>
        </w:rPr>
        <w:t> </w:t>
      </w:r>
      <w:r>
        <w:rPr/>
        <w:t>(2018),</w:t>
      </w:r>
      <w:r>
        <w:rPr>
          <w:spacing w:val="-14"/>
        </w:rPr>
        <w:t> </w:t>
      </w:r>
      <w:r>
        <w:rPr/>
        <w:t>a</w:t>
      </w:r>
      <w:r>
        <w:rPr>
          <w:spacing w:val="-13"/>
        </w:rPr>
        <w:t> </w:t>
      </w:r>
      <w:r>
        <w:rPr/>
        <w:t>quantitative</w:t>
      </w:r>
      <w:r>
        <w:rPr>
          <w:spacing w:val="-13"/>
        </w:rPr>
        <w:t> </w:t>
      </w:r>
      <w:r>
        <w:rPr/>
        <w:t>research</w:t>
      </w:r>
      <w:r>
        <w:rPr>
          <w:spacing w:val="-12"/>
        </w:rPr>
        <w:t> </w:t>
      </w:r>
      <w:r>
        <w:rPr/>
        <w:t>approach</w:t>
      </w:r>
      <w:r>
        <w:rPr>
          <w:spacing w:val="-13"/>
        </w:rPr>
        <w:t> </w:t>
      </w:r>
      <w:r>
        <w:rPr/>
        <w:t>is</w:t>
      </w:r>
      <w:r>
        <w:rPr>
          <w:spacing w:val="-13"/>
        </w:rPr>
        <w:t> </w:t>
      </w:r>
      <w:r>
        <w:rPr/>
        <w:t>a</w:t>
      </w:r>
      <w:r>
        <w:rPr>
          <w:spacing w:val="-13"/>
        </w:rPr>
        <w:t> </w:t>
      </w:r>
      <w:r>
        <w:rPr/>
        <w:t>method used to test or evaluate theories by looking at how measurable variables are related to each other. In this study, standardized instruments will be utilized to evaluate the variables, facilitating the quantification of data and its subsequent application of suitable</w:t>
      </w:r>
    </w:p>
    <w:p>
      <w:pPr>
        <w:pStyle w:val="BodyText"/>
        <w:spacing w:after="0" w:line="259" w:lineRule="auto"/>
        <w:jc w:val="both"/>
        <w:sectPr>
          <w:pgSz w:w="12240" w:h="15840"/>
          <w:pgMar w:top="1360" w:bottom="280" w:left="360" w:right="360"/>
        </w:sectPr>
      </w:pPr>
    </w:p>
    <w:p>
      <w:pPr>
        <w:pStyle w:val="BodyText"/>
        <w:spacing w:line="259" w:lineRule="auto" w:before="81"/>
        <w:ind w:right="1143"/>
      </w:pPr>
      <w:r>
        <w:rPr/>
        <w:t>statistical analyses. This is the most suitable design as it allows researchers to test the strength and direct relationship among the variables without manipulating them.</w:t>
      </w:r>
    </w:p>
    <w:p>
      <w:pPr>
        <w:pStyle w:val="BodyText"/>
        <w:spacing w:before="160"/>
        <w:ind w:left="0"/>
      </w:pPr>
    </w:p>
    <w:p>
      <w:pPr>
        <w:pStyle w:val="ListParagraph"/>
        <w:numPr>
          <w:ilvl w:val="1"/>
          <w:numId w:val="1"/>
        </w:numPr>
        <w:tabs>
          <w:tab w:pos="2266" w:val="left" w:leader="none"/>
        </w:tabs>
        <w:spacing w:line="240" w:lineRule="auto" w:before="0" w:after="0"/>
        <w:ind w:left="2266" w:right="0" w:hanging="466"/>
        <w:jc w:val="left"/>
        <w:rPr>
          <w:i/>
          <w:sz w:val="24"/>
        </w:rPr>
      </w:pPr>
      <w:r>
        <w:rPr>
          <w:i/>
          <w:sz w:val="24"/>
        </w:rPr>
        <w:t>Respondents</w:t>
      </w:r>
      <w:r>
        <w:rPr>
          <w:i/>
          <w:spacing w:val="-6"/>
          <w:sz w:val="24"/>
        </w:rPr>
        <w:t> </w:t>
      </w:r>
      <w:r>
        <w:rPr>
          <w:i/>
          <w:sz w:val="24"/>
        </w:rPr>
        <w:t>and</w:t>
      </w:r>
      <w:r>
        <w:rPr>
          <w:i/>
          <w:spacing w:val="-4"/>
          <w:sz w:val="24"/>
        </w:rPr>
        <w:t> </w:t>
      </w:r>
      <w:r>
        <w:rPr>
          <w:i/>
          <w:sz w:val="24"/>
        </w:rPr>
        <w:t>Sampling</w:t>
      </w:r>
      <w:r>
        <w:rPr>
          <w:i/>
          <w:spacing w:val="-4"/>
          <w:sz w:val="24"/>
        </w:rPr>
        <w:t> </w:t>
      </w:r>
      <w:r>
        <w:rPr>
          <w:i/>
          <w:spacing w:val="-2"/>
          <w:sz w:val="24"/>
        </w:rPr>
        <w:t>Procedure</w:t>
      </w:r>
    </w:p>
    <w:p>
      <w:pPr>
        <w:pStyle w:val="BodyText"/>
        <w:ind w:left="0"/>
        <w:rPr>
          <w:rFonts w:ascii="Arial"/>
          <w:i/>
        </w:rPr>
      </w:pPr>
    </w:p>
    <w:p>
      <w:pPr>
        <w:pStyle w:val="BodyText"/>
        <w:spacing w:line="259" w:lineRule="auto"/>
        <w:ind w:right="1078" w:firstLine="719"/>
        <w:jc w:val="both"/>
      </w:pPr>
      <w:r>
        <w:rPr/>
        <w:t>The respondents of the study were 121 Third Year Bachelor of Food Processing and</w:t>
      </w:r>
      <w:r>
        <w:rPr>
          <w:spacing w:val="-6"/>
        </w:rPr>
        <w:t> </w:t>
      </w:r>
      <w:r>
        <w:rPr/>
        <w:t>Technology</w:t>
      </w:r>
      <w:r>
        <w:rPr>
          <w:spacing w:val="-6"/>
        </w:rPr>
        <w:t> </w:t>
      </w:r>
      <w:r>
        <w:rPr/>
        <w:t>students</w:t>
      </w:r>
      <w:r>
        <w:rPr>
          <w:spacing w:val="-7"/>
        </w:rPr>
        <w:t> </w:t>
      </w:r>
      <w:r>
        <w:rPr/>
        <w:t>enrolled</w:t>
      </w:r>
      <w:r>
        <w:rPr>
          <w:spacing w:val="-6"/>
        </w:rPr>
        <w:t> </w:t>
      </w:r>
      <w:r>
        <w:rPr/>
        <w:t>in</w:t>
      </w:r>
      <w:r>
        <w:rPr>
          <w:spacing w:val="-6"/>
        </w:rPr>
        <w:t> </w:t>
      </w:r>
      <w:r>
        <w:rPr/>
        <w:t>technical</w:t>
      </w:r>
      <w:r>
        <w:rPr>
          <w:spacing w:val="-6"/>
        </w:rPr>
        <w:t> </w:t>
      </w:r>
      <w:r>
        <w:rPr/>
        <w:t>writing</w:t>
      </w:r>
      <w:r>
        <w:rPr>
          <w:spacing w:val="-5"/>
        </w:rPr>
        <w:t> </w:t>
      </w:r>
      <w:r>
        <w:rPr/>
        <w:t>course</w:t>
      </w:r>
      <w:r>
        <w:rPr>
          <w:spacing w:val="-5"/>
        </w:rPr>
        <w:t> </w:t>
      </w:r>
      <w:r>
        <w:rPr/>
        <w:t>at</w:t>
      </w:r>
      <w:r>
        <w:rPr>
          <w:spacing w:val="-6"/>
        </w:rPr>
        <w:t> </w:t>
      </w:r>
      <w:r>
        <w:rPr/>
        <w:t>the</w:t>
      </w:r>
      <w:r>
        <w:rPr>
          <w:spacing w:val="-6"/>
        </w:rPr>
        <w:t> </w:t>
      </w:r>
      <w:r>
        <w:rPr/>
        <w:t>University</w:t>
      </w:r>
      <w:r>
        <w:rPr>
          <w:spacing w:val="-7"/>
        </w:rPr>
        <w:t> </w:t>
      </w:r>
      <w:r>
        <w:rPr/>
        <w:t>of</w:t>
      </w:r>
      <w:r>
        <w:rPr>
          <w:spacing w:val="-6"/>
        </w:rPr>
        <w:t> </w:t>
      </w:r>
      <w:r>
        <w:rPr/>
        <w:t>Science and Technology of Southern Philippines in Oroquieta, Misamis Occidental (USTP Oroquieta) during the first semester of academic year 2025–2026.</w:t>
      </w:r>
      <w:r>
        <w:rPr>
          <w:spacing w:val="40"/>
        </w:rPr>
        <w:t> </w:t>
      </w:r>
      <w:r>
        <w:rPr/>
        <w:t>According to Hair et al.</w:t>
      </w:r>
      <w:r>
        <w:rPr>
          <w:spacing w:val="-4"/>
        </w:rPr>
        <w:t> </w:t>
      </w:r>
      <w:r>
        <w:rPr/>
        <w:t>(2018),</w:t>
      </w:r>
      <w:r>
        <w:rPr>
          <w:spacing w:val="-4"/>
        </w:rPr>
        <w:t> </w:t>
      </w:r>
      <w:r>
        <w:rPr/>
        <w:t>a</w:t>
      </w:r>
      <w:r>
        <w:rPr>
          <w:spacing w:val="-2"/>
        </w:rPr>
        <w:t> </w:t>
      </w:r>
      <w:r>
        <w:rPr/>
        <w:t>minimum</w:t>
      </w:r>
      <w:r>
        <w:rPr>
          <w:spacing w:val="-2"/>
        </w:rPr>
        <w:t> </w:t>
      </w:r>
      <w:r>
        <w:rPr/>
        <w:t>sample</w:t>
      </w:r>
      <w:r>
        <w:rPr>
          <w:spacing w:val="-2"/>
        </w:rPr>
        <w:t> </w:t>
      </w:r>
      <w:r>
        <w:rPr/>
        <w:t>size</w:t>
      </w:r>
      <w:r>
        <w:rPr>
          <w:spacing w:val="-2"/>
        </w:rPr>
        <w:t> </w:t>
      </w:r>
      <w:r>
        <w:rPr/>
        <w:t>of</w:t>
      </w:r>
      <w:r>
        <w:rPr>
          <w:spacing w:val="-2"/>
        </w:rPr>
        <w:t> </w:t>
      </w:r>
      <w:r>
        <w:rPr/>
        <w:t>at</w:t>
      </w:r>
      <w:r>
        <w:rPr>
          <w:spacing w:val="-3"/>
        </w:rPr>
        <w:t> </w:t>
      </w:r>
      <w:r>
        <w:rPr/>
        <w:t>least</w:t>
      </w:r>
      <w:r>
        <w:rPr>
          <w:spacing w:val="-3"/>
        </w:rPr>
        <w:t> </w:t>
      </w:r>
      <w:r>
        <w:rPr/>
        <w:t>100</w:t>
      </w:r>
      <w:r>
        <w:rPr>
          <w:spacing w:val="-2"/>
        </w:rPr>
        <w:t> </w:t>
      </w:r>
      <w:r>
        <w:rPr/>
        <w:t>is</w:t>
      </w:r>
      <w:r>
        <w:rPr>
          <w:spacing w:val="-3"/>
        </w:rPr>
        <w:t> </w:t>
      </w:r>
      <w:r>
        <w:rPr/>
        <w:t>required</w:t>
      </w:r>
      <w:r>
        <w:rPr>
          <w:spacing w:val="-2"/>
        </w:rPr>
        <w:t> </w:t>
      </w:r>
      <w:r>
        <w:rPr/>
        <w:t>for</w:t>
      </w:r>
      <w:r>
        <w:rPr>
          <w:spacing w:val="-2"/>
        </w:rPr>
        <w:t> </w:t>
      </w:r>
      <w:r>
        <w:rPr/>
        <w:t>simple</w:t>
      </w:r>
      <w:r>
        <w:rPr>
          <w:spacing w:val="-2"/>
        </w:rPr>
        <w:t> </w:t>
      </w:r>
      <w:r>
        <w:rPr/>
        <w:t>mediation</w:t>
      </w:r>
      <w:r>
        <w:rPr>
          <w:spacing w:val="-2"/>
        </w:rPr>
        <w:t> </w:t>
      </w:r>
      <w:r>
        <w:rPr/>
        <w:t>model in</w:t>
      </w:r>
      <w:r>
        <w:rPr>
          <w:spacing w:val="-10"/>
        </w:rPr>
        <w:t> </w:t>
      </w:r>
      <w:r>
        <w:rPr/>
        <w:t>PLS-SEM.</w:t>
      </w:r>
      <w:r>
        <w:rPr>
          <w:spacing w:val="-11"/>
        </w:rPr>
        <w:t> </w:t>
      </w:r>
      <w:r>
        <w:rPr/>
        <w:t>This</w:t>
      </w:r>
      <w:r>
        <w:rPr>
          <w:spacing w:val="-8"/>
        </w:rPr>
        <w:t> </w:t>
      </w:r>
      <w:r>
        <w:rPr/>
        <w:t>study</w:t>
      </w:r>
      <w:r>
        <w:rPr>
          <w:spacing w:val="-10"/>
        </w:rPr>
        <w:t> </w:t>
      </w:r>
      <w:r>
        <w:rPr/>
        <w:t>exceeded</w:t>
      </w:r>
      <w:r>
        <w:rPr>
          <w:spacing w:val="-9"/>
        </w:rPr>
        <w:t> </w:t>
      </w:r>
      <w:r>
        <w:rPr/>
        <w:t>this</w:t>
      </w:r>
      <w:r>
        <w:rPr>
          <w:spacing w:val="-10"/>
        </w:rPr>
        <w:t> </w:t>
      </w:r>
      <w:r>
        <w:rPr/>
        <w:t>requirement,</w:t>
      </w:r>
      <w:r>
        <w:rPr>
          <w:spacing w:val="-11"/>
        </w:rPr>
        <w:t> </w:t>
      </w:r>
      <w:r>
        <w:rPr/>
        <w:t>indicating</w:t>
      </w:r>
      <w:r>
        <w:rPr>
          <w:spacing w:val="-10"/>
        </w:rPr>
        <w:t> </w:t>
      </w:r>
      <w:r>
        <w:rPr/>
        <w:t>adequate</w:t>
      </w:r>
      <w:r>
        <w:rPr>
          <w:spacing w:val="-10"/>
        </w:rPr>
        <w:t> </w:t>
      </w:r>
      <w:r>
        <w:rPr/>
        <w:t>statistical</w:t>
      </w:r>
      <w:r>
        <w:rPr>
          <w:spacing w:val="-10"/>
        </w:rPr>
        <w:t> </w:t>
      </w:r>
      <w:r>
        <w:rPr/>
        <w:t>power for mediation analysis. The study utilized simple random sampling to choose the participants.</w:t>
      </w:r>
      <w:r>
        <w:rPr>
          <w:spacing w:val="40"/>
        </w:rPr>
        <w:t> </w:t>
      </w:r>
      <w:r>
        <w:rPr/>
        <w:t>Creswell and Creswell (2018) state that simple random sampling is the method</w:t>
      </w:r>
      <w:r>
        <w:rPr>
          <w:spacing w:val="-7"/>
        </w:rPr>
        <w:t> </w:t>
      </w:r>
      <w:r>
        <w:rPr/>
        <w:t>in</w:t>
      </w:r>
      <w:r>
        <w:rPr>
          <w:spacing w:val="-7"/>
        </w:rPr>
        <w:t> </w:t>
      </w:r>
      <w:r>
        <w:rPr/>
        <w:t>which</w:t>
      </w:r>
      <w:r>
        <w:rPr>
          <w:spacing w:val="-7"/>
        </w:rPr>
        <w:t> </w:t>
      </w:r>
      <w:r>
        <w:rPr/>
        <w:t>every</w:t>
      </w:r>
      <w:r>
        <w:rPr>
          <w:spacing w:val="-7"/>
        </w:rPr>
        <w:t> </w:t>
      </w:r>
      <w:r>
        <w:rPr/>
        <w:t>person</w:t>
      </w:r>
      <w:r>
        <w:rPr>
          <w:spacing w:val="-6"/>
        </w:rPr>
        <w:t> </w:t>
      </w:r>
      <w:r>
        <w:rPr/>
        <w:t>in</w:t>
      </w:r>
      <w:r>
        <w:rPr>
          <w:spacing w:val="-7"/>
        </w:rPr>
        <w:t> </w:t>
      </w:r>
      <w:r>
        <w:rPr/>
        <w:t>the</w:t>
      </w:r>
      <w:r>
        <w:rPr>
          <w:spacing w:val="-7"/>
        </w:rPr>
        <w:t> </w:t>
      </w:r>
      <w:r>
        <w:rPr/>
        <w:t>population</w:t>
      </w:r>
      <w:r>
        <w:rPr>
          <w:spacing w:val="-6"/>
        </w:rPr>
        <w:t> </w:t>
      </w:r>
      <w:r>
        <w:rPr/>
        <w:t>has</w:t>
      </w:r>
      <w:r>
        <w:rPr>
          <w:spacing w:val="-7"/>
        </w:rPr>
        <w:t> </w:t>
      </w:r>
      <w:r>
        <w:rPr/>
        <w:t>an</w:t>
      </w:r>
      <w:r>
        <w:rPr>
          <w:spacing w:val="-6"/>
        </w:rPr>
        <w:t> </w:t>
      </w:r>
      <w:r>
        <w:rPr/>
        <w:t>equal</w:t>
      </w:r>
      <w:r>
        <w:rPr>
          <w:spacing w:val="-7"/>
        </w:rPr>
        <w:t> </w:t>
      </w:r>
      <w:r>
        <w:rPr/>
        <w:t>chance</w:t>
      </w:r>
      <w:r>
        <w:rPr>
          <w:spacing w:val="-6"/>
        </w:rPr>
        <w:t> </w:t>
      </w:r>
      <w:r>
        <w:rPr/>
        <w:t>of</w:t>
      </w:r>
      <w:r>
        <w:rPr>
          <w:spacing w:val="-7"/>
        </w:rPr>
        <w:t> </w:t>
      </w:r>
      <w:r>
        <w:rPr/>
        <w:t>being</w:t>
      </w:r>
      <w:r>
        <w:rPr>
          <w:spacing w:val="-6"/>
        </w:rPr>
        <w:t> </w:t>
      </w:r>
      <w:r>
        <w:rPr/>
        <w:t>chosen</w:t>
      </w:r>
      <w:r>
        <w:rPr>
          <w:spacing w:val="-6"/>
        </w:rPr>
        <w:t> </w:t>
      </w:r>
      <w:r>
        <w:rPr/>
        <w:t>for the sample. This method is used to make sure that the sample is a good representation of the population, which reduces bias and makes the results more useful for a wider </w:t>
      </w:r>
      <w:r>
        <w:rPr>
          <w:spacing w:val="-2"/>
        </w:rPr>
        <w:t>audience.</w:t>
      </w:r>
    </w:p>
    <w:p>
      <w:pPr>
        <w:pStyle w:val="ListParagraph"/>
        <w:numPr>
          <w:ilvl w:val="1"/>
          <w:numId w:val="1"/>
        </w:numPr>
        <w:tabs>
          <w:tab w:pos="2266" w:val="left" w:leader="none"/>
        </w:tabs>
        <w:spacing w:line="240" w:lineRule="auto" w:before="158" w:after="0"/>
        <w:ind w:left="2266" w:right="0" w:hanging="466"/>
        <w:jc w:val="left"/>
        <w:rPr>
          <w:i/>
          <w:sz w:val="24"/>
        </w:rPr>
      </w:pPr>
      <w:r>
        <w:rPr>
          <w:i/>
          <w:sz w:val="24"/>
        </w:rPr>
        <w:t>Research</w:t>
      </w:r>
      <w:r>
        <w:rPr>
          <w:i/>
          <w:spacing w:val="-5"/>
          <w:sz w:val="24"/>
        </w:rPr>
        <w:t> </w:t>
      </w:r>
      <w:r>
        <w:rPr>
          <w:i/>
          <w:spacing w:val="-2"/>
          <w:sz w:val="24"/>
        </w:rPr>
        <w:t>Instruments</w:t>
      </w:r>
    </w:p>
    <w:p>
      <w:pPr>
        <w:pStyle w:val="BodyText"/>
        <w:ind w:left="0"/>
        <w:rPr>
          <w:rFonts w:ascii="Arial"/>
          <w:i/>
        </w:rPr>
      </w:pPr>
    </w:p>
    <w:p>
      <w:pPr>
        <w:pStyle w:val="BodyText"/>
        <w:ind w:right="1074" w:firstLine="719"/>
        <w:jc w:val="both"/>
      </w:pPr>
      <w:r>
        <w:rPr/>
        <w:t>Three standardized questionnaires were used in this study, which were administered through google forms. The first is the </w:t>
      </w:r>
      <w:r>
        <w:rPr>
          <w:rFonts w:ascii="Arial" w:hAnsi="Arial"/>
          <w:i/>
        </w:rPr>
        <w:t>Writing Achievement Goals Scale, </w:t>
      </w:r>
      <w:r>
        <w:rPr/>
        <w:t>which was used by Soylu et.al., (2017) as cited in Zhang (2023), which measures the underlying motivation of students when they write essays. This self-report tool uses a 5- point Likert scale,</w:t>
      </w:r>
      <w:r>
        <w:rPr>
          <w:spacing w:val="-1"/>
        </w:rPr>
        <w:t> </w:t>
      </w:r>
      <w:r>
        <w:rPr/>
        <w:t>with 1 meaning "does not describe me" and 5</w:t>
      </w:r>
      <w:r>
        <w:rPr>
          <w:spacing w:val="-1"/>
        </w:rPr>
        <w:t> </w:t>
      </w:r>
      <w:r>
        <w:rPr/>
        <w:t>meaning</w:t>
      </w:r>
      <w:r>
        <w:rPr>
          <w:spacing w:val="-1"/>
        </w:rPr>
        <w:t> </w:t>
      </w:r>
      <w:r>
        <w:rPr/>
        <w:t>"describes me perfectly."</w:t>
      </w:r>
      <w:r>
        <w:rPr>
          <w:spacing w:val="-7"/>
        </w:rPr>
        <w:t> </w:t>
      </w:r>
      <w:r>
        <w:rPr/>
        <w:t>The</w:t>
      </w:r>
      <w:r>
        <w:rPr>
          <w:spacing w:val="-7"/>
        </w:rPr>
        <w:t> </w:t>
      </w:r>
      <w:r>
        <w:rPr/>
        <w:t>second</w:t>
      </w:r>
      <w:r>
        <w:rPr>
          <w:spacing w:val="-6"/>
        </w:rPr>
        <w:t> </w:t>
      </w:r>
      <w:r>
        <w:rPr/>
        <w:t>was</w:t>
      </w:r>
      <w:r>
        <w:rPr>
          <w:spacing w:val="-7"/>
        </w:rPr>
        <w:t> </w:t>
      </w:r>
      <w:r>
        <w:rPr/>
        <w:t>the</w:t>
      </w:r>
      <w:r>
        <w:rPr>
          <w:spacing w:val="-7"/>
        </w:rPr>
        <w:t> </w:t>
      </w:r>
      <w:r>
        <w:rPr/>
        <w:t>Grit</w:t>
      </w:r>
      <w:r>
        <w:rPr>
          <w:spacing w:val="-8"/>
        </w:rPr>
        <w:t> </w:t>
      </w:r>
      <w:r>
        <w:rPr/>
        <w:t>Scale,</w:t>
      </w:r>
      <w:r>
        <w:rPr>
          <w:spacing w:val="-7"/>
        </w:rPr>
        <w:t> </w:t>
      </w:r>
      <w:r>
        <w:rPr/>
        <w:t>which</w:t>
      </w:r>
      <w:r>
        <w:rPr>
          <w:spacing w:val="-7"/>
        </w:rPr>
        <w:t> </w:t>
      </w:r>
      <w:r>
        <w:rPr/>
        <w:t>Duckworth</w:t>
      </w:r>
      <w:r>
        <w:rPr>
          <w:spacing w:val="-7"/>
        </w:rPr>
        <w:t> </w:t>
      </w:r>
      <w:r>
        <w:rPr/>
        <w:t>and</w:t>
      </w:r>
      <w:r>
        <w:rPr>
          <w:spacing w:val="-7"/>
        </w:rPr>
        <w:t> </w:t>
      </w:r>
      <w:r>
        <w:rPr/>
        <w:t>Quinn</w:t>
      </w:r>
      <w:r>
        <w:rPr>
          <w:spacing w:val="-6"/>
        </w:rPr>
        <w:t> </w:t>
      </w:r>
      <w:r>
        <w:rPr/>
        <w:t>(2009)</w:t>
      </w:r>
      <w:r>
        <w:rPr>
          <w:spacing w:val="-7"/>
        </w:rPr>
        <w:t> </w:t>
      </w:r>
      <w:r>
        <w:rPr/>
        <w:t>created</w:t>
      </w:r>
      <w:r>
        <w:rPr>
          <w:spacing w:val="-7"/>
        </w:rPr>
        <w:t> </w:t>
      </w:r>
      <w:r>
        <w:rPr/>
        <w:t>to measure how hard someone works and how passionate they are about reaching long- term goals. This scale measures learners' grit by looking at two things: how hard they work</w:t>
      </w:r>
      <w:r>
        <w:rPr>
          <w:spacing w:val="-2"/>
        </w:rPr>
        <w:t> </w:t>
      </w:r>
      <w:r>
        <w:rPr/>
        <w:t>(Perseverance</w:t>
      </w:r>
      <w:r>
        <w:rPr>
          <w:spacing w:val="-2"/>
        </w:rPr>
        <w:t> </w:t>
      </w:r>
      <w:r>
        <w:rPr/>
        <w:t>of</w:t>
      </w:r>
      <w:r>
        <w:rPr>
          <w:spacing w:val="-3"/>
        </w:rPr>
        <w:t> </w:t>
      </w:r>
      <w:r>
        <w:rPr/>
        <w:t>Effort)</w:t>
      </w:r>
      <w:r>
        <w:rPr>
          <w:spacing w:val="-1"/>
        </w:rPr>
        <w:t> </w:t>
      </w:r>
      <w:r>
        <w:rPr/>
        <w:t>and</w:t>
      </w:r>
      <w:r>
        <w:rPr>
          <w:spacing w:val="-2"/>
        </w:rPr>
        <w:t> </w:t>
      </w:r>
      <w:r>
        <w:rPr/>
        <w:t>how</w:t>
      </w:r>
      <w:r>
        <w:rPr>
          <w:spacing w:val="-2"/>
        </w:rPr>
        <w:t> </w:t>
      </w:r>
      <w:r>
        <w:rPr/>
        <w:t>interested</w:t>
      </w:r>
      <w:r>
        <w:rPr>
          <w:spacing w:val="-2"/>
        </w:rPr>
        <w:t> </w:t>
      </w:r>
      <w:r>
        <w:rPr/>
        <w:t>they</w:t>
      </w:r>
      <w:r>
        <w:rPr>
          <w:spacing w:val="-3"/>
        </w:rPr>
        <w:t> </w:t>
      </w:r>
      <w:r>
        <w:rPr/>
        <w:t>are</w:t>
      </w:r>
      <w:r>
        <w:rPr>
          <w:spacing w:val="-2"/>
        </w:rPr>
        <w:t> </w:t>
      </w:r>
      <w:r>
        <w:rPr/>
        <w:t>in</w:t>
      </w:r>
      <w:r>
        <w:rPr>
          <w:spacing w:val="-2"/>
        </w:rPr>
        <w:t> </w:t>
      </w:r>
      <w:r>
        <w:rPr/>
        <w:t>the</w:t>
      </w:r>
      <w:r>
        <w:rPr>
          <w:spacing w:val="-2"/>
        </w:rPr>
        <w:t> </w:t>
      </w:r>
      <w:r>
        <w:rPr/>
        <w:t>subject</w:t>
      </w:r>
      <w:r>
        <w:rPr>
          <w:spacing w:val="-3"/>
        </w:rPr>
        <w:t> </w:t>
      </w:r>
      <w:r>
        <w:rPr/>
        <w:t>(Consistency</w:t>
      </w:r>
      <w:r>
        <w:rPr>
          <w:spacing w:val="-3"/>
        </w:rPr>
        <w:t> </w:t>
      </w:r>
      <w:r>
        <w:rPr/>
        <w:t>of Interest). The participants responded using a five-point Likert-type scale ranging from 1 (“Not at all like me) to 5 (Very much like me). The third was the </w:t>
      </w:r>
      <w:r>
        <w:rPr>
          <w:rFonts w:ascii="Arial" w:hAnsi="Arial"/>
          <w:i/>
        </w:rPr>
        <w:t>Writing Strategy Questionnaire </w:t>
      </w:r>
      <w:r>
        <w:rPr/>
        <w:t>by Petric and Czarl (2003) to assess students’ use of writing strategies across</w:t>
      </w:r>
      <w:r>
        <w:rPr>
          <w:spacing w:val="-5"/>
        </w:rPr>
        <w:t> </w:t>
      </w:r>
      <w:r>
        <w:rPr/>
        <w:t>the</w:t>
      </w:r>
      <w:r>
        <w:rPr>
          <w:spacing w:val="-4"/>
        </w:rPr>
        <w:t> </w:t>
      </w:r>
      <w:r>
        <w:rPr/>
        <w:t>three</w:t>
      </w:r>
      <w:r>
        <w:rPr>
          <w:spacing w:val="-4"/>
        </w:rPr>
        <w:t> </w:t>
      </w:r>
      <w:r>
        <w:rPr/>
        <w:t>stages</w:t>
      </w:r>
      <w:r>
        <w:rPr>
          <w:spacing w:val="-5"/>
        </w:rPr>
        <w:t> </w:t>
      </w:r>
      <w:r>
        <w:rPr/>
        <w:t>of</w:t>
      </w:r>
      <w:r>
        <w:rPr>
          <w:spacing w:val="-5"/>
        </w:rPr>
        <w:t> </w:t>
      </w:r>
      <w:r>
        <w:rPr/>
        <w:t>writing:</w:t>
      </w:r>
      <w:r>
        <w:rPr>
          <w:spacing w:val="-6"/>
        </w:rPr>
        <w:t> </w:t>
      </w:r>
      <w:r>
        <w:rPr/>
        <w:t>pre-writing,</w:t>
      </w:r>
      <w:r>
        <w:rPr>
          <w:spacing w:val="-6"/>
        </w:rPr>
        <w:t> </w:t>
      </w:r>
      <w:r>
        <w:rPr/>
        <w:t>during</w:t>
      </w:r>
      <w:r>
        <w:rPr>
          <w:spacing w:val="-5"/>
        </w:rPr>
        <w:t> </w:t>
      </w:r>
      <w:r>
        <w:rPr/>
        <w:t>writing,</w:t>
      </w:r>
      <w:r>
        <w:rPr>
          <w:spacing w:val="-6"/>
        </w:rPr>
        <w:t> </w:t>
      </w:r>
      <w:r>
        <w:rPr/>
        <w:t>and</w:t>
      </w:r>
      <w:r>
        <w:rPr>
          <w:spacing w:val="-5"/>
        </w:rPr>
        <w:t> </w:t>
      </w:r>
      <w:r>
        <w:rPr/>
        <w:t>post-writing.</w:t>
      </w:r>
      <w:r>
        <w:rPr>
          <w:spacing w:val="-5"/>
        </w:rPr>
        <w:t> </w:t>
      </w:r>
      <w:r>
        <w:rPr/>
        <w:t>To</w:t>
      </w:r>
      <w:r>
        <w:rPr>
          <w:spacing w:val="-5"/>
        </w:rPr>
        <w:t> </w:t>
      </w:r>
      <w:r>
        <w:rPr/>
        <w:t>ensure internal consistency, these instruments were further examined through the computation of Cronbach’s alpha coefficients and Composite Reliability.</w:t>
      </w:r>
    </w:p>
    <w:p>
      <w:pPr>
        <w:pStyle w:val="BodyText"/>
        <w:spacing w:before="1"/>
        <w:ind w:left="0"/>
      </w:pPr>
    </w:p>
    <w:p>
      <w:pPr>
        <w:pStyle w:val="ListParagraph"/>
        <w:numPr>
          <w:ilvl w:val="1"/>
          <w:numId w:val="1"/>
        </w:numPr>
        <w:tabs>
          <w:tab w:pos="2132" w:val="left" w:leader="none"/>
        </w:tabs>
        <w:spacing w:line="240" w:lineRule="auto" w:before="0" w:after="0"/>
        <w:ind w:left="2132" w:right="0" w:hanging="466"/>
        <w:jc w:val="left"/>
        <w:rPr>
          <w:i/>
          <w:sz w:val="24"/>
        </w:rPr>
      </w:pPr>
      <w:r>
        <w:rPr>
          <w:i/>
          <w:sz w:val="24"/>
        </w:rPr>
        <w:t>Data</w:t>
      </w:r>
      <w:r>
        <w:rPr>
          <w:i/>
          <w:spacing w:val="-4"/>
          <w:sz w:val="24"/>
        </w:rPr>
        <w:t> </w:t>
      </w:r>
      <w:r>
        <w:rPr>
          <w:i/>
          <w:sz w:val="24"/>
        </w:rPr>
        <w:t>Collection</w:t>
      </w:r>
      <w:r>
        <w:rPr>
          <w:i/>
          <w:spacing w:val="-3"/>
          <w:sz w:val="24"/>
        </w:rPr>
        <w:t> </w:t>
      </w:r>
      <w:r>
        <w:rPr>
          <w:i/>
          <w:sz w:val="24"/>
        </w:rPr>
        <w:t>and</w:t>
      </w:r>
      <w:r>
        <w:rPr>
          <w:i/>
          <w:spacing w:val="-3"/>
          <w:sz w:val="24"/>
        </w:rPr>
        <w:t> </w:t>
      </w:r>
      <w:r>
        <w:rPr>
          <w:i/>
          <w:spacing w:val="-2"/>
          <w:sz w:val="24"/>
        </w:rPr>
        <w:t>Analysis</w:t>
      </w:r>
    </w:p>
    <w:p>
      <w:pPr>
        <w:pStyle w:val="BodyText"/>
        <w:ind w:left="0"/>
        <w:rPr>
          <w:rFonts w:ascii="Arial"/>
          <w:i/>
        </w:rPr>
      </w:pPr>
    </w:p>
    <w:p>
      <w:pPr>
        <w:pStyle w:val="BodyText"/>
        <w:ind w:right="1076" w:firstLine="585"/>
        <w:jc w:val="both"/>
      </w:pPr>
      <w:r>
        <w:rPr/>
        <w:t>Data were collected through surveys administered to the participants through the google</w:t>
      </w:r>
      <w:r>
        <w:rPr>
          <w:spacing w:val="-14"/>
        </w:rPr>
        <w:t> </w:t>
      </w:r>
      <w:r>
        <w:rPr/>
        <w:t>form.</w:t>
      </w:r>
      <w:r>
        <w:rPr>
          <w:spacing w:val="-15"/>
        </w:rPr>
        <w:t> </w:t>
      </w:r>
      <w:r>
        <w:rPr/>
        <w:t>Prior</w:t>
      </w:r>
      <w:r>
        <w:rPr>
          <w:spacing w:val="-14"/>
        </w:rPr>
        <w:t> </w:t>
      </w:r>
      <w:r>
        <w:rPr/>
        <w:t>to</w:t>
      </w:r>
      <w:r>
        <w:rPr>
          <w:spacing w:val="-14"/>
        </w:rPr>
        <w:t> </w:t>
      </w:r>
      <w:r>
        <w:rPr/>
        <w:t>the</w:t>
      </w:r>
      <w:r>
        <w:rPr>
          <w:spacing w:val="-14"/>
        </w:rPr>
        <w:t> </w:t>
      </w:r>
      <w:r>
        <w:rPr/>
        <w:t>administration</w:t>
      </w:r>
      <w:r>
        <w:rPr>
          <w:spacing w:val="-14"/>
        </w:rPr>
        <w:t> </w:t>
      </w:r>
      <w:r>
        <w:rPr/>
        <w:t>of</w:t>
      </w:r>
      <w:r>
        <w:rPr>
          <w:spacing w:val="-14"/>
        </w:rPr>
        <w:t> </w:t>
      </w:r>
      <w:r>
        <w:rPr/>
        <w:t>the</w:t>
      </w:r>
      <w:r>
        <w:rPr>
          <w:spacing w:val="-14"/>
        </w:rPr>
        <w:t> </w:t>
      </w:r>
      <w:r>
        <w:rPr/>
        <w:t>instruments,</w:t>
      </w:r>
      <w:r>
        <w:rPr>
          <w:spacing w:val="-15"/>
        </w:rPr>
        <w:t> </w:t>
      </w:r>
      <w:r>
        <w:rPr/>
        <w:t>the</w:t>
      </w:r>
      <w:r>
        <w:rPr>
          <w:spacing w:val="-14"/>
        </w:rPr>
        <w:t> </w:t>
      </w:r>
      <w:r>
        <w:rPr/>
        <w:t>study’s</w:t>
      </w:r>
      <w:r>
        <w:rPr>
          <w:spacing w:val="-14"/>
        </w:rPr>
        <w:t> </w:t>
      </w:r>
      <w:r>
        <w:rPr/>
        <w:t>aim</w:t>
      </w:r>
      <w:r>
        <w:rPr>
          <w:spacing w:val="-16"/>
        </w:rPr>
        <w:t> </w:t>
      </w:r>
      <w:r>
        <w:rPr/>
        <w:t>was</w:t>
      </w:r>
      <w:r>
        <w:rPr>
          <w:spacing w:val="-14"/>
        </w:rPr>
        <w:t> </w:t>
      </w:r>
      <w:r>
        <w:rPr/>
        <w:t>explained, and informed consents were secured. To measure the level of grit and to identify the prevalent goal orientations and frequently utilized writing strategies of the participants, descriptive statistics were utilized through the use of the Jamovi program. In order to ensure</w:t>
      </w:r>
      <w:r>
        <w:rPr>
          <w:spacing w:val="-7"/>
        </w:rPr>
        <w:t> </w:t>
      </w:r>
      <w:r>
        <w:rPr/>
        <w:t>the</w:t>
      </w:r>
      <w:r>
        <w:rPr>
          <w:spacing w:val="-10"/>
        </w:rPr>
        <w:t> </w:t>
      </w:r>
      <w:r>
        <w:rPr/>
        <w:t>internal</w:t>
      </w:r>
      <w:r>
        <w:rPr>
          <w:spacing w:val="-9"/>
        </w:rPr>
        <w:t> </w:t>
      </w:r>
      <w:r>
        <w:rPr/>
        <w:t>consistency</w:t>
      </w:r>
      <w:r>
        <w:rPr>
          <w:spacing w:val="-8"/>
        </w:rPr>
        <w:t> </w:t>
      </w:r>
      <w:r>
        <w:rPr/>
        <w:t>of</w:t>
      </w:r>
      <w:r>
        <w:rPr>
          <w:spacing w:val="-8"/>
        </w:rPr>
        <w:t> </w:t>
      </w:r>
      <w:r>
        <w:rPr/>
        <w:t>the</w:t>
      </w:r>
      <w:r>
        <w:rPr>
          <w:spacing w:val="-10"/>
        </w:rPr>
        <w:t> </w:t>
      </w:r>
      <w:r>
        <w:rPr/>
        <w:t>instruments</w:t>
      </w:r>
      <w:r>
        <w:rPr>
          <w:spacing w:val="-8"/>
        </w:rPr>
        <w:t> </w:t>
      </w:r>
      <w:r>
        <w:rPr/>
        <w:t>used,</w:t>
      </w:r>
      <w:r>
        <w:rPr>
          <w:spacing w:val="-8"/>
        </w:rPr>
        <w:t> </w:t>
      </w:r>
      <w:r>
        <w:rPr/>
        <w:t>the</w:t>
      </w:r>
      <w:r>
        <w:rPr>
          <w:spacing w:val="-7"/>
        </w:rPr>
        <w:t> </w:t>
      </w:r>
      <w:r>
        <w:rPr/>
        <w:t>scales</w:t>
      </w:r>
      <w:r>
        <w:rPr>
          <w:spacing w:val="-10"/>
        </w:rPr>
        <w:t> </w:t>
      </w:r>
      <w:r>
        <w:rPr/>
        <w:t>were</w:t>
      </w:r>
      <w:r>
        <w:rPr>
          <w:spacing w:val="-8"/>
        </w:rPr>
        <w:t> </w:t>
      </w:r>
      <w:r>
        <w:rPr/>
        <w:t>evaluated</w:t>
      </w:r>
      <w:r>
        <w:rPr>
          <w:spacing w:val="-8"/>
        </w:rPr>
        <w:t> </w:t>
      </w:r>
      <w:r>
        <w:rPr/>
        <w:t>using Cronbach’s Alpha.</w:t>
      </w:r>
    </w:p>
    <w:p>
      <w:pPr>
        <w:pStyle w:val="BodyText"/>
        <w:spacing w:after="0"/>
        <w:jc w:val="both"/>
        <w:sectPr>
          <w:pgSz w:w="12240" w:h="15840"/>
          <w:pgMar w:top="1360" w:bottom="280" w:left="360" w:right="360"/>
        </w:sectPr>
      </w:pPr>
    </w:p>
    <w:p>
      <w:pPr>
        <w:pStyle w:val="BodyText"/>
        <w:spacing w:before="81"/>
        <w:ind w:right="1075" w:firstLine="585"/>
        <w:jc w:val="both"/>
      </w:pPr>
      <w:r>
        <w:rPr/>
        <w:t>To determine the mediating effect of grit in the relationship between achievement goals</w:t>
      </w:r>
      <w:r>
        <w:rPr>
          <w:spacing w:val="-12"/>
        </w:rPr>
        <w:t> </w:t>
      </w:r>
      <w:r>
        <w:rPr/>
        <w:t>and</w:t>
      </w:r>
      <w:r>
        <w:rPr>
          <w:spacing w:val="-12"/>
        </w:rPr>
        <w:t> </w:t>
      </w:r>
      <w:r>
        <w:rPr/>
        <w:t>writing</w:t>
      </w:r>
      <w:r>
        <w:rPr>
          <w:spacing w:val="-11"/>
        </w:rPr>
        <w:t> </w:t>
      </w:r>
      <w:r>
        <w:rPr/>
        <w:t>strategies,</w:t>
      </w:r>
      <w:r>
        <w:rPr>
          <w:spacing w:val="-12"/>
        </w:rPr>
        <w:t> </w:t>
      </w:r>
      <w:r>
        <w:rPr/>
        <w:t>a</w:t>
      </w:r>
      <w:r>
        <w:rPr>
          <w:spacing w:val="-12"/>
        </w:rPr>
        <w:t> </w:t>
      </w:r>
      <w:r>
        <w:rPr/>
        <w:t>mediation</w:t>
      </w:r>
      <w:r>
        <w:rPr>
          <w:spacing w:val="-11"/>
        </w:rPr>
        <w:t> </w:t>
      </w:r>
      <w:r>
        <w:rPr/>
        <w:t>analysis</w:t>
      </w:r>
      <w:r>
        <w:rPr>
          <w:spacing w:val="-12"/>
        </w:rPr>
        <w:t> </w:t>
      </w:r>
      <w:r>
        <w:rPr/>
        <w:t>was</w:t>
      </w:r>
      <w:r>
        <w:rPr>
          <w:spacing w:val="-12"/>
        </w:rPr>
        <w:t> </w:t>
      </w:r>
      <w:r>
        <w:rPr/>
        <w:t>conducted</w:t>
      </w:r>
      <w:r>
        <w:rPr>
          <w:spacing w:val="-11"/>
        </w:rPr>
        <w:t> </w:t>
      </w:r>
      <w:r>
        <w:rPr/>
        <w:t>using</w:t>
      </w:r>
      <w:r>
        <w:rPr>
          <w:spacing w:val="-12"/>
        </w:rPr>
        <w:t> </w:t>
      </w:r>
      <w:r>
        <w:rPr/>
        <w:t>the</w:t>
      </w:r>
      <w:r>
        <w:rPr>
          <w:spacing w:val="-12"/>
        </w:rPr>
        <w:t> </w:t>
      </w:r>
      <w:r>
        <w:rPr/>
        <w:t>bootstrapping standardized algorithm tests through the SmartPLS 4.0 software.</w:t>
      </w:r>
      <w:r>
        <w:rPr>
          <w:spacing w:val="40"/>
        </w:rPr>
        <w:t> </w:t>
      </w:r>
      <w:r>
        <w:rPr/>
        <w:t>Mediation was tested using bias-corrected bootstrapping with 5000 subsamples to generate a more stable, accurate</w:t>
      </w:r>
      <w:r>
        <w:rPr>
          <w:spacing w:val="-12"/>
        </w:rPr>
        <w:t> </w:t>
      </w:r>
      <w:r>
        <w:rPr/>
        <w:t>and</w:t>
      </w:r>
      <w:r>
        <w:rPr>
          <w:spacing w:val="-12"/>
        </w:rPr>
        <w:t> </w:t>
      </w:r>
      <w:r>
        <w:rPr/>
        <w:t>reliable</w:t>
      </w:r>
      <w:r>
        <w:rPr>
          <w:spacing w:val="-12"/>
        </w:rPr>
        <w:t> </w:t>
      </w:r>
      <w:r>
        <w:rPr/>
        <w:t>results.</w:t>
      </w:r>
      <w:r>
        <w:rPr>
          <w:spacing w:val="40"/>
        </w:rPr>
        <w:t> </w:t>
      </w:r>
      <w:r>
        <w:rPr/>
        <w:t>In</w:t>
      </w:r>
      <w:r>
        <w:rPr>
          <w:spacing w:val="-12"/>
        </w:rPr>
        <w:t> </w:t>
      </w:r>
      <w:r>
        <w:rPr/>
        <w:t>this</w:t>
      </w:r>
      <w:r>
        <w:rPr>
          <w:spacing w:val="-12"/>
        </w:rPr>
        <w:t> </w:t>
      </w:r>
      <w:r>
        <w:rPr/>
        <w:t>study,</w:t>
      </w:r>
      <w:r>
        <w:rPr>
          <w:spacing w:val="-13"/>
        </w:rPr>
        <w:t> </w:t>
      </w:r>
      <w:r>
        <w:rPr/>
        <w:t>grit</w:t>
      </w:r>
      <w:r>
        <w:rPr>
          <w:spacing w:val="-13"/>
        </w:rPr>
        <w:t> </w:t>
      </w:r>
      <w:r>
        <w:rPr/>
        <w:t>was</w:t>
      </w:r>
      <w:r>
        <w:rPr>
          <w:spacing w:val="-12"/>
        </w:rPr>
        <w:t> </w:t>
      </w:r>
      <w:r>
        <w:rPr/>
        <w:t>treated</w:t>
      </w:r>
      <w:r>
        <w:rPr>
          <w:spacing w:val="-12"/>
        </w:rPr>
        <w:t> </w:t>
      </w:r>
      <w:r>
        <w:rPr/>
        <w:t>as</w:t>
      </w:r>
      <w:r>
        <w:rPr>
          <w:spacing w:val="-12"/>
        </w:rPr>
        <w:t> </w:t>
      </w:r>
      <w:r>
        <w:rPr/>
        <w:t>multidimensional</w:t>
      </w:r>
      <w:r>
        <w:rPr>
          <w:spacing w:val="-12"/>
        </w:rPr>
        <w:t> </w:t>
      </w:r>
      <w:r>
        <w:rPr/>
        <w:t>construct made of two closely related components: Consistency of Interest and Perseverance of Effort. The study used a two-stage approach as recommended by Becker et al. (2012).</w:t>
      </w:r>
    </w:p>
    <w:p>
      <w:pPr>
        <w:pStyle w:val="BodyText"/>
        <w:ind w:left="0"/>
      </w:pPr>
    </w:p>
    <w:p>
      <w:pPr>
        <w:spacing w:before="0"/>
        <w:ind w:left="1080" w:right="0" w:firstLine="0"/>
        <w:jc w:val="left"/>
        <w:rPr>
          <w:rFonts w:ascii="Arial"/>
          <w:i/>
          <w:sz w:val="24"/>
        </w:rPr>
      </w:pPr>
      <w:r>
        <w:rPr>
          <w:rFonts w:ascii="Arial"/>
          <w:i/>
          <w:sz w:val="24"/>
        </w:rPr>
        <w:t>2.6.</w:t>
      </w:r>
      <w:r>
        <w:rPr>
          <w:rFonts w:ascii="Arial"/>
          <w:i/>
          <w:spacing w:val="-3"/>
          <w:sz w:val="24"/>
        </w:rPr>
        <w:t> </w:t>
      </w:r>
      <w:r>
        <w:rPr>
          <w:rFonts w:ascii="Arial"/>
          <w:i/>
          <w:sz w:val="24"/>
        </w:rPr>
        <w:t>Ethical</w:t>
      </w:r>
      <w:r>
        <w:rPr>
          <w:rFonts w:ascii="Arial"/>
          <w:i/>
          <w:spacing w:val="-2"/>
          <w:sz w:val="24"/>
        </w:rPr>
        <w:t> Considerations</w:t>
      </w:r>
    </w:p>
    <w:p>
      <w:pPr>
        <w:pStyle w:val="BodyText"/>
        <w:spacing w:before="4"/>
        <w:ind w:left="0"/>
        <w:rPr>
          <w:rFonts w:ascii="Arial"/>
          <w:i/>
        </w:rPr>
      </w:pPr>
    </w:p>
    <w:p>
      <w:pPr>
        <w:pStyle w:val="BodyText"/>
        <w:ind w:right="1073" w:firstLine="719"/>
        <w:jc w:val="both"/>
      </w:pPr>
      <w:r>
        <w:rPr/>
        <w:t>This</w:t>
      </w:r>
      <w:r>
        <w:rPr>
          <w:spacing w:val="-14"/>
        </w:rPr>
        <w:t> </w:t>
      </w:r>
      <w:r>
        <w:rPr/>
        <w:t>study</w:t>
      </w:r>
      <w:r>
        <w:rPr>
          <w:spacing w:val="-14"/>
        </w:rPr>
        <w:t> </w:t>
      </w:r>
      <w:r>
        <w:rPr/>
        <w:t>followed</w:t>
      </w:r>
      <w:r>
        <w:rPr>
          <w:spacing w:val="-15"/>
        </w:rPr>
        <w:t> </w:t>
      </w:r>
      <w:r>
        <w:rPr/>
        <w:t>all</w:t>
      </w:r>
      <w:r>
        <w:rPr>
          <w:spacing w:val="-14"/>
        </w:rPr>
        <w:t> </w:t>
      </w:r>
      <w:r>
        <w:rPr/>
        <w:t>ethical</w:t>
      </w:r>
      <w:r>
        <w:rPr>
          <w:spacing w:val="-13"/>
        </w:rPr>
        <w:t> </w:t>
      </w:r>
      <w:r>
        <w:rPr/>
        <w:t>standards</w:t>
      </w:r>
      <w:r>
        <w:rPr>
          <w:spacing w:val="-14"/>
        </w:rPr>
        <w:t> </w:t>
      </w:r>
      <w:r>
        <w:rPr/>
        <w:t>for</w:t>
      </w:r>
      <w:r>
        <w:rPr>
          <w:spacing w:val="-14"/>
        </w:rPr>
        <w:t> </w:t>
      </w:r>
      <w:r>
        <w:rPr/>
        <w:t>research</w:t>
      </w:r>
      <w:r>
        <w:rPr>
          <w:spacing w:val="-13"/>
        </w:rPr>
        <w:t> </w:t>
      </w:r>
      <w:r>
        <w:rPr/>
        <w:t>involving</w:t>
      </w:r>
      <w:r>
        <w:rPr>
          <w:spacing w:val="-13"/>
        </w:rPr>
        <w:t> </w:t>
      </w:r>
      <w:r>
        <w:rPr/>
        <w:t>human</w:t>
      </w:r>
      <w:r>
        <w:rPr>
          <w:spacing w:val="-13"/>
        </w:rPr>
        <w:t> </w:t>
      </w:r>
      <w:r>
        <w:rPr/>
        <w:t>participants. Before data collection began, approval was obtained from the University of</w:t>
      </w:r>
      <w:r>
        <w:rPr>
          <w:spacing w:val="-1"/>
        </w:rPr>
        <w:t> </w:t>
      </w:r>
      <w:r>
        <w:rPr/>
        <w:t>Science and Technology in Oroquieta, Misamis Occidental. The researchers also complied with the requirements of the ethics committee to ensure participant protection and full ethical compliance. Participation was voluntary, and informed consent was secured from all respondents. To protect the privacy of all participants, all information gathered was kept strictly</w:t>
      </w:r>
      <w:r>
        <w:rPr>
          <w:spacing w:val="-3"/>
        </w:rPr>
        <w:t> </w:t>
      </w:r>
      <w:r>
        <w:rPr/>
        <w:t>confidential,</w:t>
      </w:r>
      <w:r>
        <w:rPr>
          <w:spacing w:val="-5"/>
        </w:rPr>
        <w:t> </w:t>
      </w:r>
      <w:r>
        <w:rPr/>
        <w:t>and</w:t>
      </w:r>
      <w:r>
        <w:rPr>
          <w:spacing w:val="-2"/>
        </w:rPr>
        <w:t> </w:t>
      </w:r>
      <w:r>
        <w:rPr/>
        <w:t>responses</w:t>
      </w:r>
      <w:r>
        <w:rPr>
          <w:spacing w:val="-3"/>
        </w:rPr>
        <w:t> </w:t>
      </w:r>
      <w:r>
        <w:rPr/>
        <w:t>were</w:t>
      </w:r>
      <w:r>
        <w:rPr>
          <w:spacing w:val="-2"/>
        </w:rPr>
        <w:t> </w:t>
      </w:r>
      <w:r>
        <w:rPr/>
        <w:t>anonymized.</w:t>
      </w:r>
      <w:r>
        <w:rPr>
          <w:spacing w:val="-4"/>
        </w:rPr>
        <w:t> </w:t>
      </w:r>
      <w:r>
        <w:rPr/>
        <w:t>Throughout</w:t>
      </w:r>
      <w:r>
        <w:rPr>
          <w:spacing w:val="-3"/>
        </w:rPr>
        <w:t> </w:t>
      </w:r>
      <w:r>
        <w:rPr/>
        <w:t>the</w:t>
      </w:r>
      <w:r>
        <w:rPr>
          <w:spacing w:val="-2"/>
        </w:rPr>
        <w:t> </w:t>
      </w:r>
      <w:r>
        <w:rPr/>
        <w:t>research</w:t>
      </w:r>
      <w:r>
        <w:rPr>
          <w:spacing w:val="-2"/>
        </w:rPr>
        <w:t> </w:t>
      </w:r>
      <w:r>
        <w:rPr/>
        <w:t>process, the</w:t>
      </w:r>
      <w:r>
        <w:rPr>
          <w:spacing w:val="-4"/>
        </w:rPr>
        <w:t> </w:t>
      </w:r>
      <w:r>
        <w:rPr/>
        <w:t>researchers</w:t>
      </w:r>
      <w:r>
        <w:rPr>
          <w:spacing w:val="-4"/>
        </w:rPr>
        <w:t> </w:t>
      </w:r>
      <w:r>
        <w:rPr/>
        <w:t>observed</w:t>
      </w:r>
      <w:r>
        <w:rPr>
          <w:spacing w:val="-4"/>
        </w:rPr>
        <w:t> </w:t>
      </w:r>
      <w:r>
        <w:rPr/>
        <w:t>the</w:t>
      </w:r>
      <w:r>
        <w:rPr>
          <w:spacing w:val="-4"/>
        </w:rPr>
        <w:t> </w:t>
      </w:r>
      <w:r>
        <w:rPr/>
        <w:t>principles</w:t>
      </w:r>
      <w:r>
        <w:rPr>
          <w:spacing w:val="-4"/>
        </w:rPr>
        <w:t> </w:t>
      </w:r>
      <w:r>
        <w:rPr/>
        <w:t>of</w:t>
      </w:r>
      <w:r>
        <w:rPr>
          <w:spacing w:val="-4"/>
        </w:rPr>
        <w:t> </w:t>
      </w:r>
      <w:r>
        <w:rPr/>
        <w:t>respect</w:t>
      </w:r>
      <w:r>
        <w:rPr>
          <w:spacing w:val="-5"/>
        </w:rPr>
        <w:t> </w:t>
      </w:r>
      <w:r>
        <w:rPr/>
        <w:t>for</w:t>
      </w:r>
      <w:r>
        <w:rPr>
          <w:spacing w:val="-4"/>
        </w:rPr>
        <w:t> </w:t>
      </w:r>
      <w:r>
        <w:rPr/>
        <w:t>persons,</w:t>
      </w:r>
      <w:r>
        <w:rPr>
          <w:spacing w:val="-5"/>
        </w:rPr>
        <w:t> </w:t>
      </w:r>
      <w:r>
        <w:rPr/>
        <w:t>beneficence,</w:t>
      </w:r>
      <w:r>
        <w:rPr>
          <w:spacing w:val="-4"/>
        </w:rPr>
        <w:t> </w:t>
      </w:r>
      <w:r>
        <w:rPr/>
        <w:t>and</w:t>
      </w:r>
      <w:r>
        <w:rPr>
          <w:spacing w:val="-4"/>
        </w:rPr>
        <w:t> </w:t>
      </w:r>
      <w:r>
        <w:rPr/>
        <w:t>justice. This compliance ensured that the participants were treated fairly, that risks were minimized, and that the potential benefits were maximized.</w:t>
      </w:r>
    </w:p>
    <w:p>
      <w:pPr>
        <w:pStyle w:val="BodyText"/>
        <w:spacing w:before="5"/>
        <w:ind w:left="0"/>
      </w:pPr>
    </w:p>
    <w:p>
      <w:pPr>
        <w:pStyle w:val="Heading1"/>
        <w:numPr>
          <w:ilvl w:val="0"/>
          <w:numId w:val="1"/>
        </w:numPr>
        <w:tabs>
          <w:tab w:pos="1325" w:val="left" w:leader="none"/>
        </w:tabs>
        <w:spacing w:line="240" w:lineRule="auto" w:before="0" w:after="0"/>
        <w:ind w:left="1325" w:right="0" w:hanging="245"/>
        <w:jc w:val="left"/>
        <w:rPr>
          <w:sz w:val="22"/>
        </w:rPr>
      </w:pPr>
      <w:r>
        <w:rPr/>
        <w:t>Finding</w:t>
      </w:r>
      <w:r>
        <w:rPr>
          <w:spacing w:val="-3"/>
        </w:rPr>
        <w:t> </w:t>
      </w:r>
      <w:r>
        <w:rPr/>
        <w:t>and</w:t>
      </w:r>
      <w:r>
        <w:rPr>
          <w:spacing w:val="-2"/>
        </w:rPr>
        <w:t> Discussion</w:t>
      </w:r>
    </w:p>
    <w:p>
      <w:pPr>
        <w:pStyle w:val="BodyText"/>
        <w:spacing w:before="4"/>
        <w:ind w:left="0"/>
        <w:rPr>
          <w:rFonts w:ascii="Arial"/>
          <w:b/>
        </w:rPr>
      </w:pPr>
    </w:p>
    <w:p>
      <w:pPr>
        <w:pStyle w:val="BodyText"/>
        <w:spacing w:line="259" w:lineRule="auto"/>
        <w:ind w:right="1076" w:firstLine="719"/>
        <w:jc w:val="both"/>
      </w:pPr>
      <w:r>
        <w:rPr/>
        <w:t>The reliability and validity results in Table 1 show that all constructs in the measurement model have strong internal consistency and satisfactory convergent validity. According to Cronbach (1951), the recommended minimum is 0.70. The results showed</w:t>
      </w:r>
      <w:r>
        <w:rPr>
          <w:spacing w:val="-14"/>
        </w:rPr>
        <w:t> </w:t>
      </w:r>
      <w:r>
        <w:rPr/>
        <w:t>a</w:t>
      </w:r>
      <w:r>
        <w:rPr>
          <w:spacing w:val="-12"/>
        </w:rPr>
        <w:t> </w:t>
      </w:r>
      <w:r>
        <w:rPr/>
        <w:t>Cronbach’s</w:t>
      </w:r>
      <w:r>
        <w:rPr>
          <w:spacing w:val="-12"/>
        </w:rPr>
        <w:t> </w:t>
      </w:r>
      <w:r>
        <w:rPr/>
        <w:t>alpha</w:t>
      </w:r>
      <w:r>
        <w:rPr>
          <w:spacing w:val="-11"/>
        </w:rPr>
        <w:t> </w:t>
      </w:r>
      <w:r>
        <w:rPr/>
        <w:t>values</w:t>
      </w:r>
      <w:r>
        <w:rPr>
          <w:spacing w:val="-12"/>
        </w:rPr>
        <w:t> </w:t>
      </w:r>
      <w:r>
        <w:rPr/>
        <w:t>ranging</w:t>
      </w:r>
      <w:r>
        <w:rPr>
          <w:spacing w:val="-11"/>
        </w:rPr>
        <w:t> </w:t>
      </w:r>
      <w:r>
        <w:rPr/>
        <w:t>from</w:t>
      </w:r>
      <w:r>
        <w:rPr>
          <w:spacing w:val="-14"/>
        </w:rPr>
        <w:t> </w:t>
      </w:r>
      <w:r>
        <w:rPr/>
        <w:t>0.822</w:t>
      </w:r>
      <w:r>
        <w:rPr>
          <w:spacing w:val="-12"/>
        </w:rPr>
        <w:t> </w:t>
      </w:r>
      <w:r>
        <w:rPr/>
        <w:t>to</w:t>
      </w:r>
      <w:r>
        <w:rPr>
          <w:spacing w:val="-14"/>
        </w:rPr>
        <w:t> </w:t>
      </w:r>
      <w:r>
        <w:rPr/>
        <w:t>0.934,</w:t>
      </w:r>
      <w:r>
        <w:rPr>
          <w:spacing w:val="-12"/>
        </w:rPr>
        <w:t> </w:t>
      </w:r>
      <w:r>
        <w:rPr/>
        <w:t>indicating</w:t>
      </w:r>
      <w:r>
        <w:rPr>
          <w:spacing w:val="-12"/>
        </w:rPr>
        <w:t> </w:t>
      </w:r>
      <w:r>
        <w:rPr/>
        <w:t>that</w:t>
      </w:r>
      <w:r>
        <w:rPr>
          <w:spacing w:val="-13"/>
        </w:rPr>
        <w:t> </w:t>
      </w:r>
      <w:r>
        <w:rPr/>
        <w:t>the</w:t>
      </w:r>
      <w:r>
        <w:rPr>
          <w:spacing w:val="-12"/>
        </w:rPr>
        <w:t> </w:t>
      </w:r>
      <w:r>
        <w:rPr/>
        <w:t>above items within each scale reliably measure the intended construct. Among the constructs, these three recorded the highest alpha values: Mastery Goals (MG), Performance - Avoidance (PAV), and During Writing (DW), suggesting a high level of item interrelatedness and scale stability.</w:t>
      </w:r>
    </w:p>
    <w:p>
      <w:pPr>
        <w:pStyle w:val="BodyText"/>
        <w:spacing w:line="259" w:lineRule="auto" w:before="158"/>
        <w:ind w:right="1073" w:firstLine="719"/>
        <w:jc w:val="both"/>
      </w:pPr>
      <w:r>
        <w:rPr/>
        <w:t>The composite reliability results, reflected in both rho_A and rho_C, fall between 0.836 and 0.970, well above the recommended minimum of 0.70 (Hair et al. (2018). Compared to Cronbach’s alpha, composite reliability incorporates the actual factors loadings</w:t>
      </w:r>
      <w:r>
        <w:rPr>
          <w:spacing w:val="-11"/>
        </w:rPr>
        <w:t> </w:t>
      </w:r>
      <w:r>
        <w:rPr/>
        <w:t>of</w:t>
      </w:r>
      <w:r>
        <w:rPr>
          <w:spacing w:val="-11"/>
        </w:rPr>
        <w:t> </w:t>
      </w:r>
      <w:r>
        <w:rPr/>
        <w:t>each</w:t>
      </w:r>
      <w:r>
        <w:rPr>
          <w:spacing w:val="-11"/>
        </w:rPr>
        <w:t> </w:t>
      </w:r>
      <w:r>
        <w:rPr/>
        <w:t>items,</w:t>
      </w:r>
      <w:r>
        <w:rPr>
          <w:spacing w:val="-12"/>
        </w:rPr>
        <w:t> </w:t>
      </w:r>
      <w:r>
        <w:rPr/>
        <w:t>hence,</w:t>
      </w:r>
      <w:r>
        <w:rPr>
          <w:spacing w:val="-12"/>
        </w:rPr>
        <w:t> </w:t>
      </w:r>
      <w:r>
        <w:rPr/>
        <w:t>this</w:t>
      </w:r>
      <w:r>
        <w:rPr>
          <w:spacing w:val="-11"/>
        </w:rPr>
        <w:t> </w:t>
      </w:r>
      <w:r>
        <w:rPr/>
        <w:t>provides</w:t>
      </w:r>
      <w:r>
        <w:rPr>
          <w:spacing w:val="-11"/>
        </w:rPr>
        <w:t> </w:t>
      </w:r>
      <w:r>
        <w:rPr/>
        <w:t>a</w:t>
      </w:r>
      <w:r>
        <w:rPr>
          <w:spacing w:val="-11"/>
        </w:rPr>
        <w:t> </w:t>
      </w:r>
      <w:r>
        <w:rPr/>
        <w:t>more</w:t>
      </w:r>
      <w:r>
        <w:rPr>
          <w:spacing w:val="-11"/>
        </w:rPr>
        <w:t> </w:t>
      </w:r>
      <w:r>
        <w:rPr/>
        <w:t>accurate</w:t>
      </w:r>
      <w:r>
        <w:rPr>
          <w:spacing w:val="-11"/>
        </w:rPr>
        <w:t> </w:t>
      </w:r>
      <w:r>
        <w:rPr/>
        <w:t>estimate.</w:t>
      </w:r>
      <w:r>
        <w:rPr>
          <w:spacing w:val="40"/>
        </w:rPr>
        <w:t> </w:t>
      </w:r>
      <w:r>
        <w:rPr/>
        <w:t>The</w:t>
      </w:r>
      <w:r>
        <w:rPr>
          <w:spacing w:val="-5"/>
        </w:rPr>
        <w:t> </w:t>
      </w:r>
      <w:r>
        <w:rPr/>
        <w:t>values</w:t>
      </w:r>
      <w:r>
        <w:rPr>
          <w:spacing w:val="-11"/>
        </w:rPr>
        <w:t> </w:t>
      </w:r>
      <w:r>
        <w:rPr/>
        <w:t>0.881 to 0.952 confirm that all constructs exhibits strong reliability and internal consistency. Notably, the constructs MG (0.952), PAV (0.925), and PRW (0.938) show high reliability and internal consistency. This suggests that their indicators strongly represent the underlying latent factors.</w:t>
      </w:r>
    </w:p>
    <w:p>
      <w:pPr>
        <w:pStyle w:val="BodyText"/>
        <w:spacing w:line="259" w:lineRule="auto" w:before="158"/>
        <w:ind w:right="1080" w:firstLine="719"/>
        <w:jc w:val="both"/>
      </w:pPr>
      <w:r>
        <w:rPr/>
        <w:t>The Average Variance Extracted (AVE), all surpass the standard of 0.50 as suggested in the study of Hair et al. (2018), with values ranging from 0.615 to 0.833, suggesting good convergent validity. MG</w:t>
      </w:r>
      <w:r>
        <w:rPr>
          <w:spacing w:val="-1"/>
        </w:rPr>
        <w:t> </w:t>
      </w:r>
      <w:r>
        <w:rPr/>
        <w:t>(0.833), PAV (0.804) and PA (0.753) achieved the highest AVE scores, suggesting that the items for these constructs capture their underlying</w:t>
      </w:r>
      <w:r>
        <w:rPr>
          <w:spacing w:val="17"/>
        </w:rPr>
        <w:t> </w:t>
      </w:r>
      <w:r>
        <w:rPr/>
        <w:t>dimension.</w:t>
      </w:r>
      <w:r>
        <w:rPr>
          <w:spacing w:val="17"/>
        </w:rPr>
        <w:t> </w:t>
      </w:r>
      <w:r>
        <w:rPr/>
        <w:t>Other</w:t>
      </w:r>
      <w:r>
        <w:rPr>
          <w:spacing w:val="18"/>
        </w:rPr>
        <w:t> </w:t>
      </w:r>
      <w:r>
        <w:rPr/>
        <w:t>constructs</w:t>
      </w:r>
      <w:r>
        <w:rPr>
          <w:spacing w:val="16"/>
        </w:rPr>
        <w:t> </w:t>
      </w:r>
      <w:r>
        <w:rPr/>
        <w:t>such</w:t>
      </w:r>
      <w:r>
        <w:rPr>
          <w:spacing w:val="18"/>
        </w:rPr>
        <w:t> </w:t>
      </w:r>
      <w:r>
        <w:rPr/>
        <w:t>as</w:t>
      </w:r>
      <w:r>
        <w:rPr>
          <w:spacing w:val="20"/>
        </w:rPr>
        <w:t> </w:t>
      </w:r>
      <w:r>
        <w:rPr/>
        <w:t>DW</w:t>
      </w:r>
      <w:r>
        <w:rPr>
          <w:spacing w:val="17"/>
        </w:rPr>
        <w:t> </w:t>
      </w:r>
      <w:r>
        <w:rPr/>
        <w:t>(</w:t>
      </w:r>
      <w:r>
        <w:rPr>
          <w:spacing w:val="19"/>
        </w:rPr>
        <w:t> </w:t>
      </w:r>
      <w:r>
        <w:rPr/>
        <w:t>0.615),</w:t>
      </w:r>
      <w:r>
        <w:rPr>
          <w:spacing w:val="17"/>
        </w:rPr>
        <w:t> </w:t>
      </w:r>
      <w:r>
        <w:rPr/>
        <w:t>POW</w:t>
      </w:r>
      <w:r>
        <w:rPr>
          <w:spacing w:val="18"/>
        </w:rPr>
        <w:t> </w:t>
      </w:r>
      <w:r>
        <w:rPr/>
        <w:t>(0.644),</w:t>
      </w:r>
      <w:r>
        <w:rPr>
          <w:spacing w:val="18"/>
        </w:rPr>
        <w:t> </w:t>
      </w:r>
      <w:r>
        <w:rPr/>
        <w:t>and</w:t>
      </w:r>
      <w:r>
        <w:rPr>
          <w:spacing w:val="18"/>
        </w:rPr>
        <w:t> </w:t>
      </w:r>
      <w:r>
        <w:rPr>
          <w:spacing w:val="-5"/>
        </w:rPr>
        <w:t>PRW</w:t>
      </w:r>
    </w:p>
    <w:p>
      <w:pPr>
        <w:pStyle w:val="BodyText"/>
        <w:spacing w:after="0" w:line="259" w:lineRule="auto"/>
        <w:jc w:val="both"/>
        <w:sectPr>
          <w:pgSz w:w="12240" w:h="15840"/>
          <w:pgMar w:top="1360" w:bottom="280" w:left="360" w:right="360"/>
        </w:sectPr>
      </w:pPr>
    </w:p>
    <w:p>
      <w:pPr>
        <w:pStyle w:val="BodyText"/>
        <w:spacing w:line="259" w:lineRule="auto" w:before="81"/>
        <w:ind w:right="1143"/>
      </w:pPr>
      <w:r>
        <w:rPr/>
        <w:t>(0.684)</w:t>
      </w:r>
      <w:r>
        <w:rPr>
          <w:spacing w:val="40"/>
        </w:rPr>
        <w:t> </w:t>
      </w:r>
      <w:r>
        <w:rPr/>
        <w:t>also</w:t>
      </w:r>
      <w:r>
        <w:rPr>
          <w:spacing w:val="40"/>
        </w:rPr>
        <w:t> </w:t>
      </w:r>
      <w:r>
        <w:rPr/>
        <w:t>meet</w:t>
      </w:r>
      <w:r>
        <w:rPr>
          <w:spacing w:val="40"/>
        </w:rPr>
        <w:t> </w:t>
      </w:r>
      <w:r>
        <w:rPr/>
        <w:t>the</w:t>
      </w:r>
      <w:r>
        <w:rPr>
          <w:spacing w:val="40"/>
        </w:rPr>
        <w:t> </w:t>
      </w:r>
      <w:r>
        <w:rPr/>
        <w:t>required</w:t>
      </w:r>
      <w:r>
        <w:rPr>
          <w:spacing w:val="40"/>
        </w:rPr>
        <w:t> </w:t>
      </w:r>
      <w:r>
        <w:rPr/>
        <w:t>standard</w:t>
      </w:r>
      <w:r>
        <w:rPr>
          <w:spacing w:val="40"/>
        </w:rPr>
        <w:t> </w:t>
      </w:r>
      <w:r>
        <w:rPr/>
        <w:t>,</w:t>
      </w:r>
      <w:r>
        <w:rPr>
          <w:spacing w:val="40"/>
        </w:rPr>
        <w:t> </w:t>
      </w:r>
      <w:r>
        <w:rPr/>
        <w:t>also</w:t>
      </w:r>
      <w:r>
        <w:rPr>
          <w:spacing w:val="40"/>
        </w:rPr>
        <w:t> </w:t>
      </w:r>
      <w:r>
        <w:rPr/>
        <w:t>indicating</w:t>
      </w:r>
      <w:r>
        <w:rPr>
          <w:spacing w:val="40"/>
        </w:rPr>
        <w:t> </w:t>
      </w:r>
      <w:r>
        <w:rPr/>
        <w:t>that</w:t>
      </w:r>
      <w:r>
        <w:rPr>
          <w:spacing w:val="40"/>
        </w:rPr>
        <w:t> </w:t>
      </w:r>
      <w:r>
        <w:rPr/>
        <w:t>their</w:t>
      </w:r>
      <w:r>
        <w:rPr>
          <w:spacing w:val="40"/>
        </w:rPr>
        <w:t> </w:t>
      </w:r>
      <w:r>
        <w:rPr/>
        <w:t>items</w:t>
      </w:r>
      <w:r>
        <w:rPr>
          <w:spacing w:val="40"/>
        </w:rPr>
        <w:t> </w:t>
      </w:r>
      <w:r>
        <w:rPr/>
        <w:t>converge </w:t>
      </w:r>
      <w:r>
        <w:rPr>
          <w:spacing w:val="-2"/>
        </w:rPr>
        <w:t>adequately.</w:t>
      </w:r>
    </w:p>
    <w:p>
      <w:pPr>
        <w:pStyle w:val="BodyText"/>
        <w:spacing w:line="259" w:lineRule="auto" w:before="160"/>
        <w:ind w:right="1075" w:firstLine="719"/>
        <w:jc w:val="both"/>
      </w:pPr>
      <w:r>
        <w:rPr/>
        <w:t>Taken</w:t>
      </w:r>
      <w:r>
        <w:rPr>
          <w:spacing w:val="-3"/>
        </w:rPr>
        <w:t> </w:t>
      </w:r>
      <w:r>
        <w:rPr/>
        <w:t>together,</w:t>
      </w:r>
      <w:r>
        <w:rPr>
          <w:spacing w:val="-5"/>
        </w:rPr>
        <w:t> </w:t>
      </w:r>
      <w:r>
        <w:rPr/>
        <w:t>these</w:t>
      </w:r>
      <w:r>
        <w:rPr>
          <w:spacing w:val="-3"/>
        </w:rPr>
        <w:t> </w:t>
      </w:r>
      <w:r>
        <w:rPr/>
        <w:t>reliability</w:t>
      </w:r>
      <w:r>
        <w:rPr>
          <w:spacing w:val="-4"/>
        </w:rPr>
        <w:t> </w:t>
      </w:r>
      <w:r>
        <w:rPr/>
        <w:t>and</w:t>
      </w:r>
      <w:r>
        <w:rPr>
          <w:spacing w:val="-3"/>
        </w:rPr>
        <w:t> </w:t>
      </w:r>
      <w:r>
        <w:rPr/>
        <w:t>validity</w:t>
      </w:r>
      <w:r>
        <w:rPr>
          <w:spacing w:val="-4"/>
        </w:rPr>
        <w:t> </w:t>
      </w:r>
      <w:r>
        <w:rPr/>
        <w:t>results</w:t>
      </w:r>
      <w:r>
        <w:rPr>
          <w:spacing w:val="-4"/>
        </w:rPr>
        <w:t> </w:t>
      </w:r>
      <w:r>
        <w:rPr/>
        <w:t>confirm</w:t>
      </w:r>
      <w:r>
        <w:rPr>
          <w:spacing w:val="-3"/>
        </w:rPr>
        <w:t> </w:t>
      </w:r>
      <w:r>
        <w:rPr/>
        <w:t>that</w:t>
      </w:r>
      <w:r>
        <w:rPr>
          <w:spacing w:val="-2"/>
        </w:rPr>
        <w:t> </w:t>
      </w:r>
      <w:r>
        <w:rPr/>
        <w:t>the</w:t>
      </w:r>
      <w:r>
        <w:rPr>
          <w:spacing w:val="-3"/>
        </w:rPr>
        <w:t> </w:t>
      </w:r>
      <w:r>
        <w:rPr/>
        <w:t>measurement model</w:t>
      </w:r>
      <w:r>
        <w:rPr>
          <w:spacing w:val="-5"/>
        </w:rPr>
        <w:t> </w:t>
      </w:r>
      <w:r>
        <w:rPr/>
        <w:t>is</w:t>
      </w:r>
      <w:r>
        <w:rPr>
          <w:spacing w:val="-6"/>
        </w:rPr>
        <w:t> </w:t>
      </w:r>
      <w:r>
        <w:rPr/>
        <w:t>statistically</w:t>
      </w:r>
      <w:r>
        <w:rPr>
          <w:spacing w:val="-6"/>
        </w:rPr>
        <w:t> </w:t>
      </w:r>
      <w:r>
        <w:rPr/>
        <w:t>sound.</w:t>
      </w:r>
      <w:r>
        <w:rPr>
          <w:spacing w:val="-7"/>
        </w:rPr>
        <w:t> </w:t>
      </w:r>
      <w:r>
        <w:rPr/>
        <w:t>Constructs</w:t>
      </w:r>
      <w:r>
        <w:rPr>
          <w:spacing w:val="-6"/>
        </w:rPr>
        <w:t> </w:t>
      </w:r>
      <w:r>
        <w:rPr/>
        <w:t>show</w:t>
      </w:r>
      <w:r>
        <w:rPr>
          <w:spacing w:val="-5"/>
        </w:rPr>
        <w:t> </w:t>
      </w:r>
      <w:r>
        <w:rPr/>
        <w:t>strong</w:t>
      </w:r>
      <w:r>
        <w:rPr>
          <w:spacing w:val="-6"/>
        </w:rPr>
        <w:t> </w:t>
      </w:r>
      <w:r>
        <w:rPr/>
        <w:t>internal</w:t>
      </w:r>
      <w:r>
        <w:rPr>
          <w:spacing w:val="-6"/>
        </w:rPr>
        <w:t> </w:t>
      </w:r>
      <w:r>
        <w:rPr/>
        <w:t>consistency</w:t>
      </w:r>
      <w:r>
        <w:rPr>
          <w:spacing w:val="-6"/>
        </w:rPr>
        <w:t> </w:t>
      </w:r>
      <w:r>
        <w:rPr/>
        <w:t>and</w:t>
      </w:r>
      <w:r>
        <w:rPr>
          <w:spacing w:val="-6"/>
        </w:rPr>
        <w:t> </w:t>
      </w:r>
      <w:r>
        <w:rPr/>
        <w:t>convergent validity. These results support the conclusion that the instrument used in the study effectively measures the variables in a dependable and reliable way.</w:t>
      </w:r>
    </w:p>
    <w:p>
      <w:pPr>
        <w:pStyle w:val="BodyText"/>
        <w:spacing w:before="1"/>
        <w:ind w:left="0"/>
      </w:pPr>
    </w:p>
    <w:p>
      <w:pPr>
        <w:pStyle w:val="BodyText"/>
        <w:spacing w:before="1"/>
        <w:ind w:left="1112" w:right="1112"/>
        <w:jc w:val="center"/>
      </w:pPr>
      <w:r>
        <w:rPr/>
        <w:t>Table</w:t>
      </w:r>
      <w:r>
        <w:rPr>
          <w:spacing w:val="-3"/>
        </w:rPr>
        <w:t> </w:t>
      </w:r>
      <w:r>
        <w:rPr/>
        <w:t>1.</w:t>
      </w:r>
      <w:r>
        <w:rPr>
          <w:spacing w:val="-2"/>
        </w:rPr>
        <w:t> </w:t>
      </w:r>
      <w:r>
        <w:rPr/>
        <w:t>Construct</w:t>
      </w:r>
      <w:r>
        <w:rPr>
          <w:spacing w:val="-3"/>
        </w:rPr>
        <w:t> </w:t>
      </w:r>
      <w:r>
        <w:rPr/>
        <w:t>Validity</w:t>
      </w:r>
      <w:r>
        <w:rPr>
          <w:spacing w:val="-3"/>
        </w:rPr>
        <w:t> </w:t>
      </w:r>
      <w:r>
        <w:rPr/>
        <w:t>and</w:t>
      </w:r>
      <w:r>
        <w:rPr>
          <w:spacing w:val="-2"/>
        </w:rPr>
        <w:t> Reliability</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590912">
                <wp:simplePos x="0" y="0"/>
                <wp:positionH relativeFrom="page">
                  <wp:posOffset>914717</wp:posOffset>
                </wp:positionH>
                <wp:positionV relativeFrom="paragraph">
                  <wp:posOffset>196290</wp:posOffset>
                </wp:positionV>
                <wp:extent cx="5944870" cy="635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44870" cy="6350"/>
                        </a:xfrm>
                        <a:custGeom>
                          <a:avLst/>
                          <a:gdLst/>
                          <a:ahLst/>
                          <a:cxnLst/>
                          <a:rect l="l" t="t" r="r" b="b"/>
                          <a:pathLst>
                            <a:path w="5944870" h="6350">
                              <a:moveTo>
                                <a:pt x="768350" y="0"/>
                              </a:moveTo>
                              <a:lnTo>
                                <a:pt x="0" y="0"/>
                              </a:lnTo>
                              <a:lnTo>
                                <a:pt x="0" y="6350"/>
                              </a:lnTo>
                              <a:lnTo>
                                <a:pt x="768350" y="6350"/>
                              </a:lnTo>
                              <a:lnTo>
                                <a:pt x="768350" y="0"/>
                              </a:lnTo>
                              <a:close/>
                            </a:path>
                            <a:path w="5944870" h="6350">
                              <a:moveTo>
                                <a:pt x="5515280" y="0"/>
                              </a:moveTo>
                              <a:lnTo>
                                <a:pt x="3743261" y="0"/>
                              </a:lnTo>
                              <a:lnTo>
                                <a:pt x="1971421" y="0"/>
                              </a:lnTo>
                              <a:lnTo>
                                <a:pt x="768413" y="0"/>
                              </a:lnTo>
                              <a:lnTo>
                                <a:pt x="768413" y="6350"/>
                              </a:lnTo>
                              <a:lnTo>
                                <a:pt x="1971357" y="6350"/>
                              </a:lnTo>
                              <a:lnTo>
                                <a:pt x="3743261" y="6350"/>
                              </a:lnTo>
                              <a:lnTo>
                                <a:pt x="5515280" y="6350"/>
                              </a:lnTo>
                              <a:lnTo>
                                <a:pt x="5515280" y="0"/>
                              </a:lnTo>
                              <a:close/>
                            </a:path>
                            <a:path w="5944870" h="6350">
                              <a:moveTo>
                                <a:pt x="5944552" y="0"/>
                              </a:moveTo>
                              <a:lnTo>
                                <a:pt x="5515292" y="0"/>
                              </a:lnTo>
                              <a:lnTo>
                                <a:pt x="5515292" y="6350"/>
                              </a:lnTo>
                              <a:lnTo>
                                <a:pt x="5944552" y="6350"/>
                              </a:lnTo>
                              <a:lnTo>
                                <a:pt x="5944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5002pt;margin-top:15.45591pt;width:468.1pt;height:.5pt;mso-position-horizontal-relative:page;mso-position-vertical-relative:paragraph;z-index:-15725568;mso-wrap-distance-left:0;mso-wrap-distance-right:0" id="docshape13" coordorigin="1441,309" coordsize="9362,10" path="m2651,309l1441,309,1441,319,2651,319,2651,309xm10126,309l7335,309,4545,309,4545,309,2651,309,2651,319,4545,319,4545,319,7335,319,10126,319,10126,309xm10802,309l10126,309,10126,319,10802,319,10802,309xe" filled="true" fillcolor="#000000" stroked="false">
                <v:path arrowok="t"/>
                <v:fill type="solid"/>
                <w10:wrap type="topAndBottom"/>
              </v:shape>
            </w:pict>
          </mc:Fallback>
        </mc:AlternateContent>
      </w:r>
    </w:p>
    <w:p>
      <w:pPr>
        <w:tabs>
          <w:tab w:pos="4214" w:val="left" w:leader="none"/>
          <w:tab w:pos="5810" w:val="left" w:leader="none"/>
          <w:tab w:pos="8600" w:val="left" w:leader="none"/>
        </w:tabs>
        <w:spacing w:line="72" w:lineRule="auto" w:before="75"/>
        <w:ind w:left="1126" w:right="0" w:firstLine="0"/>
        <w:jc w:val="left"/>
        <w:rPr>
          <w:rFonts w:ascii="Arial" w:hAnsi="Arial"/>
          <w:b/>
          <w:position w:val="-13"/>
          <w:sz w:val="24"/>
        </w:rPr>
      </w:pPr>
      <w:r>
        <w:rPr>
          <w:rFonts w:ascii="Arial" w:hAnsi="Arial"/>
          <w:b/>
          <w:position w:val="-13"/>
          <w:sz w:val="24"/>
        </w:rPr>
        <w:t>Construct</w:t>
      </w:r>
      <w:r>
        <w:rPr>
          <w:rFonts w:ascii="Arial" w:hAnsi="Arial"/>
          <w:b/>
          <w:spacing w:val="-14"/>
          <w:position w:val="-13"/>
          <w:sz w:val="24"/>
        </w:rPr>
        <w:t> </w:t>
      </w:r>
      <w:r>
        <w:rPr>
          <w:rFonts w:ascii="Arial" w:hAnsi="Arial"/>
          <w:b/>
          <w:spacing w:val="-2"/>
          <w:sz w:val="24"/>
        </w:rPr>
        <w:t>Cronbach’s</w:t>
      </w:r>
      <w:r>
        <w:rPr>
          <w:rFonts w:ascii="Arial" w:hAnsi="Arial"/>
          <w:b/>
          <w:sz w:val="24"/>
        </w:rPr>
        <w:tab/>
      </w:r>
      <w:r>
        <w:rPr>
          <w:rFonts w:ascii="Arial" w:hAnsi="Arial"/>
          <w:b/>
          <w:spacing w:val="-2"/>
          <w:sz w:val="24"/>
        </w:rPr>
        <w:t>Composite</w:t>
      </w:r>
      <w:r>
        <w:rPr>
          <w:rFonts w:ascii="Arial" w:hAnsi="Arial"/>
          <w:b/>
          <w:sz w:val="24"/>
        </w:rPr>
        <w:tab/>
        <w:t>Reliability</w:t>
      </w:r>
      <w:r>
        <w:rPr>
          <w:rFonts w:ascii="Arial" w:hAnsi="Arial"/>
          <w:b/>
          <w:spacing w:val="-12"/>
          <w:sz w:val="24"/>
        </w:rPr>
        <w:t> </w:t>
      </w:r>
      <w:r>
        <w:rPr>
          <w:rFonts w:ascii="Arial" w:hAnsi="Arial"/>
          <w:b/>
          <w:spacing w:val="-2"/>
          <w:sz w:val="24"/>
        </w:rPr>
        <w:t>Composite</w:t>
      </w:r>
      <w:r>
        <w:rPr>
          <w:rFonts w:ascii="Arial" w:hAnsi="Arial"/>
          <w:b/>
          <w:sz w:val="24"/>
        </w:rPr>
        <w:tab/>
        <w:t>Reliability</w:t>
      </w:r>
      <w:r>
        <w:rPr>
          <w:rFonts w:ascii="Arial" w:hAnsi="Arial"/>
          <w:b/>
          <w:spacing w:val="-12"/>
          <w:sz w:val="24"/>
        </w:rPr>
        <w:t> </w:t>
      </w:r>
      <w:r>
        <w:rPr>
          <w:rFonts w:ascii="Arial" w:hAnsi="Arial"/>
          <w:b/>
          <w:spacing w:val="-5"/>
          <w:position w:val="-13"/>
          <w:sz w:val="24"/>
        </w:rPr>
        <w:t>AVE</w:t>
      </w:r>
    </w:p>
    <w:p>
      <w:pPr>
        <w:spacing w:after="0" w:line="72" w:lineRule="auto"/>
        <w:jc w:val="left"/>
        <w:rPr>
          <w:rFonts w:ascii="Arial" w:hAnsi="Arial"/>
          <w:b/>
          <w:position w:val="-13"/>
          <w:sz w:val="24"/>
        </w:rPr>
        <w:sectPr>
          <w:pgSz w:w="12240" w:h="15840"/>
          <w:pgMar w:top="1360" w:bottom="280" w:left="360" w:right="360"/>
        </w:sectPr>
      </w:pPr>
    </w:p>
    <w:p>
      <w:pPr>
        <w:spacing w:line="269" w:lineRule="exact" w:before="0"/>
        <w:ind w:left="0" w:right="0" w:firstLine="0"/>
        <w:jc w:val="right"/>
        <w:rPr>
          <w:rFonts w:ascii="Arial"/>
          <w:b/>
          <w:sz w:val="24"/>
        </w:rPr>
      </w:pPr>
      <w:r>
        <w:rPr>
          <w:rFonts w:ascii="Arial"/>
          <w:b/>
          <w:spacing w:val="-2"/>
          <w:sz w:val="24"/>
        </w:rPr>
        <w:t>Alpha</w:t>
      </w:r>
    </w:p>
    <w:p>
      <w:pPr>
        <w:spacing w:line="269" w:lineRule="exact" w:before="0"/>
        <w:ind w:left="1190" w:right="0" w:firstLine="0"/>
        <w:jc w:val="left"/>
        <w:rPr>
          <w:rFonts w:ascii="Arial"/>
          <w:b/>
          <w:sz w:val="24"/>
        </w:rPr>
      </w:pPr>
      <w:r>
        <w:rPr/>
        <w:br w:type="column"/>
      </w:r>
      <w:r>
        <w:rPr>
          <w:rFonts w:ascii="Arial"/>
          <w:b/>
          <w:spacing w:val="-2"/>
          <w:sz w:val="24"/>
        </w:rPr>
        <w:t>(rho_A)</w:t>
      </w:r>
    </w:p>
    <w:p>
      <w:pPr>
        <w:spacing w:line="269" w:lineRule="exact" w:before="0"/>
        <w:ind w:left="1896" w:right="0" w:firstLine="0"/>
        <w:jc w:val="left"/>
        <w:rPr>
          <w:rFonts w:ascii="Arial"/>
          <w:b/>
          <w:sz w:val="24"/>
        </w:rPr>
      </w:pPr>
      <w:r>
        <w:rPr/>
        <w:br w:type="column"/>
      </w:r>
      <w:r>
        <w:rPr>
          <w:rFonts w:ascii="Arial"/>
          <w:b/>
          <w:spacing w:val="-2"/>
          <w:sz w:val="24"/>
        </w:rPr>
        <w:t>(rho_C)</w:t>
      </w:r>
    </w:p>
    <w:p>
      <w:pPr>
        <w:spacing w:after="0" w:line="269" w:lineRule="exact"/>
        <w:jc w:val="left"/>
        <w:rPr>
          <w:rFonts w:ascii="Arial"/>
          <w:b/>
          <w:sz w:val="24"/>
        </w:rPr>
        <w:sectPr>
          <w:type w:val="continuous"/>
          <w:pgSz w:w="12240" w:h="15840"/>
          <w:pgMar w:top="1360" w:bottom="280" w:left="360" w:right="360"/>
          <w:cols w:num="3" w:equalWidth="0">
            <w:col w:w="2985" w:space="40"/>
            <w:col w:w="2045" w:space="39"/>
            <w:col w:w="6411"/>
          </w:cols>
        </w:sectPr>
      </w:pPr>
    </w:p>
    <w:p>
      <w:pPr>
        <w:pStyle w:val="BodyText"/>
        <w:spacing w:before="10"/>
        <w:ind w:left="0"/>
        <w:rPr>
          <w:rFonts w:ascii="Arial"/>
          <w:b/>
          <w:sz w:val="5"/>
        </w:rPr>
      </w:pPr>
    </w:p>
    <w:tbl>
      <w:tblPr>
        <w:tblW w:w="0" w:type="auto"/>
        <w:jc w:val="left"/>
        <w:tblInd w:w="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8"/>
        <w:gridCol w:w="1499"/>
        <w:gridCol w:w="2344"/>
        <w:gridCol w:w="2791"/>
        <w:gridCol w:w="1741"/>
      </w:tblGrid>
      <w:tr>
        <w:trPr>
          <w:trHeight w:val="301" w:hRule="atLeast"/>
        </w:trPr>
        <w:tc>
          <w:tcPr>
            <w:tcW w:w="988" w:type="dxa"/>
          </w:tcPr>
          <w:p>
            <w:pPr>
              <w:pStyle w:val="TableParagraph"/>
              <w:spacing w:line="268" w:lineRule="exact"/>
              <w:ind w:left="45"/>
              <w:rPr>
                <w:sz w:val="24"/>
              </w:rPr>
            </w:pPr>
            <w:r>
              <w:rPr>
                <w:spacing w:val="-5"/>
                <w:sz w:val="24"/>
              </w:rPr>
              <w:t>DW</w:t>
            </w:r>
          </w:p>
        </w:tc>
        <w:tc>
          <w:tcPr>
            <w:tcW w:w="1499" w:type="dxa"/>
          </w:tcPr>
          <w:p>
            <w:pPr>
              <w:pStyle w:val="TableParagraph"/>
              <w:spacing w:line="268" w:lineRule="exact"/>
              <w:ind w:left="250"/>
              <w:rPr>
                <w:sz w:val="24"/>
              </w:rPr>
            </w:pPr>
            <w:r>
              <w:rPr>
                <w:spacing w:val="-4"/>
                <w:sz w:val="24"/>
              </w:rPr>
              <w:t>0.931</w:t>
            </w:r>
          </w:p>
        </w:tc>
        <w:tc>
          <w:tcPr>
            <w:tcW w:w="2344" w:type="dxa"/>
          </w:tcPr>
          <w:p>
            <w:pPr>
              <w:pStyle w:val="TableParagraph"/>
              <w:spacing w:line="268" w:lineRule="exact"/>
              <w:ind w:left="647"/>
              <w:rPr>
                <w:sz w:val="24"/>
              </w:rPr>
            </w:pPr>
            <w:r>
              <w:rPr>
                <w:spacing w:val="-4"/>
                <w:sz w:val="24"/>
              </w:rPr>
              <w:t>0.943</w:t>
            </w:r>
          </w:p>
        </w:tc>
        <w:tc>
          <w:tcPr>
            <w:tcW w:w="2791" w:type="dxa"/>
          </w:tcPr>
          <w:p>
            <w:pPr>
              <w:pStyle w:val="TableParagraph"/>
              <w:spacing w:line="268" w:lineRule="exact"/>
              <w:jc w:val="center"/>
              <w:rPr>
                <w:sz w:val="24"/>
              </w:rPr>
            </w:pPr>
            <w:r>
              <w:rPr>
                <w:spacing w:val="-4"/>
                <w:sz w:val="24"/>
              </w:rPr>
              <w:t>0.941</w:t>
            </w:r>
          </w:p>
        </w:tc>
        <w:tc>
          <w:tcPr>
            <w:tcW w:w="1741" w:type="dxa"/>
          </w:tcPr>
          <w:p>
            <w:pPr>
              <w:pStyle w:val="TableParagraph"/>
              <w:spacing w:line="268" w:lineRule="exact"/>
              <w:ind w:right="44"/>
              <w:jc w:val="right"/>
              <w:rPr>
                <w:sz w:val="24"/>
              </w:rPr>
            </w:pPr>
            <w:r>
              <w:rPr>
                <w:spacing w:val="-4"/>
                <w:sz w:val="24"/>
              </w:rPr>
              <w:t>0.615</w:t>
            </w:r>
          </w:p>
        </w:tc>
      </w:tr>
      <w:tr>
        <w:trPr>
          <w:trHeight w:val="336" w:hRule="atLeast"/>
        </w:trPr>
        <w:tc>
          <w:tcPr>
            <w:tcW w:w="988" w:type="dxa"/>
          </w:tcPr>
          <w:p>
            <w:pPr>
              <w:pStyle w:val="TableParagraph"/>
              <w:spacing w:before="26"/>
              <w:ind w:left="45"/>
              <w:rPr>
                <w:sz w:val="24"/>
              </w:rPr>
            </w:pPr>
            <w:r>
              <w:rPr>
                <w:spacing w:val="-4"/>
                <w:sz w:val="24"/>
              </w:rPr>
              <w:t>GCOI</w:t>
            </w:r>
          </w:p>
        </w:tc>
        <w:tc>
          <w:tcPr>
            <w:tcW w:w="1499" w:type="dxa"/>
          </w:tcPr>
          <w:p>
            <w:pPr>
              <w:pStyle w:val="TableParagraph"/>
              <w:spacing w:before="26"/>
              <w:ind w:left="250"/>
              <w:rPr>
                <w:sz w:val="24"/>
              </w:rPr>
            </w:pPr>
            <w:r>
              <w:rPr>
                <w:spacing w:val="-4"/>
                <w:sz w:val="24"/>
              </w:rPr>
              <w:t>0.822</w:t>
            </w:r>
          </w:p>
        </w:tc>
        <w:tc>
          <w:tcPr>
            <w:tcW w:w="2344" w:type="dxa"/>
          </w:tcPr>
          <w:p>
            <w:pPr>
              <w:pStyle w:val="TableParagraph"/>
              <w:spacing w:before="26"/>
              <w:ind w:left="647"/>
              <w:rPr>
                <w:sz w:val="24"/>
              </w:rPr>
            </w:pPr>
            <w:r>
              <w:rPr>
                <w:spacing w:val="-4"/>
                <w:sz w:val="24"/>
              </w:rPr>
              <w:t>0.839</w:t>
            </w:r>
          </w:p>
        </w:tc>
        <w:tc>
          <w:tcPr>
            <w:tcW w:w="2791" w:type="dxa"/>
          </w:tcPr>
          <w:p>
            <w:pPr>
              <w:pStyle w:val="TableParagraph"/>
              <w:spacing w:before="26"/>
              <w:jc w:val="center"/>
              <w:rPr>
                <w:sz w:val="24"/>
              </w:rPr>
            </w:pPr>
            <w:r>
              <w:rPr>
                <w:spacing w:val="-4"/>
                <w:sz w:val="24"/>
              </w:rPr>
              <w:t>0.881</w:t>
            </w:r>
          </w:p>
        </w:tc>
        <w:tc>
          <w:tcPr>
            <w:tcW w:w="1741" w:type="dxa"/>
          </w:tcPr>
          <w:p>
            <w:pPr>
              <w:pStyle w:val="TableParagraph"/>
              <w:spacing w:before="26"/>
              <w:ind w:right="44"/>
              <w:jc w:val="right"/>
              <w:rPr>
                <w:sz w:val="24"/>
              </w:rPr>
            </w:pPr>
            <w:r>
              <w:rPr>
                <w:spacing w:val="-4"/>
                <w:sz w:val="24"/>
              </w:rPr>
              <w:t>0.650</w:t>
            </w:r>
          </w:p>
        </w:tc>
      </w:tr>
      <w:tr>
        <w:trPr>
          <w:trHeight w:val="336" w:hRule="atLeast"/>
        </w:trPr>
        <w:tc>
          <w:tcPr>
            <w:tcW w:w="988" w:type="dxa"/>
          </w:tcPr>
          <w:p>
            <w:pPr>
              <w:pStyle w:val="TableParagraph"/>
              <w:spacing w:before="26"/>
              <w:ind w:left="45"/>
              <w:rPr>
                <w:sz w:val="24"/>
              </w:rPr>
            </w:pPr>
            <w:r>
              <w:rPr>
                <w:spacing w:val="-4"/>
                <w:sz w:val="24"/>
              </w:rPr>
              <w:t>GPOE</w:t>
            </w:r>
          </w:p>
        </w:tc>
        <w:tc>
          <w:tcPr>
            <w:tcW w:w="1499" w:type="dxa"/>
          </w:tcPr>
          <w:p>
            <w:pPr>
              <w:pStyle w:val="TableParagraph"/>
              <w:spacing w:before="26"/>
              <w:ind w:left="250"/>
              <w:rPr>
                <w:sz w:val="24"/>
              </w:rPr>
            </w:pPr>
            <w:r>
              <w:rPr>
                <w:spacing w:val="-4"/>
                <w:sz w:val="24"/>
              </w:rPr>
              <w:t>0.847</w:t>
            </w:r>
          </w:p>
        </w:tc>
        <w:tc>
          <w:tcPr>
            <w:tcW w:w="2344" w:type="dxa"/>
          </w:tcPr>
          <w:p>
            <w:pPr>
              <w:pStyle w:val="TableParagraph"/>
              <w:spacing w:before="26"/>
              <w:ind w:left="647"/>
              <w:rPr>
                <w:sz w:val="24"/>
              </w:rPr>
            </w:pPr>
            <w:r>
              <w:rPr>
                <w:spacing w:val="-4"/>
                <w:sz w:val="24"/>
              </w:rPr>
              <w:t>0.850</w:t>
            </w:r>
          </w:p>
        </w:tc>
        <w:tc>
          <w:tcPr>
            <w:tcW w:w="2791" w:type="dxa"/>
          </w:tcPr>
          <w:p>
            <w:pPr>
              <w:pStyle w:val="TableParagraph"/>
              <w:spacing w:before="26"/>
              <w:jc w:val="center"/>
              <w:rPr>
                <w:sz w:val="24"/>
              </w:rPr>
            </w:pPr>
            <w:r>
              <w:rPr>
                <w:spacing w:val="-4"/>
                <w:sz w:val="24"/>
              </w:rPr>
              <w:t>0.890</w:t>
            </w:r>
          </w:p>
        </w:tc>
        <w:tc>
          <w:tcPr>
            <w:tcW w:w="1741" w:type="dxa"/>
          </w:tcPr>
          <w:p>
            <w:pPr>
              <w:pStyle w:val="TableParagraph"/>
              <w:spacing w:before="26"/>
              <w:ind w:right="44"/>
              <w:jc w:val="right"/>
              <w:rPr>
                <w:sz w:val="24"/>
              </w:rPr>
            </w:pPr>
            <w:r>
              <w:rPr>
                <w:spacing w:val="-4"/>
                <w:sz w:val="24"/>
              </w:rPr>
              <w:t>0.619</w:t>
            </w:r>
          </w:p>
        </w:tc>
      </w:tr>
      <w:tr>
        <w:trPr>
          <w:trHeight w:val="335" w:hRule="atLeast"/>
        </w:trPr>
        <w:tc>
          <w:tcPr>
            <w:tcW w:w="988" w:type="dxa"/>
          </w:tcPr>
          <w:p>
            <w:pPr>
              <w:pStyle w:val="TableParagraph"/>
              <w:spacing w:before="26"/>
              <w:ind w:left="45"/>
              <w:rPr>
                <w:sz w:val="24"/>
              </w:rPr>
            </w:pPr>
            <w:r>
              <w:rPr>
                <w:spacing w:val="-5"/>
                <w:sz w:val="24"/>
              </w:rPr>
              <w:t>MG</w:t>
            </w:r>
          </w:p>
        </w:tc>
        <w:tc>
          <w:tcPr>
            <w:tcW w:w="1499" w:type="dxa"/>
          </w:tcPr>
          <w:p>
            <w:pPr>
              <w:pStyle w:val="TableParagraph"/>
              <w:spacing w:before="26"/>
              <w:ind w:left="250"/>
              <w:rPr>
                <w:sz w:val="24"/>
              </w:rPr>
            </w:pPr>
            <w:r>
              <w:rPr>
                <w:spacing w:val="-4"/>
                <w:sz w:val="24"/>
              </w:rPr>
              <w:t>0.934</w:t>
            </w:r>
          </w:p>
        </w:tc>
        <w:tc>
          <w:tcPr>
            <w:tcW w:w="2344" w:type="dxa"/>
          </w:tcPr>
          <w:p>
            <w:pPr>
              <w:pStyle w:val="TableParagraph"/>
              <w:spacing w:before="26"/>
              <w:ind w:left="647"/>
              <w:rPr>
                <w:sz w:val="24"/>
              </w:rPr>
            </w:pPr>
            <w:r>
              <w:rPr>
                <w:spacing w:val="-4"/>
                <w:sz w:val="24"/>
              </w:rPr>
              <w:t>0.954</w:t>
            </w:r>
          </w:p>
        </w:tc>
        <w:tc>
          <w:tcPr>
            <w:tcW w:w="2791" w:type="dxa"/>
          </w:tcPr>
          <w:p>
            <w:pPr>
              <w:pStyle w:val="TableParagraph"/>
              <w:spacing w:before="26"/>
              <w:jc w:val="center"/>
              <w:rPr>
                <w:sz w:val="24"/>
              </w:rPr>
            </w:pPr>
            <w:r>
              <w:rPr>
                <w:spacing w:val="-4"/>
                <w:sz w:val="24"/>
              </w:rPr>
              <w:t>0.952</w:t>
            </w:r>
          </w:p>
        </w:tc>
        <w:tc>
          <w:tcPr>
            <w:tcW w:w="1741" w:type="dxa"/>
          </w:tcPr>
          <w:p>
            <w:pPr>
              <w:pStyle w:val="TableParagraph"/>
              <w:spacing w:before="26"/>
              <w:ind w:right="44"/>
              <w:jc w:val="right"/>
              <w:rPr>
                <w:sz w:val="24"/>
              </w:rPr>
            </w:pPr>
            <w:r>
              <w:rPr>
                <w:spacing w:val="-4"/>
                <w:sz w:val="24"/>
              </w:rPr>
              <w:t>0.833</w:t>
            </w:r>
          </w:p>
        </w:tc>
      </w:tr>
      <w:tr>
        <w:trPr>
          <w:trHeight w:val="336" w:hRule="atLeast"/>
        </w:trPr>
        <w:tc>
          <w:tcPr>
            <w:tcW w:w="988" w:type="dxa"/>
          </w:tcPr>
          <w:p>
            <w:pPr>
              <w:pStyle w:val="TableParagraph"/>
              <w:spacing w:before="26"/>
              <w:ind w:left="45"/>
              <w:rPr>
                <w:sz w:val="24"/>
              </w:rPr>
            </w:pPr>
            <w:r>
              <w:rPr>
                <w:spacing w:val="-5"/>
                <w:sz w:val="24"/>
              </w:rPr>
              <w:t>PA</w:t>
            </w:r>
          </w:p>
        </w:tc>
        <w:tc>
          <w:tcPr>
            <w:tcW w:w="1499" w:type="dxa"/>
          </w:tcPr>
          <w:p>
            <w:pPr>
              <w:pStyle w:val="TableParagraph"/>
              <w:spacing w:before="26"/>
              <w:ind w:left="250"/>
              <w:rPr>
                <w:sz w:val="24"/>
              </w:rPr>
            </w:pPr>
            <w:r>
              <w:rPr>
                <w:spacing w:val="-4"/>
                <w:sz w:val="24"/>
              </w:rPr>
              <w:t>0.836</w:t>
            </w:r>
          </w:p>
        </w:tc>
        <w:tc>
          <w:tcPr>
            <w:tcW w:w="2344" w:type="dxa"/>
          </w:tcPr>
          <w:p>
            <w:pPr>
              <w:pStyle w:val="TableParagraph"/>
              <w:spacing w:before="26"/>
              <w:ind w:left="647"/>
              <w:rPr>
                <w:sz w:val="24"/>
              </w:rPr>
            </w:pPr>
            <w:r>
              <w:rPr>
                <w:spacing w:val="-4"/>
                <w:sz w:val="24"/>
              </w:rPr>
              <w:t>0.836</w:t>
            </w:r>
          </w:p>
        </w:tc>
        <w:tc>
          <w:tcPr>
            <w:tcW w:w="2791" w:type="dxa"/>
          </w:tcPr>
          <w:p>
            <w:pPr>
              <w:pStyle w:val="TableParagraph"/>
              <w:spacing w:before="26"/>
              <w:jc w:val="center"/>
              <w:rPr>
                <w:sz w:val="24"/>
              </w:rPr>
            </w:pPr>
            <w:r>
              <w:rPr>
                <w:spacing w:val="-4"/>
                <w:sz w:val="24"/>
              </w:rPr>
              <w:t>0.901</w:t>
            </w:r>
          </w:p>
        </w:tc>
        <w:tc>
          <w:tcPr>
            <w:tcW w:w="1741" w:type="dxa"/>
          </w:tcPr>
          <w:p>
            <w:pPr>
              <w:pStyle w:val="TableParagraph"/>
              <w:spacing w:before="26"/>
              <w:ind w:right="44"/>
              <w:jc w:val="right"/>
              <w:rPr>
                <w:sz w:val="24"/>
              </w:rPr>
            </w:pPr>
            <w:r>
              <w:rPr>
                <w:spacing w:val="-4"/>
                <w:sz w:val="24"/>
              </w:rPr>
              <w:t>0.753</w:t>
            </w:r>
          </w:p>
        </w:tc>
      </w:tr>
      <w:tr>
        <w:trPr>
          <w:trHeight w:val="335" w:hRule="atLeast"/>
        </w:trPr>
        <w:tc>
          <w:tcPr>
            <w:tcW w:w="988" w:type="dxa"/>
          </w:tcPr>
          <w:p>
            <w:pPr>
              <w:pStyle w:val="TableParagraph"/>
              <w:spacing w:before="26"/>
              <w:ind w:left="45"/>
              <w:rPr>
                <w:sz w:val="24"/>
              </w:rPr>
            </w:pPr>
            <w:r>
              <w:rPr>
                <w:spacing w:val="-5"/>
                <w:sz w:val="24"/>
              </w:rPr>
              <w:t>PAV</w:t>
            </w:r>
          </w:p>
        </w:tc>
        <w:tc>
          <w:tcPr>
            <w:tcW w:w="1499" w:type="dxa"/>
          </w:tcPr>
          <w:p>
            <w:pPr>
              <w:pStyle w:val="TableParagraph"/>
              <w:spacing w:before="26"/>
              <w:ind w:left="250"/>
              <w:rPr>
                <w:sz w:val="24"/>
              </w:rPr>
            </w:pPr>
            <w:r>
              <w:rPr>
                <w:spacing w:val="-4"/>
                <w:sz w:val="24"/>
              </w:rPr>
              <w:t>0.879</w:t>
            </w:r>
          </w:p>
        </w:tc>
        <w:tc>
          <w:tcPr>
            <w:tcW w:w="2344" w:type="dxa"/>
          </w:tcPr>
          <w:p>
            <w:pPr>
              <w:pStyle w:val="TableParagraph"/>
              <w:spacing w:before="26"/>
              <w:ind w:left="647"/>
              <w:rPr>
                <w:sz w:val="24"/>
              </w:rPr>
            </w:pPr>
            <w:r>
              <w:rPr>
                <w:spacing w:val="-4"/>
                <w:sz w:val="24"/>
              </w:rPr>
              <w:t>0.893</w:t>
            </w:r>
          </w:p>
        </w:tc>
        <w:tc>
          <w:tcPr>
            <w:tcW w:w="2791" w:type="dxa"/>
          </w:tcPr>
          <w:p>
            <w:pPr>
              <w:pStyle w:val="TableParagraph"/>
              <w:spacing w:before="26"/>
              <w:jc w:val="center"/>
              <w:rPr>
                <w:sz w:val="24"/>
              </w:rPr>
            </w:pPr>
            <w:r>
              <w:rPr>
                <w:spacing w:val="-4"/>
                <w:sz w:val="24"/>
              </w:rPr>
              <w:t>0.925</w:t>
            </w:r>
          </w:p>
        </w:tc>
        <w:tc>
          <w:tcPr>
            <w:tcW w:w="1741" w:type="dxa"/>
          </w:tcPr>
          <w:p>
            <w:pPr>
              <w:pStyle w:val="TableParagraph"/>
              <w:spacing w:before="26"/>
              <w:ind w:right="44"/>
              <w:jc w:val="right"/>
              <w:rPr>
                <w:sz w:val="24"/>
              </w:rPr>
            </w:pPr>
            <w:r>
              <w:rPr>
                <w:spacing w:val="-4"/>
                <w:sz w:val="24"/>
              </w:rPr>
              <w:t>0.804</w:t>
            </w:r>
          </w:p>
        </w:tc>
      </w:tr>
      <w:tr>
        <w:trPr>
          <w:trHeight w:val="335" w:hRule="atLeast"/>
        </w:trPr>
        <w:tc>
          <w:tcPr>
            <w:tcW w:w="988" w:type="dxa"/>
          </w:tcPr>
          <w:p>
            <w:pPr>
              <w:pStyle w:val="TableParagraph"/>
              <w:spacing w:before="26"/>
              <w:ind w:left="45"/>
              <w:rPr>
                <w:sz w:val="24"/>
              </w:rPr>
            </w:pPr>
            <w:r>
              <w:rPr>
                <w:spacing w:val="-5"/>
                <w:sz w:val="24"/>
              </w:rPr>
              <w:t>POW</w:t>
            </w:r>
          </w:p>
        </w:tc>
        <w:tc>
          <w:tcPr>
            <w:tcW w:w="1499" w:type="dxa"/>
          </w:tcPr>
          <w:p>
            <w:pPr>
              <w:pStyle w:val="TableParagraph"/>
              <w:spacing w:before="26"/>
              <w:ind w:left="250"/>
              <w:rPr>
                <w:sz w:val="24"/>
              </w:rPr>
            </w:pPr>
            <w:r>
              <w:rPr>
                <w:spacing w:val="-4"/>
                <w:sz w:val="24"/>
              </w:rPr>
              <w:t>0.923</w:t>
            </w:r>
          </w:p>
        </w:tc>
        <w:tc>
          <w:tcPr>
            <w:tcW w:w="2344" w:type="dxa"/>
          </w:tcPr>
          <w:p>
            <w:pPr>
              <w:pStyle w:val="TableParagraph"/>
              <w:spacing w:before="26"/>
              <w:ind w:left="647"/>
              <w:rPr>
                <w:sz w:val="24"/>
              </w:rPr>
            </w:pPr>
            <w:r>
              <w:rPr>
                <w:spacing w:val="-4"/>
                <w:sz w:val="24"/>
              </w:rPr>
              <w:t>0.970</w:t>
            </w:r>
          </w:p>
        </w:tc>
        <w:tc>
          <w:tcPr>
            <w:tcW w:w="2791" w:type="dxa"/>
          </w:tcPr>
          <w:p>
            <w:pPr>
              <w:pStyle w:val="TableParagraph"/>
              <w:spacing w:before="26"/>
              <w:jc w:val="center"/>
              <w:rPr>
                <w:sz w:val="24"/>
              </w:rPr>
            </w:pPr>
            <w:r>
              <w:rPr>
                <w:spacing w:val="-4"/>
                <w:sz w:val="24"/>
              </w:rPr>
              <w:t>0.935</w:t>
            </w:r>
          </w:p>
        </w:tc>
        <w:tc>
          <w:tcPr>
            <w:tcW w:w="1741" w:type="dxa"/>
          </w:tcPr>
          <w:p>
            <w:pPr>
              <w:pStyle w:val="TableParagraph"/>
              <w:spacing w:before="26"/>
              <w:ind w:right="44"/>
              <w:jc w:val="right"/>
              <w:rPr>
                <w:sz w:val="24"/>
              </w:rPr>
            </w:pPr>
            <w:r>
              <w:rPr>
                <w:spacing w:val="-4"/>
                <w:sz w:val="24"/>
              </w:rPr>
              <w:t>0.644</w:t>
            </w:r>
          </w:p>
        </w:tc>
      </w:tr>
      <w:tr>
        <w:trPr>
          <w:trHeight w:val="315" w:hRule="atLeast"/>
        </w:trPr>
        <w:tc>
          <w:tcPr>
            <w:tcW w:w="988" w:type="dxa"/>
            <w:tcBorders>
              <w:bottom w:val="single" w:sz="4" w:space="0" w:color="000000"/>
            </w:tcBorders>
          </w:tcPr>
          <w:p>
            <w:pPr>
              <w:pStyle w:val="TableParagraph"/>
              <w:spacing w:line="269" w:lineRule="exact" w:before="26"/>
              <w:ind w:left="45"/>
              <w:rPr>
                <w:sz w:val="24"/>
              </w:rPr>
            </w:pPr>
            <w:r>
              <w:rPr>
                <w:spacing w:val="-5"/>
                <w:sz w:val="24"/>
              </w:rPr>
              <w:t>PRW</w:t>
            </w:r>
          </w:p>
        </w:tc>
        <w:tc>
          <w:tcPr>
            <w:tcW w:w="1499" w:type="dxa"/>
            <w:tcBorders>
              <w:bottom w:val="single" w:sz="4" w:space="0" w:color="000000"/>
            </w:tcBorders>
          </w:tcPr>
          <w:p>
            <w:pPr>
              <w:pStyle w:val="TableParagraph"/>
              <w:spacing w:line="269" w:lineRule="exact" w:before="26"/>
              <w:ind w:left="250"/>
              <w:rPr>
                <w:sz w:val="24"/>
              </w:rPr>
            </w:pPr>
            <w:r>
              <w:rPr>
                <w:spacing w:val="-4"/>
                <w:sz w:val="24"/>
              </w:rPr>
              <w:t>0.923</w:t>
            </w:r>
          </w:p>
        </w:tc>
        <w:tc>
          <w:tcPr>
            <w:tcW w:w="2344" w:type="dxa"/>
            <w:tcBorders>
              <w:bottom w:val="single" w:sz="4" w:space="0" w:color="000000"/>
            </w:tcBorders>
          </w:tcPr>
          <w:p>
            <w:pPr>
              <w:pStyle w:val="TableParagraph"/>
              <w:spacing w:line="269" w:lineRule="exact" w:before="26"/>
              <w:ind w:left="647"/>
              <w:rPr>
                <w:sz w:val="24"/>
              </w:rPr>
            </w:pPr>
            <w:r>
              <w:rPr>
                <w:spacing w:val="-4"/>
                <w:sz w:val="24"/>
              </w:rPr>
              <w:t>0.927</w:t>
            </w:r>
          </w:p>
        </w:tc>
        <w:tc>
          <w:tcPr>
            <w:tcW w:w="2791" w:type="dxa"/>
            <w:tcBorders>
              <w:bottom w:val="single" w:sz="4" w:space="0" w:color="000000"/>
            </w:tcBorders>
          </w:tcPr>
          <w:p>
            <w:pPr>
              <w:pStyle w:val="TableParagraph"/>
              <w:spacing w:line="269" w:lineRule="exact" w:before="26"/>
              <w:jc w:val="center"/>
              <w:rPr>
                <w:sz w:val="24"/>
              </w:rPr>
            </w:pPr>
            <w:r>
              <w:rPr>
                <w:spacing w:val="-4"/>
                <w:sz w:val="24"/>
              </w:rPr>
              <w:t>0.938</w:t>
            </w:r>
          </w:p>
        </w:tc>
        <w:tc>
          <w:tcPr>
            <w:tcW w:w="1741" w:type="dxa"/>
            <w:tcBorders>
              <w:bottom w:val="single" w:sz="4" w:space="0" w:color="000000"/>
            </w:tcBorders>
          </w:tcPr>
          <w:p>
            <w:pPr>
              <w:pStyle w:val="TableParagraph"/>
              <w:spacing w:line="269" w:lineRule="exact" w:before="26"/>
              <w:ind w:right="44"/>
              <w:jc w:val="right"/>
              <w:rPr>
                <w:sz w:val="24"/>
              </w:rPr>
            </w:pPr>
            <w:r>
              <w:rPr>
                <w:spacing w:val="-4"/>
                <w:sz w:val="24"/>
              </w:rPr>
              <w:t>0.684</w:t>
            </w:r>
          </w:p>
        </w:tc>
      </w:tr>
    </w:tbl>
    <w:p>
      <w:pPr>
        <w:pStyle w:val="BodyText"/>
        <w:spacing w:before="35"/>
        <w:ind w:left="0"/>
        <w:rPr>
          <w:rFonts w:ascii="Arial"/>
          <w:b/>
        </w:rPr>
      </w:pPr>
    </w:p>
    <w:p>
      <w:pPr>
        <w:pStyle w:val="BodyText"/>
        <w:spacing w:line="259" w:lineRule="auto" w:before="1"/>
        <w:ind w:right="1074" w:firstLine="719"/>
        <w:jc w:val="both"/>
      </w:pPr>
      <w:r>
        <w:rPr/>
        <w:t>Table 2 summarizes the descriptive statistics for the study’s three variables: achievement goals, grit, and writing strategies.</w:t>
      </w:r>
      <w:r>
        <w:rPr>
          <w:spacing w:val="40"/>
        </w:rPr>
        <w:t> </w:t>
      </w:r>
      <w:r>
        <w:rPr/>
        <w:t>The findings show that students have a moderate</w:t>
      </w:r>
      <w:r>
        <w:rPr>
          <w:spacing w:val="-17"/>
        </w:rPr>
        <w:t> </w:t>
      </w:r>
      <w:r>
        <w:rPr/>
        <w:t>level</w:t>
      </w:r>
      <w:r>
        <w:rPr>
          <w:spacing w:val="-17"/>
        </w:rPr>
        <w:t> </w:t>
      </w:r>
      <w:r>
        <w:rPr/>
        <w:t>of</w:t>
      </w:r>
      <w:r>
        <w:rPr>
          <w:spacing w:val="-16"/>
        </w:rPr>
        <w:t> </w:t>
      </w:r>
      <w:r>
        <w:rPr/>
        <w:t>achievement</w:t>
      </w:r>
      <w:r>
        <w:rPr>
          <w:spacing w:val="-17"/>
        </w:rPr>
        <w:t> </w:t>
      </w:r>
      <w:r>
        <w:rPr/>
        <w:t>goals</w:t>
      </w:r>
      <w:r>
        <w:rPr>
          <w:spacing w:val="-17"/>
        </w:rPr>
        <w:t> </w:t>
      </w:r>
      <w:r>
        <w:rPr/>
        <w:t>with</w:t>
      </w:r>
      <w:r>
        <w:rPr>
          <w:spacing w:val="-17"/>
        </w:rPr>
        <w:t> </w:t>
      </w:r>
      <w:r>
        <w:rPr/>
        <w:t>a</w:t>
      </w:r>
      <w:r>
        <w:rPr>
          <w:spacing w:val="-16"/>
        </w:rPr>
        <w:t> </w:t>
      </w:r>
      <w:r>
        <w:rPr/>
        <w:t>mean</w:t>
      </w:r>
      <w:r>
        <w:rPr>
          <w:spacing w:val="-17"/>
        </w:rPr>
        <w:t> </w:t>
      </w:r>
      <w:r>
        <w:rPr/>
        <w:t>of</w:t>
      </w:r>
      <w:r>
        <w:rPr>
          <w:spacing w:val="-17"/>
        </w:rPr>
        <w:t> </w:t>
      </w:r>
      <w:r>
        <w:rPr/>
        <w:t>3.46</w:t>
      </w:r>
      <w:r>
        <w:rPr>
          <w:spacing w:val="-16"/>
        </w:rPr>
        <w:t> </w:t>
      </w:r>
      <w:r>
        <w:rPr/>
        <w:t>and</w:t>
      </w:r>
      <w:r>
        <w:rPr>
          <w:spacing w:val="-17"/>
        </w:rPr>
        <w:t> </w:t>
      </w:r>
      <w:r>
        <w:rPr/>
        <w:t>standard</w:t>
      </w:r>
      <w:r>
        <w:rPr>
          <w:spacing w:val="-17"/>
        </w:rPr>
        <w:t> </w:t>
      </w:r>
      <w:r>
        <w:rPr/>
        <w:t>deviation</w:t>
      </w:r>
      <w:r>
        <w:rPr>
          <w:spacing w:val="-16"/>
        </w:rPr>
        <w:t> </w:t>
      </w:r>
      <w:r>
        <w:rPr/>
        <w:t>of</w:t>
      </w:r>
      <w:r>
        <w:rPr>
          <w:spacing w:val="-17"/>
        </w:rPr>
        <w:t> </w:t>
      </w:r>
      <w:r>
        <w:rPr/>
        <w:t>0.628. This indicate that many learners set clear academic goals and are motivated to perform well in their technical-writing tasks. The moderate standard deviation suggests that although students differ in how strongly they pursue their goals, most responses were close to the average.</w:t>
      </w:r>
    </w:p>
    <w:p>
      <w:pPr>
        <w:pStyle w:val="BodyText"/>
        <w:spacing w:line="259" w:lineRule="auto" w:before="160"/>
        <w:ind w:right="1074" w:firstLine="719"/>
        <w:jc w:val="both"/>
      </w:pPr>
      <w:r>
        <w:rPr/>
        <w:t>Grit obtained a moderate mean score of 3.12 and a standard deviation of 0.312. This shows that students generally exhibit perseverance and long term commitment as suggested</w:t>
      </w:r>
      <w:r>
        <w:rPr>
          <w:spacing w:val="-3"/>
        </w:rPr>
        <w:t> </w:t>
      </w:r>
      <w:r>
        <w:rPr/>
        <w:t>by</w:t>
      </w:r>
      <w:r>
        <w:rPr>
          <w:spacing w:val="-6"/>
        </w:rPr>
        <w:t> </w:t>
      </w:r>
      <w:r>
        <w:rPr/>
        <w:t>Duckworth</w:t>
      </w:r>
      <w:r>
        <w:rPr>
          <w:spacing w:val="-3"/>
        </w:rPr>
        <w:t> </w:t>
      </w:r>
      <w:r>
        <w:rPr/>
        <w:t>et</w:t>
      </w:r>
      <w:r>
        <w:rPr>
          <w:spacing w:val="-4"/>
        </w:rPr>
        <w:t> </w:t>
      </w:r>
      <w:r>
        <w:rPr/>
        <w:t>al.</w:t>
      </w:r>
      <w:r>
        <w:rPr>
          <w:spacing w:val="-5"/>
        </w:rPr>
        <w:t> </w:t>
      </w:r>
      <w:r>
        <w:rPr/>
        <w:t>(2007)</w:t>
      </w:r>
      <w:r>
        <w:rPr>
          <w:spacing w:val="-3"/>
        </w:rPr>
        <w:t> </w:t>
      </w:r>
      <w:r>
        <w:rPr/>
        <w:t>However,</w:t>
      </w:r>
      <w:r>
        <w:rPr>
          <w:spacing w:val="-5"/>
        </w:rPr>
        <w:t> </w:t>
      </w:r>
      <w:r>
        <w:rPr/>
        <w:t>the</w:t>
      </w:r>
      <w:r>
        <w:rPr>
          <w:spacing w:val="-3"/>
        </w:rPr>
        <w:t> </w:t>
      </w:r>
      <w:r>
        <w:rPr/>
        <w:t>standard</w:t>
      </w:r>
      <w:r>
        <w:rPr>
          <w:spacing w:val="-3"/>
        </w:rPr>
        <w:t> </w:t>
      </w:r>
      <w:r>
        <w:rPr/>
        <w:t>deviation</w:t>
      </w:r>
      <w:r>
        <w:rPr>
          <w:spacing w:val="-6"/>
        </w:rPr>
        <w:t> </w:t>
      </w:r>
      <w:r>
        <w:rPr/>
        <w:t>indicates</w:t>
      </w:r>
      <w:r>
        <w:rPr>
          <w:spacing w:val="-1"/>
        </w:rPr>
        <w:t> </w:t>
      </w:r>
      <w:r>
        <w:rPr/>
        <w:t>that</w:t>
      </w:r>
      <w:r>
        <w:rPr>
          <w:spacing w:val="-4"/>
        </w:rPr>
        <w:t> </w:t>
      </w:r>
      <w:r>
        <w:rPr/>
        <w:t>the students’ levels of grit are more consistent, with less variability compared to other </w:t>
      </w:r>
      <w:r>
        <w:rPr>
          <w:spacing w:val="-2"/>
        </w:rPr>
        <w:t>variables.</w:t>
      </w:r>
    </w:p>
    <w:p>
      <w:pPr>
        <w:pStyle w:val="BodyText"/>
        <w:spacing w:line="259" w:lineRule="auto" w:before="157"/>
        <w:ind w:right="1076" w:firstLine="719"/>
        <w:jc w:val="both"/>
      </w:pPr>
      <w:r>
        <w:rPr/>
        <w:t>Writing</w:t>
      </w:r>
      <w:r>
        <w:rPr>
          <w:spacing w:val="-3"/>
        </w:rPr>
        <w:t> </w:t>
      </w:r>
      <w:r>
        <w:rPr/>
        <w:t>strategies</w:t>
      </w:r>
      <w:r>
        <w:rPr>
          <w:spacing w:val="-6"/>
        </w:rPr>
        <w:t> </w:t>
      </w:r>
      <w:r>
        <w:rPr/>
        <w:t>were</w:t>
      </w:r>
      <w:r>
        <w:rPr>
          <w:spacing w:val="-3"/>
        </w:rPr>
        <w:t> </w:t>
      </w:r>
      <w:r>
        <w:rPr/>
        <w:t>also</w:t>
      </w:r>
      <w:r>
        <w:rPr>
          <w:spacing w:val="-3"/>
        </w:rPr>
        <w:t> </w:t>
      </w:r>
      <w:r>
        <w:rPr/>
        <w:t>moderately</w:t>
      </w:r>
      <w:r>
        <w:rPr>
          <w:spacing w:val="-4"/>
        </w:rPr>
        <w:t> </w:t>
      </w:r>
      <w:r>
        <w:rPr/>
        <w:t>high</w:t>
      </w:r>
      <w:r>
        <w:rPr>
          <w:spacing w:val="-3"/>
        </w:rPr>
        <w:t> </w:t>
      </w:r>
      <w:r>
        <w:rPr/>
        <w:t>with</w:t>
      </w:r>
      <w:r>
        <w:rPr>
          <w:spacing w:val="-4"/>
        </w:rPr>
        <w:t> </w:t>
      </w:r>
      <w:r>
        <w:rPr/>
        <w:t>a</w:t>
      </w:r>
      <w:r>
        <w:rPr>
          <w:spacing w:val="-3"/>
        </w:rPr>
        <w:t> </w:t>
      </w:r>
      <w:r>
        <w:rPr/>
        <w:t>mean</w:t>
      </w:r>
      <w:r>
        <w:rPr>
          <w:spacing w:val="-3"/>
        </w:rPr>
        <w:t> </w:t>
      </w:r>
      <w:r>
        <w:rPr/>
        <w:t>of</w:t>
      </w:r>
      <w:r>
        <w:rPr>
          <w:spacing w:val="-4"/>
        </w:rPr>
        <w:t> </w:t>
      </w:r>
      <w:r>
        <w:rPr/>
        <w:t>3.49,</w:t>
      </w:r>
      <w:r>
        <w:rPr>
          <w:spacing w:val="-5"/>
        </w:rPr>
        <w:t> </w:t>
      </w:r>
      <w:r>
        <w:rPr/>
        <w:t>suggesting</w:t>
      </w:r>
      <w:r>
        <w:rPr>
          <w:spacing w:val="-3"/>
        </w:rPr>
        <w:t> </w:t>
      </w:r>
      <w:r>
        <w:rPr/>
        <w:t>that students regularly used the strategies often linked to effective writing (Chen, 2022).</w:t>
      </w:r>
      <w:r>
        <w:rPr>
          <w:spacing w:val="40"/>
        </w:rPr>
        <w:t> </w:t>
      </w:r>
      <w:r>
        <w:rPr/>
        <w:t>On the</w:t>
      </w:r>
      <w:r>
        <w:rPr>
          <w:spacing w:val="-1"/>
        </w:rPr>
        <w:t> </w:t>
      </w:r>
      <w:r>
        <w:rPr/>
        <w:t>other</w:t>
      </w:r>
      <w:r>
        <w:rPr>
          <w:spacing w:val="-1"/>
        </w:rPr>
        <w:t> </w:t>
      </w:r>
      <w:r>
        <w:rPr/>
        <w:t>hand,</w:t>
      </w:r>
      <w:r>
        <w:rPr>
          <w:spacing w:val="-2"/>
        </w:rPr>
        <w:t> </w:t>
      </w:r>
      <w:r>
        <w:rPr/>
        <w:t>result shows</w:t>
      </w:r>
      <w:r>
        <w:rPr>
          <w:spacing w:val="-1"/>
        </w:rPr>
        <w:t> </w:t>
      </w:r>
      <w:r>
        <w:rPr/>
        <w:t>a moderate</w:t>
      </w:r>
      <w:r>
        <w:rPr>
          <w:spacing w:val="-2"/>
        </w:rPr>
        <w:t> </w:t>
      </w:r>
      <w:r>
        <w:rPr/>
        <w:t>spread</w:t>
      </w:r>
      <w:r>
        <w:rPr>
          <w:spacing w:val="-1"/>
        </w:rPr>
        <w:t> </w:t>
      </w:r>
      <w:r>
        <w:rPr/>
        <w:t>of</w:t>
      </w:r>
      <w:r>
        <w:rPr>
          <w:spacing w:val="-1"/>
        </w:rPr>
        <w:t> </w:t>
      </w:r>
      <w:r>
        <w:rPr/>
        <w:t>responses,</w:t>
      </w:r>
      <w:r>
        <w:rPr>
          <w:spacing w:val="-1"/>
        </w:rPr>
        <w:t> </w:t>
      </w:r>
      <w:r>
        <w:rPr/>
        <w:t>with</w:t>
      </w:r>
      <w:r>
        <w:rPr>
          <w:spacing w:val="-2"/>
        </w:rPr>
        <w:t> </w:t>
      </w:r>
      <w:r>
        <w:rPr/>
        <w:t>a</w:t>
      </w:r>
      <w:r>
        <w:rPr>
          <w:spacing w:val="-1"/>
        </w:rPr>
        <w:t> </w:t>
      </w:r>
      <w:r>
        <w:rPr/>
        <w:t>standard</w:t>
      </w:r>
      <w:r>
        <w:rPr>
          <w:spacing w:val="-1"/>
        </w:rPr>
        <w:t> </w:t>
      </w:r>
      <w:r>
        <w:rPr/>
        <w:t>deviation of 0.631. This implies that while many students use these strategies regularly, others seem to use them occasionally.</w:t>
      </w:r>
    </w:p>
    <w:p>
      <w:pPr>
        <w:pStyle w:val="BodyText"/>
        <w:spacing w:after="0" w:line="259" w:lineRule="auto"/>
        <w:jc w:val="both"/>
        <w:sectPr>
          <w:type w:val="continuous"/>
          <w:pgSz w:w="12240" w:h="15840"/>
          <w:pgMar w:top="1360" w:bottom="280" w:left="360" w:right="360"/>
        </w:sectPr>
      </w:pPr>
    </w:p>
    <w:p>
      <w:pPr>
        <w:pStyle w:val="BodyText"/>
        <w:spacing w:before="81"/>
        <w:ind w:left="1112" w:right="1112"/>
        <w:jc w:val="center"/>
      </w:pPr>
      <w:r>
        <w:rPr/>
        <w:t>Table</w:t>
      </w:r>
      <w:r>
        <w:rPr>
          <w:spacing w:val="-3"/>
        </w:rPr>
        <w:t> </w:t>
      </w:r>
      <w:r>
        <w:rPr/>
        <w:t>2.</w:t>
      </w:r>
      <w:r>
        <w:rPr>
          <w:spacing w:val="-4"/>
        </w:rPr>
        <w:t> </w:t>
      </w:r>
      <w:r>
        <w:rPr/>
        <w:t>Level</w:t>
      </w:r>
      <w:r>
        <w:rPr>
          <w:spacing w:val="-3"/>
        </w:rPr>
        <w:t> </w:t>
      </w:r>
      <w:r>
        <w:rPr/>
        <w:t>of</w:t>
      </w:r>
      <w:r>
        <w:rPr>
          <w:spacing w:val="-3"/>
        </w:rPr>
        <w:t> </w:t>
      </w:r>
      <w:r>
        <w:rPr/>
        <w:t>Achievement</w:t>
      </w:r>
      <w:r>
        <w:rPr>
          <w:spacing w:val="-4"/>
        </w:rPr>
        <w:t> </w:t>
      </w:r>
      <w:r>
        <w:rPr/>
        <w:t>Goal,</w:t>
      </w:r>
      <w:r>
        <w:rPr>
          <w:spacing w:val="-4"/>
        </w:rPr>
        <w:t> </w:t>
      </w:r>
      <w:r>
        <w:rPr/>
        <w:t>Grit</w:t>
      </w:r>
      <w:r>
        <w:rPr>
          <w:spacing w:val="-5"/>
        </w:rPr>
        <w:t> </w:t>
      </w:r>
      <w:r>
        <w:rPr/>
        <w:t>and</w:t>
      </w:r>
      <w:r>
        <w:rPr>
          <w:spacing w:val="-3"/>
        </w:rPr>
        <w:t> </w:t>
      </w:r>
      <w:r>
        <w:rPr/>
        <w:t>Writing</w:t>
      </w:r>
      <w:r>
        <w:rPr>
          <w:spacing w:val="-2"/>
        </w:rPr>
        <w:t> Strategies</w:t>
      </w:r>
    </w:p>
    <w:p>
      <w:pPr>
        <w:pStyle w:val="BodyText"/>
        <w:spacing w:before="50"/>
        <w:ind w:left="0"/>
        <w:rPr>
          <w:sz w:val="20"/>
        </w:rPr>
      </w:pPr>
    </w:p>
    <w:tbl>
      <w:tblPr>
        <w:tblW w:w="0" w:type="auto"/>
        <w:jc w:val="left"/>
        <w:tblInd w:w="2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78"/>
        <w:gridCol w:w="618"/>
        <w:gridCol w:w="830"/>
        <w:gridCol w:w="2354"/>
      </w:tblGrid>
      <w:tr>
        <w:trPr>
          <w:trHeight w:val="280" w:hRule="atLeast"/>
        </w:trPr>
        <w:tc>
          <w:tcPr>
            <w:tcW w:w="2178" w:type="dxa"/>
            <w:tcBorders>
              <w:top w:val="single" w:sz="4" w:space="0" w:color="000000"/>
            </w:tcBorders>
          </w:tcPr>
          <w:p>
            <w:pPr>
              <w:pStyle w:val="TableParagraph"/>
              <w:spacing w:line="260" w:lineRule="exact" w:before="1"/>
              <w:ind w:right="64"/>
              <w:jc w:val="center"/>
              <w:rPr>
                <w:rFonts w:ascii="Arial"/>
                <w:b/>
                <w:sz w:val="24"/>
              </w:rPr>
            </w:pPr>
            <w:r>
              <w:rPr>
                <w:rFonts w:ascii="Arial"/>
                <w:b/>
                <w:spacing w:val="-2"/>
                <w:sz w:val="24"/>
              </w:rPr>
              <w:t>Variables</w:t>
            </w:r>
          </w:p>
        </w:tc>
        <w:tc>
          <w:tcPr>
            <w:tcW w:w="618" w:type="dxa"/>
            <w:tcBorders>
              <w:top w:val="single" w:sz="4" w:space="0" w:color="000000"/>
            </w:tcBorders>
          </w:tcPr>
          <w:p>
            <w:pPr>
              <w:pStyle w:val="TableParagraph"/>
              <w:spacing w:line="260" w:lineRule="exact" w:before="1"/>
              <w:jc w:val="center"/>
              <w:rPr>
                <w:rFonts w:ascii="Arial"/>
                <w:b/>
                <w:sz w:val="24"/>
              </w:rPr>
            </w:pPr>
            <w:r>
              <w:rPr>
                <w:rFonts w:ascii="Arial"/>
                <w:b/>
                <w:spacing w:val="-10"/>
                <w:sz w:val="24"/>
              </w:rPr>
              <w:t>N</w:t>
            </w:r>
          </w:p>
        </w:tc>
        <w:tc>
          <w:tcPr>
            <w:tcW w:w="830" w:type="dxa"/>
            <w:tcBorders>
              <w:top w:val="single" w:sz="4" w:space="0" w:color="000000"/>
            </w:tcBorders>
          </w:tcPr>
          <w:p>
            <w:pPr>
              <w:pStyle w:val="TableParagraph"/>
              <w:spacing w:line="260" w:lineRule="exact" w:before="1"/>
              <w:ind w:left="108"/>
              <w:rPr>
                <w:rFonts w:ascii="Arial"/>
                <w:b/>
                <w:sz w:val="24"/>
              </w:rPr>
            </w:pPr>
            <w:r>
              <w:rPr>
                <w:rFonts w:ascii="Arial"/>
                <w:b/>
                <w:spacing w:val="-4"/>
                <w:sz w:val="24"/>
              </w:rPr>
              <w:t>Mean</w:t>
            </w:r>
          </w:p>
        </w:tc>
        <w:tc>
          <w:tcPr>
            <w:tcW w:w="2354" w:type="dxa"/>
            <w:tcBorders>
              <w:top w:val="single" w:sz="4" w:space="0" w:color="000000"/>
            </w:tcBorders>
          </w:tcPr>
          <w:p>
            <w:pPr>
              <w:pStyle w:val="TableParagraph"/>
              <w:tabs>
                <w:tab w:pos="924" w:val="left" w:leader="none"/>
              </w:tabs>
              <w:spacing w:line="260" w:lineRule="exact" w:before="1"/>
              <w:ind w:left="242"/>
              <w:rPr>
                <w:rFonts w:ascii="Arial"/>
                <w:b/>
                <w:sz w:val="24"/>
              </w:rPr>
            </w:pPr>
            <w:r>
              <w:rPr>
                <w:rFonts w:ascii="Arial"/>
                <w:b/>
                <w:spacing w:val="-5"/>
                <w:sz w:val="24"/>
              </w:rPr>
              <w:t>SD</w:t>
            </w:r>
            <w:r>
              <w:rPr>
                <w:rFonts w:ascii="Arial"/>
                <w:b/>
                <w:sz w:val="24"/>
              </w:rPr>
              <w:tab/>
            </w:r>
            <w:r>
              <w:rPr>
                <w:rFonts w:ascii="Arial"/>
                <w:b/>
                <w:spacing w:val="-2"/>
                <w:sz w:val="24"/>
              </w:rPr>
              <w:t>Description</w:t>
            </w:r>
          </w:p>
        </w:tc>
      </w:tr>
      <w:tr>
        <w:trPr>
          <w:trHeight w:val="276" w:hRule="atLeast"/>
        </w:trPr>
        <w:tc>
          <w:tcPr>
            <w:tcW w:w="2178" w:type="dxa"/>
          </w:tcPr>
          <w:p>
            <w:pPr>
              <w:pStyle w:val="TableParagraph"/>
              <w:spacing w:line="256" w:lineRule="exact"/>
              <w:ind w:left="64" w:right="64"/>
              <w:jc w:val="center"/>
              <w:rPr>
                <w:sz w:val="24"/>
              </w:rPr>
            </w:pPr>
            <w:r>
              <w:rPr>
                <w:sz w:val="24"/>
              </w:rPr>
              <w:t>Achievement</w:t>
            </w:r>
            <w:r>
              <w:rPr>
                <w:spacing w:val="-10"/>
                <w:sz w:val="24"/>
              </w:rPr>
              <w:t> </w:t>
            </w:r>
            <w:r>
              <w:rPr>
                <w:spacing w:val="-4"/>
                <w:sz w:val="24"/>
              </w:rPr>
              <w:t>Goal</w:t>
            </w:r>
          </w:p>
        </w:tc>
        <w:tc>
          <w:tcPr>
            <w:tcW w:w="618" w:type="dxa"/>
          </w:tcPr>
          <w:p>
            <w:pPr>
              <w:pStyle w:val="TableParagraph"/>
              <w:spacing w:line="256" w:lineRule="exact"/>
              <w:jc w:val="center"/>
              <w:rPr>
                <w:sz w:val="24"/>
              </w:rPr>
            </w:pPr>
            <w:r>
              <w:rPr>
                <w:spacing w:val="-5"/>
                <w:sz w:val="24"/>
              </w:rPr>
              <w:t>121</w:t>
            </w:r>
          </w:p>
        </w:tc>
        <w:tc>
          <w:tcPr>
            <w:tcW w:w="830" w:type="dxa"/>
          </w:tcPr>
          <w:p>
            <w:pPr>
              <w:pStyle w:val="TableParagraph"/>
              <w:spacing w:line="256" w:lineRule="exact"/>
              <w:ind w:left="108"/>
              <w:rPr>
                <w:sz w:val="24"/>
              </w:rPr>
            </w:pPr>
            <w:r>
              <w:rPr>
                <w:spacing w:val="-4"/>
                <w:sz w:val="24"/>
              </w:rPr>
              <w:t>3.46</w:t>
            </w:r>
          </w:p>
        </w:tc>
        <w:tc>
          <w:tcPr>
            <w:tcW w:w="2354" w:type="dxa"/>
          </w:tcPr>
          <w:p>
            <w:pPr>
              <w:pStyle w:val="TableParagraph"/>
              <w:tabs>
                <w:tab w:pos="924" w:val="left" w:leader="none"/>
              </w:tabs>
              <w:spacing w:line="256" w:lineRule="exact"/>
              <w:ind w:left="108"/>
              <w:rPr>
                <w:sz w:val="24"/>
              </w:rPr>
            </w:pPr>
            <w:r>
              <w:rPr>
                <w:spacing w:val="-4"/>
                <w:sz w:val="24"/>
              </w:rPr>
              <w:t>0.628</w:t>
            </w:r>
            <w:r>
              <w:rPr>
                <w:sz w:val="24"/>
              </w:rPr>
              <w:tab/>
            </w:r>
            <w:r>
              <w:rPr>
                <w:spacing w:val="-2"/>
                <w:sz w:val="24"/>
              </w:rPr>
              <w:t>Moderately</w:t>
            </w:r>
          </w:p>
        </w:tc>
      </w:tr>
      <w:tr>
        <w:trPr>
          <w:trHeight w:val="276" w:hRule="atLeast"/>
        </w:trPr>
        <w:tc>
          <w:tcPr>
            <w:tcW w:w="2178" w:type="dxa"/>
          </w:tcPr>
          <w:p>
            <w:pPr>
              <w:pStyle w:val="TableParagraph"/>
              <w:rPr>
                <w:rFonts w:ascii="Times New Roman"/>
                <w:sz w:val="20"/>
              </w:rPr>
            </w:pPr>
          </w:p>
        </w:tc>
        <w:tc>
          <w:tcPr>
            <w:tcW w:w="618" w:type="dxa"/>
          </w:tcPr>
          <w:p>
            <w:pPr>
              <w:pStyle w:val="TableParagraph"/>
              <w:rPr>
                <w:rFonts w:ascii="Times New Roman"/>
                <w:sz w:val="20"/>
              </w:rPr>
            </w:pPr>
          </w:p>
        </w:tc>
        <w:tc>
          <w:tcPr>
            <w:tcW w:w="830" w:type="dxa"/>
          </w:tcPr>
          <w:p>
            <w:pPr>
              <w:pStyle w:val="TableParagraph"/>
              <w:rPr>
                <w:rFonts w:ascii="Times New Roman"/>
                <w:sz w:val="20"/>
              </w:rPr>
            </w:pPr>
          </w:p>
        </w:tc>
        <w:tc>
          <w:tcPr>
            <w:tcW w:w="2354" w:type="dxa"/>
          </w:tcPr>
          <w:p>
            <w:pPr>
              <w:pStyle w:val="TableParagraph"/>
              <w:spacing w:line="256" w:lineRule="exact"/>
              <w:ind w:right="6"/>
              <w:jc w:val="center"/>
              <w:rPr>
                <w:sz w:val="24"/>
              </w:rPr>
            </w:pPr>
            <w:r>
              <w:rPr>
                <w:spacing w:val="-4"/>
                <w:sz w:val="24"/>
              </w:rPr>
              <w:t>High</w:t>
            </w:r>
          </w:p>
        </w:tc>
      </w:tr>
      <w:tr>
        <w:trPr>
          <w:trHeight w:val="275" w:hRule="atLeast"/>
        </w:trPr>
        <w:tc>
          <w:tcPr>
            <w:tcW w:w="2178" w:type="dxa"/>
          </w:tcPr>
          <w:p>
            <w:pPr>
              <w:pStyle w:val="TableParagraph"/>
              <w:spacing w:line="256" w:lineRule="exact"/>
              <w:ind w:left="64" w:right="64"/>
              <w:jc w:val="center"/>
              <w:rPr>
                <w:sz w:val="24"/>
              </w:rPr>
            </w:pPr>
            <w:r>
              <w:rPr>
                <w:spacing w:val="-4"/>
                <w:sz w:val="24"/>
              </w:rPr>
              <w:t>Grit</w:t>
            </w:r>
          </w:p>
        </w:tc>
        <w:tc>
          <w:tcPr>
            <w:tcW w:w="618" w:type="dxa"/>
          </w:tcPr>
          <w:p>
            <w:pPr>
              <w:pStyle w:val="TableParagraph"/>
              <w:spacing w:line="256" w:lineRule="exact"/>
              <w:jc w:val="center"/>
              <w:rPr>
                <w:sz w:val="24"/>
              </w:rPr>
            </w:pPr>
            <w:r>
              <w:rPr>
                <w:spacing w:val="-5"/>
                <w:sz w:val="24"/>
              </w:rPr>
              <w:t>121</w:t>
            </w:r>
          </w:p>
        </w:tc>
        <w:tc>
          <w:tcPr>
            <w:tcW w:w="830" w:type="dxa"/>
          </w:tcPr>
          <w:p>
            <w:pPr>
              <w:pStyle w:val="TableParagraph"/>
              <w:spacing w:line="256" w:lineRule="exact"/>
              <w:ind w:left="108"/>
              <w:rPr>
                <w:sz w:val="24"/>
              </w:rPr>
            </w:pPr>
            <w:r>
              <w:rPr>
                <w:spacing w:val="-4"/>
                <w:sz w:val="24"/>
              </w:rPr>
              <w:t>3.12</w:t>
            </w:r>
          </w:p>
        </w:tc>
        <w:tc>
          <w:tcPr>
            <w:tcW w:w="2354" w:type="dxa"/>
          </w:tcPr>
          <w:p>
            <w:pPr>
              <w:pStyle w:val="TableParagraph"/>
              <w:tabs>
                <w:tab w:pos="924" w:val="left" w:leader="none"/>
              </w:tabs>
              <w:spacing w:line="256" w:lineRule="exact"/>
              <w:ind w:left="108"/>
              <w:rPr>
                <w:sz w:val="24"/>
              </w:rPr>
            </w:pPr>
            <w:r>
              <w:rPr>
                <w:spacing w:val="-4"/>
                <w:sz w:val="24"/>
              </w:rPr>
              <w:t>0.312</w:t>
            </w:r>
            <w:r>
              <w:rPr>
                <w:sz w:val="24"/>
              </w:rPr>
              <w:tab/>
            </w:r>
            <w:r>
              <w:rPr>
                <w:spacing w:val="-2"/>
                <w:sz w:val="24"/>
              </w:rPr>
              <w:t>Moderate</w:t>
            </w:r>
          </w:p>
        </w:tc>
      </w:tr>
      <w:tr>
        <w:trPr>
          <w:trHeight w:val="271" w:hRule="atLeast"/>
        </w:trPr>
        <w:tc>
          <w:tcPr>
            <w:tcW w:w="2178" w:type="dxa"/>
          </w:tcPr>
          <w:p>
            <w:pPr>
              <w:pStyle w:val="TableParagraph"/>
              <w:spacing w:line="252" w:lineRule="exact"/>
              <w:ind w:left="64" w:right="64"/>
              <w:jc w:val="center"/>
              <w:rPr>
                <w:sz w:val="24"/>
              </w:rPr>
            </w:pPr>
            <w:r>
              <w:rPr>
                <w:sz w:val="24"/>
              </w:rPr>
              <w:t>Writing</w:t>
            </w:r>
            <w:r>
              <w:rPr>
                <w:spacing w:val="-5"/>
                <w:sz w:val="24"/>
              </w:rPr>
              <w:t> </w:t>
            </w:r>
            <w:r>
              <w:rPr>
                <w:spacing w:val="-2"/>
                <w:sz w:val="24"/>
              </w:rPr>
              <w:t>Strategies</w:t>
            </w:r>
          </w:p>
        </w:tc>
        <w:tc>
          <w:tcPr>
            <w:tcW w:w="618" w:type="dxa"/>
          </w:tcPr>
          <w:p>
            <w:pPr>
              <w:pStyle w:val="TableParagraph"/>
              <w:spacing w:line="252" w:lineRule="exact"/>
              <w:jc w:val="center"/>
              <w:rPr>
                <w:sz w:val="24"/>
              </w:rPr>
            </w:pPr>
            <w:r>
              <w:rPr>
                <w:spacing w:val="-5"/>
                <w:sz w:val="24"/>
              </w:rPr>
              <w:t>121</w:t>
            </w:r>
          </w:p>
        </w:tc>
        <w:tc>
          <w:tcPr>
            <w:tcW w:w="830" w:type="dxa"/>
          </w:tcPr>
          <w:p>
            <w:pPr>
              <w:pStyle w:val="TableParagraph"/>
              <w:spacing w:line="252" w:lineRule="exact"/>
              <w:ind w:left="108"/>
              <w:rPr>
                <w:sz w:val="24"/>
              </w:rPr>
            </w:pPr>
            <w:r>
              <w:rPr>
                <w:spacing w:val="-4"/>
                <w:sz w:val="24"/>
              </w:rPr>
              <w:t>3.49</w:t>
            </w:r>
          </w:p>
        </w:tc>
        <w:tc>
          <w:tcPr>
            <w:tcW w:w="2354" w:type="dxa"/>
          </w:tcPr>
          <w:p>
            <w:pPr>
              <w:pStyle w:val="TableParagraph"/>
              <w:tabs>
                <w:tab w:pos="924" w:val="left" w:leader="none"/>
              </w:tabs>
              <w:spacing w:line="252" w:lineRule="exact"/>
              <w:ind w:left="108"/>
              <w:rPr>
                <w:sz w:val="24"/>
              </w:rPr>
            </w:pPr>
            <w:r>
              <w:rPr>
                <w:spacing w:val="-4"/>
                <w:sz w:val="24"/>
              </w:rPr>
              <w:t>0.631</w:t>
            </w:r>
            <w:r>
              <w:rPr>
                <w:sz w:val="24"/>
              </w:rPr>
              <w:tab/>
            </w:r>
            <w:r>
              <w:rPr>
                <w:spacing w:val="-2"/>
                <w:sz w:val="24"/>
              </w:rPr>
              <w:t>Moderately</w:t>
            </w:r>
          </w:p>
        </w:tc>
      </w:tr>
    </w:tbl>
    <w:p>
      <w:pPr>
        <w:pStyle w:val="BodyText"/>
        <w:tabs>
          <w:tab w:pos="4564" w:val="left" w:leader="none"/>
          <w:tab w:pos="5994" w:val="left" w:leader="none"/>
        </w:tabs>
        <w:ind w:left="0" w:right="9"/>
        <w:jc w:val="center"/>
      </w:pPr>
      <w:r>
        <w:rPr>
          <w:u w:val="single"/>
        </w:rPr>
        <w:tab/>
      </w:r>
      <w:r>
        <w:rPr>
          <w:spacing w:val="-4"/>
          <w:u w:val="single"/>
        </w:rPr>
        <w:t>High</w:t>
      </w:r>
      <w:r>
        <w:rPr>
          <w:u w:val="single"/>
        </w:rPr>
        <w:tab/>
      </w:r>
    </w:p>
    <w:p>
      <w:pPr>
        <w:pStyle w:val="BodyText"/>
        <w:spacing w:before="8"/>
        <w:ind w:left="0"/>
      </w:pPr>
    </w:p>
    <w:p>
      <w:pPr>
        <w:pStyle w:val="BodyText"/>
        <w:spacing w:line="259" w:lineRule="auto"/>
        <w:ind w:right="1079" w:firstLine="719"/>
        <w:jc w:val="both"/>
      </w:pPr>
      <w:r>
        <w:rPr/>
        <w:t>Table</w:t>
      </w:r>
      <w:r>
        <w:rPr>
          <w:spacing w:val="-1"/>
        </w:rPr>
        <w:t> </w:t>
      </w:r>
      <w:r>
        <w:rPr/>
        <w:t>3</w:t>
      </w:r>
      <w:r>
        <w:rPr>
          <w:spacing w:val="-1"/>
        </w:rPr>
        <w:t> </w:t>
      </w:r>
      <w:r>
        <w:rPr/>
        <w:t>shows</w:t>
      </w:r>
      <w:r>
        <w:rPr>
          <w:spacing w:val="-1"/>
        </w:rPr>
        <w:t> </w:t>
      </w:r>
      <w:r>
        <w:rPr/>
        <w:t>the</w:t>
      </w:r>
      <w:r>
        <w:rPr>
          <w:spacing w:val="-2"/>
        </w:rPr>
        <w:t> </w:t>
      </w:r>
      <w:r>
        <w:rPr/>
        <w:t>HTMT</w:t>
      </w:r>
      <w:r>
        <w:rPr>
          <w:spacing w:val="-2"/>
        </w:rPr>
        <w:t> </w:t>
      </w:r>
      <w:r>
        <w:rPr/>
        <w:t>values</w:t>
      </w:r>
      <w:r>
        <w:rPr>
          <w:spacing w:val="-1"/>
        </w:rPr>
        <w:t> </w:t>
      </w:r>
      <w:r>
        <w:rPr/>
        <w:t>used</w:t>
      </w:r>
      <w:r>
        <w:rPr>
          <w:spacing w:val="-3"/>
        </w:rPr>
        <w:t> </w:t>
      </w:r>
      <w:r>
        <w:rPr/>
        <w:t>to</w:t>
      </w:r>
      <w:r>
        <w:rPr>
          <w:spacing w:val="-2"/>
        </w:rPr>
        <w:t> </w:t>
      </w:r>
      <w:r>
        <w:rPr/>
        <w:t>evaluate</w:t>
      </w:r>
      <w:r>
        <w:rPr>
          <w:spacing w:val="-2"/>
        </w:rPr>
        <w:t> </w:t>
      </w:r>
      <w:r>
        <w:rPr/>
        <w:t>the</w:t>
      </w:r>
      <w:r>
        <w:rPr>
          <w:spacing w:val="-1"/>
        </w:rPr>
        <w:t> </w:t>
      </w:r>
      <w:r>
        <w:rPr/>
        <w:t>discriminant</w:t>
      </w:r>
      <w:r>
        <w:rPr>
          <w:spacing w:val="-1"/>
        </w:rPr>
        <w:t> </w:t>
      </w:r>
      <w:r>
        <w:rPr/>
        <w:t>validity</w:t>
      </w:r>
      <w:r>
        <w:rPr>
          <w:spacing w:val="-2"/>
        </w:rPr>
        <w:t> </w:t>
      </w:r>
      <w:r>
        <w:rPr/>
        <w:t>among the</w:t>
      </w:r>
      <w:r>
        <w:rPr>
          <w:spacing w:val="22"/>
        </w:rPr>
        <w:t> </w:t>
      </w:r>
      <w:r>
        <w:rPr/>
        <w:t>constructs.</w:t>
      </w:r>
      <w:r>
        <w:rPr>
          <w:spacing w:val="24"/>
        </w:rPr>
        <w:t> </w:t>
      </w:r>
      <w:r>
        <w:rPr/>
        <w:t>According</w:t>
      </w:r>
      <w:r>
        <w:rPr>
          <w:spacing w:val="25"/>
        </w:rPr>
        <w:t> </w:t>
      </w:r>
      <w:r>
        <w:rPr/>
        <w:t>to</w:t>
      </w:r>
      <w:r>
        <w:rPr>
          <w:spacing w:val="22"/>
        </w:rPr>
        <w:t> </w:t>
      </w:r>
      <w:r>
        <w:rPr/>
        <w:t>Henseler</w:t>
      </w:r>
      <w:r>
        <w:rPr>
          <w:spacing w:val="27"/>
        </w:rPr>
        <w:t> </w:t>
      </w:r>
      <w:r>
        <w:rPr/>
        <w:t>et</w:t>
      </w:r>
      <w:r>
        <w:rPr>
          <w:spacing w:val="24"/>
        </w:rPr>
        <w:t> </w:t>
      </w:r>
      <w:r>
        <w:rPr/>
        <w:t>al.</w:t>
      </w:r>
      <w:r>
        <w:rPr>
          <w:spacing w:val="23"/>
        </w:rPr>
        <w:t> </w:t>
      </w:r>
      <w:r>
        <w:rPr/>
        <w:t>(2015),</w:t>
      </w:r>
      <w:r>
        <w:rPr>
          <w:spacing w:val="24"/>
        </w:rPr>
        <w:t> </w:t>
      </w:r>
      <w:r>
        <w:rPr/>
        <w:t>all</w:t>
      </w:r>
      <w:r>
        <w:rPr>
          <w:spacing w:val="22"/>
        </w:rPr>
        <w:t> </w:t>
      </w:r>
      <w:r>
        <w:rPr/>
        <w:t>HTMT</w:t>
      </w:r>
      <w:r>
        <w:rPr>
          <w:spacing w:val="24"/>
        </w:rPr>
        <w:t> </w:t>
      </w:r>
      <w:r>
        <w:rPr/>
        <w:t>values</w:t>
      </w:r>
      <w:r>
        <w:rPr>
          <w:spacing w:val="24"/>
        </w:rPr>
        <w:t> </w:t>
      </w:r>
      <w:r>
        <w:rPr/>
        <w:t>should</w:t>
      </w:r>
      <w:r>
        <w:rPr>
          <w:spacing w:val="25"/>
        </w:rPr>
        <w:t> </w:t>
      </w:r>
      <w:r>
        <w:rPr/>
        <w:t>be</w:t>
      </w:r>
      <w:r>
        <w:rPr>
          <w:spacing w:val="23"/>
        </w:rPr>
        <w:t> </w:t>
      </w:r>
      <w:r>
        <w:rPr>
          <w:spacing w:val="-2"/>
        </w:rPr>
        <w:t>below</w:t>
      </w:r>
    </w:p>
    <w:p>
      <w:pPr>
        <w:pStyle w:val="BodyText"/>
        <w:spacing w:line="259" w:lineRule="auto"/>
        <w:ind w:right="1083"/>
      </w:pPr>
      <w:r>
        <w:rPr/>
        <w:t>0.85. All the ratios in the table are below the recommended cutoff which means that the constructs are sufficiently distinct from one another.</w:t>
      </w:r>
    </w:p>
    <w:p>
      <w:pPr>
        <w:pStyle w:val="BodyText"/>
        <w:spacing w:line="259" w:lineRule="auto" w:before="159"/>
        <w:ind w:right="1080" w:firstLine="719"/>
        <w:jc w:val="both"/>
      </w:pPr>
      <w:r>
        <w:rPr/>
        <w:t>The highest HTMT value, found between GPOE and Grit (0.824) is still within the acceptable threshold. This implies that although these constructs are related, yet, the value still confirms that they are not measuring the same thing. Likewise, the HTMT values</w:t>
      </w:r>
      <w:r>
        <w:rPr>
          <w:spacing w:val="-8"/>
        </w:rPr>
        <w:t> </w:t>
      </w:r>
      <w:r>
        <w:rPr/>
        <w:t>between</w:t>
      </w:r>
      <w:r>
        <w:rPr>
          <w:spacing w:val="-8"/>
        </w:rPr>
        <w:t> </w:t>
      </w:r>
      <w:r>
        <w:rPr/>
        <w:t>PA</w:t>
      </w:r>
      <w:r>
        <w:rPr>
          <w:spacing w:val="-10"/>
        </w:rPr>
        <w:t> </w:t>
      </w:r>
      <w:r>
        <w:rPr/>
        <w:t>and</w:t>
      </w:r>
      <w:r>
        <w:rPr>
          <w:spacing w:val="-8"/>
        </w:rPr>
        <w:t> </w:t>
      </w:r>
      <w:r>
        <w:rPr/>
        <w:t>achievement</w:t>
      </w:r>
      <w:r>
        <w:rPr>
          <w:spacing w:val="-11"/>
        </w:rPr>
        <w:t> </w:t>
      </w:r>
      <w:r>
        <w:rPr/>
        <w:t>goals</w:t>
      </w:r>
      <w:r>
        <w:rPr>
          <w:spacing w:val="-8"/>
        </w:rPr>
        <w:t> </w:t>
      </w:r>
      <w:r>
        <w:rPr/>
        <w:t>(0.859)</w:t>
      </w:r>
      <w:r>
        <w:rPr>
          <w:spacing w:val="-8"/>
        </w:rPr>
        <w:t> </w:t>
      </w:r>
      <w:r>
        <w:rPr/>
        <w:t>and</w:t>
      </w:r>
      <w:r>
        <w:rPr>
          <w:spacing w:val="-9"/>
        </w:rPr>
        <w:t> </w:t>
      </w:r>
      <w:r>
        <w:rPr/>
        <w:t>between</w:t>
      </w:r>
      <w:r>
        <w:rPr>
          <w:spacing w:val="-8"/>
        </w:rPr>
        <w:t> </w:t>
      </w:r>
      <w:r>
        <w:rPr/>
        <w:t>POW</w:t>
      </w:r>
      <w:r>
        <w:rPr>
          <w:spacing w:val="-9"/>
        </w:rPr>
        <w:t> </w:t>
      </w:r>
      <w:r>
        <w:rPr/>
        <w:t>and</w:t>
      </w:r>
      <w:r>
        <w:rPr>
          <w:spacing w:val="-10"/>
        </w:rPr>
        <w:t> </w:t>
      </w:r>
      <w:r>
        <w:rPr/>
        <w:t>PRW</w:t>
      </w:r>
      <w:r>
        <w:rPr>
          <w:spacing w:val="-8"/>
        </w:rPr>
        <w:t> </w:t>
      </w:r>
      <w:r>
        <w:rPr/>
        <w:t>(0.699) also reflect acceptable level of discriminant validity.</w:t>
      </w:r>
    </w:p>
    <w:p>
      <w:pPr>
        <w:pStyle w:val="BodyText"/>
        <w:spacing w:line="259" w:lineRule="auto" w:before="159"/>
        <w:ind w:right="1081" w:firstLine="719"/>
        <w:jc w:val="both"/>
      </w:pPr>
      <w:r>
        <w:rPr/>
        <w:t>On the other hand, lower HTMT ratios, such as those between MG and writing strategy (0.169) or between grit and MG (0.169) illustrate strong conceptual separation. These results show that mastery goals and grit assess different motivational and behavioral tendencies.</w:t>
      </w:r>
    </w:p>
    <w:p>
      <w:pPr>
        <w:pStyle w:val="BodyText"/>
        <w:spacing w:line="259" w:lineRule="auto" w:before="160"/>
        <w:ind w:right="1080" w:firstLine="719"/>
        <w:jc w:val="both"/>
      </w:pPr>
      <w:r>
        <w:rPr/>
        <w:t>Overall,</w:t>
      </w:r>
      <w:r>
        <w:rPr>
          <w:spacing w:val="-13"/>
        </w:rPr>
        <w:t> </w:t>
      </w:r>
      <w:r>
        <w:rPr/>
        <w:t>the</w:t>
      </w:r>
      <w:r>
        <w:rPr>
          <w:spacing w:val="-12"/>
        </w:rPr>
        <w:t> </w:t>
      </w:r>
      <w:r>
        <w:rPr/>
        <w:t>HTMT</w:t>
      </w:r>
      <w:r>
        <w:rPr>
          <w:spacing w:val="-11"/>
        </w:rPr>
        <w:t> </w:t>
      </w:r>
      <w:r>
        <w:rPr/>
        <w:t>analysis</w:t>
      </w:r>
      <w:r>
        <w:rPr>
          <w:spacing w:val="-12"/>
        </w:rPr>
        <w:t> </w:t>
      </w:r>
      <w:r>
        <w:rPr/>
        <w:t>supports</w:t>
      </w:r>
      <w:r>
        <w:rPr>
          <w:spacing w:val="-13"/>
        </w:rPr>
        <w:t> </w:t>
      </w:r>
      <w:r>
        <w:rPr/>
        <w:t>a</w:t>
      </w:r>
      <w:r>
        <w:rPr>
          <w:spacing w:val="-12"/>
        </w:rPr>
        <w:t> </w:t>
      </w:r>
      <w:r>
        <w:rPr/>
        <w:t>good</w:t>
      </w:r>
      <w:r>
        <w:rPr>
          <w:spacing w:val="-11"/>
        </w:rPr>
        <w:t> </w:t>
      </w:r>
      <w:r>
        <w:rPr/>
        <w:t>discriminant</w:t>
      </w:r>
      <w:r>
        <w:rPr>
          <w:spacing w:val="-12"/>
        </w:rPr>
        <w:t> </w:t>
      </w:r>
      <w:r>
        <w:rPr/>
        <w:t>validity</w:t>
      </w:r>
      <w:r>
        <w:rPr>
          <w:spacing w:val="-13"/>
        </w:rPr>
        <w:t> </w:t>
      </w:r>
      <w:r>
        <w:rPr/>
        <w:t>of</w:t>
      </w:r>
      <w:r>
        <w:rPr>
          <w:spacing w:val="-12"/>
        </w:rPr>
        <w:t> </w:t>
      </w:r>
      <w:r>
        <w:rPr/>
        <w:t>the</w:t>
      </w:r>
      <w:r>
        <w:rPr>
          <w:spacing w:val="-12"/>
        </w:rPr>
        <w:t> </w:t>
      </w:r>
      <w:r>
        <w:rPr/>
        <w:t>constructs, ensuring that each variable represents a unique conceptual domain, which in turn strengthens confidence in the structural model.</w:t>
      </w:r>
    </w:p>
    <w:p>
      <w:pPr>
        <w:pStyle w:val="BodyText"/>
        <w:spacing w:before="158"/>
        <w:ind w:left="0"/>
      </w:pPr>
    </w:p>
    <w:p>
      <w:pPr>
        <w:pStyle w:val="BodyText"/>
        <w:ind w:left="1112" w:right="1112"/>
        <w:jc w:val="center"/>
      </w:pPr>
      <w:r>
        <w:rPr/>
        <w:t>Table</w:t>
      </w:r>
      <w:r>
        <w:rPr>
          <w:spacing w:val="-2"/>
        </w:rPr>
        <w:t> </w:t>
      </w:r>
      <w:r>
        <w:rPr/>
        <w:t>3</w:t>
      </w:r>
      <w:r>
        <w:rPr>
          <w:spacing w:val="-1"/>
        </w:rPr>
        <w:t> </w:t>
      </w:r>
      <w:r>
        <w:rPr>
          <w:spacing w:val="-4"/>
        </w:rPr>
        <w:t>HTMT</w:t>
      </w:r>
    </w:p>
    <w:p>
      <w:pPr>
        <w:pStyle w:val="BodyText"/>
        <w:spacing w:before="50"/>
        <w:ind w:left="0"/>
        <w:rPr>
          <w:sz w:val="20"/>
        </w:rPr>
      </w:pPr>
    </w:p>
    <w:tbl>
      <w:tblPr>
        <w:tblW w:w="0" w:type="auto"/>
        <w:jc w:val="lef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1"/>
        <w:gridCol w:w="1336"/>
        <w:gridCol w:w="818"/>
        <w:gridCol w:w="817"/>
        <w:gridCol w:w="817"/>
        <w:gridCol w:w="817"/>
        <w:gridCol w:w="817"/>
        <w:gridCol w:w="817"/>
        <w:gridCol w:w="817"/>
        <w:gridCol w:w="818"/>
        <w:gridCol w:w="817"/>
        <w:gridCol w:w="937"/>
      </w:tblGrid>
      <w:tr>
        <w:trPr>
          <w:trHeight w:val="209" w:hRule="atLeast"/>
        </w:trPr>
        <w:tc>
          <w:tcPr>
            <w:tcW w:w="1711" w:type="dxa"/>
            <w:vMerge w:val="restart"/>
            <w:tcBorders>
              <w:top w:val="single" w:sz="4" w:space="0" w:color="000000"/>
            </w:tcBorders>
          </w:tcPr>
          <w:p>
            <w:pPr>
              <w:pStyle w:val="TableParagraph"/>
              <w:rPr>
                <w:rFonts w:ascii="Times New Roman"/>
                <w:sz w:val="22"/>
              </w:rPr>
            </w:pPr>
          </w:p>
        </w:tc>
        <w:tc>
          <w:tcPr>
            <w:tcW w:w="1336" w:type="dxa"/>
            <w:tcBorders>
              <w:top w:val="single" w:sz="4" w:space="0" w:color="000000"/>
            </w:tcBorders>
          </w:tcPr>
          <w:p>
            <w:pPr>
              <w:pStyle w:val="TableParagraph"/>
              <w:spacing w:line="190" w:lineRule="exact"/>
              <w:ind w:left="107"/>
              <w:rPr>
                <w:rFonts w:ascii="Arial"/>
                <w:b/>
                <w:sz w:val="18"/>
              </w:rPr>
            </w:pPr>
            <w:r>
              <w:rPr>
                <w:rFonts w:ascii="Arial"/>
                <w:b/>
                <w:spacing w:val="-2"/>
                <w:sz w:val="18"/>
              </w:rPr>
              <w:t>Achievement</w:t>
            </w:r>
          </w:p>
        </w:tc>
        <w:tc>
          <w:tcPr>
            <w:tcW w:w="818" w:type="dxa"/>
            <w:tcBorders>
              <w:top w:val="single" w:sz="4" w:space="0" w:color="000000"/>
            </w:tcBorders>
          </w:tcPr>
          <w:p>
            <w:pPr>
              <w:pStyle w:val="TableParagraph"/>
              <w:spacing w:line="190" w:lineRule="exact"/>
              <w:ind w:left="107"/>
              <w:rPr>
                <w:rFonts w:ascii="Arial"/>
                <w:b/>
                <w:sz w:val="18"/>
              </w:rPr>
            </w:pPr>
            <w:r>
              <w:rPr>
                <w:rFonts w:ascii="Arial"/>
                <w:b/>
                <w:spacing w:val="-5"/>
                <w:sz w:val="18"/>
              </w:rPr>
              <w:t>DW</w:t>
            </w:r>
          </w:p>
        </w:tc>
        <w:tc>
          <w:tcPr>
            <w:tcW w:w="817" w:type="dxa"/>
            <w:tcBorders>
              <w:top w:val="single" w:sz="4" w:space="0" w:color="000000"/>
            </w:tcBorders>
          </w:tcPr>
          <w:p>
            <w:pPr>
              <w:pStyle w:val="TableParagraph"/>
              <w:spacing w:line="190" w:lineRule="exact"/>
              <w:ind w:right="139"/>
              <w:jc w:val="center"/>
              <w:rPr>
                <w:rFonts w:ascii="Arial"/>
                <w:b/>
                <w:sz w:val="18"/>
              </w:rPr>
            </w:pPr>
            <w:r>
              <w:rPr>
                <w:rFonts w:ascii="Arial"/>
                <w:b/>
                <w:spacing w:val="-4"/>
                <w:sz w:val="18"/>
              </w:rPr>
              <w:t>GCOI</w:t>
            </w:r>
          </w:p>
        </w:tc>
        <w:tc>
          <w:tcPr>
            <w:tcW w:w="817" w:type="dxa"/>
            <w:tcBorders>
              <w:top w:val="single" w:sz="4" w:space="0" w:color="000000"/>
            </w:tcBorders>
          </w:tcPr>
          <w:p>
            <w:pPr>
              <w:pStyle w:val="TableParagraph"/>
              <w:spacing w:line="190" w:lineRule="exact"/>
              <w:ind w:left="58" w:right="139"/>
              <w:jc w:val="center"/>
              <w:rPr>
                <w:rFonts w:ascii="Arial"/>
                <w:b/>
                <w:sz w:val="18"/>
              </w:rPr>
            </w:pPr>
            <w:r>
              <w:rPr>
                <w:rFonts w:ascii="Arial"/>
                <w:b/>
                <w:spacing w:val="-4"/>
                <w:sz w:val="18"/>
              </w:rPr>
              <w:t>GPOE</w:t>
            </w:r>
          </w:p>
        </w:tc>
        <w:tc>
          <w:tcPr>
            <w:tcW w:w="817" w:type="dxa"/>
            <w:tcBorders>
              <w:top w:val="single" w:sz="4" w:space="0" w:color="000000"/>
            </w:tcBorders>
          </w:tcPr>
          <w:p>
            <w:pPr>
              <w:pStyle w:val="TableParagraph"/>
              <w:spacing w:line="190" w:lineRule="exact"/>
              <w:ind w:left="107"/>
              <w:rPr>
                <w:rFonts w:ascii="Arial"/>
                <w:b/>
                <w:sz w:val="18"/>
              </w:rPr>
            </w:pPr>
            <w:r>
              <w:rPr>
                <w:rFonts w:ascii="Arial"/>
                <w:b/>
                <w:spacing w:val="-4"/>
                <w:sz w:val="18"/>
              </w:rPr>
              <w:t>Grit</w:t>
            </w:r>
          </w:p>
        </w:tc>
        <w:tc>
          <w:tcPr>
            <w:tcW w:w="817" w:type="dxa"/>
            <w:tcBorders>
              <w:top w:val="single" w:sz="4" w:space="0" w:color="000000"/>
            </w:tcBorders>
          </w:tcPr>
          <w:p>
            <w:pPr>
              <w:pStyle w:val="TableParagraph"/>
              <w:spacing w:line="190" w:lineRule="exact"/>
              <w:ind w:left="106"/>
              <w:rPr>
                <w:rFonts w:ascii="Arial"/>
                <w:b/>
                <w:sz w:val="18"/>
              </w:rPr>
            </w:pPr>
            <w:r>
              <w:rPr>
                <w:rFonts w:ascii="Arial"/>
                <w:b/>
                <w:spacing w:val="-5"/>
                <w:sz w:val="18"/>
              </w:rPr>
              <w:t>MG</w:t>
            </w:r>
          </w:p>
        </w:tc>
        <w:tc>
          <w:tcPr>
            <w:tcW w:w="817" w:type="dxa"/>
            <w:tcBorders>
              <w:top w:val="single" w:sz="4" w:space="0" w:color="000000"/>
            </w:tcBorders>
          </w:tcPr>
          <w:p>
            <w:pPr>
              <w:pStyle w:val="TableParagraph"/>
              <w:spacing w:line="190" w:lineRule="exact"/>
              <w:ind w:left="108"/>
              <w:rPr>
                <w:rFonts w:ascii="Arial"/>
                <w:b/>
                <w:sz w:val="18"/>
              </w:rPr>
            </w:pPr>
            <w:r>
              <w:rPr>
                <w:rFonts w:ascii="Arial"/>
                <w:b/>
                <w:spacing w:val="-5"/>
                <w:sz w:val="18"/>
              </w:rPr>
              <w:t>PA</w:t>
            </w:r>
          </w:p>
        </w:tc>
        <w:tc>
          <w:tcPr>
            <w:tcW w:w="817" w:type="dxa"/>
            <w:tcBorders>
              <w:top w:val="single" w:sz="4" w:space="0" w:color="000000"/>
            </w:tcBorders>
          </w:tcPr>
          <w:p>
            <w:pPr>
              <w:pStyle w:val="TableParagraph"/>
              <w:spacing w:line="190" w:lineRule="exact"/>
              <w:ind w:left="107"/>
              <w:rPr>
                <w:rFonts w:ascii="Arial"/>
                <w:b/>
                <w:sz w:val="18"/>
              </w:rPr>
            </w:pPr>
            <w:r>
              <w:rPr>
                <w:rFonts w:ascii="Arial"/>
                <w:b/>
                <w:spacing w:val="-5"/>
                <w:sz w:val="18"/>
              </w:rPr>
              <w:t>PAV</w:t>
            </w:r>
          </w:p>
        </w:tc>
        <w:tc>
          <w:tcPr>
            <w:tcW w:w="818" w:type="dxa"/>
            <w:tcBorders>
              <w:top w:val="single" w:sz="4" w:space="0" w:color="000000"/>
            </w:tcBorders>
          </w:tcPr>
          <w:p>
            <w:pPr>
              <w:pStyle w:val="TableParagraph"/>
              <w:spacing w:line="190" w:lineRule="exact"/>
              <w:ind w:left="108"/>
              <w:rPr>
                <w:rFonts w:ascii="Arial"/>
                <w:b/>
                <w:sz w:val="18"/>
              </w:rPr>
            </w:pPr>
            <w:r>
              <w:rPr>
                <w:rFonts w:ascii="Arial"/>
                <w:b/>
                <w:spacing w:val="-5"/>
                <w:sz w:val="18"/>
              </w:rPr>
              <w:t>POW</w:t>
            </w:r>
          </w:p>
        </w:tc>
        <w:tc>
          <w:tcPr>
            <w:tcW w:w="817" w:type="dxa"/>
            <w:tcBorders>
              <w:top w:val="single" w:sz="4" w:space="0" w:color="000000"/>
            </w:tcBorders>
          </w:tcPr>
          <w:p>
            <w:pPr>
              <w:pStyle w:val="TableParagraph"/>
              <w:spacing w:line="190" w:lineRule="exact"/>
              <w:ind w:left="108"/>
              <w:rPr>
                <w:rFonts w:ascii="Arial"/>
                <w:b/>
                <w:sz w:val="18"/>
              </w:rPr>
            </w:pPr>
            <w:r>
              <w:rPr>
                <w:rFonts w:ascii="Arial"/>
                <w:b/>
                <w:spacing w:val="-5"/>
                <w:sz w:val="18"/>
              </w:rPr>
              <w:t>PRW</w:t>
            </w:r>
          </w:p>
        </w:tc>
        <w:tc>
          <w:tcPr>
            <w:tcW w:w="937" w:type="dxa"/>
            <w:tcBorders>
              <w:top w:val="single" w:sz="4" w:space="0" w:color="000000"/>
            </w:tcBorders>
          </w:tcPr>
          <w:p>
            <w:pPr>
              <w:pStyle w:val="TableParagraph"/>
              <w:spacing w:line="190" w:lineRule="exact"/>
              <w:ind w:right="98"/>
              <w:jc w:val="center"/>
              <w:rPr>
                <w:rFonts w:ascii="Arial"/>
                <w:b/>
                <w:sz w:val="18"/>
              </w:rPr>
            </w:pPr>
            <w:r>
              <w:rPr>
                <w:rFonts w:ascii="Arial"/>
                <w:b/>
                <w:spacing w:val="-2"/>
                <w:sz w:val="18"/>
              </w:rPr>
              <w:t>Writing</w:t>
            </w:r>
          </w:p>
        </w:tc>
      </w:tr>
      <w:tr>
        <w:trPr>
          <w:trHeight w:val="208" w:hRule="atLeast"/>
        </w:trPr>
        <w:tc>
          <w:tcPr>
            <w:tcW w:w="1711" w:type="dxa"/>
            <w:vMerge/>
            <w:tcBorders>
              <w:top w:val="nil"/>
            </w:tcBorders>
          </w:tcPr>
          <w:p>
            <w:pPr>
              <w:rPr>
                <w:sz w:val="2"/>
                <w:szCs w:val="2"/>
              </w:rPr>
            </w:pPr>
          </w:p>
        </w:tc>
        <w:tc>
          <w:tcPr>
            <w:tcW w:w="1336" w:type="dxa"/>
          </w:tcPr>
          <w:p>
            <w:pPr>
              <w:pStyle w:val="TableParagraph"/>
              <w:spacing w:line="189" w:lineRule="exact"/>
              <w:ind w:left="107"/>
              <w:rPr>
                <w:rFonts w:ascii="Arial"/>
                <w:b/>
                <w:sz w:val="18"/>
              </w:rPr>
            </w:pPr>
            <w:r>
              <w:rPr>
                <w:rFonts w:ascii="Arial"/>
                <w:b/>
                <w:spacing w:val="-4"/>
                <w:sz w:val="18"/>
              </w:rPr>
              <w:t>Goal</w:t>
            </w:r>
          </w:p>
        </w:tc>
        <w:tc>
          <w:tcPr>
            <w:tcW w:w="818" w:type="dxa"/>
          </w:tcPr>
          <w:p>
            <w:pPr>
              <w:pStyle w:val="TableParagraph"/>
              <w:rPr>
                <w:rFonts w:ascii="Times New Roman"/>
                <w:sz w:val="14"/>
              </w:rPr>
            </w:pPr>
          </w:p>
        </w:tc>
        <w:tc>
          <w:tcPr>
            <w:tcW w:w="817" w:type="dxa"/>
          </w:tcPr>
          <w:p>
            <w:pPr>
              <w:pStyle w:val="TableParagraph"/>
              <w:rPr>
                <w:rFonts w:ascii="Times New Roman"/>
                <w:sz w:val="14"/>
              </w:rPr>
            </w:pPr>
          </w:p>
        </w:tc>
        <w:tc>
          <w:tcPr>
            <w:tcW w:w="817" w:type="dxa"/>
          </w:tcPr>
          <w:p>
            <w:pPr>
              <w:pStyle w:val="TableParagraph"/>
              <w:rPr>
                <w:rFonts w:ascii="Times New Roman"/>
                <w:sz w:val="14"/>
              </w:rPr>
            </w:pPr>
          </w:p>
        </w:tc>
        <w:tc>
          <w:tcPr>
            <w:tcW w:w="817" w:type="dxa"/>
          </w:tcPr>
          <w:p>
            <w:pPr>
              <w:pStyle w:val="TableParagraph"/>
              <w:rPr>
                <w:rFonts w:ascii="Times New Roman"/>
                <w:sz w:val="14"/>
              </w:rPr>
            </w:pPr>
          </w:p>
        </w:tc>
        <w:tc>
          <w:tcPr>
            <w:tcW w:w="817" w:type="dxa"/>
          </w:tcPr>
          <w:p>
            <w:pPr>
              <w:pStyle w:val="TableParagraph"/>
              <w:rPr>
                <w:rFonts w:ascii="Times New Roman"/>
                <w:sz w:val="14"/>
              </w:rPr>
            </w:pPr>
          </w:p>
        </w:tc>
        <w:tc>
          <w:tcPr>
            <w:tcW w:w="817" w:type="dxa"/>
          </w:tcPr>
          <w:p>
            <w:pPr>
              <w:pStyle w:val="TableParagraph"/>
              <w:rPr>
                <w:rFonts w:ascii="Times New Roman"/>
                <w:sz w:val="14"/>
              </w:rPr>
            </w:pPr>
          </w:p>
        </w:tc>
        <w:tc>
          <w:tcPr>
            <w:tcW w:w="817" w:type="dxa"/>
          </w:tcPr>
          <w:p>
            <w:pPr>
              <w:pStyle w:val="TableParagraph"/>
              <w:rPr>
                <w:rFonts w:ascii="Times New Roman"/>
                <w:sz w:val="14"/>
              </w:rPr>
            </w:pPr>
          </w:p>
        </w:tc>
        <w:tc>
          <w:tcPr>
            <w:tcW w:w="818" w:type="dxa"/>
          </w:tcPr>
          <w:p>
            <w:pPr>
              <w:pStyle w:val="TableParagraph"/>
              <w:rPr>
                <w:rFonts w:ascii="Times New Roman"/>
                <w:sz w:val="14"/>
              </w:rPr>
            </w:pPr>
          </w:p>
        </w:tc>
        <w:tc>
          <w:tcPr>
            <w:tcW w:w="817" w:type="dxa"/>
          </w:tcPr>
          <w:p>
            <w:pPr>
              <w:pStyle w:val="TableParagraph"/>
              <w:rPr>
                <w:rFonts w:ascii="Times New Roman"/>
                <w:sz w:val="14"/>
              </w:rPr>
            </w:pPr>
          </w:p>
        </w:tc>
        <w:tc>
          <w:tcPr>
            <w:tcW w:w="937" w:type="dxa"/>
          </w:tcPr>
          <w:p>
            <w:pPr>
              <w:pStyle w:val="TableParagraph"/>
              <w:spacing w:line="189" w:lineRule="exact"/>
              <w:ind w:right="1"/>
              <w:jc w:val="center"/>
              <w:rPr>
                <w:rFonts w:ascii="Arial"/>
                <w:b/>
                <w:sz w:val="18"/>
              </w:rPr>
            </w:pPr>
            <w:r>
              <w:rPr>
                <w:rFonts w:ascii="Arial"/>
                <w:b/>
                <w:spacing w:val="-2"/>
                <w:sz w:val="18"/>
              </w:rPr>
              <w:t>Strategy</w:t>
            </w:r>
          </w:p>
        </w:tc>
      </w:tr>
      <w:tr>
        <w:trPr>
          <w:trHeight w:val="276" w:hRule="atLeast"/>
        </w:trPr>
        <w:tc>
          <w:tcPr>
            <w:tcW w:w="1711" w:type="dxa"/>
          </w:tcPr>
          <w:p>
            <w:pPr>
              <w:pStyle w:val="TableParagraph"/>
              <w:spacing w:line="256" w:lineRule="exact"/>
              <w:ind w:left="108"/>
              <w:rPr>
                <w:rFonts w:ascii="Arial"/>
                <w:b/>
                <w:sz w:val="24"/>
              </w:rPr>
            </w:pPr>
            <w:r>
              <w:rPr>
                <w:rFonts w:ascii="Arial"/>
                <w:b/>
                <w:spacing w:val="-2"/>
                <w:sz w:val="24"/>
              </w:rPr>
              <w:t>Achievement</w:t>
            </w:r>
          </w:p>
        </w:tc>
        <w:tc>
          <w:tcPr>
            <w:tcW w:w="1336" w:type="dxa"/>
          </w:tcPr>
          <w:p>
            <w:pPr>
              <w:pStyle w:val="TableParagraph"/>
              <w:rPr>
                <w:rFonts w:ascii="Times New Roman"/>
                <w:sz w:val="20"/>
              </w:rPr>
            </w:pPr>
          </w:p>
        </w:tc>
        <w:tc>
          <w:tcPr>
            <w:tcW w:w="818" w:type="dxa"/>
          </w:tcPr>
          <w:p>
            <w:pPr>
              <w:pStyle w:val="TableParagraph"/>
              <w:rPr>
                <w:rFonts w:ascii="Times New Roman"/>
                <w:sz w:val="20"/>
              </w:rPr>
            </w:pP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8" w:type="dxa"/>
          </w:tcPr>
          <w:p>
            <w:pPr>
              <w:pStyle w:val="TableParagraph"/>
              <w:rPr>
                <w:rFonts w:ascii="Times New Roman"/>
                <w:sz w:val="20"/>
              </w:rPr>
            </w:pPr>
          </w:p>
        </w:tc>
        <w:tc>
          <w:tcPr>
            <w:tcW w:w="817" w:type="dxa"/>
          </w:tcPr>
          <w:p>
            <w:pPr>
              <w:pStyle w:val="TableParagraph"/>
              <w:rPr>
                <w:rFonts w:ascii="Times New Roman"/>
                <w:sz w:val="20"/>
              </w:rPr>
            </w:pPr>
          </w:p>
        </w:tc>
        <w:tc>
          <w:tcPr>
            <w:tcW w:w="937" w:type="dxa"/>
          </w:tcPr>
          <w:p>
            <w:pPr>
              <w:pStyle w:val="TableParagraph"/>
              <w:rPr>
                <w:rFonts w:ascii="Times New Roman"/>
                <w:sz w:val="20"/>
              </w:rPr>
            </w:pPr>
          </w:p>
        </w:tc>
      </w:tr>
      <w:tr>
        <w:trPr>
          <w:trHeight w:val="276" w:hRule="atLeast"/>
        </w:trPr>
        <w:tc>
          <w:tcPr>
            <w:tcW w:w="1711" w:type="dxa"/>
          </w:tcPr>
          <w:p>
            <w:pPr>
              <w:pStyle w:val="TableParagraph"/>
              <w:spacing w:line="256" w:lineRule="exact"/>
              <w:ind w:left="108"/>
              <w:rPr>
                <w:rFonts w:ascii="Arial"/>
                <w:b/>
                <w:sz w:val="24"/>
              </w:rPr>
            </w:pPr>
            <w:r>
              <w:rPr>
                <w:rFonts w:ascii="Arial"/>
                <w:b/>
                <w:spacing w:val="-4"/>
                <w:sz w:val="24"/>
              </w:rPr>
              <w:t>Goal</w:t>
            </w:r>
          </w:p>
        </w:tc>
        <w:tc>
          <w:tcPr>
            <w:tcW w:w="1336" w:type="dxa"/>
          </w:tcPr>
          <w:p>
            <w:pPr>
              <w:pStyle w:val="TableParagraph"/>
              <w:rPr>
                <w:rFonts w:ascii="Times New Roman"/>
                <w:sz w:val="20"/>
              </w:rPr>
            </w:pPr>
          </w:p>
        </w:tc>
        <w:tc>
          <w:tcPr>
            <w:tcW w:w="818" w:type="dxa"/>
          </w:tcPr>
          <w:p>
            <w:pPr>
              <w:pStyle w:val="TableParagraph"/>
              <w:rPr>
                <w:rFonts w:ascii="Times New Roman"/>
                <w:sz w:val="20"/>
              </w:rPr>
            </w:pP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8" w:type="dxa"/>
          </w:tcPr>
          <w:p>
            <w:pPr>
              <w:pStyle w:val="TableParagraph"/>
              <w:rPr>
                <w:rFonts w:ascii="Times New Roman"/>
                <w:sz w:val="20"/>
              </w:rPr>
            </w:pPr>
          </w:p>
        </w:tc>
        <w:tc>
          <w:tcPr>
            <w:tcW w:w="817" w:type="dxa"/>
          </w:tcPr>
          <w:p>
            <w:pPr>
              <w:pStyle w:val="TableParagraph"/>
              <w:rPr>
                <w:rFonts w:ascii="Times New Roman"/>
                <w:sz w:val="20"/>
              </w:rPr>
            </w:pPr>
          </w:p>
        </w:tc>
        <w:tc>
          <w:tcPr>
            <w:tcW w:w="937" w:type="dxa"/>
          </w:tcPr>
          <w:p>
            <w:pPr>
              <w:pStyle w:val="TableParagraph"/>
              <w:rPr>
                <w:rFonts w:ascii="Times New Roman"/>
                <w:sz w:val="20"/>
              </w:rPr>
            </w:pPr>
          </w:p>
        </w:tc>
      </w:tr>
      <w:tr>
        <w:trPr>
          <w:trHeight w:val="276" w:hRule="atLeast"/>
        </w:trPr>
        <w:tc>
          <w:tcPr>
            <w:tcW w:w="1711" w:type="dxa"/>
          </w:tcPr>
          <w:p>
            <w:pPr>
              <w:pStyle w:val="TableParagraph"/>
              <w:spacing w:line="256" w:lineRule="exact"/>
              <w:ind w:left="108"/>
              <w:rPr>
                <w:rFonts w:ascii="Arial"/>
                <w:b/>
                <w:sz w:val="24"/>
              </w:rPr>
            </w:pPr>
            <w:r>
              <w:rPr>
                <w:rFonts w:ascii="Arial"/>
                <w:b/>
                <w:spacing w:val="-5"/>
                <w:sz w:val="24"/>
              </w:rPr>
              <w:t>DW</w:t>
            </w:r>
          </w:p>
        </w:tc>
        <w:tc>
          <w:tcPr>
            <w:tcW w:w="1336" w:type="dxa"/>
          </w:tcPr>
          <w:p>
            <w:pPr>
              <w:pStyle w:val="TableParagraph"/>
              <w:spacing w:line="256" w:lineRule="exact"/>
              <w:ind w:left="107"/>
              <w:rPr>
                <w:sz w:val="24"/>
              </w:rPr>
            </w:pPr>
            <w:r>
              <w:rPr>
                <w:spacing w:val="-4"/>
                <w:sz w:val="24"/>
              </w:rPr>
              <w:t>0.529</w:t>
            </w:r>
          </w:p>
        </w:tc>
        <w:tc>
          <w:tcPr>
            <w:tcW w:w="818" w:type="dxa"/>
          </w:tcPr>
          <w:p>
            <w:pPr>
              <w:pStyle w:val="TableParagraph"/>
              <w:rPr>
                <w:rFonts w:ascii="Times New Roman"/>
                <w:sz w:val="20"/>
              </w:rPr>
            </w:pP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8" w:type="dxa"/>
          </w:tcPr>
          <w:p>
            <w:pPr>
              <w:pStyle w:val="TableParagraph"/>
              <w:rPr>
                <w:rFonts w:ascii="Times New Roman"/>
                <w:sz w:val="20"/>
              </w:rPr>
            </w:pPr>
          </w:p>
        </w:tc>
        <w:tc>
          <w:tcPr>
            <w:tcW w:w="817" w:type="dxa"/>
          </w:tcPr>
          <w:p>
            <w:pPr>
              <w:pStyle w:val="TableParagraph"/>
              <w:rPr>
                <w:rFonts w:ascii="Times New Roman"/>
                <w:sz w:val="20"/>
              </w:rPr>
            </w:pPr>
          </w:p>
        </w:tc>
        <w:tc>
          <w:tcPr>
            <w:tcW w:w="937" w:type="dxa"/>
          </w:tcPr>
          <w:p>
            <w:pPr>
              <w:pStyle w:val="TableParagraph"/>
              <w:rPr>
                <w:rFonts w:ascii="Times New Roman"/>
                <w:sz w:val="20"/>
              </w:rPr>
            </w:pPr>
          </w:p>
        </w:tc>
      </w:tr>
      <w:tr>
        <w:trPr>
          <w:trHeight w:val="276" w:hRule="atLeast"/>
        </w:trPr>
        <w:tc>
          <w:tcPr>
            <w:tcW w:w="1711" w:type="dxa"/>
          </w:tcPr>
          <w:p>
            <w:pPr>
              <w:pStyle w:val="TableParagraph"/>
              <w:spacing w:line="256" w:lineRule="exact"/>
              <w:ind w:left="108"/>
              <w:rPr>
                <w:rFonts w:ascii="Arial"/>
                <w:b/>
                <w:sz w:val="24"/>
              </w:rPr>
            </w:pPr>
            <w:r>
              <w:rPr>
                <w:rFonts w:ascii="Arial"/>
                <w:b/>
                <w:spacing w:val="-4"/>
                <w:sz w:val="24"/>
              </w:rPr>
              <w:t>GCOI</w:t>
            </w:r>
          </w:p>
        </w:tc>
        <w:tc>
          <w:tcPr>
            <w:tcW w:w="1336" w:type="dxa"/>
          </w:tcPr>
          <w:p>
            <w:pPr>
              <w:pStyle w:val="TableParagraph"/>
              <w:spacing w:line="256" w:lineRule="exact"/>
              <w:ind w:left="107"/>
              <w:rPr>
                <w:sz w:val="24"/>
              </w:rPr>
            </w:pPr>
            <w:r>
              <w:rPr>
                <w:spacing w:val="-4"/>
                <w:sz w:val="24"/>
              </w:rPr>
              <w:t>0.432</w:t>
            </w:r>
          </w:p>
        </w:tc>
        <w:tc>
          <w:tcPr>
            <w:tcW w:w="818" w:type="dxa"/>
          </w:tcPr>
          <w:p>
            <w:pPr>
              <w:pStyle w:val="TableParagraph"/>
              <w:spacing w:line="256" w:lineRule="exact"/>
              <w:ind w:left="107"/>
              <w:rPr>
                <w:sz w:val="24"/>
              </w:rPr>
            </w:pPr>
            <w:r>
              <w:rPr>
                <w:spacing w:val="-4"/>
                <w:sz w:val="24"/>
              </w:rPr>
              <w:t>0.568</w:t>
            </w: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8" w:type="dxa"/>
          </w:tcPr>
          <w:p>
            <w:pPr>
              <w:pStyle w:val="TableParagraph"/>
              <w:rPr>
                <w:rFonts w:ascii="Times New Roman"/>
                <w:sz w:val="20"/>
              </w:rPr>
            </w:pPr>
          </w:p>
        </w:tc>
        <w:tc>
          <w:tcPr>
            <w:tcW w:w="817" w:type="dxa"/>
          </w:tcPr>
          <w:p>
            <w:pPr>
              <w:pStyle w:val="TableParagraph"/>
              <w:rPr>
                <w:rFonts w:ascii="Times New Roman"/>
                <w:sz w:val="20"/>
              </w:rPr>
            </w:pPr>
          </w:p>
        </w:tc>
        <w:tc>
          <w:tcPr>
            <w:tcW w:w="937" w:type="dxa"/>
          </w:tcPr>
          <w:p>
            <w:pPr>
              <w:pStyle w:val="TableParagraph"/>
              <w:rPr>
                <w:rFonts w:ascii="Times New Roman"/>
                <w:sz w:val="20"/>
              </w:rPr>
            </w:pPr>
          </w:p>
        </w:tc>
      </w:tr>
      <w:tr>
        <w:trPr>
          <w:trHeight w:val="275" w:hRule="atLeast"/>
        </w:trPr>
        <w:tc>
          <w:tcPr>
            <w:tcW w:w="1711" w:type="dxa"/>
          </w:tcPr>
          <w:p>
            <w:pPr>
              <w:pStyle w:val="TableParagraph"/>
              <w:spacing w:line="256" w:lineRule="exact"/>
              <w:ind w:left="108"/>
              <w:rPr>
                <w:rFonts w:ascii="Arial"/>
                <w:b/>
                <w:sz w:val="24"/>
              </w:rPr>
            </w:pPr>
            <w:r>
              <w:rPr>
                <w:rFonts w:ascii="Arial"/>
                <w:b/>
                <w:spacing w:val="-4"/>
                <w:sz w:val="24"/>
              </w:rPr>
              <w:t>GPOE</w:t>
            </w:r>
          </w:p>
        </w:tc>
        <w:tc>
          <w:tcPr>
            <w:tcW w:w="1336" w:type="dxa"/>
          </w:tcPr>
          <w:p>
            <w:pPr>
              <w:pStyle w:val="TableParagraph"/>
              <w:spacing w:line="256" w:lineRule="exact"/>
              <w:ind w:left="107"/>
              <w:rPr>
                <w:sz w:val="24"/>
              </w:rPr>
            </w:pPr>
            <w:r>
              <w:rPr>
                <w:spacing w:val="-4"/>
                <w:sz w:val="24"/>
              </w:rPr>
              <w:t>0.497</w:t>
            </w:r>
          </w:p>
        </w:tc>
        <w:tc>
          <w:tcPr>
            <w:tcW w:w="818" w:type="dxa"/>
          </w:tcPr>
          <w:p>
            <w:pPr>
              <w:pStyle w:val="TableParagraph"/>
              <w:spacing w:line="256" w:lineRule="exact"/>
              <w:ind w:left="107"/>
              <w:rPr>
                <w:sz w:val="24"/>
              </w:rPr>
            </w:pPr>
            <w:r>
              <w:rPr>
                <w:spacing w:val="-4"/>
                <w:sz w:val="24"/>
              </w:rPr>
              <w:t>0.606</w:t>
            </w:r>
          </w:p>
        </w:tc>
        <w:tc>
          <w:tcPr>
            <w:tcW w:w="817" w:type="dxa"/>
          </w:tcPr>
          <w:p>
            <w:pPr>
              <w:pStyle w:val="TableParagraph"/>
              <w:spacing w:line="256" w:lineRule="exact"/>
              <w:ind w:left="1" w:right="1"/>
              <w:jc w:val="center"/>
              <w:rPr>
                <w:sz w:val="24"/>
              </w:rPr>
            </w:pPr>
            <w:r>
              <w:rPr>
                <w:spacing w:val="-4"/>
                <w:sz w:val="24"/>
              </w:rPr>
              <w:t>0.753</w:t>
            </w: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8" w:type="dxa"/>
          </w:tcPr>
          <w:p>
            <w:pPr>
              <w:pStyle w:val="TableParagraph"/>
              <w:rPr>
                <w:rFonts w:ascii="Times New Roman"/>
                <w:sz w:val="20"/>
              </w:rPr>
            </w:pPr>
          </w:p>
        </w:tc>
        <w:tc>
          <w:tcPr>
            <w:tcW w:w="817" w:type="dxa"/>
          </w:tcPr>
          <w:p>
            <w:pPr>
              <w:pStyle w:val="TableParagraph"/>
              <w:rPr>
                <w:rFonts w:ascii="Times New Roman"/>
                <w:sz w:val="20"/>
              </w:rPr>
            </w:pPr>
          </w:p>
        </w:tc>
        <w:tc>
          <w:tcPr>
            <w:tcW w:w="937" w:type="dxa"/>
          </w:tcPr>
          <w:p>
            <w:pPr>
              <w:pStyle w:val="TableParagraph"/>
              <w:rPr>
                <w:rFonts w:ascii="Times New Roman"/>
                <w:sz w:val="20"/>
              </w:rPr>
            </w:pPr>
          </w:p>
        </w:tc>
      </w:tr>
      <w:tr>
        <w:trPr>
          <w:trHeight w:val="275" w:hRule="atLeast"/>
        </w:trPr>
        <w:tc>
          <w:tcPr>
            <w:tcW w:w="1711" w:type="dxa"/>
          </w:tcPr>
          <w:p>
            <w:pPr>
              <w:pStyle w:val="TableParagraph"/>
              <w:spacing w:line="256" w:lineRule="exact"/>
              <w:ind w:left="108"/>
              <w:rPr>
                <w:rFonts w:ascii="Arial"/>
                <w:b/>
                <w:sz w:val="24"/>
              </w:rPr>
            </w:pPr>
            <w:r>
              <w:rPr>
                <w:rFonts w:ascii="Arial"/>
                <w:b/>
                <w:spacing w:val="-4"/>
                <w:sz w:val="24"/>
              </w:rPr>
              <w:t>Grit</w:t>
            </w:r>
          </w:p>
        </w:tc>
        <w:tc>
          <w:tcPr>
            <w:tcW w:w="1336" w:type="dxa"/>
          </w:tcPr>
          <w:p>
            <w:pPr>
              <w:pStyle w:val="TableParagraph"/>
              <w:spacing w:line="256" w:lineRule="exact"/>
              <w:ind w:left="107"/>
              <w:rPr>
                <w:sz w:val="24"/>
              </w:rPr>
            </w:pPr>
            <w:r>
              <w:rPr>
                <w:spacing w:val="-4"/>
                <w:sz w:val="24"/>
              </w:rPr>
              <w:t>0.351</w:t>
            </w:r>
          </w:p>
        </w:tc>
        <w:tc>
          <w:tcPr>
            <w:tcW w:w="818" w:type="dxa"/>
          </w:tcPr>
          <w:p>
            <w:pPr>
              <w:pStyle w:val="TableParagraph"/>
              <w:spacing w:line="256" w:lineRule="exact"/>
              <w:ind w:left="107"/>
              <w:rPr>
                <w:sz w:val="24"/>
              </w:rPr>
            </w:pPr>
            <w:r>
              <w:rPr>
                <w:spacing w:val="-4"/>
                <w:sz w:val="24"/>
              </w:rPr>
              <w:t>0.476</w:t>
            </w:r>
          </w:p>
        </w:tc>
        <w:tc>
          <w:tcPr>
            <w:tcW w:w="817" w:type="dxa"/>
          </w:tcPr>
          <w:p>
            <w:pPr>
              <w:pStyle w:val="TableParagraph"/>
              <w:spacing w:line="256" w:lineRule="exact"/>
              <w:ind w:left="1" w:right="1"/>
              <w:jc w:val="center"/>
              <w:rPr>
                <w:sz w:val="24"/>
              </w:rPr>
            </w:pPr>
            <w:r>
              <w:rPr>
                <w:spacing w:val="-4"/>
                <w:sz w:val="24"/>
              </w:rPr>
              <w:t>0.634</w:t>
            </w:r>
          </w:p>
        </w:tc>
        <w:tc>
          <w:tcPr>
            <w:tcW w:w="817" w:type="dxa"/>
          </w:tcPr>
          <w:p>
            <w:pPr>
              <w:pStyle w:val="TableParagraph"/>
              <w:spacing w:line="256" w:lineRule="exact"/>
              <w:ind w:right="1"/>
              <w:jc w:val="center"/>
              <w:rPr>
                <w:sz w:val="24"/>
              </w:rPr>
            </w:pPr>
            <w:r>
              <w:rPr>
                <w:spacing w:val="-4"/>
                <w:sz w:val="24"/>
              </w:rPr>
              <w:t>0.824</w:t>
            </w: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8" w:type="dxa"/>
          </w:tcPr>
          <w:p>
            <w:pPr>
              <w:pStyle w:val="TableParagraph"/>
              <w:rPr>
                <w:rFonts w:ascii="Times New Roman"/>
                <w:sz w:val="20"/>
              </w:rPr>
            </w:pPr>
          </w:p>
        </w:tc>
        <w:tc>
          <w:tcPr>
            <w:tcW w:w="817" w:type="dxa"/>
          </w:tcPr>
          <w:p>
            <w:pPr>
              <w:pStyle w:val="TableParagraph"/>
              <w:rPr>
                <w:rFonts w:ascii="Times New Roman"/>
                <w:sz w:val="20"/>
              </w:rPr>
            </w:pPr>
          </w:p>
        </w:tc>
        <w:tc>
          <w:tcPr>
            <w:tcW w:w="937" w:type="dxa"/>
          </w:tcPr>
          <w:p>
            <w:pPr>
              <w:pStyle w:val="TableParagraph"/>
              <w:rPr>
                <w:rFonts w:ascii="Times New Roman"/>
                <w:sz w:val="20"/>
              </w:rPr>
            </w:pPr>
          </w:p>
        </w:tc>
      </w:tr>
      <w:tr>
        <w:trPr>
          <w:trHeight w:val="276" w:hRule="atLeast"/>
        </w:trPr>
        <w:tc>
          <w:tcPr>
            <w:tcW w:w="1711" w:type="dxa"/>
          </w:tcPr>
          <w:p>
            <w:pPr>
              <w:pStyle w:val="TableParagraph"/>
              <w:spacing w:line="256" w:lineRule="exact"/>
              <w:ind w:left="108"/>
              <w:rPr>
                <w:rFonts w:ascii="Arial"/>
                <w:b/>
                <w:sz w:val="24"/>
              </w:rPr>
            </w:pPr>
            <w:r>
              <w:rPr>
                <w:rFonts w:ascii="Arial"/>
                <w:b/>
                <w:spacing w:val="-5"/>
                <w:sz w:val="24"/>
              </w:rPr>
              <w:t>MG</w:t>
            </w:r>
          </w:p>
        </w:tc>
        <w:tc>
          <w:tcPr>
            <w:tcW w:w="1336" w:type="dxa"/>
          </w:tcPr>
          <w:p>
            <w:pPr>
              <w:pStyle w:val="TableParagraph"/>
              <w:spacing w:line="256" w:lineRule="exact"/>
              <w:ind w:left="107"/>
              <w:rPr>
                <w:sz w:val="24"/>
              </w:rPr>
            </w:pPr>
            <w:r>
              <w:rPr>
                <w:spacing w:val="-4"/>
                <w:sz w:val="24"/>
              </w:rPr>
              <w:t>0.478</w:t>
            </w:r>
          </w:p>
        </w:tc>
        <w:tc>
          <w:tcPr>
            <w:tcW w:w="818" w:type="dxa"/>
          </w:tcPr>
          <w:p>
            <w:pPr>
              <w:pStyle w:val="TableParagraph"/>
              <w:spacing w:line="256" w:lineRule="exact"/>
              <w:ind w:left="107"/>
              <w:rPr>
                <w:sz w:val="24"/>
              </w:rPr>
            </w:pPr>
            <w:r>
              <w:rPr>
                <w:spacing w:val="-4"/>
                <w:sz w:val="24"/>
              </w:rPr>
              <w:t>0.657</w:t>
            </w:r>
          </w:p>
        </w:tc>
        <w:tc>
          <w:tcPr>
            <w:tcW w:w="817" w:type="dxa"/>
          </w:tcPr>
          <w:p>
            <w:pPr>
              <w:pStyle w:val="TableParagraph"/>
              <w:spacing w:line="256" w:lineRule="exact"/>
              <w:ind w:left="1" w:right="1"/>
              <w:jc w:val="center"/>
              <w:rPr>
                <w:sz w:val="24"/>
              </w:rPr>
            </w:pPr>
            <w:r>
              <w:rPr>
                <w:spacing w:val="-4"/>
                <w:sz w:val="24"/>
              </w:rPr>
              <w:t>0.261</w:t>
            </w:r>
          </w:p>
        </w:tc>
        <w:tc>
          <w:tcPr>
            <w:tcW w:w="817" w:type="dxa"/>
          </w:tcPr>
          <w:p>
            <w:pPr>
              <w:pStyle w:val="TableParagraph"/>
              <w:spacing w:line="256" w:lineRule="exact"/>
              <w:ind w:right="1"/>
              <w:jc w:val="center"/>
              <w:rPr>
                <w:sz w:val="24"/>
              </w:rPr>
            </w:pPr>
            <w:r>
              <w:rPr>
                <w:spacing w:val="-4"/>
                <w:sz w:val="24"/>
              </w:rPr>
              <w:t>0.282</w:t>
            </w:r>
          </w:p>
        </w:tc>
        <w:tc>
          <w:tcPr>
            <w:tcW w:w="817" w:type="dxa"/>
          </w:tcPr>
          <w:p>
            <w:pPr>
              <w:pStyle w:val="TableParagraph"/>
              <w:spacing w:line="256" w:lineRule="exact"/>
              <w:ind w:left="107"/>
              <w:rPr>
                <w:sz w:val="24"/>
              </w:rPr>
            </w:pPr>
            <w:r>
              <w:rPr>
                <w:spacing w:val="-4"/>
                <w:sz w:val="24"/>
              </w:rPr>
              <w:t>0.169</w:t>
            </w: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8" w:type="dxa"/>
          </w:tcPr>
          <w:p>
            <w:pPr>
              <w:pStyle w:val="TableParagraph"/>
              <w:rPr>
                <w:rFonts w:ascii="Times New Roman"/>
                <w:sz w:val="20"/>
              </w:rPr>
            </w:pPr>
          </w:p>
        </w:tc>
        <w:tc>
          <w:tcPr>
            <w:tcW w:w="817" w:type="dxa"/>
          </w:tcPr>
          <w:p>
            <w:pPr>
              <w:pStyle w:val="TableParagraph"/>
              <w:rPr>
                <w:rFonts w:ascii="Times New Roman"/>
                <w:sz w:val="20"/>
              </w:rPr>
            </w:pPr>
          </w:p>
        </w:tc>
        <w:tc>
          <w:tcPr>
            <w:tcW w:w="937" w:type="dxa"/>
          </w:tcPr>
          <w:p>
            <w:pPr>
              <w:pStyle w:val="TableParagraph"/>
              <w:rPr>
                <w:rFonts w:ascii="Times New Roman"/>
                <w:sz w:val="20"/>
              </w:rPr>
            </w:pPr>
          </w:p>
        </w:tc>
      </w:tr>
      <w:tr>
        <w:trPr>
          <w:trHeight w:val="276" w:hRule="atLeast"/>
        </w:trPr>
        <w:tc>
          <w:tcPr>
            <w:tcW w:w="1711" w:type="dxa"/>
          </w:tcPr>
          <w:p>
            <w:pPr>
              <w:pStyle w:val="TableParagraph"/>
              <w:spacing w:line="256" w:lineRule="exact"/>
              <w:ind w:left="108"/>
              <w:rPr>
                <w:rFonts w:ascii="Arial"/>
                <w:b/>
                <w:sz w:val="24"/>
              </w:rPr>
            </w:pPr>
            <w:r>
              <w:rPr>
                <w:rFonts w:ascii="Arial"/>
                <w:b/>
                <w:spacing w:val="-5"/>
                <w:sz w:val="24"/>
              </w:rPr>
              <w:t>PA</w:t>
            </w:r>
          </w:p>
        </w:tc>
        <w:tc>
          <w:tcPr>
            <w:tcW w:w="1336" w:type="dxa"/>
          </w:tcPr>
          <w:p>
            <w:pPr>
              <w:pStyle w:val="TableParagraph"/>
              <w:spacing w:line="256" w:lineRule="exact"/>
              <w:ind w:left="107"/>
              <w:rPr>
                <w:sz w:val="24"/>
              </w:rPr>
            </w:pPr>
            <w:r>
              <w:rPr>
                <w:spacing w:val="-4"/>
                <w:sz w:val="24"/>
              </w:rPr>
              <w:t>0.859</w:t>
            </w:r>
          </w:p>
        </w:tc>
        <w:tc>
          <w:tcPr>
            <w:tcW w:w="818" w:type="dxa"/>
          </w:tcPr>
          <w:p>
            <w:pPr>
              <w:pStyle w:val="TableParagraph"/>
              <w:spacing w:line="256" w:lineRule="exact"/>
              <w:ind w:left="107"/>
              <w:rPr>
                <w:sz w:val="24"/>
              </w:rPr>
            </w:pPr>
            <w:r>
              <w:rPr>
                <w:spacing w:val="-4"/>
                <w:sz w:val="24"/>
              </w:rPr>
              <w:t>0.649</w:t>
            </w:r>
          </w:p>
        </w:tc>
        <w:tc>
          <w:tcPr>
            <w:tcW w:w="817" w:type="dxa"/>
          </w:tcPr>
          <w:p>
            <w:pPr>
              <w:pStyle w:val="TableParagraph"/>
              <w:spacing w:line="256" w:lineRule="exact"/>
              <w:ind w:left="1" w:right="1"/>
              <w:jc w:val="center"/>
              <w:rPr>
                <w:sz w:val="24"/>
              </w:rPr>
            </w:pPr>
            <w:r>
              <w:rPr>
                <w:spacing w:val="-4"/>
                <w:sz w:val="24"/>
              </w:rPr>
              <w:t>0.464</w:t>
            </w:r>
          </w:p>
        </w:tc>
        <w:tc>
          <w:tcPr>
            <w:tcW w:w="817" w:type="dxa"/>
          </w:tcPr>
          <w:p>
            <w:pPr>
              <w:pStyle w:val="TableParagraph"/>
              <w:spacing w:line="256" w:lineRule="exact"/>
              <w:ind w:right="1"/>
              <w:jc w:val="center"/>
              <w:rPr>
                <w:sz w:val="24"/>
              </w:rPr>
            </w:pPr>
            <w:r>
              <w:rPr>
                <w:spacing w:val="-4"/>
                <w:sz w:val="24"/>
              </w:rPr>
              <w:t>0.569</w:t>
            </w:r>
          </w:p>
        </w:tc>
        <w:tc>
          <w:tcPr>
            <w:tcW w:w="817" w:type="dxa"/>
          </w:tcPr>
          <w:p>
            <w:pPr>
              <w:pStyle w:val="TableParagraph"/>
              <w:spacing w:line="256" w:lineRule="exact"/>
              <w:ind w:left="107"/>
              <w:rPr>
                <w:sz w:val="24"/>
              </w:rPr>
            </w:pPr>
            <w:r>
              <w:rPr>
                <w:spacing w:val="-4"/>
                <w:sz w:val="24"/>
              </w:rPr>
              <w:t>0.460</w:t>
            </w:r>
          </w:p>
        </w:tc>
        <w:tc>
          <w:tcPr>
            <w:tcW w:w="817" w:type="dxa"/>
          </w:tcPr>
          <w:p>
            <w:pPr>
              <w:pStyle w:val="TableParagraph"/>
              <w:spacing w:line="256" w:lineRule="exact"/>
              <w:ind w:left="106"/>
              <w:rPr>
                <w:sz w:val="24"/>
              </w:rPr>
            </w:pPr>
            <w:r>
              <w:rPr>
                <w:spacing w:val="-4"/>
                <w:sz w:val="24"/>
              </w:rPr>
              <w:t>0.625</w:t>
            </w:r>
          </w:p>
        </w:tc>
        <w:tc>
          <w:tcPr>
            <w:tcW w:w="817" w:type="dxa"/>
          </w:tcPr>
          <w:p>
            <w:pPr>
              <w:pStyle w:val="TableParagraph"/>
              <w:rPr>
                <w:rFonts w:ascii="Times New Roman"/>
                <w:sz w:val="20"/>
              </w:rPr>
            </w:pPr>
          </w:p>
        </w:tc>
        <w:tc>
          <w:tcPr>
            <w:tcW w:w="817" w:type="dxa"/>
          </w:tcPr>
          <w:p>
            <w:pPr>
              <w:pStyle w:val="TableParagraph"/>
              <w:rPr>
                <w:rFonts w:ascii="Times New Roman"/>
                <w:sz w:val="20"/>
              </w:rPr>
            </w:pPr>
          </w:p>
        </w:tc>
        <w:tc>
          <w:tcPr>
            <w:tcW w:w="818" w:type="dxa"/>
          </w:tcPr>
          <w:p>
            <w:pPr>
              <w:pStyle w:val="TableParagraph"/>
              <w:rPr>
                <w:rFonts w:ascii="Times New Roman"/>
                <w:sz w:val="20"/>
              </w:rPr>
            </w:pPr>
          </w:p>
        </w:tc>
        <w:tc>
          <w:tcPr>
            <w:tcW w:w="817" w:type="dxa"/>
          </w:tcPr>
          <w:p>
            <w:pPr>
              <w:pStyle w:val="TableParagraph"/>
              <w:rPr>
                <w:rFonts w:ascii="Times New Roman"/>
                <w:sz w:val="20"/>
              </w:rPr>
            </w:pPr>
          </w:p>
        </w:tc>
        <w:tc>
          <w:tcPr>
            <w:tcW w:w="937" w:type="dxa"/>
          </w:tcPr>
          <w:p>
            <w:pPr>
              <w:pStyle w:val="TableParagraph"/>
              <w:rPr>
                <w:rFonts w:ascii="Times New Roman"/>
                <w:sz w:val="20"/>
              </w:rPr>
            </w:pPr>
          </w:p>
        </w:tc>
      </w:tr>
      <w:tr>
        <w:trPr>
          <w:trHeight w:val="276" w:hRule="atLeast"/>
        </w:trPr>
        <w:tc>
          <w:tcPr>
            <w:tcW w:w="1711" w:type="dxa"/>
          </w:tcPr>
          <w:p>
            <w:pPr>
              <w:pStyle w:val="TableParagraph"/>
              <w:spacing w:line="256" w:lineRule="exact"/>
              <w:ind w:left="108"/>
              <w:rPr>
                <w:rFonts w:ascii="Arial"/>
                <w:b/>
                <w:sz w:val="24"/>
              </w:rPr>
            </w:pPr>
            <w:r>
              <w:rPr>
                <w:rFonts w:ascii="Arial"/>
                <w:b/>
                <w:spacing w:val="-5"/>
                <w:sz w:val="24"/>
              </w:rPr>
              <w:t>PAV</w:t>
            </w:r>
          </w:p>
        </w:tc>
        <w:tc>
          <w:tcPr>
            <w:tcW w:w="1336" w:type="dxa"/>
          </w:tcPr>
          <w:p>
            <w:pPr>
              <w:pStyle w:val="TableParagraph"/>
              <w:spacing w:line="256" w:lineRule="exact"/>
              <w:ind w:left="107"/>
              <w:rPr>
                <w:sz w:val="24"/>
              </w:rPr>
            </w:pPr>
            <w:r>
              <w:rPr>
                <w:spacing w:val="-4"/>
                <w:sz w:val="24"/>
              </w:rPr>
              <w:t>0.499</w:t>
            </w:r>
          </w:p>
        </w:tc>
        <w:tc>
          <w:tcPr>
            <w:tcW w:w="818" w:type="dxa"/>
          </w:tcPr>
          <w:p>
            <w:pPr>
              <w:pStyle w:val="TableParagraph"/>
              <w:spacing w:line="256" w:lineRule="exact"/>
              <w:ind w:left="107"/>
              <w:rPr>
                <w:sz w:val="24"/>
              </w:rPr>
            </w:pPr>
            <w:r>
              <w:rPr>
                <w:spacing w:val="-4"/>
                <w:sz w:val="24"/>
              </w:rPr>
              <w:t>0.440</w:t>
            </w:r>
          </w:p>
        </w:tc>
        <w:tc>
          <w:tcPr>
            <w:tcW w:w="817" w:type="dxa"/>
          </w:tcPr>
          <w:p>
            <w:pPr>
              <w:pStyle w:val="TableParagraph"/>
              <w:spacing w:line="256" w:lineRule="exact"/>
              <w:ind w:left="1" w:right="1"/>
              <w:jc w:val="center"/>
              <w:rPr>
                <w:sz w:val="24"/>
              </w:rPr>
            </w:pPr>
            <w:r>
              <w:rPr>
                <w:spacing w:val="-4"/>
                <w:sz w:val="24"/>
              </w:rPr>
              <w:t>0.667</w:t>
            </w:r>
          </w:p>
        </w:tc>
        <w:tc>
          <w:tcPr>
            <w:tcW w:w="817" w:type="dxa"/>
          </w:tcPr>
          <w:p>
            <w:pPr>
              <w:pStyle w:val="TableParagraph"/>
              <w:spacing w:line="256" w:lineRule="exact"/>
              <w:ind w:right="1"/>
              <w:jc w:val="center"/>
              <w:rPr>
                <w:sz w:val="24"/>
              </w:rPr>
            </w:pPr>
            <w:r>
              <w:rPr>
                <w:spacing w:val="-4"/>
                <w:sz w:val="24"/>
              </w:rPr>
              <w:t>0.474</w:t>
            </w:r>
          </w:p>
        </w:tc>
        <w:tc>
          <w:tcPr>
            <w:tcW w:w="817" w:type="dxa"/>
          </w:tcPr>
          <w:p>
            <w:pPr>
              <w:pStyle w:val="TableParagraph"/>
              <w:spacing w:line="256" w:lineRule="exact"/>
              <w:ind w:left="107"/>
              <w:rPr>
                <w:sz w:val="24"/>
              </w:rPr>
            </w:pPr>
            <w:r>
              <w:rPr>
                <w:spacing w:val="-4"/>
                <w:sz w:val="24"/>
              </w:rPr>
              <w:t>0.382</w:t>
            </w:r>
          </w:p>
        </w:tc>
        <w:tc>
          <w:tcPr>
            <w:tcW w:w="817" w:type="dxa"/>
          </w:tcPr>
          <w:p>
            <w:pPr>
              <w:pStyle w:val="TableParagraph"/>
              <w:spacing w:line="256" w:lineRule="exact"/>
              <w:ind w:left="106"/>
              <w:rPr>
                <w:sz w:val="24"/>
              </w:rPr>
            </w:pPr>
            <w:r>
              <w:rPr>
                <w:spacing w:val="-4"/>
                <w:sz w:val="24"/>
              </w:rPr>
              <w:t>0.203</w:t>
            </w:r>
          </w:p>
        </w:tc>
        <w:tc>
          <w:tcPr>
            <w:tcW w:w="817" w:type="dxa"/>
          </w:tcPr>
          <w:p>
            <w:pPr>
              <w:pStyle w:val="TableParagraph"/>
              <w:spacing w:line="256" w:lineRule="exact"/>
              <w:ind w:left="108"/>
              <w:rPr>
                <w:sz w:val="24"/>
              </w:rPr>
            </w:pPr>
            <w:r>
              <w:rPr>
                <w:spacing w:val="-4"/>
                <w:sz w:val="24"/>
              </w:rPr>
              <w:t>0.560</w:t>
            </w:r>
          </w:p>
        </w:tc>
        <w:tc>
          <w:tcPr>
            <w:tcW w:w="817" w:type="dxa"/>
          </w:tcPr>
          <w:p>
            <w:pPr>
              <w:pStyle w:val="TableParagraph"/>
              <w:rPr>
                <w:rFonts w:ascii="Times New Roman"/>
                <w:sz w:val="20"/>
              </w:rPr>
            </w:pPr>
          </w:p>
        </w:tc>
        <w:tc>
          <w:tcPr>
            <w:tcW w:w="818" w:type="dxa"/>
          </w:tcPr>
          <w:p>
            <w:pPr>
              <w:pStyle w:val="TableParagraph"/>
              <w:rPr>
                <w:rFonts w:ascii="Times New Roman"/>
                <w:sz w:val="20"/>
              </w:rPr>
            </w:pPr>
          </w:p>
        </w:tc>
        <w:tc>
          <w:tcPr>
            <w:tcW w:w="817" w:type="dxa"/>
          </w:tcPr>
          <w:p>
            <w:pPr>
              <w:pStyle w:val="TableParagraph"/>
              <w:rPr>
                <w:rFonts w:ascii="Times New Roman"/>
                <w:sz w:val="20"/>
              </w:rPr>
            </w:pPr>
          </w:p>
        </w:tc>
        <w:tc>
          <w:tcPr>
            <w:tcW w:w="937" w:type="dxa"/>
          </w:tcPr>
          <w:p>
            <w:pPr>
              <w:pStyle w:val="TableParagraph"/>
              <w:rPr>
                <w:rFonts w:ascii="Times New Roman"/>
                <w:sz w:val="20"/>
              </w:rPr>
            </w:pPr>
          </w:p>
        </w:tc>
      </w:tr>
      <w:tr>
        <w:trPr>
          <w:trHeight w:val="276" w:hRule="atLeast"/>
        </w:trPr>
        <w:tc>
          <w:tcPr>
            <w:tcW w:w="1711" w:type="dxa"/>
          </w:tcPr>
          <w:p>
            <w:pPr>
              <w:pStyle w:val="TableParagraph"/>
              <w:spacing w:line="256" w:lineRule="exact"/>
              <w:ind w:left="108"/>
              <w:rPr>
                <w:rFonts w:ascii="Arial"/>
                <w:b/>
                <w:sz w:val="24"/>
              </w:rPr>
            </w:pPr>
            <w:r>
              <w:rPr>
                <w:rFonts w:ascii="Arial"/>
                <w:b/>
                <w:spacing w:val="-5"/>
                <w:sz w:val="24"/>
              </w:rPr>
              <w:t>POW</w:t>
            </w:r>
          </w:p>
        </w:tc>
        <w:tc>
          <w:tcPr>
            <w:tcW w:w="1336" w:type="dxa"/>
          </w:tcPr>
          <w:p>
            <w:pPr>
              <w:pStyle w:val="TableParagraph"/>
              <w:spacing w:line="256" w:lineRule="exact"/>
              <w:ind w:left="107"/>
              <w:rPr>
                <w:sz w:val="24"/>
              </w:rPr>
            </w:pPr>
            <w:r>
              <w:rPr>
                <w:spacing w:val="-4"/>
                <w:sz w:val="24"/>
              </w:rPr>
              <w:t>0.604</w:t>
            </w:r>
          </w:p>
        </w:tc>
        <w:tc>
          <w:tcPr>
            <w:tcW w:w="818" w:type="dxa"/>
          </w:tcPr>
          <w:p>
            <w:pPr>
              <w:pStyle w:val="TableParagraph"/>
              <w:spacing w:line="256" w:lineRule="exact"/>
              <w:ind w:left="107"/>
              <w:rPr>
                <w:sz w:val="24"/>
              </w:rPr>
            </w:pPr>
            <w:r>
              <w:rPr>
                <w:spacing w:val="-4"/>
                <w:sz w:val="24"/>
              </w:rPr>
              <w:t>0.740</w:t>
            </w:r>
          </w:p>
        </w:tc>
        <w:tc>
          <w:tcPr>
            <w:tcW w:w="817" w:type="dxa"/>
          </w:tcPr>
          <w:p>
            <w:pPr>
              <w:pStyle w:val="TableParagraph"/>
              <w:spacing w:line="256" w:lineRule="exact"/>
              <w:ind w:left="1" w:right="1"/>
              <w:jc w:val="center"/>
              <w:rPr>
                <w:sz w:val="24"/>
              </w:rPr>
            </w:pPr>
            <w:r>
              <w:rPr>
                <w:spacing w:val="-4"/>
                <w:sz w:val="24"/>
              </w:rPr>
              <w:t>0.712</w:t>
            </w:r>
          </w:p>
        </w:tc>
        <w:tc>
          <w:tcPr>
            <w:tcW w:w="817" w:type="dxa"/>
          </w:tcPr>
          <w:p>
            <w:pPr>
              <w:pStyle w:val="TableParagraph"/>
              <w:spacing w:line="256" w:lineRule="exact"/>
              <w:ind w:right="1"/>
              <w:jc w:val="center"/>
              <w:rPr>
                <w:sz w:val="24"/>
              </w:rPr>
            </w:pPr>
            <w:r>
              <w:rPr>
                <w:spacing w:val="-4"/>
                <w:sz w:val="24"/>
              </w:rPr>
              <w:t>0.648</w:t>
            </w:r>
          </w:p>
        </w:tc>
        <w:tc>
          <w:tcPr>
            <w:tcW w:w="817" w:type="dxa"/>
          </w:tcPr>
          <w:p>
            <w:pPr>
              <w:pStyle w:val="TableParagraph"/>
              <w:spacing w:line="256" w:lineRule="exact"/>
              <w:ind w:left="107"/>
              <w:rPr>
                <w:sz w:val="24"/>
              </w:rPr>
            </w:pPr>
            <w:r>
              <w:rPr>
                <w:spacing w:val="-4"/>
                <w:sz w:val="24"/>
              </w:rPr>
              <w:t>0.529</w:t>
            </w:r>
          </w:p>
        </w:tc>
        <w:tc>
          <w:tcPr>
            <w:tcW w:w="817" w:type="dxa"/>
          </w:tcPr>
          <w:p>
            <w:pPr>
              <w:pStyle w:val="TableParagraph"/>
              <w:spacing w:line="256" w:lineRule="exact"/>
              <w:ind w:left="106"/>
              <w:rPr>
                <w:sz w:val="24"/>
              </w:rPr>
            </w:pPr>
            <w:r>
              <w:rPr>
                <w:spacing w:val="-4"/>
                <w:sz w:val="24"/>
              </w:rPr>
              <w:t>0.486</w:t>
            </w:r>
          </w:p>
        </w:tc>
        <w:tc>
          <w:tcPr>
            <w:tcW w:w="817" w:type="dxa"/>
          </w:tcPr>
          <w:p>
            <w:pPr>
              <w:pStyle w:val="TableParagraph"/>
              <w:spacing w:line="256" w:lineRule="exact"/>
              <w:ind w:left="108"/>
              <w:rPr>
                <w:sz w:val="24"/>
              </w:rPr>
            </w:pPr>
            <w:r>
              <w:rPr>
                <w:spacing w:val="-4"/>
                <w:sz w:val="24"/>
              </w:rPr>
              <w:t>0.620</w:t>
            </w:r>
          </w:p>
        </w:tc>
        <w:tc>
          <w:tcPr>
            <w:tcW w:w="817" w:type="dxa"/>
          </w:tcPr>
          <w:p>
            <w:pPr>
              <w:pStyle w:val="TableParagraph"/>
              <w:spacing w:line="256" w:lineRule="exact"/>
              <w:ind w:left="107"/>
              <w:rPr>
                <w:sz w:val="24"/>
              </w:rPr>
            </w:pPr>
            <w:r>
              <w:rPr>
                <w:spacing w:val="-4"/>
                <w:sz w:val="24"/>
              </w:rPr>
              <w:t>0.547</w:t>
            </w:r>
          </w:p>
        </w:tc>
        <w:tc>
          <w:tcPr>
            <w:tcW w:w="818" w:type="dxa"/>
          </w:tcPr>
          <w:p>
            <w:pPr>
              <w:pStyle w:val="TableParagraph"/>
              <w:rPr>
                <w:rFonts w:ascii="Times New Roman"/>
                <w:sz w:val="20"/>
              </w:rPr>
            </w:pPr>
          </w:p>
        </w:tc>
        <w:tc>
          <w:tcPr>
            <w:tcW w:w="817" w:type="dxa"/>
          </w:tcPr>
          <w:p>
            <w:pPr>
              <w:pStyle w:val="TableParagraph"/>
              <w:rPr>
                <w:rFonts w:ascii="Times New Roman"/>
                <w:sz w:val="20"/>
              </w:rPr>
            </w:pPr>
          </w:p>
        </w:tc>
        <w:tc>
          <w:tcPr>
            <w:tcW w:w="937" w:type="dxa"/>
          </w:tcPr>
          <w:p>
            <w:pPr>
              <w:pStyle w:val="TableParagraph"/>
              <w:rPr>
                <w:rFonts w:ascii="Times New Roman"/>
                <w:sz w:val="20"/>
              </w:rPr>
            </w:pPr>
          </w:p>
        </w:tc>
      </w:tr>
      <w:tr>
        <w:trPr>
          <w:trHeight w:val="276" w:hRule="atLeast"/>
        </w:trPr>
        <w:tc>
          <w:tcPr>
            <w:tcW w:w="1711" w:type="dxa"/>
          </w:tcPr>
          <w:p>
            <w:pPr>
              <w:pStyle w:val="TableParagraph"/>
              <w:spacing w:line="256" w:lineRule="exact"/>
              <w:ind w:left="108"/>
              <w:rPr>
                <w:rFonts w:ascii="Arial"/>
                <w:b/>
                <w:sz w:val="24"/>
              </w:rPr>
            </w:pPr>
            <w:r>
              <w:rPr>
                <w:rFonts w:ascii="Arial"/>
                <w:b/>
                <w:spacing w:val="-5"/>
                <w:sz w:val="24"/>
              </w:rPr>
              <w:t>PRW</w:t>
            </w:r>
          </w:p>
        </w:tc>
        <w:tc>
          <w:tcPr>
            <w:tcW w:w="1336" w:type="dxa"/>
          </w:tcPr>
          <w:p>
            <w:pPr>
              <w:pStyle w:val="TableParagraph"/>
              <w:spacing w:line="256" w:lineRule="exact"/>
              <w:ind w:left="107"/>
              <w:rPr>
                <w:sz w:val="24"/>
              </w:rPr>
            </w:pPr>
            <w:r>
              <w:rPr>
                <w:spacing w:val="-4"/>
                <w:sz w:val="24"/>
              </w:rPr>
              <w:t>0.662</w:t>
            </w:r>
          </w:p>
        </w:tc>
        <w:tc>
          <w:tcPr>
            <w:tcW w:w="818" w:type="dxa"/>
          </w:tcPr>
          <w:p>
            <w:pPr>
              <w:pStyle w:val="TableParagraph"/>
              <w:spacing w:line="256" w:lineRule="exact"/>
              <w:ind w:left="107"/>
              <w:rPr>
                <w:sz w:val="24"/>
              </w:rPr>
            </w:pPr>
            <w:r>
              <w:rPr>
                <w:spacing w:val="-4"/>
                <w:sz w:val="24"/>
              </w:rPr>
              <w:t>0.795</w:t>
            </w:r>
          </w:p>
        </w:tc>
        <w:tc>
          <w:tcPr>
            <w:tcW w:w="817" w:type="dxa"/>
          </w:tcPr>
          <w:p>
            <w:pPr>
              <w:pStyle w:val="TableParagraph"/>
              <w:spacing w:line="256" w:lineRule="exact"/>
              <w:ind w:left="1" w:right="1"/>
              <w:jc w:val="center"/>
              <w:rPr>
                <w:sz w:val="24"/>
              </w:rPr>
            </w:pPr>
            <w:r>
              <w:rPr>
                <w:spacing w:val="-4"/>
                <w:sz w:val="24"/>
              </w:rPr>
              <w:t>0.627</w:t>
            </w:r>
          </w:p>
        </w:tc>
        <w:tc>
          <w:tcPr>
            <w:tcW w:w="817" w:type="dxa"/>
          </w:tcPr>
          <w:p>
            <w:pPr>
              <w:pStyle w:val="TableParagraph"/>
              <w:spacing w:line="256" w:lineRule="exact"/>
              <w:ind w:right="1"/>
              <w:jc w:val="center"/>
              <w:rPr>
                <w:sz w:val="24"/>
              </w:rPr>
            </w:pPr>
            <w:r>
              <w:rPr>
                <w:spacing w:val="-4"/>
                <w:sz w:val="24"/>
              </w:rPr>
              <w:t>0.601</w:t>
            </w:r>
          </w:p>
        </w:tc>
        <w:tc>
          <w:tcPr>
            <w:tcW w:w="817" w:type="dxa"/>
          </w:tcPr>
          <w:p>
            <w:pPr>
              <w:pStyle w:val="TableParagraph"/>
              <w:spacing w:line="256" w:lineRule="exact"/>
              <w:ind w:left="107"/>
              <w:rPr>
                <w:sz w:val="24"/>
              </w:rPr>
            </w:pPr>
            <w:r>
              <w:rPr>
                <w:spacing w:val="-4"/>
                <w:sz w:val="24"/>
              </w:rPr>
              <w:t>0.444</w:t>
            </w:r>
          </w:p>
        </w:tc>
        <w:tc>
          <w:tcPr>
            <w:tcW w:w="817" w:type="dxa"/>
          </w:tcPr>
          <w:p>
            <w:pPr>
              <w:pStyle w:val="TableParagraph"/>
              <w:spacing w:line="256" w:lineRule="exact"/>
              <w:ind w:left="106"/>
              <w:rPr>
                <w:sz w:val="24"/>
              </w:rPr>
            </w:pPr>
            <w:r>
              <w:rPr>
                <w:spacing w:val="-4"/>
                <w:sz w:val="24"/>
              </w:rPr>
              <w:t>0.524</w:t>
            </w:r>
          </w:p>
        </w:tc>
        <w:tc>
          <w:tcPr>
            <w:tcW w:w="817" w:type="dxa"/>
          </w:tcPr>
          <w:p>
            <w:pPr>
              <w:pStyle w:val="TableParagraph"/>
              <w:spacing w:line="256" w:lineRule="exact"/>
              <w:ind w:left="108"/>
              <w:rPr>
                <w:sz w:val="24"/>
              </w:rPr>
            </w:pPr>
            <w:r>
              <w:rPr>
                <w:spacing w:val="-4"/>
                <w:sz w:val="24"/>
              </w:rPr>
              <w:t>0.712</w:t>
            </w:r>
          </w:p>
        </w:tc>
        <w:tc>
          <w:tcPr>
            <w:tcW w:w="817" w:type="dxa"/>
          </w:tcPr>
          <w:p>
            <w:pPr>
              <w:pStyle w:val="TableParagraph"/>
              <w:spacing w:line="256" w:lineRule="exact"/>
              <w:ind w:left="107"/>
              <w:rPr>
                <w:sz w:val="24"/>
              </w:rPr>
            </w:pPr>
            <w:r>
              <w:rPr>
                <w:spacing w:val="-4"/>
                <w:sz w:val="24"/>
              </w:rPr>
              <w:t>0.477</w:t>
            </w:r>
          </w:p>
        </w:tc>
        <w:tc>
          <w:tcPr>
            <w:tcW w:w="818" w:type="dxa"/>
          </w:tcPr>
          <w:p>
            <w:pPr>
              <w:pStyle w:val="TableParagraph"/>
              <w:spacing w:line="256" w:lineRule="exact"/>
              <w:ind w:left="108"/>
              <w:rPr>
                <w:sz w:val="24"/>
              </w:rPr>
            </w:pPr>
            <w:r>
              <w:rPr>
                <w:spacing w:val="-4"/>
                <w:sz w:val="24"/>
              </w:rPr>
              <w:t>0.699</w:t>
            </w:r>
          </w:p>
        </w:tc>
        <w:tc>
          <w:tcPr>
            <w:tcW w:w="817" w:type="dxa"/>
          </w:tcPr>
          <w:p>
            <w:pPr>
              <w:pStyle w:val="TableParagraph"/>
              <w:rPr>
                <w:rFonts w:ascii="Times New Roman"/>
                <w:sz w:val="20"/>
              </w:rPr>
            </w:pPr>
          </w:p>
        </w:tc>
        <w:tc>
          <w:tcPr>
            <w:tcW w:w="937" w:type="dxa"/>
          </w:tcPr>
          <w:p>
            <w:pPr>
              <w:pStyle w:val="TableParagraph"/>
              <w:rPr>
                <w:rFonts w:ascii="Times New Roman"/>
                <w:sz w:val="20"/>
              </w:rPr>
            </w:pPr>
          </w:p>
        </w:tc>
      </w:tr>
      <w:tr>
        <w:trPr>
          <w:trHeight w:val="272" w:hRule="atLeast"/>
        </w:trPr>
        <w:tc>
          <w:tcPr>
            <w:tcW w:w="1711" w:type="dxa"/>
          </w:tcPr>
          <w:p>
            <w:pPr>
              <w:pStyle w:val="TableParagraph"/>
              <w:spacing w:line="252" w:lineRule="exact"/>
              <w:ind w:left="108"/>
              <w:rPr>
                <w:rFonts w:ascii="Arial"/>
                <w:b/>
                <w:sz w:val="24"/>
              </w:rPr>
            </w:pPr>
            <w:r>
              <w:rPr>
                <w:rFonts w:ascii="Arial"/>
                <w:b/>
                <w:spacing w:val="-2"/>
                <w:sz w:val="24"/>
              </w:rPr>
              <w:t>Writing</w:t>
            </w:r>
          </w:p>
        </w:tc>
        <w:tc>
          <w:tcPr>
            <w:tcW w:w="1336" w:type="dxa"/>
          </w:tcPr>
          <w:p>
            <w:pPr>
              <w:pStyle w:val="TableParagraph"/>
              <w:spacing w:line="252" w:lineRule="exact"/>
              <w:ind w:left="107"/>
              <w:rPr>
                <w:sz w:val="24"/>
              </w:rPr>
            </w:pPr>
            <w:r>
              <w:rPr>
                <w:spacing w:val="-4"/>
                <w:sz w:val="24"/>
              </w:rPr>
              <w:t>0.381</w:t>
            </w:r>
          </w:p>
        </w:tc>
        <w:tc>
          <w:tcPr>
            <w:tcW w:w="818" w:type="dxa"/>
          </w:tcPr>
          <w:p>
            <w:pPr>
              <w:pStyle w:val="TableParagraph"/>
              <w:spacing w:line="252" w:lineRule="exact"/>
              <w:ind w:left="107"/>
              <w:rPr>
                <w:sz w:val="24"/>
              </w:rPr>
            </w:pPr>
            <w:r>
              <w:rPr>
                <w:spacing w:val="-4"/>
                <w:sz w:val="24"/>
              </w:rPr>
              <w:t>0.367</w:t>
            </w:r>
          </w:p>
        </w:tc>
        <w:tc>
          <w:tcPr>
            <w:tcW w:w="817" w:type="dxa"/>
          </w:tcPr>
          <w:p>
            <w:pPr>
              <w:pStyle w:val="TableParagraph"/>
              <w:spacing w:line="252" w:lineRule="exact"/>
              <w:ind w:left="1" w:right="1"/>
              <w:jc w:val="center"/>
              <w:rPr>
                <w:sz w:val="24"/>
              </w:rPr>
            </w:pPr>
            <w:r>
              <w:rPr>
                <w:spacing w:val="-4"/>
                <w:sz w:val="24"/>
              </w:rPr>
              <w:t>0.565</w:t>
            </w:r>
          </w:p>
        </w:tc>
        <w:tc>
          <w:tcPr>
            <w:tcW w:w="817" w:type="dxa"/>
          </w:tcPr>
          <w:p>
            <w:pPr>
              <w:pStyle w:val="TableParagraph"/>
              <w:spacing w:line="252" w:lineRule="exact"/>
              <w:ind w:right="1"/>
              <w:jc w:val="center"/>
              <w:rPr>
                <w:sz w:val="24"/>
              </w:rPr>
            </w:pPr>
            <w:r>
              <w:rPr>
                <w:spacing w:val="-4"/>
                <w:sz w:val="24"/>
              </w:rPr>
              <w:t>0.361</w:t>
            </w:r>
          </w:p>
        </w:tc>
        <w:tc>
          <w:tcPr>
            <w:tcW w:w="817" w:type="dxa"/>
          </w:tcPr>
          <w:p>
            <w:pPr>
              <w:pStyle w:val="TableParagraph"/>
              <w:spacing w:line="252" w:lineRule="exact"/>
              <w:ind w:left="107"/>
              <w:rPr>
                <w:sz w:val="24"/>
              </w:rPr>
            </w:pPr>
            <w:r>
              <w:rPr>
                <w:spacing w:val="-4"/>
                <w:sz w:val="24"/>
              </w:rPr>
              <w:t>0.311</w:t>
            </w:r>
          </w:p>
        </w:tc>
        <w:tc>
          <w:tcPr>
            <w:tcW w:w="817" w:type="dxa"/>
          </w:tcPr>
          <w:p>
            <w:pPr>
              <w:pStyle w:val="TableParagraph"/>
              <w:spacing w:line="252" w:lineRule="exact"/>
              <w:ind w:left="106"/>
              <w:rPr>
                <w:sz w:val="24"/>
              </w:rPr>
            </w:pPr>
            <w:r>
              <w:rPr>
                <w:spacing w:val="-4"/>
                <w:sz w:val="24"/>
              </w:rPr>
              <w:t>0.169</w:t>
            </w:r>
          </w:p>
        </w:tc>
        <w:tc>
          <w:tcPr>
            <w:tcW w:w="817" w:type="dxa"/>
          </w:tcPr>
          <w:p>
            <w:pPr>
              <w:pStyle w:val="TableParagraph"/>
              <w:spacing w:line="252" w:lineRule="exact"/>
              <w:ind w:left="108"/>
              <w:rPr>
                <w:sz w:val="24"/>
              </w:rPr>
            </w:pPr>
            <w:r>
              <w:rPr>
                <w:spacing w:val="-4"/>
                <w:sz w:val="24"/>
              </w:rPr>
              <w:t>0.367</w:t>
            </w:r>
          </w:p>
        </w:tc>
        <w:tc>
          <w:tcPr>
            <w:tcW w:w="817" w:type="dxa"/>
          </w:tcPr>
          <w:p>
            <w:pPr>
              <w:pStyle w:val="TableParagraph"/>
              <w:spacing w:line="252" w:lineRule="exact"/>
              <w:ind w:left="107"/>
              <w:rPr>
                <w:sz w:val="24"/>
              </w:rPr>
            </w:pPr>
            <w:r>
              <w:rPr>
                <w:spacing w:val="-4"/>
                <w:sz w:val="24"/>
              </w:rPr>
              <w:t>0.502</w:t>
            </w:r>
          </w:p>
        </w:tc>
        <w:tc>
          <w:tcPr>
            <w:tcW w:w="818" w:type="dxa"/>
          </w:tcPr>
          <w:p>
            <w:pPr>
              <w:pStyle w:val="TableParagraph"/>
              <w:spacing w:line="252" w:lineRule="exact"/>
              <w:ind w:left="108"/>
              <w:rPr>
                <w:sz w:val="24"/>
              </w:rPr>
            </w:pPr>
            <w:r>
              <w:rPr>
                <w:spacing w:val="-4"/>
                <w:sz w:val="24"/>
              </w:rPr>
              <w:t>0.738</w:t>
            </w:r>
          </w:p>
        </w:tc>
        <w:tc>
          <w:tcPr>
            <w:tcW w:w="817" w:type="dxa"/>
          </w:tcPr>
          <w:p>
            <w:pPr>
              <w:pStyle w:val="TableParagraph"/>
              <w:spacing w:line="252" w:lineRule="exact"/>
              <w:ind w:left="108"/>
              <w:rPr>
                <w:sz w:val="24"/>
              </w:rPr>
            </w:pPr>
            <w:r>
              <w:rPr>
                <w:spacing w:val="-4"/>
                <w:sz w:val="24"/>
              </w:rPr>
              <w:t>0.477</w:t>
            </w:r>
          </w:p>
        </w:tc>
        <w:tc>
          <w:tcPr>
            <w:tcW w:w="937" w:type="dxa"/>
          </w:tcPr>
          <w:p>
            <w:pPr>
              <w:pStyle w:val="TableParagraph"/>
              <w:rPr>
                <w:rFonts w:ascii="Times New Roman"/>
                <w:sz w:val="20"/>
              </w:rPr>
            </w:pPr>
          </w:p>
        </w:tc>
      </w:tr>
    </w:tbl>
    <w:p>
      <w:pPr>
        <w:tabs>
          <w:tab w:pos="11353" w:val="left" w:leader="none"/>
        </w:tabs>
        <w:spacing w:before="0"/>
        <w:ind w:left="0" w:right="25" w:firstLine="0"/>
        <w:jc w:val="center"/>
        <w:rPr>
          <w:rFonts w:ascii="Arial"/>
          <w:b/>
          <w:sz w:val="24"/>
        </w:rPr>
      </w:pPr>
      <w:r>
        <w:rPr>
          <w:rFonts w:ascii="Arial"/>
          <w:b/>
          <w:spacing w:val="54"/>
          <w:sz w:val="24"/>
          <w:u w:val="single"/>
        </w:rPr>
        <w:t> </w:t>
      </w:r>
      <w:r>
        <w:rPr>
          <w:rFonts w:ascii="Arial"/>
          <w:b/>
          <w:spacing w:val="-2"/>
          <w:sz w:val="24"/>
          <w:u w:val="single"/>
        </w:rPr>
        <w:t>Strategy</w:t>
      </w:r>
      <w:r>
        <w:rPr>
          <w:rFonts w:ascii="Arial"/>
          <w:b/>
          <w:sz w:val="24"/>
          <w:u w:val="single"/>
        </w:rPr>
        <w:tab/>
      </w:r>
    </w:p>
    <w:p>
      <w:pPr>
        <w:spacing w:after="0"/>
        <w:jc w:val="center"/>
        <w:rPr>
          <w:rFonts w:ascii="Arial"/>
          <w:b/>
          <w:sz w:val="24"/>
        </w:rPr>
        <w:sectPr>
          <w:pgSz w:w="12240" w:h="15840"/>
          <w:pgMar w:top="1360" w:bottom="280" w:left="360" w:right="360"/>
        </w:sectPr>
      </w:pPr>
    </w:p>
    <w:p>
      <w:pPr>
        <w:pStyle w:val="BodyText"/>
        <w:spacing w:line="259" w:lineRule="auto" w:before="77"/>
        <w:ind w:right="1079"/>
        <w:jc w:val="both"/>
      </w:pPr>
      <w:r>
        <w:rPr/>
        <w:t>Table 4 presents the Variance Inflation Factor (VIF) values used to check the multicollinearity among the predictor variables. Following Hair</w:t>
      </w:r>
      <w:r>
        <w:rPr>
          <w:spacing w:val="40"/>
        </w:rPr>
        <w:t> </w:t>
      </w:r>
      <w:r>
        <w:rPr/>
        <w:t>and Alamer (2022), VIF values</w:t>
      </w:r>
      <w:r>
        <w:rPr>
          <w:spacing w:val="40"/>
        </w:rPr>
        <w:t> </w:t>
      </w:r>
      <w:r>
        <w:rPr/>
        <w:t>should fall below 3.3 to be considered</w:t>
      </w:r>
      <w:r>
        <w:rPr>
          <w:spacing w:val="40"/>
        </w:rPr>
        <w:t> </w:t>
      </w:r>
      <w:r>
        <w:rPr/>
        <w:t>sufficiently independent and do not introduce</w:t>
      </w:r>
      <w:r>
        <w:rPr>
          <w:spacing w:val="-3"/>
        </w:rPr>
        <w:t> </w:t>
      </w:r>
      <w:r>
        <w:rPr/>
        <w:t>redundancy.</w:t>
      </w:r>
      <w:r>
        <w:rPr>
          <w:spacing w:val="-4"/>
        </w:rPr>
        <w:t> </w:t>
      </w:r>
      <w:r>
        <w:rPr/>
        <w:t>In</w:t>
      </w:r>
      <w:r>
        <w:rPr>
          <w:spacing w:val="-4"/>
        </w:rPr>
        <w:t> </w:t>
      </w:r>
      <w:r>
        <w:rPr/>
        <w:t>this</w:t>
      </w:r>
      <w:r>
        <w:rPr>
          <w:spacing w:val="-3"/>
        </w:rPr>
        <w:t> </w:t>
      </w:r>
      <w:r>
        <w:rPr/>
        <w:t>study,</w:t>
      </w:r>
      <w:r>
        <w:rPr>
          <w:spacing w:val="-4"/>
        </w:rPr>
        <w:t> </w:t>
      </w:r>
      <w:r>
        <w:rPr/>
        <w:t>the</w:t>
      </w:r>
      <w:r>
        <w:rPr>
          <w:spacing w:val="-3"/>
        </w:rPr>
        <w:t> </w:t>
      </w:r>
      <w:r>
        <w:rPr/>
        <w:t>VIF</w:t>
      </w:r>
      <w:r>
        <w:rPr>
          <w:spacing w:val="-5"/>
        </w:rPr>
        <w:t> </w:t>
      </w:r>
      <w:r>
        <w:rPr/>
        <w:t>values</w:t>
      </w:r>
      <w:r>
        <w:rPr>
          <w:spacing w:val="-4"/>
        </w:rPr>
        <w:t> </w:t>
      </w:r>
      <w:r>
        <w:rPr/>
        <w:t>range</w:t>
      </w:r>
      <w:r>
        <w:rPr>
          <w:spacing w:val="-3"/>
        </w:rPr>
        <w:t> </w:t>
      </w:r>
      <w:r>
        <w:rPr/>
        <w:t>from</w:t>
      </w:r>
      <w:r>
        <w:rPr>
          <w:spacing w:val="-3"/>
        </w:rPr>
        <w:t> </w:t>
      </w:r>
      <w:r>
        <w:rPr/>
        <w:t>1.000</w:t>
      </w:r>
      <w:r>
        <w:rPr>
          <w:spacing w:val="-3"/>
        </w:rPr>
        <w:t> </w:t>
      </w:r>
      <w:r>
        <w:rPr/>
        <w:t>to</w:t>
      </w:r>
      <w:r>
        <w:rPr>
          <w:spacing w:val="-3"/>
        </w:rPr>
        <w:t> </w:t>
      </w:r>
      <w:r>
        <w:rPr/>
        <w:t>1.141,</w:t>
      </w:r>
      <w:r>
        <w:rPr>
          <w:spacing w:val="-5"/>
        </w:rPr>
        <w:t> </w:t>
      </w:r>
      <w:r>
        <w:rPr/>
        <w:t>indicating that the predictors do not pose any multicollinearity issues.</w:t>
      </w:r>
    </w:p>
    <w:p>
      <w:pPr>
        <w:pStyle w:val="BodyText"/>
        <w:spacing w:line="259" w:lineRule="auto" w:before="160"/>
        <w:ind w:right="1080"/>
        <w:jc w:val="both"/>
      </w:pPr>
      <w:r>
        <w:rPr/>
        <w:t>Most</w:t>
      </w:r>
      <w:r>
        <w:rPr>
          <w:spacing w:val="40"/>
        </w:rPr>
        <w:t> </w:t>
      </w:r>
      <w:r>
        <w:rPr/>
        <w:t>of the paths show a VIF of 1.000, suggesting complete independence among the predictors. The highest value recorded (1.141 for Achievement Goal → Writing Strategy and Grit → Writing Strategy) is still within the acceptable threshold. This means that multicollinearity is not a problem. Overall, the VIF results demonstrate that the model meets the assumptions of non-collinearity, supporting the claim that the model produce valid and interpretable estimates.</w:t>
      </w:r>
    </w:p>
    <w:p>
      <w:pPr>
        <w:pStyle w:val="BodyText"/>
        <w:spacing w:before="158"/>
        <w:ind w:left="0"/>
      </w:pPr>
    </w:p>
    <w:p>
      <w:pPr>
        <w:pStyle w:val="BodyText"/>
        <w:ind w:left="1112" w:right="1113"/>
        <w:jc w:val="center"/>
      </w:pPr>
      <w:r>
        <w:rPr/>
        <w:t>Table</w:t>
      </w:r>
      <w:r>
        <w:rPr>
          <w:spacing w:val="-4"/>
        </w:rPr>
        <w:t> </w:t>
      </w:r>
      <w:r>
        <w:rPr/>
        <w:t>4.</w:t>
      </w:r>
      <w:r>
        <w:rPr>
          <w:spacing w:val="-5"/>
        </w:rPr>
        <w:t> </w:t>
      </w:r>
      <w:r>
        <w:rPr/>
        <w:t>Variance</w:t>
      </w:r>
      <w:r>
        <w:rPr>
          <w:spacing w:val="-4"/>
        </w:rPr>
        <w:t> </w:t>
      </w:r>
      <w:r>
        <w:rPr/>
        <w:t>Inflation</w:t>
      </w:r>
      <w:r>
        <w:rPr>
          <w:spacing w:val="-4"/>
        </w:rPr>
        <w:t> </w:t>
      </w:r>
      <w:r>
        <w:rPr/>
        <w:t>Factor</w:t>
      </w:r>
      <w:r>
        <w:rPr>
          <w:spacing w:val="-3"/>
        </w:rPr>
        <w:t> </w:t>
      </w:r>
      <w:r>
        <w:rPr>
          <w:spacing w:val="-4"/>
        </w:rPr>
        <w:t>(VIF)</w:t>
      </w:r>
    </w:p>
    <w:p>
      <w:pPr>
        <w:pStyle w:val="BodyText"/>
        <w:spacing w:before="50"/>
        <w:ind w:left="0"/>
        <w:rPr>
          <w:sz w:val="20"/>
        </w:rPr>
      </w:pPr>
    </w:p>
    <w:tbl>
      <w:tblPr>
        <w:tblW w:w="0" w:type="auto"/>
        <w:jc w:val="left"/>
        <w:tblInd w:w="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20"/>
        <w:gridCol w:w="1631"/>
        <w:gridCol w:w="2430"/>
      </w:tblGrid>
      <w:tr>
        <w:trPr>
          <w:trHeight w:val="329" w:hRule="atLeast"/>
        </w:trPr>
        <w:tc>
          <w:tcPr>
            <w:tcW w:w="5120" w:type="dxa"/>
            <w:tcBorders>
              <w:top w:val="single" w:sz="4" w:space="0" w:color="000000"/>
            </w:tcBorders>
          </w:tcPr>
          <w:p>
            <w:pPr>
              <w:pStyle w:val="TableParagraph"/>
              <w:spacing w:line="269" w:lineRule="exact" w:before="41"/>
              <w:ind w:left="2389"/>
              <w:rPr>
                <w:rFonts w:ascii="Arial"/>
                <w:b/>
                <w:sz w:val="24"/>
              </w:rPr>
            </w:pPr>
            <w:r>
              <w:rPr>
                <w:rFonts w:ascii="Arial"/>
                <w:b/>
                <w:spacing w:val="-2"/>
                <w:sz w:val="24"/>
              </w:rPr>
              <w:t>Variables</w:t>
            </w:r>
          </w:p>
        </w:tc>
        <w:tc>
          <w:tcPr>
            <w:tcW w:w="1631" w:type="dxa"/>
            <w:tcBorders>
              <w:top w:val="single" w:sz="4" w:space="0" w:color="000000"/>
            </w:tcBorders>
          </w:tcPr>
          <w:p>
            <w:pPr>
              <w:pStyle w:val="TableParagraph"/>
              <w:spacing w:line="269" w:lineRule="exact" w:before="41"/>
              <w:ind w:left="993"/>
              <w:rPr>
                <w:rFonts w:ascii="Arial"/>
                <w:b/>
                <w:sz w:val="24"/>
              </w:rPr>
            </w:pPr>
            <w:r>
              <w:rPr>
                <w:rFonts w:ascii="Arial"/>
                <w:b/>
                <w:spacing w:val="-5"/>
                <w:sz w:val="24"/>
              </w:rPr>
              <w:t>VIF</w:t>
            </w:r>
          </w:p>
        </w:tc>
        <w:tc>
          <w:tcPr>
            <w:tcW w:w="2430" w:type="dxa"/>
            <w:tcBorders>
              <w:top w:val="single" w:sz="4" w:space="0" w:color="000000"/>
            </w:tcBorders>
          </w:tcPr>
          <w:p>
            <w:pPr>
              <w:pStyle w:val="TableParagraph"/>
              <w:spacing w:before="21"/>
              <w:ind w:left="442"/>
              <w:rPr>
                <w:rFonts w:ascii="Arial"/>
                <w:b/>
                <w:sz w:val="24"/>
              </w:rPr>
            </w:pPr>
            <w:r>
              <w:rPr>
                <w:rFonts w:ascii="Arial"/>
                <w:b/>
                <w:spacing w:val="-2"/>
                <w:sz w:val="24"/>
              </w:rPr>
              <w:t>Interpretation</w:t>
            </w:r>
          </w:p>
        </w:tc>
      </w:tr>
      <w:tr>
        <w:trPr>
          <w:trHeight w:val="315" w:hRule="atLeast"/>
        </w:trPr>
        <w:tc>
          <w:tcPr>
            <w:tcW w:w="5120" w:type="dxa"/>
          </w:tcPr>
          <w:p>
            <w:pPr>
              <w:pStyle w:val="TableParagraph"/>
              <w:spacing w:line="270" w:lineRule="exact" w:before="25"/>
              <w:ind w:left="107"/>
              <w:rPr>
                <w:rFonts w:ascii="Arial"/>
                <w:b/>
                <w:sz w:val="24"/>
              </w:rPr>
            </w:pPr>
            <w:r>
              <w:rPr>
                <w:rFonts w:ascii="Arial"/>
                <w:b/>
                <w:sz w:val="24"/>
              </w:rPr>
              <w:t>Achievement</w:t>
            </w:r>
            <w:r>
              <w:rPr>
                <w:rFonts w:ascii="Arial"/>
                <w:b/>
                <w:spacing w:val="-3"/>
                <w:sz w:val="24"/>
              </w:rPr>
              <w:t> </w:t>
            </w:r>
            <w:r>
              <w:rPr>
                <w:rFonts w:ascii="Arial"/>
                <w:b/>
                <w:sz w:val="24"/>
              </w:rPr>
              <w:t>Goal</w:t>
            </w:r>
            <w:r>
              <w:rPr>
                <w:rFonts w:ascii="Arial"/>
                <w:b/>
                <w:spacing w:val="-3"/>
                <w:sz w:val="24"/>
              </w:rPr>
              <w:t> </w:t>
            </w:r>
            <w:r>
              <w:rPr>
                <w:rFonts w:ascii="Arial"/>
                <w:b/>
                <w:sz w:val="24"/>
              </w:rPr>
              <w:t>-&gt;</w:t>
            </w:r>
            <w:r>
              <w:rPr>
                <w:rFonts w:ascii="Arial"/>
                <w:b/>
                <w:spacing w:val="-3"/>
                <w:sz w:val="24"/>
              </w:rPr>
              <w:t> </w:t>
            </w:r>
            <w:r>
              <w:rPr>
                <w:rFonts w:ascii="Arial"/>
                <w:b/>
                <w:spacing w:val="-4"/>
                <w:sz w:val="24"/>
              </w:rPr>
              <w:t>Grit</w:t>
            </w:r>
          </w:p>
        </w:tc>
        <w:tc>
          <w:tcPr>
            <w:tcW w:w="1631" w:type="dxa"/>
          </w:tcPr>
          <w:p>
            <w:pPr>
              <w:pStyle w:val="TableParagraph"/>
              <w:spacing w:line="270" w:lineRule="exact" w:before="25"/>
              <w:ind w:right="104"/>
              <w:jc w:val="right"/>
              <w:rPr>
                <w:sz w:val="24"/>
              </w:rPr>
            </w:pPr>
            <w:r>
              <w:rPr>
                <w:spacing w:val="-4"/>
                <w:sz w:val="24"/>
              </w:rPr>
              <w:t>1.000</w:t>
            </w:r>
          </w:p>
        </w:tc>
        <w:tc>
          <w:tcPr>
            <w:tcW w:w="2430" w:type="dxa"/>
          </w:tcPr>
          <w:p>
            <w:pPr>
              <w:pStyle w:val="TableParagraph"/>
              <w:spacing w:before="5"/>
              <w:ind w:left="108"/>
              <w:rPr>
                <w:sz w:val="24"/>
              </w:rPr>
            </w:pPr>
            <w:r>
              <w:rPr>
                <w:sz w:val="24"/>
              </w:rPr>
              <w:t>No</w:t>
            </w:r>
            <w:r>
              <w:rPr>
                <w:spacing w:val="-1"/>
                <w:sz w:val="24"/>
              </w:rPr>
              <w:t> </w:t>
            </w:r>
            <w:r>
              <w:rPr>
                <w:spacing w:val="-2"/>
                <w:sz w:val="24"/>
              </w:rPr>
              <w:t>multicollinearity</w:t>
            </w:r>
          </w:p>
        </w:tc>
      </w:tr>
      <w:tr>
        <w:trPr>
          <w:trHeight w:val="302" w:hRule="atLeast"/>
        </w:trPr>
        <w:tc>
          <w:tcPr>
            <w:tcW w:w="5120" w:type="dxa"/>
          </w:tcPr>
          <w:p>
            <w:pPr>
              <w:pStyle w:val="TableParagraph"/>
              <w:spacing w:line="256" w:lineRule="exact" w:before="26"/>
              <w:ind w:left="107"/>
              <w:rPr>
                <w:rFonts w:ascii="Arial"/>
                <w:b/>
                <w:sz w:val="24"/>
              </w:rPr>
            </w:pPr>
            <w:r>
              <w:rPr>
                <w:rFonts w:ascii="Arial"/>
                <w:b/>
                <w:sz w:val="24"/>
              </w:rPr>
              <w:t>Achievement</w:t>
            </w:r>
            <w:r>
              <w:rPr>
                <w:rFonts w:ascii="Arial"/>
                <w:b/>
                <w:spacing w:val="-4"/>
                <w:sz w:val="24"/>
              </w:rPr>
              <w:t> </w:t>
            </w:r>
            <w:r>
              <w:rPr>
                <w:rFonts w:ascii="Arial"/>
                <w:b/>
                <w:sz w:val="24"/>
              </w:rPr>
              <w:t>Goal</w:t>
            </w:r>
            <w:r>
              <w:rPr>
                <w:rFonts w:ascii="Arial"/>
                <w:b/>
                <w:spacing w:val="-3"/>
                <w:sz w:val="24"/>
              </w:rPr>
              <w:t> </w:t>
            </w:r>
            <w:r>
              <w:rPr>
                <w:rFonts w:ascii="Arial"/>
                <w:b/>
                <w:sz w:val="24"/>
              </w:rPr>
              <w:t>-&gt;</w:t>
            </w:r>
            <w:r>
              <w:rPr>
                <w:rFonts w:ascii="Arial"/>
                <w:b/>
                <w:spacing w:val="-3"/>
                <w:sz w:val="24"/>
              </w:rPr>
              <w:t> </w:t>
            </w:r>
            <w:r>
              <w:rPr>
                <w:rFonts w:ascii="Arial"/>
                <w:b/>
                <w:sz w:val="24"/>
              </w:rPr>
              <w:t>Mastery</w:t>
            </w:r>
            <w:r>
              <w:rPr>
                <w:rFonts w:ascii="Arial"/>
                <w:b/>
                <w:spacing w:val="-2"/>
                <w:sz w:val="24"/>
              </w:rPr>
              <w:t> </w:t>
            </w:r>
            <w:r>
              <w:rPr>
                <w:rFonts w:ascii="Arial"/>
                <w:b/>
                <w:spacing w:val="-4"/>
                <w:sz w:val="24"/>
              </w:rPr>
              <w:t>Goals</w:t>
            </w:r>
          </w:p>
        </w:tc>
        <w:tc>
          <w:tcPr>
            <w:tcW w:w="1631" w:type="dxa"/>
          </w:tcPr>
          <w:p>
            <w:pPr>
              <w:pStyle w:val="TableParagraph"/>
              <w:spacing w:line="256" w:lineRule="exact" w:before="26"/>
              <w:ind w:right="104"/>
              <w:jc w:val="right"/>
              <w:rPr>
                <w:sz w:val="24"/>
              </w:rPr>
            </w:pPr>
            <w:r>
              <w:rPr>
                <w:spacing w:val="-4"/>
                <w:sz w:val="24"/>
              </w:rPr>
              <w:t>1.000</w:t>
            </w:r>
          </w:p>
        </w:tc>
        <w:tc>
          <w:tcPr>
            <w:tcW w:w="2430" w:type="dxa"/>
          </w:tcPr>
          <w:p>
            <w:pPr>
              <w:pStyle w:val="TableParagraph"/>
              <w:spacing w:before="6"/>
              <w:ind w:left="108"/>
              <w:rPr>
                <w:sz w:val="24"/>
              </w:rPr>
            </w:pPr>
            <w:r>
              <w:rPr>
                <w:sz w:val="24"/>
              </w:rPr>
              <w:t>No</w:t>
            </w:r>
            <w:r>
              <w:rPr>
                <w:spacing w:val="-1"/>
                <w:sz w:val="24"/>
              </w:rPr>
              <w:t> </w:t>
            </w:r>
            <w:r>
              <w:rPr>
                <w:spacing w:val="-2"/>
                <w:sz w:val="24"/>
              </w:rPr>
              <w:t>multicollinearity</w:t>
            </w:r>
          </w:p>
        </w:tc>
      </w:tr>
    </w:tbl>
    <w:p>
      <w:pPr>
        <w:pStyle w:val="TableParagraph"/>
        <w:spacing w:after="0"/>
        <w:rPr>
          <w:sz w:val="24"/>
        </w:rPr>
        <w:sectPr>
          <w:pgSz w:w="12240" w:h="15840"/>
          <w:pgMar w:top="1640" w:bottom="280" w:left="360" w:right="360"/>
        </w:sectPr>
      </w:pPr>
    </w:p>
    <w:p>
      <w:pPr>
        <w:pStyle w:val="Heading1"/>
        <w:spacing w:line="270" w:lineRule="exact"/>
        <w:ind w:left="1368"/>
      </w:pPr>
      <w:r>
        <w:rPr/>
        <w:t>Achievement</w:t>
      </w:r>
      <w:r>
        <w:rPr>
          <w:spacing w:val="-5"/>
        </w:rPr>
        <w:t> </w:t>
      </w:r>
      <w:r>
        <w:rPr/>
        <w:t>Goal</w:t>
      </w:r>
      <w:r>
        <w:rPr>
          <w:spacing w:val="-4"/>
        </w:rPr>
        <w:t> </w:t>
      </w:r>
      <w:r>
        <w:rPr/>
        <w:t>-&gt;</w:t>
      </w:r>
      <w:r>
        <w:rPr>
          <w:spacing w:val="-4"/>
        </w:rPr>
        <w:t> </w:t>
      </w:r>
      <w:r>
        <w:rPr/>
        <w:t>Performance</w:t>
      </w:r>
      <w:r>
        <w:rPr>
          <w:spacing w:val="-2"/>
        </w:rPr>
        <w:t> Approach</w:t>
      </w:r>
    </w:p>
    <w:p>
      <w:pPr>
        <w:tabs>
          <w:tab w:pos="7303" w:val="left" w:leader="none"/>
        </w:tabs>
        <w:spacing w:before="0"/>
        <w:ind w:left="1368" w:right="0" w:firstLine="0"/>
        <w:jc w:val="left"/>
        <w:rPr>
          <w:sz w:val="24"/>
        </w:rPr>
      </w:pPr>
      <w:r>
        <w:rPr>
          <w:rFonts w:ascii="Arial"/>
          <w:b/>
          <w:spacing w:val="-2"/>
          <w:sz w:val="24"/>
        </w:rPr>
        <w:t>Goals</w:t>
      </w:r>
      <w:r>
        <w:rPr>
          <w:rFonts w:ascii="Arial"/>
          <w:b/>
          <w:sz w:val="24"/>
        </w:rPr>
        <w:tab/>
      </w:r>
      <w:r>
        <w:rPr>
          <w:spacing w:val="-2"/>
          <w:sz w:val="24"/>
        </w:rPr>
        <w:t>1.000</w:t>
      </w:r>
    </w:p>
    <w:p>
      <w:pPr>
        <w:pStyle w:val="BodyText"/>
        <w:spacing w:before="132"/>
        <w:ind w:left="174"/>
      </w:pPr>
      <w:r>
        <w:rPr/>
        <w:br w:type="column"/>
      </w:r>
      <w:r>
        <w:rPr/>
        <w:t>No</w:t>
      </w:r>
      <w:r>
        <w:rPr>
          <w:spacing w:val="-1"/>
        </w:rPr>
        <w:t> </w:t>
      </w:r>
      <w:r>
        <w:rPr>
          <w:spacing w:val="-2"/>
        </w:rPr>
        <w:t>multicollinearity</w:t>
      </w:r>
    </w:p>
    <w:p>
      <w:pPr>
        <w:pStyle w:val="BodyText"/>
        <w:spacing w:after="0"/>
        <w:sectPr>
          <w:type w:val="continuous"/>
          <w:pgSz w:w="12240" w:h="15840"/>
          <w:pgMar w:top="1360" w:bottom="280" w:left="360" w:right="360"/>
          <w:cols w:num="2" w:equalWidth="0">
            <w:col w:w="7905" w:space="40"/>
            <w:col w:w="3575"/>
          </w:cols>
        </w:sectPr>
      </w:pPr>
    </w:p>
    <w:tbl>
      <w:tblPr>
        <w:tblW w:w="0" w:type="auto"/>
        <w:jc w:val="left"/>
        <w:tblInd w:w="1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87"/>
        <w:gridCol w:w="1079"/>
        <w:gridCol w:w="2430"/>
      </w:tblGrid>
      <w:tr>
        <w:trPr>
          <w:trHeight w:val="558" w:hRule="atLeast"/>
        </w:trPr>
        <w:tc>
          <w:tcPr>
            <w:tcW w:w="5687" w:type="dxa"/>
          </w:tcPr>
          <w:p>
            <w:pPr>
              <w:pStyle w:val="TableParagraph"/>
              <w:spacing w:line="268" w:lineRule="exact"/>
              <w:ind w:left="121"/>
              <w:rPr>
                <w:rFonts w:ascii="Arial"/>
                <w:b/>
                <w:sz w:val="24"/>
              </w:rPr>
            </w:pPr>
            <w:r>
              <w:rPr>
                <w:rFonts w:ascii="Arial"/>
                <w:b/>
                <w:sz w:val="24"/>
              </w:rPr>
              <w:t>Achievement</w:t>
            </w:r>
            <w:r>
              <w:rPr>
                <w:rFonts w:ascii="Arial"/>
                <w:b/>
                <w:spacing w:val="-5"/>
                <w:sz w:val="24"/>
              </w:rPr>
              <w:t> </w:t>
            </w:r>
            <w:r>
              <w:rPr>
                <w:rFonts w:ascii="Arial"/>
                <w:b/>
                <w:sz w:val="24"/>
              </w:rPr>
              <w:t>Goal</w:t>
            </w:r>
            <w:r>
              <w:rPr>
                <w:rFonts w:ascii="Arial"/>
                <w:b/>
                <w:spacing w:val="-4"/>
                <w:sz w:val="24"/>
              </w:rPr>
              <w:t> </w:t>
            </w:r>
            <w:r>
              <w:rPr>
                <w:rFonts w:ascii="Arial"/>
                <w:b/>
                <w:sz w:val="24"/>
              </w:rPr>
              <w:t>-&gt;</w:t>
            </w:r>
            <w:r>
              <w:rPr>
                <w:rFonts w:ascii="Arial"/>
                <w:b/>
                <w:spacing w:val="-4"/>
                <w:sz w:val="24"/>
              </w:rPr>
              <w:t> </w:t>
            </w:r>
            <w:r>
              <w:rPr>
                <w:rFonts w:ascii="Arial"/>
                <w:b/>
                <w:sz w:val="24"/>
              </w:rPr>
              <w:t>Performance</w:t>
            </w:r>
            <w:r>
              <w:rPr>
                <w:rFonts w:ascii="Arial"/>
                <w:b/>
                <w:spacing w:val="-3"/>
                <w:sz w:val="24"/>
              </w:rPr>
              <w:t> </w:t>
            </w:r>
            <w:r>
              <w:rPr>
                <w:rFonts w:ascii="Arial"/>
                <w:b/>
                <w:spacing w:val="-2"/>
                <w:sz w:val="24"/>
              </w:rPr>
              <w:t>Avoidance</w:t>
            </w:r>
          </w:p>
          <w:p>
            <w:pPr>
              <w:pStyle w:val="TableParagraph"/>
              <w:spacing w:line="270" w:lineRule="exact"/>
              <w:ind w:left="121"/>
              <w:rPr>
                <w:rFonts w:ascii="Arial"/>
                <w:b/>
                <w:sz w:val="24"/>
              </w:rPr>
            </w:pPr>
            <w:r>
              <w:rPr>
                <w:rFonts w:ascii="Arial"/>
                <w:b/>
                <w:spacing w:val="-2"/>
                <w:sz w:val="24"/>
              </w:rPr>
              <w:t>Goals</w:t>
            </w:r>
          </w:p>
        </w:tc>
        <w:tc>
          <w:tcPr>
            <w:tcW w:w="1079" w:type="dxa"/>
          </w:tcPr>
          <w:p>
            <w:pPr>
              <w:pStyle w:val="TableParagraph"/>
              <w:spacing w:line="270" w:lineRule="exact" w:before="268"/>
              <w:ind w:right="105"/>
              <w:jc w:val="right"/>
              <w:rPr>
                <w:sz w:val="24"/>
              </w:rPr>
            </w:pPr>
            <w:r>
              <w:rPr>
                <w:spacing w:val="-4"/>
                <w:sz w:val="24"/>
              </w:rPr>
              <w:t>1.000</w:t>
            </w:r>
          </w:p>
        </w:tc>
        <w:tc>
          <w:tcPr>
            <w:tcW w:w="2430" w:type="dxa"/>
          </w:tcPr>
          <w:p>
            <w:pPr>
              <w:pStyle w:val="TableParagraph"/>
              <w:spacing w:before="130"/>
              <w:ind w:left="107"/>
              <w:rPr>
                <w:sz w:val="24"/>
              </w:rPr>
            </w:pPr>
            <w:r>
              <w:rPr>
                <w:sz w:val="24"/>
              </w:rPr>
              <w:t>No</w:t>
            </w:r>
            <w:r>
              <w:rPr>
                <w:spacing w:val="-1"/>
                <w:sz w:val="24"/>
              </w:rPr>
              <w:t> </w:t>
            </w:r>
            <w:r>
              <w:rPr>
                <w:spacing w:val="-2"/>
                <w:sz w:val="24"/>
              </w:rPr>
              <w:t>multicollinearity</w:t>
            </w:r>
          </w:p>
        </w:tc>
      </w:tr>
      <w:tr>
        <w:trPr>
          <w:trHeight w:val="315" w:hRule="atLeast"/>
        </w:trPr>
        <w:tc>
          <w:tcPr>
            <w:tcW w:w="5687" w:type="dxa"/>
          </w:tcPr>
          <w:p>
            <w:pPr>
              <w:pStyle w:val="TableParagraph"/>
              <w:spacing w:line="270" w:lineRule="exact" w:before="26"/>
              <w:ind w:left="121"/>
              <w:rPr>
                <w:rFonts w:ascii="Arial"/>
                <w:b/>
                <w:sz w:val="24"/>
              </w:rPr>
            </w:pPr>
            <w:r>
              <w:rPr>
                <w:rFonts w:ascii="Arial"/>
                <w:b/>
                <w:sz w:val="24"/>
              </w:rPr>
              <w:t>Achievement</w:t>
            </w:r>
            <w:r>
              <w:rPr>
                <w:rFonts w:ascii="Arial"/>
                <w:b/>
                <w:spacing w:val="-3"/>
                <w:sz w:val="24"/>
              </w:rPr>
              <w:t> </w:t>
            </w:r>
            <w:r>
              <w:rPr>
                <w:rFonts w:ascii="Arial"/>
                <w:b/>
                <w:sz w:val="24"/>
              </w:rPr>
              <w:t>Goal</w:t>
            </w:r>
            <w:r>
              <w:rPr>
                <w:rFonts w:ascii="Arial"/>
                <w:b/>
                <w:spacing w:val="-3"/>
                <w:sz w:val="24"/>
              </w:rPr>
              <w:t> </w:t>
            </w:r>
            <w:r>
              <w:rPr>
                <w:rFonts w:ascii="Arial"/>
                <w:b/>
                <w:sz w:val="24"/>
              </w:rPr>
              <w:t>-&gt;</w:t>
            </w:r>
            <w:r>
              <w:rPr>
                <w:rFonts w:ascii="Arial"/>
                <w:b/>
                <w:spacing w:val="-3"/>
                <w:sz w:val="24"/>
              </w:rPr>
              <w:t> </w:t>
            </w:r>
            <w:r>
              <w:rPr>
                <w:rFonts w:ascii="Arial"/>
                <w:b/>
                <w:sz w:val="24"/>
              </w:rPr>
              <w:t>Writing </w:t>
            </w:r>
            <w:r>
              <w:rPr>
                <w:rFonts w:ascii="Arial"/>
                <w:b/>
                <w:spacing w:val="-2"/>
                <w:sz w:val="24"/>
              </w:rPr>
              <w:t>Strategy</w:t>
            </w:r>
          </w:p>
        </w:tc>
        <w:tc>
          <w:tcPr>
            <w:tcW w:w="1079" w:type="dxa"/>
          </w:tcPr>
          <w:p>
            <w:pPr>
              <w:pStyle w:val="TableParagraph"/>
              <w:spacing w:line="270" w:lineRule="exact" w:before="26"/>
              <w:ind w:right="105"/>
              <w:jc w:val="right"/>
              <w:rPr>
                <w:sz w:val="24"/>
              </w:rPr>
            </w:pPr>
            <w:r>
              <w:rPr>
                <w:spacing w:val="-4"/>
                <w:sz w:val="24"/>
              </w:rPr>
              <w:t>1.141</w:t>
            </w:r>
          </w:p>
        </w:tc>
        <w:tc>
          <w:tcPr>
            <w:tcW w:w="2430" w:type="dxa"/>
          </w:tcPr>
          <w:p>
            <w:pPr>
              <w:pStyle w:val="TableParagraph"/>
              <w:spacing w:before="6"/>
              <w:ind w:left="107"/>
              <w:rPr>
                <w:sz w:val="24"/>
              </w:rPr>
            </w:pPr>
            <w:r>
              <w:rPr>
                <w:sz w:val="24"/>
              </w:rPr>
              <w:t>No</w:t>
            </w:r>
            <w:r>
              <w:rPr>
                <w:spacing w:val="-1"/>
                <w:sz w:val="24"/>
              </w:rPr>
              <w:t> </w:t>
            </w:r>
            <w:r>
              <w:rPr>
                <w:spacing w:val="-2"/>
                <w:sz w:val="24"/>
              </w:rPr>
              <w:t>multicollinearity</w:t>
            </w:r>
          </w:p>
        </w:tc>
      </w:tr>
      <w:tr>
        <w:trPr>
          <w:trHeight w:val="314" w:hRule="atLeast"/>
        </w:trPr>
        <w:tc>
          <w:tcPr>
            <w:tcW w:w="5687" w:type="dxa"/>
          </w:tcPr>
          <w:p>
            <w:pPr>
              <w:pStyle w:val="TableParagraph"/>
              <w:spacing w:line="270" w:lineRule="exact" w:before="24"/>
              <w:ind w:left="121"/>
              <w:rPr>
                <w:rFonts w:ascii="Arial"/>
                <w:b/>
                <w:sz w:val="24"/>
              </w:rPr>
            </w:pPr>
            <w:r>
              <w:rPr>
                <w:rFonts w:ascii="Arial"/>
                <w:b/>
                <w:sz w:val="24"/>
              </w:rPr>
              <w:t>Grit</w:t>
            </w:r>
            <w:r>
              <w:rPr>
                <w:rFonts w:ascii="Arial"/>
                <w:b/>
                <w:spacing w:val="-6"/>
                <w:sz w:val="24"/>
              </w:rPr>
              <w:t> </w:t>
            </w:r>
            <w:r>
              <w:rPr>
                <w:rFonts w:ascii="Arial"/>
                <w:b/>
                <w:sz w:val="24"/>
              </w:rPr>
              <w:t>-&gt;</w:t>
            </w:r>
            <w:r>
              <w:rPr>
                <w:rFonts w:ascii="Arial"/>
                <w:b/>
                <w:spacing w:val="-3"/>
                <w:sz w:val="24"/>
              </w:rPr>
              <w:t> </w:t>
            </w:r>
            <w:r>
              <w:rPr>
                <w:rFonts w:ascii="Arial"/>
                <w:b/>
                <w:sz w:val="24"/>
              </w:rPr>
              <w:t>Consistency</w:t>
            </w:r>
            <w:r>
              <w:rPr>
                <w:rFonts w:ascii="Arial"/>
                <w:b/>
                <w:spacing w:val="-2"/>
                <w:sz w:val="24"/>
              </w:rPr>
              <w:t> </w:t>
            </w:r>
            <w:r>
              <w:rPr>
                <w:rFonts w:ascii="Arial"/>
                <w:b/>
                <w:sz w:val="24"/>
              </w:rPr>
              <w:t>of</w:t>
            </w:r>
            <w:r>
              <w:rPr>
                <w:rFonts w:ascii="Arial"/>
                <w:b/>
                <w:spacing w:val="-2"/>
                <w:sz w:val="24"/>
              </w:rPr>
              <w:t> Interest</w:t>
            </w:r>
          </w:p>
        </w:tc>
        <w:tc>
          <w:tcPr>
            <w:tcW w:w="1079" w:type="dxa"/>
          </w:tcPr>
          <w:p>
            <w:pPr>
              <w:pStyle w:val="TableParagraph"/>
              <w:spacing w:line="270" w:lineRule="exact" w:before="24"/>
              <w:ind w:right="105"/>
              <w:jc w:val="right"/>
              <w:rPr>
                <w:sz w:val="24"/>
              </w:rPr>
            </w:pPr>
            <w:r>
              <w:rPr>
                <w:spacing w:val="-4"/>
                <w:sz w:val="24"/>
              </w:rPr>
              <w:t>1.000</w:t>
            </w:r>
          </w:p>
        </w:tc>
        <w:tc>
          <w:tcPr>
            <w:tcW w:w="2430" w:type="dxa"/>
          </w:tcPr>
          <w:p>
            <w:pPr>
              <w:pStyle w:val="TableParagraph"/>
              <w:spacing w:before="6"/>
              <w:ind w:left="107"/>
              <w:rPr>
                <w:sz w:val="24"/>
              </w:rPr>
            </w:pPr>
            <w:r>
              <w:rPr>
                <w:sz w:val="24"/>
              </w:rPr>
              <w:t>No</w:t>
            </w:r>
            <w:r>
              <w:rPr>
                <w:spacing w:val="-1"/>
                <w:sz w:val="24"/>
              </w:rPr>
              <w:t> </w:t>
            </w:r>
            <w:r>
              <w:rPr>
                <w:spacing w:val="-2"/>
                <w:sz w:val="24"/>
              </w:rPr>
              <w:t>multicollinearity</w:t>
            </w:r>
          </w:p>
        </w:tc>
      </w:tr>
      <w:tr>
        <w:trPr>
          <w:trHeight w:val="315" w:hRule="atLeast"/>
        </w:trPr>
        <w:tc>
          <w:tcPr>
            <w:tcW w:w="5687" w:type="dxa"/>
          </w:tcPr>
          <w:p>
            <w:pPr>
              <w:pStyle w:val="TableParagraph"/>
              <w:spacing w:line="270" w:lineRule="exact" w:before="26"/>
              <w:ind w:left="121"/>
              <w:rPr>
                <w:rFonts w:ascii="Arial"/>
                <w:b/>
                <w:sz w:val="24"/>
              </w:rPr>
            </w:pPr>
            <w:r>
              <w:rPr>
                <w:rFonts w:ascii="Arial"/>
                <w:b/>
                <w:sz w:val="24"/>
              </w:rPr>
              <w:t>Grit</w:t>
            </w:r>
            <w:r>
              <w:rPr>
                <w:rFonts w:ascii="Arial"/>
                <w:b/>
                <w:spacing w:val="-4"/>
                <w:sz w:val="24"/>
              </w:rPr>
              <w:t> </w:t>
            </w:r>
            <w:r>
              <w:rPr>
                <w:rFonts w:ascii="Arial"/>
                <w:b/>
                <w:sz w:val="24"/>
              </w:rPr>
              <w:t>-&gt;</w:t>
            </w:r>
            <w:r>
              <w:rPr>
                <w:rFonts w:ascii="Arial"/>
                <w:b/>
                <w:spacing w:val="-3"/>
                <w:sz w:val="24"/>
              </w:rPr>
              <w:t> </w:t>
            </w:r>
            <w:r>
              <w:rPr>
                <w:rFonts w:ascii="Arial"/>
                <w:b/>
                <w:sz w:val="24"/>
              </w:rPr>
              <w:t>Perseverance</w:t>
            </w:r>
            <w:r>
              <w:rPr>
                <w:rFonts w:ascii="Arial"/>
                <w:b/>
                <w:spacing w:val="-3"/>
                <w:sz w:val="24"/>
              </w:rPr>
              <w:t> </w:t>
            </w:r>
            <w:r>
              <w:rPr>
                <w:rFonts w:ascii="Arial"/>
                <w:b/>
                <w:sz w:val="24"/>
              </w:rPr>
              <w:t>of</w:t>
            </w:r>
            <w:r>
              <w:rPr>
                <w:rFonts w:ascii="Arial"/>
                <w:b/>
                <w:spacing w:val="-2"/>
                <w:sz w:val="24"/>
              </w:rPr>
              <w:t> Effort</w:t>
            </w:r>
          </w:p>
        </w:tc>
        <w:tc>
          <w:tcPr>
            <w:tcW w:w="1079" w:type="dxa"/>
          </w:tcPr>
          <w:p>
            <w:pPr>
              <w:pStyle w:val="TableParagraph"/>
              <w:spacing w:line="270" w:lineRule="exact" w:before="26"/>
              <w:ind w:right="105"/>
              <w:jc w:val="right"/>
              <w:rPr>
                <w:sz w:val="24"/>
              </w:rPr>
            </w:pPr>
            <w:r>
              <w:rPr>
                <w:spacing w:val="-4"/>
                <w:sz w:val="24"/>
              </w:rPr>
              <w:t>1.000</w:t>
            </w:r>
          </w:p>
        </w:tc>
        <w:tc>
          <w:tcPr>
            <w:tcW w:w="2430" w:type="dxa"/>
          </w:tcPr>
          <w:p>
            <w:pPr>
              <w:pStyle w:val="TableParagraph"/>
              <w:spacing w:before="6"/>
              <w:ind w:left="107"/>
              <w:rPr>
                <w:sz w:val="24"/>
              </w:rPr>
            </w:pPr>
            <w:r>
              <w:rPr>
                <w:sz w:val="24"/>
              </w:rPr>
              <w:t>No</w:t>
            </w:r>
            <w:r>
              <w:rPr>
                <w:spacing w:val="-1"/>
                <w:sz w:val="24"/>
              </w:rPr>
              <w:t> </w:t>
            </w:r>
            <w:r>
              <w:rPr>
                <w:spacing w:val="-2"/>
                <w:sz w:val="24"/>
              </w:rPr>
              <w:t>multicollinearity</w:t>
            </w:r>
          </w:p>
        </w:tc>
      </w:tr>
      <w:tr>
        <w:trPr>
          <w:trHeight w:val="314" w:hRule="atLeast"/>
        </w:trPr>
        <w:tc>
          <w:tcPr>
            <w:tcW w:w="5687" w:type="dxa"/>
          </w:tcPr>
          <w:p>
            <w:pPr>
              <w:pStyle w:val="TableParagraph"/>
              <w:spacing w:line="270" w:lineRule="exact" w:before="24"/>
              <w:ind w:left="121"/>
              <w:rPr>
                <w:rFonts w:ascii="Arial"/>
                <w:b/>
                <w:sz w:val="24"/>
              </w:rPr>
            </w:pPr>
            <w:r>
              <w:rPr>
                <w:rFonts w:ascii="Arial"/>
                <w:b/>
                <w:sz w:val="24"/>
              </w:rPr>
              <w:t>Grit</w:t>
            </w:r>
            <w:r>
              <w:rPr>
                <w:rFonts w:ascii="Arial"/>
                <w:b/>
                <w:spacing w:val="-2"/>
                <w:sz w:val="24"/>
              </w:rPr>
              <w:t> </w:t>
            </w:r>
            <w:r>
              <w:rPr>
                <w:rFonts w:ascii="Arial"/>
                <w:b/>
                <w:sz w:val="24"/>
              </w:rPr>
              <w:t>-&gt;</w:t>
            </w:r>
            <w:r>
              <w:rPr>
                <w:rFonts w:ascii="Arial"/>
                <w:b/>
                <w:spacing w:val="-2"/>
                <w:sz w:val="24"/>
              </w:rPr>
              <w:t> </w:t>
            </w:r>
            <w:r>
              <w:rPr>
                <w:rFonts w:ascii="Arial"/>
                <w:b/>
                <w:sz w:val="24"/>
              </w:rPr>
              <w:t>Writing</w:t>
            </w:r>
            <w:r>
              <w:rPr>
                <w:rFonts w:ascii="Arial"/>
                <w:b/>
                <w:spacing w:val="1"/>
                <w:sz w:val="24"/>
              </w:rPr>
              <w:t> </w:t>
            </w:r>
            <w:r>
              <w:rPr>
                <w:rFonts w:ascii="Arial"/>
                <w:b/>
                <w:spacing w:val="-2"/>
                <w:sz w:val="24"/>
              </w:rPr>
              <w:t>Strategy</w:t>
            </w:r>
          </w:p>
        </w:tc>
        <w:tc>
          <w:tcPr>
            <w:tcW w:w="1079" w:type="dxa"/>
          </w:tcPr>
          <w:p>
            <w:pPr>
              <w:pStyle w:val="TableParagraph"/>
              <w:spacing w:line="270" w:lineRule="exact" w:before="24"/>
              <w:ind w:right="105"/>
              <w:jc w:val="right"/>
              <w:rPr>
                <w:sz w:val="24"/>
              </w:rPr>
            </w:pPr>
            <w:r>
              <w:rPr>
                <w:spacing w:val="-4"/>
                <w:sz w:val="24"/>
              </w:rPr>
              <w:t>1.141</w:t>
            </w:r>
          </w:p>
        </w:tc>
        <w:tc>
          <w:tcPr>
            <w:tcW w:w="2430" w:type="dxa"/>
          </w:tcPr>
          <w:p>
            <w:pPr>
              <w:pStyle w:val="TableParagraph"/>
              <w:spacing w:before="6"/>
              <w:ind w:left="107"/>
              <w:rPr>
                <w:sz w:val="24"/>
              </w:rPr>
            </w:pPr>
            <w:r>
              <w:rPr>
                <w:sz w:val="24"/>
              </w:rPr>
              <w:t>No</w:t>
            </w:r>
            <w:r>
              <w:rPr>
                <w:spacing w:val="-1"/>
                <w:sz w:val="24"/>
              </w:rPr>
              <w:t> </w:t>
            </w:r>
            <w:r>
              <w:rPr>
                <w:spacing w:val="-2"/>
                <w:sz w:val="24"/>
              </w:rPr>
              <w:t>multicollinearity</w:t>
            </w:r>
          </w:p>
        </w:tc>
      </w:tr>
      <w:tr>
        <w:trPr>
          <w:trHeight w:val="316" w:hRule="atLeast"/>
        </w:trPr>
        <w:tc>
          <w:tcPr>
            <w:tcW w:w="5687" w:type="dxa"/>
          </w:tcPr>
          <w:p>
            <w:pPr>
              <w:pStyle w:val="TableParagraph"/>
              <w:spacing w:line="270" w:lineRule="exact" w:before="26"/>
              <w:ind w:left="121"/>
              <w:rPr>
                <w:rFonts w:ascii="Arial"/>
                <w:b/>
                <w:sz w:val="24"/>
              </w:rPr>
            </w:pPr>
            <w:r>
              <w:rPr>
                <w:rFonts w:ascii="Arial"/>
                <w:b/>
                <w:sz w:val="24"/>
              </w:rPr>
              <w:t>Writing</w:t>
            </w:r>
            <w:r>
              <w:rPr>
                <w:rFonts w:ascii="Arial"/>
                <w:b/>
                <w:spacing w:val="-3"/>
                <w:sz w:val="24"/>
              </w:rPr>
              <w:t> </w:t>
            </w:r>
            <w:r>
              <w:rPr>
                <w:rFonts w:ascii="Arial"/>
                <w:b/>
                <w:sz w:val="24"/>
              </w:rPr>
              <w:t>Strategy</w:t>
            </w:r>
            <w:r>
              <w:rPr>
                <w:rFonts w:ascii="Arial"/>
                <w:b/>
                <w:spacing w:val="-3"/>
                <w:sz w:val="24"/>
              </w:rPr>
              <w:t> </w:t>
            </w:r>
            <w:r>
              <w:rPr>
                <w:rFonts w:ascii="Arial"/>
                <w:b/>
                <w:sz w:val="24"/>
              </w:rPr>
              <w:t>-&gt;</w:t>
            </w:r>
            <w:r>
              <w:rPr>
                <w:rFonts w:ascii="Arial"/>
                <w:b/>
                <w:spacing w:val="-4"/>
                <w:sz w:val="24"/>
              </w:rPr>
              <w:t> </w:t>
            </w:r>
            <w:r>
              <w:rPr>
                <w:rFonts w:ascii="Arial"/>
                <w:b/>
                <w:sz w:val="24"/>
              </w:rPr>
              <w:t>When</w:t>
            </w:r>
            <w:r>
              <w:rPr>
                <w:rFonts w:ascii="Arial"/>
                <w:b/>
                <w:spacing w:val="-1"/>
                <w:sz w:val="24"/>
              </w:rPr>
              <w:t> </w:t>
            </w:r>
            <w:r>
              <w:rPr>
                <w:rFonts w:ascii="Arial"/>
                <w:b/>
                <w:spacing w:val="-2"/>
                <w:sz w:val="24"/>
              </w:rPr>
              <w:t>Writing</w:t>
            </w:r>
          </w:p>
        </w:tc>
        <w:tc>
          <w:tcPr>
            <w:tcW w:w="1079" w:type="dxa"/>
          </w:tcPr>
          <w:p>
            <w:pPr>
              <w:pStyle w:val="TableParagraph"/>
              <w:spacing w:line="270" w:lineRule="exact" w:before="26"/>
              <w:ind w:right="105"/>
              <w:jc w:val="right"/>
              <w:rPr>
                <w:sz w:val="24"/>
              </w:rPr>
            </w:pPr>
            <w:r>
              <w:rPr>
                <w:spacing w:val="-4"/>
                <w:sz w:val="24"/>
              </w:rPr>
              <w:t>1.000</w:t>
            </w:r>
          </w:p>
        </w:tc>
        <w:tc>
          <w:tcPr>
            <w:tcW w:w="2430" w:type="dxa"/>
          </w:tcPr>
          <w:p>
            <w:pPr>
              <w:pStyle w:val="TableParagraph"/>
              <w:spacing w:before="6"/>
              <w:ind w:left="107"/>
              <w:rPr>
                <w:sz w:val="24"/>
              </w:rPr>
            </w:pPr>
            <w:r>
              <w:rPr>
                <w:sz w:val="24"/>
              </w:rPr>
              <w:t>No</w:t>
            </w:r>
            <w:r>
              <w:rPr>
                <w:spacing w:val="-1"/>
                <w:sz w:val="24"/>
              </w:rPr>
              <w:t> </w:t>
            </w:r>
            <w:r>
              <w:rPr>
                <w:spacing w:val="-2"/>
                <w:sz w:val="24"/>
              </w:rPr>
              <w:t>multicollinearity</w:t>
            </w:r>
          </w:p>
        </w:tc>
      </w:tr>
      <w:tr>
        <w:trPr>
          <w:trHeight w:val="314" w:hRule="atLeast"/>
        </w:trPr>
        <w:tc>
          <w:tcPr>
            <w:tcW w:w="5687" w:type="dxa"/>
          </w:tcPr>
          <w:p>
            <w:pPr>
              <w:pStyle w:val="TableParagraph"/>
              <w:spacing w:line="270" w:lineRule="exact" w:before="24"/>
              <w:ind w:left="121"/>
              <w:rPr>
                <w:rFonts w:ascii="Arial"/>
                <w:b/>
                <w:sz w:val="24"/>
              </w:rPr>
            </w:pPr>
            <w:r>
              <w:rPr>
                <w:rFonts w:ascii="Arial"/>
                <w:b/>
                <w:sz w:val="24"/>
              </w:rPr>
              <w:t>Writing</w:t>
            </w:r>
            <w:r>
              <w:rPr>
                <w:rFonts w:ascii="Arial"/>
                <w:b/>
                <w:spacing w:val="-3"/>
                <w:sz w:val="24"/>
              </w:rPr>
              <w:t> </w:t>
            </w:r>
            <w:r>
              <w:rPr>
                <w:rFonts w:ascii="Arial"/>
                <w:b/>
                <w:sz w:val="24"/>
              </w:rPr>
              <w:t>Strategy</w:t>
            </w:r>
            <w:r>
              <w:rPr>
                <w:rFonts w:ascii="Arial"/>
                <w:b/>
                <w:spacing w:val="-4"/>
                <w:sz w:val="24"/>
              </w:rPr>
              <w:t> </w:t>
            </w:r>
            <w:r>
              <w:rPr>
                <w:rFonts w:ascii="Arial"/>
                <w:b/>
                <w:sz w:val="24"/>
              </w:rPr>
              <w:t>-&gt;</w:t>
            </w:r>
            <w:r>
              <w:rPr>
                <w:rFonts w:ascii="Arial"/>
                <w:b/>
                <w:spacing w:val="-3"/>
                <w:sz w:val="24"/>
              </w:rPr>
              <w:t> </w:t>
            </w:r>
            <w:r>
              <w:rPr>
                <w:rFonts w:ascii="Arial"/>
                <w:b/>
                <w:sz w:val="24"/>
              </w:rPr>
              <w:t>When</w:t>
            </w:r>
            <w:r>
              <w:rPr>
                <w:rFonts w:ascii="Arial"/>
                <w:b/>
                <w:spacing w:val="-3"/>
                <w:sz w:val="24"/>
              </w:rPr>
              <w:t> </w:t>
            </w:r>
            <w:r>
              <w:rPr>
                <w:rFonts w:ascii="Arial"/>
                <w:b/>
                <w:spacing w:val="-2"/>
                <w:sz w:val="24"/>
              </w:rPr>
              <w:t>Revising</w:t>
            </w:r>
          </w:p>
        </w:tc>
        <w:tc>
          <w:tcPr>
            <w:tcW w:w="1079" w:type="dxa"/>
          </w:tcPr>
          <w:p>
            <w:pPr>
              <w:pStyle w:val="TableParagraph"/>
              <w:spacing w:line="270" w:lineRule="exact" w:before="24"/>
              <w:ind w:right="105"/>
              <w:jc w:val="right"/>
              <w:rPr>
                <w:sz w:val="24"/>
              </w:rPr>
            </w:pPr>
            <w:r>
              <w:rPr>
                <w:spacing w:val="-4"/>
                <w:sz w:val="24"/>
              </w:rPr>
              <w:t>1.000</w:t>
            </w:r>
          </w:p>
        </w:tc>
        <w:tc>
          <w:tcPr>
            <w:tcW w:w="2430" w:type="dxa"/>
          </w:tcPr>
          <w:p>
            <w:pPr>
              <w:pStyle w:val="TableParagraph"/>
              <w:spacing w:before="6"/>
              <w:ind w:left="107"/>
              <w:rPr>
                <w:sz w:val="24"/>
              </w:rPr>
            </w:pPr>
            <w:r>
              <w:rPr>
                <w:sz w:val="24"/>
              </w:rPr>
              <w:t>No</w:t>
            </w:r>
            <w:r>
              <w:rPr>
                <w:spacing w:val="-1"/>
                <w:sz w:val="24"/>
              </w:rPr>
              <w:t> </w:t>
            </w:r>
            <w:r>
              <w:rPr>
                <w:spacing w:val="-2"/>
                <w:sz w:val="24"/>
              </w:rPr>
              <w:t>multicollinearity</w:t>
            </w:r>
          </w:p>
        </w:tc>
      </w:tr>
      <w:tr>
        <w:trPr>
          <w:trHeight w:val="301" w:hRule="atLeast"/>
        </w:trPr>
        <w:tc>
          <w:tcPr>
            <w:tcW w:w="5687" w:type="dxa"/>
            <w:tcBorders>
              <w:bottom w:val="single" w:sz="4" w:space="0" w:color="000000"/>
            </w:tcBorders>
          </w:tcPr>
          <w:p>
            <w:pPr>
              <w:pStyle w:val="TableParagraph"/>
              <w:spacing w:line="255" w:lineRule="exact" w:before="26"/>
              <w:ind w:left="121"/>
              <w:rPr>
                <w:rFonts w:ascii="Arial"/>
                <w:b/>
                <w:sz w:val="24"/>
              </w:rPr>
            </w:pPr>
            <w:r>
              <w:rPr>
                <w:rFonts w:ascii="Arial"/>
                <w:b/>
                <w:sz w:val="24"/>
              </w:rPr>
              <w:t>Writing</w:t>
            </w:r>
            <w:r>
              <w:rPr>
                <w:rFonts w:ascii="Arial"/>
                <w:b/>
                <w:spacing w:val="-4"/>
                <w:sz w:val="24"/>
              </w:rPr>
              <w:t> </w:t>
            </w:r>
            <w:r>
              <w:rPr>
                <w:rFonts w:ascii="Arial"/>
                <w:b/>
                <w:sz w:val="24"/>
              </w:rPr>
              <w:t>Strategy</w:t>
            </w:r>
            <w:r>
              <w:rPr>
                <w:rFonts w:ascii="Arial"/>
                <w:b/>
                <w:spacing w:val="-3"/>
                <w:sz w:val="24"/>
              </w:rPr>
              <w:t> </w:t>
            </w:r>
            <w:r>
              <w:rPr>
                <w:rFonts w:ascii="Arial"/>
                <w:b/>
                <w:sz w:val="24"/>
              </w:rPr>
              <w:t>-&gt;</w:t>
            </w:r>
            <w:r>
              <w:rPr>
                <w:rFonts w:ascii="Arial"/>
                <w:b/>
                <w:spacing w:val="-4"/>
                <w:sz w:val="24"/>
              </w:rPr>
              <w:t> </w:t>
            </w:r>
            <w:r>
              <w:rPr>
                <w:rFonts w:ascii="Arial"/>
                <w:b/>
                <w:sz w:val="24"/>
              </w:rPr>
              <w:t>Before</w:t>
            </w:r>
            <w:r>
              <w:rPr>
                <w:rFonts w:ascii="Arial"/>
                <w:b/>
                <w:spacing w:val="-3"/>
                <w:sz w:val="24"/>
              </w:rPr>
              <w:t> </w:t>
            </w:r>
            <w:r>
              <w:rPr>
                <w:rFonts w:ascii="Arial"/>
                <w:b/>
                <w:spacing w:val="-2"/>
                <w:sz w:val="24"/>
              </w:rPr>
              <w:t>Writing</w:t>
            </w:r>
          </w:p>
        </w:tc>
        <w:tc>
          <w:tcPr>
            <w:tcW w:w="1079" w:type="dxa"/>
            <w:tcBorders>
              <w:bottom w:val="single" w:sz="4" w:space="0" w:color="000000"/>
            </w:tcBorders>
          </w:tcPr>
          <w:p>
            <w:pPr>
              <w:pStyle w:val="TableParagraph"/>
              <w:spacing w:line="255" w:lineRule="exact" w:before="26"/>
              <w:ind w:right="105"/>
              <w:jc w:val="right"/>
              <w:rPr>
                <w:sz w:val="24"/>
              </w:rPr>
            </w:pPr>
            <w:r>
              <w:rPr>
                <w:spacing w:val="-4"/>
                <w:sz w:val="24"/>
              </w:rPr>
              <w:t>1.000</w:t>
            </w:r>
          </w:p>
        </w:tc>
        <w:tc>
          <w:tcPr>
            <w:tcW w:w="2430" w:type="dxa"/>
            <w:tcBorders>
              <w:bottom w:val="single" w:sz="4" w:space="0" w:color="000000"/>
            </w:tcBorders>
          </w:tcPr>
          <w:p>
            <w:pPr>
              <w:pStyle w:val="TableParagraph"/>
              <w:spacing w:line="275" w:lineRule="exact" w:before="6"/>
              <w:ind w:left="107"/>
              <w:rPr>
                <w:sz w:val="24"/>
              </w:rPr>
            </w:pPr>
            <w:r>
              <w:rPr>
                <w:sz w:val="24"/>
              </w:rPr>
              <w:t>No</w:t>
            </w:r>
            <w:r>
              <w:rPr>
                <w:spacing w:val="-1"/>
                <w:sz w:val="24"/>
              </w:rPr>
              <w:t> </w:t>
            </w:r>
            <w:r>
              <w:rPr>
                <w:spacing w:val="-2"/>
                <w:sz w:val="24"/>
              </w:rPr>
              <w:t>multicollinearity</w:t>
            </w:r>
          </w:p>
        </w:tc>
      </w:tr>
    </w:tbl>
    <w:p>
      <w:pPr>
        <w:pStyle w:val="BodyText"/>
        <w:spacing w:before="11"/>
        <w:ind w:left="0"/>
      </w:pPr>
    </w:p>
    <w:p>
      <w:pPr>
        <w:pStyle w:val="BodyText"/>
        <w:ind w:right="1074" w:firstLine="719"/>
        <w:jc w:val="both"/>
      </w:pPr>
      <w:r>
        <w:rPr/>
        <w:t>Table 5 presents the structural relationships among achievement goals, grit, and writing</w:t>
      </w:r>
      <w:r>
        <w:rPr>
          <w:spacing w:val="-2"/>
        </w:rPr>
        <w:t> </w:t>
      </w:r>
      <w:r>
        <w:rPr/>
        <w:t>strategy.</w:t>
      </w:r>
      <w:r>
        <w:rPr>
          <w:spacing w:val="-3"/>
        </w:rPr>
        <w:t> </w:t>
      </w:r>
      <w:r>
        <w:rPr/>
        <w:t>It was</w:t>
      </w:r>
      <w:r>
        <w:rPr>
          <w:spacing w:val="-3"/>
        </w:rPr>
        <w:t> </w:t>
      </w:r>
      <w:r>
        <w:rPr/>
        <w:t>found</w:t>
      </w:r>
      <w:r>
        <w:rPr>
          <w:spacing w:val="-2"/>
        </w:rPr>
        <w:t> </w:t>
      </w:r>
      <w:r>
        <w:rPr/>
        <w:t>out</w:t>
      </w:r>
      <w:r>
        <w:rPr>
          <w:spacing w:val="-4"/>
        </w:rPr>
        <w:t> </w:t>
      </w:r>
      <w:r>
        <w:rPr/>
        <w:t>that</w:t>
      </w:r>
      <w:r>
        <w:rPr>
          <w:spacing w:val="-2"/>
        </w:rPr>
        <w:t> </w:t>
      </w:r>
      <w:r>
        <w:rPr/>
        <w:t>there</w:t>
      </w:r>
      <w:r>
        <w:rPr>
          <w:spacing w:val="-2"/>
        </w:rPr>
        <w:t> </w:t>
      </w:r>
      <w:r>
        <w:rPr/>
        <w:t>was</w:t>
      </w:r>
      <w:r>
        <w:rPr>
          <w:spacing w:val="-2"/>
        </w:rPr>
        <w:t> </w:t>
      </w:r>
      <w:r>
        <w:rPr/>
        <w:t>a</w:t>
      </w:r>
      <w:r>
        <w:rPr>
          <w:spacing w:val="-2"/>
        </w:rPr>
        <w:t> </w:t>
      </w:r>
      <w:r>
        <w:rPr/>
        <w:t>significant</w:t>
      </w:r>
      <w:r>
        <w:rPr>
          <w:spacing w:val="-4"/>
        </w:rPr>
        <w:t> </w:t>
      </w:r>
      <w:r>
        <w:rPr/>
        <w:t>direct</w:t>
      </w:r>
      <w:r>
        <w:rPr>
          <w:spacing w:val="-3"/>
        </w:rPr>
        <w:t> </w:t>
      </w:r>
      <w:r>
        <w:rPr/>
        <w:t>effect</w:t>
      </w:r>
      <w:r>
        <w:rPr>
          <w:spacing w:val="-1"/>
        </w:rPr>
        <w:t> </w:t>
      </w:r>
      <w:r>
        <w:rPr/>
        <w:t>of</w:t>
      </w:r>
      <w:r>
        <w:rPr>
          <w:spacing w:val="-2"/>
        </w:rPr>
        <w:t> </w:t>
      </w:r>
      <w:r>
        <w:rPr/>
        <w:t>achievement goal</w:t>
      </w:r>
      <w:r>
        <w:rPr>
          <w:spacing w:val="-7"/>
        </w:rPr>
        <w:t> </w:t>
      </w:r>
      <w:r>
        <w:rPr/>
        <w:t>on</w:t>
      </w:r>
      <w:r>
        <w:rPr>
          <w:spacing w:val="-7"/>
        </w:rPr>
        <w:t> </w:t>
      </w:r>
      <w:r>
        <w:rPr/>
        <w:t>grit</w:t>
      </w:r>
      <w:r>
        <w:rPr>
          <w:spacing w:val="-7"/>
        </w:rPr>
        <w:t> </w:t>
      </w:r>
      <w:r>
        <w:rPr/>
        <w:t>(β</w:t>
      </w:r>
      <w:r>
        <w:rPr>
          <w:spacing w:val="-7"/>
        </w:rPr>
        <w:t> </w:t>
      </w:r>
      <w:r>
        <w:rPr/>
        <w:t>=</w:t>
      </w:r>
      <w:r>
        <w:rPr>
          <w:spacing w:val="-6"/>
        </w:rPr>
        <w:t> </w:t>
      </w:r>
      <w:r>
        <w:rPr/>
        <w:t>0.351,</w:t>
      </w:r>
      <w:r>
        <w:rPr>
          <w:spacing w:val="-7"/>
        </w:rPr>
        <w:t> </w:t>
      </w:r>
      <w:r>
        <w:rPr/>
        <w:t>p</w:t>
      </w:r>
      <w:r>
        <w:rPr>
          <w:spacing w:val="-7"/>
        </w:rPr>
        <w:t> </w:t>
      </w:r>
      <w:r>
        <w:rPr/>
        <w:t>&lt;</w:t>
      </w:r>
      <w:r>
        <w:rPr>
          <w:spacing w:val="-6"/>
        </w:rPr>
        <w:t> </w:t>
      </w:r>
      <w:r>
        <w:rPr/>
        <w:t>.001),</w:t>
      </w:r>
      <w:r>
        <w:rPr>
          <w:spacing w:val="-7"/>
        </w:rPr>
        <w:t> </w:t>
      </w:r>
      <w:r>
        <w:rPr/>
        <w:t>indicating</w:t>
      </w:r>
      <w:r>
        <w:rPr>
          <w:spacing w:val="-7"/>
        </w:rPr>
        <w:t> </w:t>
      </w:r>
      <w:r>
        <w:rPr/>
        <w:t>that</w:t>
      </w:r>
      <w:r>
        <w:rPr>
          <w:spacing w:val="-7"/>
        </w:rPr>
        <w:t> </w:t>
      </w:r>
      <w:r>
        <w:rPr/>
        <w:t>students</w:t>
      </w:r>
      <w:r>
        <w:rPr>
          <w:spacing w:val="-7"/>
        </w:rPr>
        <w:t> </w:t>
      </w:r>
      <w:r>
        <w:rPr/>
        <w:t>with</w:t>
      </w:r>
      <w:r>
        <w:rPr>
          <w:spacing w:val="-7"/>
        </w:rPr>
        <w:t> </w:t>
      </w:r>
      <w:r>
        <w:rPr/>
        <w:t>higher</w:t>
      </w:r>
      <w:r>
        <w:rPr>
          <w:spacing w:val="-7"/>
        </w:rPr>
        <w:t> </w:t>
      </w:r>
      <w:r>
        <w:rPr/>
        <w:t>achievement</w:t>
      </w:r>
      <w:r>
        <w:rPr>
          <w:spacing w:val="-7"/>
        </w:rPr>
        <w:t> </w:t>
      </w:r>
      <w:r>
        <w:rPr/>
        <w:t>goals tend to exhibit greater perseverance and long-term commitment, consistent with Duckworth et al. (2007). This association showed a medium effect size (f² = 0.141), underscoring</w:t>
      </w:r>
      <w:r>
        <w:rPr>
          <w:spacing w:val="-7"/>
        </w:rPr>
        <w:t> </w:t>
      </w:r>
      <w:r>
        <w:rPr/>
        <w:t>its</w:t>
      </w:r>
      <w:r>
        <w:rPr>
          <w:spacing w:val="-9"/>
        </w:rPr>
        <w:t> </w:t>
      </w:r>
      <w:r>
        <w:rPr/>
        <w:t>practical</w:t>
      </w:r>
      <w:r>
        <w:rPr>
          <w:spacing w:val="-8"/>
        </w:rPr>
        <w:t> </w:t>
      </w:r>
      <w:r>
        <w:rPr/>
        <w:t>relevance.</w:t>
      </w:r>
      <w:r>
        <w:rPr>
          <w:spacing w:val="-10"/>
        </w:rPr>
        <w:t> </w:t>
      </w:r>
      <w:r>
        <w:rPr/>
        <w:t>Achievement</w:t>
      </w:r>
      <w:r>
        <w:rPr>
          <w:spacing w:val="-8"/>
        </w:rPr>
        <w:t> </w:t>
      </w:r>
      <w:r>
        <w:rPr/>
        <w:t>goal</w:t>
      </w:r>
      <w:r>
        <w:rPr>
          <w:spacing w:val="-9"/>
        </w:rPr>
        <w:t> </w:t>
      </w:r>
      <w:r>
        <w:rPr/>
        <w:t>also</w:t>
      </w:r>
      <w:r>
        <w:rPr>
          <w:spacing w:val="-8"/>
        </w:rPr>
        <w:t> </w:t>
      </w:r>
      <w:r>
        <w:rPr/>
        <w:t>has</w:t>
      </w:r>
      <w:r>
        <w:rPr>
          <w:spacing w:val="-8"/>
        </w:rPr>
        <w:t> </w:t>
      </w:r>
      <w:r>
        <w:rPr/>
        <w:t>a</w:t>
      </w:r>
      <w:r>
        <w:rPr>
          <w:spacing w:val="-8"/>
        </w:rPr>
        <w:t> </w:t>
      </w:r>
      <w:r>
        <w:rPr/>
        <w:t>significant</w:t>
      </w:r>
      <w:r>
        <w:rPr>
          <w:spacing w:val="-8"/>
        </w:rPr>
        <w:t> </w:t>
      </w:r>
      <w:r>
        <w:rPr/>
        <w:t>direct</w:t>
      </w:r>
      <w:r>
        <w:rPr>
          <w:spacing w:val="-3"/>
        </w:rPr>
        <w:t> </w:t>
      </w:r>
      <w:r>
        <w:rPr/>
        <w:t>effect on</w:t>
      </w:r>
      <w:r>
        <w:rPr>
          <w:spacing w:val="-2"/>
        </w:rPr>
        <w:t> </w:t>
      </w:r>
      <w:r>
        <w:rPr/>
        <w:t>writing</w:t>
      </w:r>
      <w:r>
        <w:rPr>
          <w:spacing w:val="-2"/>
        </w:rPr>
        <w:t> </w:t>
      </w:r>
      <w:r>
        <w:rPr/>
        <w:t>strategy</w:t>
      </w:r>
      <w:r>
        <w:rPr>
          <w:spacing w:val="-2"/>
        </w:rPr>
        <w:t> </w:t>
      </w:r>
      <w:r>
        <w:rPr/>
        <w:t>(β</w:t>
      </w:r>
      <w:r>
        <w:rPr>
          <w:spacing w:val="-2"/>
        </w:rPr>
        <w:t> </w:t>
      </w:r>
      <w:r>
        <w:rPr/>
        <w:t>=</w:t>
      </w:r>
      <w:r>
        <w:rPr>
          <w:spacing w:val="-3"/>
        </w:rPr>
        <w:t> </w:t>
      </w:r>
      <w:r>
        <w:rPr/>
        <w:t>0.310,</w:t>
      </w:r>
      <w:r>
        <w:rPr>
          <w:spacing w:val="-2"/>
        </w:rPr>
        <w:t> </w:t>
      </w:r>
      <w:r>
        <w:rPr/>
        <w:t>p</w:t>
      </w:r>
      <w:r>
        <w:rPr>
          <w:spacing w:val="-2"/>
        </w:rPr>
        <w:t> </w:t>
      </w:r>
      <w:r>
        <w:rPr/>
        <w:t>=</w:t>
      </w:r>
      <w:r>
        <w:rPr>
          <w:spacing w:val="-2"/>
        </w:rPr>
        <w:t> </w:t>
      </w:r>
      <w:r>
        <w:rPr/>
        <w:t>.001),</w:t>
      </w:r>
      <w:r>
        <w:rPr>
          <w:spacing w:val="-3"/>
        </w:rPr>
        <w:t> </w:t>
      </w:r>
      <w:r>
        <w:rPr/>
        <w:t>with</w:t>
      </w:r>
      <w:r>
        <w:rPr>
          <w:spacing w:val="-3"/>
        </w:rPr>
        <w:t> </w:t>
      </w:r>
      <w:r>
        <w:rPr/>
        <w:t>a</w:t>
      </w:r>
      <w:r>
        <w:rPr>
          <w:spacing w:val="-2"/>
        </w:rPr>
        <w:t> </w:t>
      </w:r>
      <w:r>
        <w:rPr/>
        <w:t>small-to-medium</w:t>
      </w:r>
      <w:r>
        <w:rPr>
          <w:spacing w:val="-2"/>
        </w:rPr>
        <w:t> </w:t>
      </w:r>
      <w:r>
        <w:rPr/>
        <w:t>effect</w:t>
      </w:r>
      <w:r>
        <w:rPr>
          <w:spacing w:val="-3"/>
        </w:rPr>
        <w:t> </w:t>
      </w:r>
      <w:r>
        <w:rPr/>
        <w:t>size</w:t>
      </w:r>
      <w:r>
        <w:rPr>
          <w:spacing w:val="-2"/>
        </w:rPr>
        <w:t> </w:t>
      </w:r>
      <w:r>
        <w:rPr/>
        <w:t>(f²</w:t>
      </w:r>
      <w:r>
        <w:rPr>
          <w:spacing w:val="-2"/>
        </w:rPr>
        <w:t> </w:t>
      </w:r>
      <w:r>
        <w:rPr/>
        <w:t>=</w:t>
      </w:r>
      <w:r>
        <w:rPr>
          <w:spacing w:val="-3"/>
        </w:rPr>
        <w:t> </w:t>
      </w:r>
      <w:r>
        <w:rPr/>
        <w:t>0.103), demonstrating that students who are more oriented toward success tend to follow strategic writing behaviors such as planning, revising, and monitoring. Grit, meanwhile, produced a significant but comparatively modest direct effect on writing strategy (β = 0.202, p = .040; f² = 0.044), suggesting that perseverance supports strategic writing choices, although it is not the primary driver.</w:t>
      </w:r>
    </w:p>
    <w:p>
      <w:pPr>
        <w:pStyle w:val="BodyText"/>
        <w:spacing w:after="0"/>
        <w:jc w:val="both"/>
        <w:sectPr>
          <w:type w:val="continuous"/>
          <w:pgSz w:w="12240" w:h="15840"/>
          <w:pgMar w:top="1360" w:bottom="280" w:left="360" w:right="360"/>
        </w:sectPr>
      </w:pPr>
    </w:p>
    <w:p>
      <w:pPr>
        <w:pStyle w:val="BodyText"/>
        <w:spacing w:before="81"/>
        <w:ind w:right="1074" w:firstLine="719"/>
        <w:jc w:val="both"/>
      </w:pPr>
      <w:r>
        <w:rPr/>
        <w:t>The indirect effect of achievement goal on writing strategy through grit was statistically insignificant (β = 0.071, p = .092), demonstrating that grit does not mediate the relationship. Theoretically, this pattern suggests that achievement goals may shape writing strategies through more immediate cognitive-motivational pathways, such as increased</w:t>
      </w:r>
      <w:r>
        <w:rPr>
          <w:spacing w:val="-8"/>
        </w:rPr>
        <w:t> </w:t>
      </w:r>
      <w:r>
        <w:rPr/>
        <w:t>task</w:t>
      </w:r>
      <w:r>
        <w:rPr>
          <w:spacing w:val="-8"/>
        </w:rPr>
        <w:t> </w:t>
      </w:r>
      <w:r>
        <w:rPr/>
        <w:t>engagement,</w:t>
      </w:r>
      <w:r>
        <w:rPr>
          <w:spacing w:val="-10"/>
        </w:rPr>
        <w:t> </w:t>
      </w:r>
      <w:r>
        <w:rPr/>
        <w:t>deeper</w:t>
      </w:r>
      <w:r>
        <w:rPr>
          <w:spacing w:val="-8"/>
        </w:rPr>
        <w:t> </w:t>
      </w:r>
      <w:r>
        <w:rPr/>
        <w:t>processing,</w:t>
      </w:r>
      <w:r>
        <w:rPr>
          <w:spacing w:val="-9"/>
        </w:rPr>
        <w:t> </w:t>
      </w:r>
      <w:r>
        <w:rPr/>
        <w:t>or</w:t>
      </w:r>
      <w:r>
        <w:rPr>
          <w:spacing w:val="-8"/>
        </w:rPr>
        <w:t> </w:t>
      </w:r>
      <w:r>
        <w:rPr/>
        <w:t>enhanced</w:t>
      </w:r>
      <w:r>
        <w:rPr>
          <w:spacing w:val="-8"/>
        </w:rPr>
        <w:t> </w:t>
      </w:r>
      <w:r>
        <w:rPr/>
        <w:t>self-regulation,</w:t>
      </w:r>
      <w:r>
        <w:rPr>
          <w:spacing w:val="-8"/>
        </w:rPr>
        <w:t> </w:t>
      </w:r>
      <w:r>
        <w:rPr/>
        <w:t>rather</w:t>
      </w:r>
      <w:r>
        <w:rPr>
          <w:spacing w:val="-8"/>
        </w:rPr>
        <w:t> </w:t>
      </w:r>
      <w:r>
        <w:rPr/>
        <w:t>than through more global, trait-like perseverance. In other words, achievement goals appear to</w:t>
      </w:r>
      <w:r>
        <w:rPr>
          <w:spacing w:val="-14"/>
        </w:rPr>
        <w:t> </w:t>
      </w:r>
      <w:r>
        <w:rPr/>
        <w:t>influence</w:t>
      </w:r>
      <w:r>
        <w:rPr>
          <w:spacing w:val="-14"/>
        </w:rPr>
        <w:t> </w:t>
      </w:r>
      <w:r>
        <w:rPr/>
        <w:t>strategic</w:t>
      </w:r>
      <w:r>
        <w:rPr>
          <w:spacing w:val="-14"/>
        </w:rPr>
        <w:t> </w:t>
      </w:r>
      <w:r>
        <w:rPr/>
        <w:t>writing</w:t>
      </w:r>
      <w:r>
        <w:rPr>
          <w:spacing w:val="-13"/>
        </w:rPr>
        <w:t> </w:t>
      </w:r>
      <w:r>
        <w:rPr/>
        <w:t>behavior</w:t>
      </w:r>
      <w:r>
        <w:rPr>
          <w:spacing w:val="-15"/>
        </w:rPr>
        <w:t> </w:t>
      </w:r>
      <w:r>
        <w:rPr/>
        <w:t>directly,</w:t>
      </w:r>
      <w:r>
        <w:rPr>
          <w:spacing w:val="-14"/>
        </w:rPr>
        <w:t> </w:t>
      </w:r>
      <w:r>
        <w:rPr/>
        <w:t>without</w:t>
      </w:r>
      <w:r>
        <w:rPr>
          <w:spacing w:val="-15"/>
        </w:rPr>
        <w:t> </w:t>
      </w:r>
      <w:r>
        <w:rPr/>
        <w:t>requiring</w:t>
      </w:r>
      <w:r>
        <w:rPr>
          <w:spacing w:val="-13"/>
        </w:rPr>
        <w:t> </w:t>
      </w:r>
      <w:r>
        <w:rPr/>
        <w:t>the</w:t>
      </w:r>
      <w:r>
        <w:rPr>
          <w:spacing w:val="-14"/>
        </w:rPr>
        <w:t> </w:t>
      </w:r>
      <w:r>
        <w:rPr/>
        <w:t>additional</w:t>
      </w:r>
      <w:r>
        <w:rPr>
          <w:spacing w:val="-13"/>
        </w:rPr>
        <w:t> </w:t>
      </w:r>
      <w:r>
        <w:rPr/>
        <w:t>mechanism of sustained, long-term grit. This aligns with contemporary motivation frameworks proposing that goals operate as proximal regulators of behavior, whereas grit functions as</w:t>
      </w:r>
      <w:r>
        <w:rPr>
          <w:spacing w:val="-17"/>
        </w:rPr>
        <w:t> </w:t>
      </w:r>
      <w:r>
        <w:rPr/>
        <w:t>a</w:t>
      </w:r>
      <w:r>
        <w:rPr>
          <w:spacing w:val="-17"/>
        </w:rPr>
        <w:t> </w:t>
      </w:r>
      <w:r>
        <w:rPr/>
        <w:t>broader</w:t>
      </w:r>
      <w:r>
        <w:rPr>
          <w:spacing w:val="-16"/>
        </w:rPr>
        <w:t> </w:t>
      </w:r>
      <w:r>
        <w:rPr/>
        <w:t>personality-like</w:t>
      </w:r>
      <w:r>
        <w:rPr>
          <w:spacing w:val="-17"/>
        </w:rPr>
        <w:t> </w:t>
      </w:r>
      <w:r>
        <w:rPr/>
        <w:t>disposition</w:t>
      </w:r>
      <w:r>
        <w:rPr>
          <w:spacing w:val="-17"/>
        </w:rPr>
        <w:t> </w:t>
      </w:r>
      <w:r>
        <w:rPr/>
        <w:t>that</w:t>
      </w:r>
      <w:r>
        <w:rPr>
          <w:spacing w:val="-17"/>
        </w:rPr>
        <w:t> </w:t>
      </w:r>
      <w:r>
        <w:rPr/>
        <w:t>may</w:t>
      </w:r>
      <w:r>
        <w:rPr>
          <w:spacing w:val="-16"/>
        </w:rPr>
        <w:t> </w:t>
      </w:r>
      <w:r>
        <w:rPr/>
        <w:t>be</w:t>
      </w:r>
      <w:r>
        <w:rPr>
          <w:spacing w:val="-17"/>
        </w:rPr>
        <w:t> </w:t>
      </w:r>
      <w:r>
        <w:rPr/>
        <w:t>less</w:t>
      </w:r>
      <w:r>
        <w:rPr>
          <w:spacing w:val="-17"/>
        </w:rPr>
        <w:t> </w:t>
      </w:r>
      <w:r>
        <w:rPr/>
        <w:t>sensitive</w:t>
      </w:r>
      <w:r>
        <w:rPr>
          <w:spacing w:val="-16"/>
        </w:rPr>
        <w:t> </w:t>
      </w:r>
      <w:r>
        <w:rPr/>
        <w:t>to</w:t>
      </w:r>
      <w:r>
        <w:rPr>
          <w:spacing w:val="-17"/>
        </w:rPr>
        <w:t> </w:t>
      </w:r>
      <w:r>
        <w:rPr/>
        <w:t>situational</w:t>
      </w:r>
      <w:r>
        <w:rPr>
          <w:spacing w:val="-17"/>
        </w:rPr>
        <w:t> </w:t>
      </w:r>
      <w:r>
        <w:rPr/>
        <w:t>academic tasks such as writing (Zhang &amp; Dong, 2022; Zhang, 2023).</w:t>
      </w:r>
    </w:p>
    <w:p>
      <w:pPr>
        <w:pStyle w:val="BodyText"/>
        <w:ind w:left="0"/>
      </w:pPr>
    </w:p>
    <w:p>
      <w:pPr>
        <w:pStyle w:val="BodyText"/>
        <w:ind w:right="1075" w:firstLine="719"/>
        <w:jc w:val="both"/>
      </w:pPr>
      <w:r>
        <w:rPr/>
        <w:t>The result is consistent with emerging SEM research in writing, which highlights that achievement motivation and writing self-efficacy exert strong direct effects on strategy</w:t>
      </w:r>
      <w:r>
        <w:rPr>
          <w:spacing w:val="-6"/>
        </w:rPr>
        <w:t> </w:t>
      </w:r>
      <w:r>
        <w:rPr/>
        <w:t>use</w:t>
      </w:r>
      <w:r>
        <w:rPr>
          <w:spacing w:val="-5"/>
        </w:rPr>
        <w:t> </w:t>
      </w:r>
      <w:r>
        <w:rPr/>
        <w:t>(Sabti</w:t>
      </w:r>
      <w:r>
        <w:rPr>
          <w:spacing w:val="-6"/>
        </w:rPr>
        <w:t> </w:t>
      </w:r>
      <w:r>
        <w:rPr/>
        <w:t>et</w:t>
      </w:r>
      <w:r>
        <w:rPr>
          <w:spacing w:val="-6"/>
        </w:rPr>
        <w:t> </w:t>
      </w:r>
      <w:r>
        <w:rPr/>
        <w:t>al.,</w:t>
      </w:r>
      <w:r>
        <w:rPr>
          <w:spacing w:val="-5"/>
        </w:rPr>
        <w:t> </w:t>
      </w:r>
      <w:r>
        <w:rPr/>
        <w:t>2019;</w:t>
      </w:r>
      <w:r>
        <w:rPr>
          <w:spacing w:val="-7"/>
        </w:rPr>
        <w:t> </w:t>
      </w:r>
      <w:r>
        <w:rPr/>
        <w:t>Golparvar</w:t>
      </w:r>
      <w:r>
        <w:rPr>
          <w:spacing w:val="-6"/>
        </w:rPr>
        <w:t> </w:t>
      </w:r>
      <w:r>
        <w:rPr/>
        <w:t>&amp;</w:t>
      </w:r>
      <w:r>
        <w:rPr>
          <w:spacing w:val="-6"/>
        </w:rPr>
        <w:t> </w:t>
      </w:r>
      <w:r>
        <w:rPr/>
        <w:t>Khafi,</w:t>
      </w:r>
      <w:r>
        <w:rPr>
          <w:spacing w:val="-7"/>
        </w:rPr>
        <w:t> </w:t>
      </w:r>
      <w:r>
        <w:rPr/>
        <w:t>2021;</w:t>
      </w:r>
      <w:r>
        <w:rPr>
          <w:spacing w:val="-5"/>
        </w:rPr>
        <w:t> </w:t>
      </w:r>
      <w:r>
        <w:rPr/>
        <w:t>Shen</w:t>
      </w:r>
      <w:r>
        <w:rPr>
          <w:spacing w:val="-6"/>
        </w:rPr>
        <w:t> </w:t>
      </w:r>
      <w:r>
        <w:rPr/>
        <w:t>&amp;</w:t>
      </w:r>
      <w:r>
        <w:rPr>
          <w:spacing w:val="-6"/>
        </w:rPr>
        <w:t> </w:t>
      </w:r>
      <w:r>
        <w:rPr/>
        <w:t>Bai,</w:t>
      </w:r>
      <w:r>
        <w:rPr>
          <w:spacing w:val="-7"/>
        </w:rPr>
        <w:t> </w:t>
      </w:r>
      <w:r>
        <w:rPr/>
        <w:t>2022;</w:t>
      </w:r>
      <w:r>
        <w:rPr>
          <w:spacing w:val="-7"/>
        </w:rPr>
        <w:t> </w:t>
      </w:r>
      <w:r>
        <w:rPr/>
        <w:t>De</w:t>
      </w:r>
      <w:r>
        <w:rPr>
          <w:spacing w:val="-5"/>
        </w:rPr>
        <w:t> </w:t>
      </w:r>
      <w:r>
        <w:rPr/>
        <w:t>Smedt</w:t>
      </w:r>
      <w:r>
        <w:rPr>
          <w:spacing w:val="-7"/>
        </w:rPr>
        <w:t> </w:t>
      </w:r>
      <w:r>
        <w:rPr/>
        <w:t>et al., 2023) while trait-level constructs have weaker mediating roles (Bai et al., 2019; Trautner</w:t>
      </w:r>
      <w:r>
        <w:rPr>
          <w:spacing w:val="-10"/>
        </w:rPr>
        <w:t> </w:t>
      </w:r>
      <w:r>
        <w:rPr/>
        <w:t>&amp;</w:t>
      </w:r>
      <w:r>
        <w:rPr>
          <w:spacing w:val="-10"/>
        </w:rPr>
        <w:t> </w:t>
      </w:r>
      <w:r>
        <w:rPr/>
        <w:t>Schwinger,</w:t>
      </w:r>
      <w:r>
        <w:rPr>
          <w:spacing w:val="-11"/>
        </w:rPr>
        <w:t> </w:t>
      </w:r>
      <w:r>
        <w:rPr/>
        <w:t>2020;</w:t>
      </w:r>
      <w:r>
        <w:rPr>
          <w:spacing w:val="-11"/>
        </w:rPr>
        <w:t> </w:t>
      </w:r>
      <w:r>
        <w:rPr/>
        <w:t>Cho,</w:t>
      </w:r>
      <w:r>
        <w:rPr>
          <w:spacing w:val="-10"/>
        </w:rPr>
        <w:t> </w:t>
      </w:r>
      <w:r>
        <w:rPr/>
        <w:t>2023;</w:t>
      </w:r>
      <w:r>
        <w:rPr>
          <w:spacing w:val="-11"/>
        </w:rPr>
        <w:t> </w:t>
      </w:r>
      <w:r>
        <w:rPr/>
        <w:t>Prihandoko,</w:t>
      </w:r>
      <w:r>
        <w:rPr>
          <w:spacing w:val="-11"/>
        </w:rPr>
        <w:t> </w:t>
      </w:r>
      <w:r>
        <w:rPr/>
        <w:t>2024).</w:t>
      </w:r>
      <w:r>
        <w:rPr>
          <w:spacing w:val="-11"/>
        </w:rPr>
        <w:t> </w:t>
      </w:r>
      <w:r>
        <w:rPr/>
        <w:t>Similarly,</w:t>
      </w:r>
      <w:r>
        <w:rPr>
          <w:spacing w:val="-11"/>
        </w:rPr>
        <w:t> </w:t>
      </w:r>
      <w:r>
        <w:rPr/>
        <w:t>studies</w:t>
      </w:r>
      <w:r>
        <w:rPr>
          <w:spacing w:val="-10"/>
        </w:rPr>
        <w:t> </w:t>
      </w:r>
      <w:r>
        <w:rPr/>
        <w:t>also</w:t>
      </w:r>
      <w:r>
        <w:rPr>
          <w:spacing w:val="-10"/>
        </w:rPr>
        <w:t> </w:t>
      </w:r>
      <w:r>
        <w:rPr/>
        <w:t>found that</w:t>
      </w:r>
      <w:r>
        <w:rPr>
          <w:spacing w:val="-12"/>
        </w:rPr>
        <w:t> </w:t>
      </w:r>
      <w:r>
        <w:rPr/>
        <w:t>mastery</w:t>
      </w:r>
      <w:r>
        <w:rPr>
          <w:spacing w:val="-11"/>
        </w:rPr>
        <w:t> </w:t>
      </w:r>
      <w:r>
        <w:rPr/>
        <w:t>goals</w:t>
      </w:r>
      <w:r>
        <w:rPr>
          <w:spacing w:val="-11"/>
        </w:rPr>
        <w:t> </w:t>
      </w:r>
      <w:r>
        <w:rPr/>
        <w:t>directly</w:t>
      </w:r>
      <w:r>
        <w:rPr>
          <w:spacing w:val="-11"/>
        </w:rPr>
        <w:t> </w:t>
      </w:r>
      <w:r>
        <w:rPr/>
        <w:t>predicted</w:t>
      </w:r>
      <w:r>
        <w:rPr>
          <w:spacing w:val="-10"/>
        </w:rPr>
        <w:t> </w:t>
      </w:r>
      <w:r>
        <w:rPr/>
        <w:t>planning</w:t>
      </w:r>
      <w:r>
        <w:rPr>
          <w:spacing w:val="-11"/>
        </w:rPr>
        <w:t> </w:t>
      </w:r>
      <w:r>
        <w:rPr/>
        <w:t>and</w:t>
      </w:r>
      <w:r>
        <w:rPr>
          <w:spacing w:val="-11"/>
        </w:rPr>
        <w:t> </w:t>
      </w:r>
      <w:r>
        <w:rPr/>
        <w:t>revising</w:t>
      </w:r>
      <w:r>
        <w:rPr>
          <w:spacing w:val="-11"/>
        </w:rPr>
        <w:t> </w:t>
      </w:r>
      <w:r>
        <w:rPr/>
        <w:t>behaviors,</w:t>
      </w:r>
      <w:r>
        <w:rPr>
          <w:spacing w:val="-11"/>
        </w:rPr>
        <w:t> </w:t>
      </w:r>
      <w:r>
        <w:rPr/>
        <w:t>with</w:t>
      </w:r>
      <w:r>
        <w:rPr>
          <w:spacing w:val="-11"/>
        </w:rPr>
        <w:t> </w:t>
      </w:r>
      <w:r>
        <w:rPr/>
        <w:t>limited</w:t>
      </w:r>
      <w:r>
        <w:rPr>
          <w:spacing w:val="-11"/>
        </w:rPr>
        <w:t> </w:t>
      </w:r>
      <w:r>
        <w:rPr/>
        <w:t>indirect effect mediated through distal traits (Limpo et al., 2017, Suylo et al., 2017, Chung et al., 2021; Zhou and Lehrer, 2021; Camacho et al., 2022). These findings support the notion that in writing contexts, goal orientations have a more immediate effect on the use of strategies,</w:t>
      </w:r>
      <w:r>
        <w:rPr>
          <w:spacing w:val="-11"/>
        </w:rPr>
        <w:t> </w:t>
      </w:r>
      <w:r>
        <w:rPr/>
        <w:t>whereas</w:t>
      </w:r>
      <w:r>
        <w:rPr>
          <w:spacing w:val="-11"/>
        </w:rPr>
        <w:t> </w:t>
      </w:r>
      <w:r>
        <w:rPr/>
        <w:t>grit,</w:t>
      </w:r>
      <w:r>
        <w:rPr>
          <w:spacing w:val="-11"/>
        </w:rPr>
        <w:t> </w:t>
      </w:r>
      <w:r>
        <w:rPr/>
        <w:t>although</w:t>
      </w:r>
      <w:r>
        <w:rPr>
          <w:spacing w:val="-10"/>
        </w:rPr>
        <w:t> </w:t>
      </w:r>
      <w:r>
        <w:rPr/>
        <w:t>helpful,</w:t>
      </w:r>
      <w:r>
        <w:rPr>
          <w:spacing w:val="-12"/>
        </w:rPr>
        <w:t> </w:t>
      </w:r>
      <w:r>
        <w:rPr/>
        <w:t>does</w:t>
      </w:r>
      <w:r>
        <w:rPr>
          <w:spacing w:val="-11"/>
        </w:rPr>
        <w:t> </w:t>
      </w:r>
      <w:r>
        <w:rPr/>
        <w:t>not</w:t>
      </w:r>
      <w:r>
        <w:rPr>
          <w:spacing w:val="-12"/>
        </w:rPr>
        <w:t> </w:t>
      </w:r>
      <w:r>
        <w:rPr/>
        <w:t>serve</w:t>
      </w:r>
      <w:r>
        <w:rPr>
          <w:spacing w:val="-11"/>
        </w:rPr>
        <w:t> </w:t>
      </w:r>
      <w:r>
        <w:rPr/>
        <w:t>as</w:t>
      </w:r>
      <w:r>
        <w:rPr>
          <w:spacing w:val="-11"/>
        </w:rPr>
        <w:t> </w:t>
      </w:r>
      <w:r>
        <w:rPr/>
        <w:t>a</w:t>
      </w:r>
      <w:r>
        <w:rPr>
          <w:spacing w:val="-9"/>
        </w:rPr>
        <w:t> </w:t>
      </w:r>
      <w:r>
        <w:rPr/>
        <w:t>primary</w:t>
      </w:r>
      <w:r>
        <w:rPr>
          <w:spacing w:val="-11"/>
        </w:rPr>
        <w:t> </w:t>
      </w:r>
      <w:r>
        <w:rPr/>
        <w:t>explanatory</w:t>
      </w:r>
      <w:r>
        <w:rPr>
          <w:spacing w:val="-11"/>
        </w:rPr>
        <w:t> </w:t>
      </w:r>
      <w:r>
        <w:rPr/>
        <w:t>factor.</w:t>
      </w:r>
    </w:p>
    <w:p>
      <w:pPr>
        <w:pStyle w:val="BodyText"/>
        <w:spacing w:before="1"/>
        <w:ind w:left="0"/>
      </w:pPr>
    </w:p>
    <w:p>
      <w:pPr>
        <w:pStyle w:val="BodyText"/>
        <w:ind w:right="1081" w:firstLine="719"/>
        <w:jc w:val="both"/>
      </w:pPr>
      <w:r>
        <w:rPr/>
        <w:t>The total effect of achievement goal on writing strategy remained significant and substantial (β = 0.381, p &lt; .001), suggesting that achievement goals constitute a key motivational driver shaping students’ writing approaches (Stavropoulou et al., 2023; Liu et al., 2024). The model accounted for 18.1% of the variance in writing strategies (R² =</w:t>
      </w:r>
    </w:p>
    <w:p>
      <w:pPr>
        <w:pStyle w:val="BodyText"/>
        <w:ind w:right="1080"/>
        <w:jc w:val="both"/>
      </w:pPr>
      <w:r>
        <w:rPr/>
        <w:t>.181), indicating moderate predictive power (Cohen, 1988). This also implies that other influential factors such as writing self-efficacy, instructional clarity, feedback quality, or linguistic proficiency likely contribute to students’ strategy use and warrant future </w:t>
      </w:r>
      <w:r>
        <w:rPr>
          <w:spacing w:val="-2"/>
        </w:rPr>
        <w:t>investigation.</w:t>
      </w:r>
    </w:p>
    <w:p>
      <w:pPr>
        <w:pStyle w:val="BodyText"/>
        <w:spacing w:before="1"/>
        <w:ind w:left="0"/>
      </w:pPr>
    </w:p>
    <w:p>
      <w:pPr>
        <w:pStyle w:val="BodyText"/>
        <w:ind w:right="1074" w:firstLine="719"/>
        <w:jc w:val="both"/>
      </w:pPr>
      <w:r>
        <w:rPr/>
        <w:t>These</w:t>
      </w:r>
      <w:r>
        <w:rPr>
          <w:spacing w:val="-17"/>
        </w:rPr>
        <w:t> </w:t>
      </w:r>
      <w:r>
        <w:rPr/>
        <w:t>findings</w:t>
      </w:r>
      <w:r>
        <w:rPr>
          <w:spacing w:val="-17"/>
        </w:rPr>
        <w:t> </w:t>
      </w:r>
      <w:r>
        <w:rPr/>
        <w:t>highlight</w:t>
      </w:r>
      <w:r>
        <w:rPr>
          <w:spacing w:val="-16"/>
        </w:rPr>
        <w:t> </w:t>
      </w:r>
      <w:r>
        <w:rPr/>
        <w:t>several</w:t>
      </w:r>
      <w:r>
        <w:rPr>
          <w:spacing w:val="-17"/>
        </w:rPr>
        <w:t> </w:t>
      </w:r>
      <w:r>
        <w:rPr/>
        <w:t>instructional</w:t>
      </w:r>
      <w:r>
        <w:rPr>
          <w:spacing w:val="-17"/>
        </w:rPr>
        <w:t> </w:t>
      </w:r>
      <w:r>
        <w:rPr/>
        <w:t>implications.</w:t>
      </w:r>
      <w:r>
        <w:rPr>
          <w:spacing w:val="-17"/>
        </w:rPr>
        <w:t> </w:t>
      </w:r>
      <w:r>
        <w:rPr/>
        <w:t>First,</w:t>
      </w:r>
      <w:r>
        <w:rPr>
          <w:spacing w:val="-16"/>
        </w:rPr>
        <w:t> </w:t>
      </w:r>
      <w:r>
        <w:rPr/>
        <w:t>achievement</w:t>
      </w:r>
      <w:r>
        <w:rPr>
          <w:spacing w:val="-17"/>
        </w:rPr>
        <w:t> </w:t>
      </w:r>
      <w:r>
        <w:rPr/>
        <w:t>goals had a stronger and more direct impact on writing strategies than grit, teachers should cultivate mastery-goal learning environments that stress improvement, understanding and</w:t>
      </w:r>
      <w:r>
        <w:rPr>
          <w:spacing w:val="-5"/>
        </w:rPr>
        <w:t> </w:t>
      </w:r>
      <w:r>
        <w:rPr/>
        <w:t>effort-based</w:t>
      </w:r>
      <w:r>
        <w:rPr>
          <w:spacing w:val="-6"/>
        </w:rPr>
        <w:t> </w:t>
      </w:r>
      <w:r>
        <w:rPr/>
        <w:t>progress</w:t>
      </w:r>
      <w:r>
        <w:rPr>
          <w:spacing w:val="-5"/>
        </w:rPr>
        <w:t> </w:t>
      </w:r>
      <w:r>
        <w:rPr/>
        <w:t>rather</w:t>
      </w:r>
      <w:r>
        <w:rPr>
          <w:spacing w:val="-5"/>
        </w:rPr>
        <w:t> </w:t>
      </w:r>
      <w:r>
        <w:rPr/>
        <w:t>than</w:t>
      </w:r>
      <w:r>
        <w:rPr>
          <w:spacing w:val="-7"/>
        </w:rPr>
        <w:t> </w:t>
      </w:r>
      <w:r>
        <w:rPr/>
        <w:t>performance</w:t>
      </w:r>
      <w:r>
        <w:rPr>
          <w:spacing w:val="-5"/>
        </w:rPr>
        <w:t> </w:t>
      </w:r>
      <w:r>
        <w:rPr/>
        <w:t>comparison.</w:t>
      </w:r>
      <w:r>
        <w:rPr>
          <w:spacing w:val="-6"/>
        </w:rPr>
        <w:t> </w:t>
      </w:r>
      <w:r>
        <w:rPr/>
        <w:t>Giving</w:t>
      </w:r>
      <w:r>
        <w:rPr>
          <w:spacing w:val="-5"/>
        </w:rPr>
        <w:t> </w:t>
      </w:r>
      <w:r>
        <w:rPr/>
        <w:t>process-oriented feedback, demonstrating good strategies, and mixing reflective writing activities into the curriculum</w:t>
      </w:r>
      <w:r>
        <w:rPr>
          <w:spacing w:val="-1"/>
        </w:rPr>
        <w:t> </w:t>
      </w:r>
      <w:r>
        <w:rPr/>
        <w:t>can</w:t>
      </w:r>
      <w:r>
        <w:rPr>
          <w:spacing w:val="-1"/>
        </w:rPr>
        <w:t> </w:t>
      </w:r>
      <w:r>
        <w:rPr/>
        <w:t>all</w:t>
      </w:r>
      <w:r>
        <w:rPr>
          <w:spacing w:val="-1"/>
        </w:rPr>
        <w:t> </w:t>
      </w:r>
      <w:r>
        <w:rPr/>
        <w:t>help</w:t>
      </w:r>
      <w:r>
        <w:rPr>
          <w:spacing w:val="-1"/>
        </w:rPr>
        <w:t> </w:t>
      </w:r>
      <w:r>
        <w:rPr/>
        <w:t>students</w:t>
      </w:r>
      <w:r>
        <w:rPr>
          <w:spacing w:val="-2"/>
        </w:rPr>
        <w:t> </w:t>
      </w:r>
      <w:r>
        <w:rPr/>
        <w:t>acquire</w:t>
      </w:r>
      <w:r>
        <w:rPr>
          <w:spacing w:val="-1"/>
        </w:rPr>
        <w:t> </w:t>
      </w:r>
      <w:r>
        <w:rPr/>
        <w:t>adaptable</w:t>
      </w:r>
      <w:r>
        <w:rPr>
          <w:spacing w:val="-1"/>
        </w:rPr>
        <w:t> </w:t>
      </w:r>
      <w:r>
        <w:rPr/>
        <w:t>writing</w:t>
      </w:r>
      <w:r>
        <w:rPr>
          <w:spacing w:val="-1"/>
        </w:rPr>
        <w:t> </w:t>
      </w:r>
      <w:r>
        <w:rPr/>
        <w:t>methods.</w:t>
      </w:r>
      <w:r>
        <w:rPr>
          <w:spacing w:val="40"/>
        </w:rPr>
        <w:t> </w:t>
      </w:r>
      <w:r>
        <w:rPr/>
        <w:t>However, since</w:t>
      </w:r>
      <w:r>
        <w:rPr>
          <w:spacing w:val="-1"/>
        </w:rPr>
        <w:t> </w:t>
      </w:r>
      <w:r>
        <w:rPr/>
        <w:t>grit did not serve as a mediator in the relationships, it still appears that when students make consistent effort they should be catered for through scaffolding tasks and feedback from supportive instructors. Increasing perseverance, perhaps by setting up an organization which offers incremental challenges accompanied with ample reinforcement for tackling them</w:t>
      </w:r>
      <w:r>
        <w:rPr>
          <w:spacing w:val="-15"/>
        </w:rPr>
        <w:t> </w:t>
      </w:r>
      <w:r>
        <w:rPr/>
        <w:t>over</w:t>
      </w:r>
      <w:r>
        <w:rPr>
          <w:spacing w:val="-15"/>
        </w:rPr>
        <w:t> </w:t>
      </w:r>
      <w:r>
        <w:rPr/>
        <w:t>time</w:t>
      </w:r>
      <w:r>
        <w:rPr>
          <w:spacing w:val="-14"/>
        </w:rPr>
        <w:t> </w:t>
      </w:r>
      <w:r>
        <w:rPr/>
        <w:t>can</w:t>
      </w:r>
      <w:r>
        <w:rPr>
          <w:spacing w:val="-14"/>
        </w:rPr>
        <w:t> </w:t>
      </w:r>
      <w:r>
        <w:rPr/>
        <w:t>benefit</w:t>
      </w:r>
      <w:r>
        <w:rPr>
          <w:spacing w:val="-16"/>
        </w:rPr>
        <w:t> </w:t>
      </w:r>
      <w:r>
        <w:rPr/>
        <w:t>the</w:t>
      </w:r>
      <w:r>
        <w:rPr>
          <w:spacing w:val="-15"/>
        </w:rPr>
        <w:t> </w:t>
      </w:r>
      <w:r>
        <w:rPr/>
        <w:t>student</w:t>
      </w:r>
      <w:r>
        <w:rPr>
          <w:spacing w:val="-16"/>
        </w:rPr>
        <w:t> </w:t>
      </w:r>
      <w:r>
        <w:rPr/>
        <w:t>but</w:t>
      </w:r>
      <w:r>
        <w:rPr>
          <w:spacing w:val="-16"/>
        </w:rPr>
        <w:t> </w:t>
      </w:r>
      <w:r>
        <w:rPr/>
        <w:t>must</w:t>
      </w:r>
      <w:r>
        <w:rPr>
          <w:spacing w:val="-15"/>
        </w:rPr>
        <w:t> </w:t>
      </w:r>
      <w:r>
        <w:rPr/>
        <w:t>be</w:t>
      </w:r>
      <w:r>
        <w:rPr>
          <w:spacing w:val="-14"/>
        </w:rPr>
        <w:t> </w:t>
      </w:r>
      <w:r>
        <w:rPr/>
        <w:t>supplemented</w:t>
      </w:r>
      <w:r>
        <w:rPr>
          <w:spacing w:val="-14"/>
        </w:rPr>
        <w:t> </w:t>
      </w:r>
      <w:r>
        <w:rPr/>
        <w:t>not</w:t>
      </w:r>
      <w:r>
        <w:rPr>
          <w:spacing w:val="-16"/>
        </w:rPr>
        <w:t> </w:t>
      </w:r>
      <w:r>
        <w:rPr/>
        <w:t>substituted</w:t>
      </w:r>
      <w:r>
        <w:rPr>
          <w:spacing w:val="-14"/>
        </w:rPr>
        <w:t> </w:t>
      </w:r>
      <w:r>
        <w:rPr/>
        <w:t>by</w:t>
      </w:r>
      <w:r>
        <w:rPr>
          <w:spacing w:val="-15"/>
        </w:rPr>
        <w:t> </w:t>
      </w:r>
      <w:r>
        <w:rPr/>
        <w:t>goal- structured instruction. Ultimately, strengthening student achievement goals seems to be a more immediate and powerful lever for changing writing strategies.</w:t>
      </w:r>
    </w:p>
    <w:p>
      <w:pPr>
        <w:pStyle w:val="BodyText"/>
        <w:spacing w:after="0"/>
        <w:jc w:val="both"/>
        <w:sectPr>
          <w:pgSz w:w="12240" w:h="15840"/>
          <w:pgMar w:top="1360" w:bottom="280" w:left="360" w:right="360"/>
        </w:sectPr>
      </w:pPr>
    </w:p>
    <w:p>
      <w:pPr>
        <w:pStyle w:val="BodyText"/>
        <w:spacing w:before="81"/>
        <w:ind w:left="0" w:right="168"/>
        <w:jc w:val="center"/>
      </w:pPr>
      <w:r>
        <w:rPr/>
        <w:t>Table</w:t>
      </w:r>
      <w:r>
        <w:rPr>
          <w:spacing w:val="-4"/>
        </w:rPr>
        <w:t> </w:t>
      </w:r>
      <w:r>
        <w:rPr/>
        <w:t>5.</w:t>
      </w:r>
      <w:r>
        <w:rPr>
          <w:spacing w:val="-3"/>
        </w:rPr>
        <w:t> </w:t>
      </w:r>
      <w:r>
        <w:rPr/>
        <w:t>Direct</w:t>
      </w:r>
      <w:r>
        <w:rPr>
          <w:spacing w:val="-3"/>
        </w:rPr>
        <w:t> </w:t>
      </w:r>
      <w:r>
        <w:rPr/>
        <w:t>Effects,</w:t>
      </w:r>
      <w:r>
        <w:rPr>
          <w:spacing w:val="-3"/>
        </w:rPr>
        <w:t> </w:t>
      </w:r>
      <w:r>
        <w:rPr/>
        <w:t>Indirect</w:t>
      </w:r>
      <w:r>
        <w:rPr>
          <w:spacing w:val="-3"/>
        </w:rPr>
        <w:t> </w:t>
      </w:r>
      <w:r>
        <w:rPr/>
        <w:t>Effects,</w:t>
      </w:r>
      <w:r>
        <w:rPr>
          <w:spacing w:val="-3"/>
        </w:rPr>
        <w:t> </w:t>
      </w:r>
      <w:r>
        <w:rPr/>
        <w:t>and</w:t>
      </w:r>
      <w:r>
        <w:rPr>
          <w:spacing w:val="-2"/>
        </w:rPr>
        <w:t> </w:t>
      </w:r>
      <w:r>
        <w:rPr/>
        <w:t>Total</w:t>
      </w:r>
      <w:r>
        <w:rPr>
          <w:spacing w:val="-1"/>
        </w:rPr>
        <w:t> </w:t>
      </w:r>
      <w:r>
        <w:rPr/>
        <w:t>Effects</w:t>
      </w:r>
      <w:r>
        <w:rPr>
          <w:spacing w:val="-3"/>
        </w:rPr>
        <w:t> </w:t>
      </w:r>
      <w:r>
        <w:rPr/>
        <w:t>of</w:t>
      </w:r>
      <w:r>
        <w:rPr>
          <w:spacing w:val="-3"/>
        </w:rPr>
        <w:t> </w:t>
      </w:r>
      <w:r>
        <w:rPr/>
        <w:t>the</w:t>
      </w:r>
      <w:r>
        <w:rPr>
          <w:spacing w:val="-1"/>
        </w:rPr>
        <w:t> </w:t>
      </w:r>
      <w:r>
        <w:rPr>
          <w:spacing w:val="-2"/>
        </w:rPr>
        <w:t>Variables</w:t>
      </w:r>
    </w:p>
    <w:p>
      <w:pPr>
        <w:pStyle w:val="BodyText"/>
        <w:ind w:left="0"/>
        <w:rPr>
          <w:sz w:val="20"/>
        </w:rPr>
      </w:pPr>
    </w:p>
    <w:p>
      <w:pPr>
        <w:pStyle w:val="BodyText"/>
        <w:spacing w:before="106"/>
        <w:ind w:left="0"/>
        <w:rPr>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43"/>
        <w:gridCol w:w="1313"/>
        <w:gridCol w:w="1285"/>
        <w:gridCol w:w="1277"/>
        <w:gridCol w:w="1528"/>
        <w:gridCol w:w="1147"/>
        <w:gridCol w:w="1001"/>
        <w:gridCol w:w="1806"/>
      </w:tblGrid>
      <w:tr>
        <w:trPr>
          <w:trHeight w:val="622" w:hRule="atLeast"/>
        </w:trPr>
        <w:tc>
          <w:tcPr>
            <w:tcW w:w="1943" w:type="dxa"/>
            <w:tcBorders>
              <w:top w:val="single" w:sz="4" w:space="0" w:color="000000"/>
            </w:tcBorders>
          </w:tcPr>
          <w:p>
            <w:pPr>
              <w:pStyle w:val="TableParagraph"/>
              <w:spacing w:line="206" w:lineRule="exact"/>
              <w:ind w:left="122"/>
              <w:rPr>
                <w:rFonts w:ascii="Arial"/>
                <w:b/>
                <w:sz w:val="18"/>
              </w:rPr>
            </w:pPr>
            <w:r>
              <w:rPr>
                <w:rFonts w:ascii="Arial"/>
                <w:b/>
                <w:sz w:val="18"/>
              </w:rPr>
              <w:t>Direct </w:t>
            </w:r>
            <w:r>
              <w:rPr>
                <w:rFonts w:ascii="Arial"/>
                <w:b/>
                <w:spacing w:val="-2"/>
                <w:sz w:val="18"/>
              </w:rPr>
              <w:t>Effects</w:t>
            </w:r>
          </w:p>
        </w:tc>
        <w:tc>
          <w:tcPr>
            <w:tcW w:w="1313" w:type="dxa"/>
            <w:tcBorders>
              <w:top w:val="single" w:sz="4" w:space="0" w:color="000000"/>
            </w:tcBorders>
          </w:tcPr>
          <w:p>
            <w:pPr>
              <w:pStyle w:val="TableParagraph"/>
              <w:ind w:left="135" w:right="240"/>
              <w:rPr>
                <w:rFonts w:ascii="Arial"/>
                <w:b/>
                <w:sz w:val="18"/>
              </w:rPr>
            </w:pPr>
            <w:r>
              <w:rPr>
                <w:rFonts w:ascii="Arial"/>
                <w:b/>
                <w:spacing w:val="-2"/>
                <w:sz w:val="18"/>
              </w:rPr>
              <w:t>Original </w:t>
            </w:r>
            <w:r>
              <w:rPr>
                <w:rFonts w:ascii="Arial"/>
                <w:b/>
                <w:sz w:val="18"/>
              </w:rPr>
              <w:t>sample</w:t>
            </w:r>
            <w:r>
              <w:rPr>
                <w:rFonts w:ascii="Arial"/>
                <w:b/>
                <w:spacing w:val="-13"/>
                <w:sz w:val="18"/>
              </w:rPr>
              <w:t> </w:t>
            </w:r>
            <w:r>
              <w:rPr>
                <w:rFonts w:ascii="Arial"/>
                <w:b/>
                <w:sz w:val="18"/>
              </w:rPr>
              <w:t>(O)</w:t>
            </w:r>
          </w:p>
        </w:tc>
        <w:tc>
          <w:tcPr>
            <w:tcW w:w="1285" w:type="dxa"/>
            <w:tcBorders>
              <w:top w:val="single" w:sz="4" w:space="0" w:color="000000"/>
            </w:tcBorders>
          </w:tcPr>
          <w:p>
            <w:pPr>
              <w:pStyle w:val="TableParagraph"/>
              <w:ind w:left="248" w:right="239"/>
              <w:rPr>
                <w:rFonts w:ascii="Arial"/>
                <w:b/>
                <w:sz w:val="18"/>
              </w:rPr>
            </w:pPr>
            <w:r>
              <w:rPr>
                <w:rFonts w:ascii="Arial"/>
                <w:b/>
                <w:spacing w:val="-2"/>
                <w:sz w:val="18"/>
              </w:rPr>
              <w:t>Sample </w:t>
            </w:r>
            <w:r>
              <w:rPr>
                <w:rFonts w:ascii="Arial"/>
                <w:b/>
                <w:sz w:val="18"/>
              </w:rPr>
              <w:t>mean</w:t>
            </w:r>
            <w:r>
              <w:rPr>
                <w:rFonts w:ascii="Arial"/>
                <w:b/>
                <w:spacing w:val="-13"/>
                <w:sz w:val="18"/>
              </w:rPr>
              <w:t> </w:t>
            </w:r>
            <w:r>
              <w:rPr>
                <w:rFonts w:ascii="Arial"/>
                <w:b/>
                <w:sz w:val="18"/>
              </w:rPr>
              <w:t>(M)</w:t>
            </w:r>
          </w:p>
        </w:tc>
        <w:tc>
          <w:tcPr>
            <w:tcW w:w="1277" w:type="dxa"/>
            <w:tcBorders>
              <w:top w:val="single" w:sz="4" w:space="0" w:color="000000"/>
            </w:tcBorders>
          </w:tcPr>
          <w:p>
            <w:pPr>
              <w:pStyle w:val="TableParagraph"/>
              <w:ind w:left="247"/>
              <w:rPr>
                <w:rFonts w:ascii="Arial"/>
                <w:b/>
                <w:sz w:val="18"/>
              </w:rPr>
            </w:pPr>
            <w:r>
              <w:rPr>
                <w:rFonts w:ascii="Arial"/>
                <w:b/>
                <w:spacing w:val="-2"/>
                <w:sz w:val="18"/>
              </w:rPr>
              <w:t>Standard deviation</w:t>
            </w:r>
          </w:p>
          <w:p>
            <w:pPr>
              <w:pStyle w:val="TableParagraph"/>
              <w:spacing w:line="189" w:lineRule="exact"/>
              <w:ind w:left="247"/>
              <w:rPr>
                <w:rFonts w:ascii="Arial"/>
                <w:b/>
                <w:sz w:val="18"/>
              </w:rPr>
            </w:pPr>
            <w:r>
              <w:rPr>
                <w:rFonts w:ascii="Arial"/>
                <w:b/>
                <w:spacing w:val="-2"/>
                <w:sz w:val="18"/>
              </w:rPr>
              <w:t>(STDEV)</w:t>
            </w:r>
          </w:p>
        </w:tc>
        <w:tc>
          <w:tcPr>
            <w:tcW w:w="1528" w:type="dxa"/>
            <w:tcBorders>
              <w:top w:val="single" w:sz="4" w:space="0" w:color="000000"/>
            </w:tcBorders>
          </w:tcPr>
          <w:p>
            <w:pPr>
              <w:pStyle w:val="TableParagraph"/>
              <w:ind w:left="240"/>
              <w:rPr>
                <w:rFonts w:ascii="Arial"/>
                <w:b/>
                <w:sz w:val="18"/>
              </w:rPr>
            </w:pPr>
            <w:r>
              <w:rPr>
                <w:rFonts w:ascii="Arial"/>
                <w:b/>
                <w:sz w:val="18"/>
              </w:rPr>
              <w:t>T statistics </w:t>
            </w:r>
            <w:r>
              <w:rPr>
                <w:rFonts w:ascii="Arial"/>
                <w:b/>
                <w:spacing w:val="-2"/>
                <w:sz w:val="18"/>
              </w:rPr>
              <w:t>(|O/STDEV|)</w:t>
            </w:r>
          </w:p>
        </w:tc>
        <w:tc>
          <w:tcPr>
            <w:tcW w:w="1147" w:type="dxa"/>
            <w:tcBorders>
              <w:top w:val="single" w:sz="4" w:space="0" w:color="000000"/>
            </w:tcBorders>
          </w:tcPr>
          <w:p>
            <w:pPr>
              <w:pStyle w:val="TableParagraph"/>
              <w:spacing w:line="206" w:lineRule="exact"/>
              <w:ind w:left="277"/>
              <w:rPr>
                <w:rFonts w:ascii="Arial"/>
                <w:b/>
                <w:sz w:val="18"/>
              </w:rPr>
            </w:pPr>
            <w:r>
              <w:rPr>
                <w:rFonts w:ascii="Arial"/>
                <w:b/>
                <w:sz w:val="18"/>
              </w:rPr>
              <w:t>P</w:t>
            </w:r>
            <w:r>
              <w:rPr>
                <w:rFonts w:ascii="Arial"/>
                <w:b/>
                <w:spacing w:val="-1"/>
                <w:sz w:val="18"/>
              </w:rPr>
              <w:t> </w:t>
            </w:r>
            <w:r>
              <w:rPr>
                <w:rFonts w:ascii="Arial"/>
                <w:b/>
                <w:spacing w:val="-2"/>
                <w:sz w:val="18"/>
              </w:rPr>
              <w:t>values</w:t>
            </w:r>
          </w:p>
        </w:tc>
        <w:tc>
          <w:tcPr>
            <w:tcW w:w="1001" w:type="dxa"/>
            <w:tcBorders>
              <w:top w:val="single" w:sz="4" w:space="0" w:color="000000"/>
            </w:tcBorders>
          </w:tcPr>
          <w:p>
            <w:pPr>
              <w:pStyle w:val="TableParagraph"/>
              <w:spacing w:line="206" w:lineRule="exact"/>
              <w:ind w:left="142"/>
              <w:rPr>
                <w:rFonts w:ascii="Arial"/>
                <w:b/>
                <w:sz w:val="18"/>
              </w:rPr>
            </w:pPr>
            <w:r>
              <w:rPr>
                <w:rFonts w:ascii="Arial"/>
                <w:b/>
                <w:spacing w:val="-2"/>
                <w:sz w:val="18"/>
              </w:rPr>
              <w:t>f-square</w:t>
            </w:r>
          </w:p>
        </w:tc>
        <w:tc>
          <w:tcPr>
            <w:tcW w:w="1806" w:type="dxa"/>
            <w:tcBorders>
              <w:top w:val="single" w:sz="4" w:space="0" w:color="000000"/>
            </w:tcBorders>
          </w:tcPr>
          <w:p>
            <w:pPr>
              <w:pStyle w:val="TableParagraph"/>
              <w:spacing w:before="205"/>
              <w:ind w:left="345"/>
              <w:rPr>
                <w:rFonts w:ascii="Arial"/>
                <w:b/>
                <w:sz w:val="18"/>
              </w:rPr>
            </w:pPr>
            <w:r>
              <w:rPr>
                <w:rFonts w:ascii="Arial"/>
                <w:b/>
                <w:spacing w:val="-2"/>
                <w:sz w:val="18"/>
              </w:rPr>
              <w:t>Interpretation</w:t>
            </w:r>
          </w:p>
        </w:tc>
      </w:tr>
      <w:tr>
        <w:trPr>
          <w:trHeight w:val="206" w:hRule="atLeast"/>
        </w:trPr>
        <w:tc>
          <w:tcPr>
            <w:tcW w:w="1943" w:type="dxa"/>
          </w:tcPr>
          <w:p>
            <w:pPr>
              <w:pStyle w:val="TableParagraph"/>
              <w:spacing w:line="187" w:lineRule="exact"/>
              <w:ind w:left="122"/>
              <w:rPr>
                <w:sz w:val="18"/>
              </w:rPr>
            </w:pPr>
            <w:r>
              <w:rPr>
                <w:sz w:val="18"/>
              </w:rPr>
              <w:t>Achievement</w:t>
            </w:r>
            <w:r>
              <w:rPr>
                <w:spacing w:val="-8"/>
                <w:sz w:val="18"/>
              </w:rPr>
              <w:t> </w:t>
            </w:r>
            <w:r>
              <w:rPr>
                <w:sz w:val="18"/>
              </w:rPr>
              <w:t>Goal</w:t>
            </w:r>
            <w:r>
              <w:rPr>
                <w:spacing w:val="-6"/>
                <w:sz w:val="18"/>
              </w:rPr>
              <w:t> </w:t>
            </w:r>
            <w:r>
              <w:rPr>
                <w:sz w:val="18"/>
              </w:rPr>
              <w:t>-</w:t>
            </w:r>
            <w:r>
              <w:rPr>
                <w:spacing w:val="-10"/>
                <w:sz w:val="18"/>
              </w:rPr>
              <w:t>&gt;</w:t>
            </w:r>
          </w:p>
        </w:tc>
        <w:tc>
          <w:tcPr>
            <w:tcW w:w="1313" w:type="dxa"/>
          </w:tcPr>
          <w:p>
            <w:pPr>
              <w:pStyle w:val="TableParagraph"/>
              <w:spacing w:line="187" w:lineRule="exact"/>
              <w:ind w:left="135"/>
              <w:rPr>
                <w:sz w:val="18"/>
              </w:rPr>
            </w:pPr>
            <w:r>
              <w:rPr>
                <w:spacing w:val="-2"/>
                <w:sz w:val="18"/>
              </w:rPr>
              <w:t>0.351</w:t>
            </w:r>
          </w:p>
        </w:tc>
        <w:tc>
          <w:tcPr>
            <w:tcW w:w="1285" w:type="dxa"/>
          </w:tcPr>
          <w:p>
            <w:pPr>
              <w:pStyle w:val="TableParagraph"/>
              <w:spacing w:line="187" w:lineRule="exact"/>
              <w:ind w:left="248"/>
              <w:rPr>
                <w:sz w:val="18"/>
              </w:rPr>
            </w:pPr>
            <w:r>
              <w:rPr>
                <w:spacing w:val="-2"/>
                <w:sz w:val="18"/>
              </w:rPr>
              <w:t>0.352</w:t>
            </w:r>
          </w:p>
        </w:tc>
        <w:tc>
          <w:tcPr>
            <w:tcW w:w="1277" w:type="dxa"/>
          </w:tcPr>
          <w:p>
            <w:pPr>
              <w:pStyle w:val="TableParagraph"/>
              <w:spacing w:line="187" w:lineRule="exact"/>
              <w:ind w:left="247"/>
              <w:rPr>
                <w:sz w:val="18"/>
              </w:rPr>
            </w:pPr>
            <w:r>
              <w:rPr>
                <w:spacing w:val="-2"/>
                <w:sz w:val="18"/>
              </w:rPr>
              <w:t>0.089</w:t>
            </w:r>
          </w:p>
        </w:tc>
        <w:tc>
          <w:tcPr>
            <w:tcW w:w="1528" w:type="dxa"/>
          </w:tcPr>
          <w:p>
            <w:pPr>
              <w:pStyle w:val="TableParagraph"/>
              <w:spacing w:line="187" w:lineRule="exact"/>
              <w:ind w:left="240"/>
              <w:rPr>
                <w:sz w:val="18"/>
              </w:rPr>
            </w:pPr>
            <w:r>
              <w:rPr>
                <w:spacing w:val="-2"/>
                <w:sz w:val="18"/>
              </w:rPr>
              <w:t>3.963</w:t>
            </w:r>
          </w:p>
        </w:tc>
        <w:tc>
          <w:tcPr>
            <w:tcW w:w="1147" w:type="dxa"/>
          </w:tcPr>
          <w:p>
            <w:pPr>
              <w:pStyle w:val="TableParagraph"/>
              <w:spacing w:line="187" w:lineRule="exact"/>
              <w:ind w:left="277"/>
              <w:rPr>
                <w:sz w:val="18"/>
              </w:rPr>
            </w:pPr>
            <w:r>
              <w:rPr>
                <w:spacing w:val="-2"/>
                <w:sz w:val="18"/>
              </w:rPr>
              <w:t>0.000</w:t>
            </w:r>
          </w:p>
        </w:tc>
        <w:tc>
          <w:tcPr>
            <w:tcW w:w="1001" w:type="dxa"/>
          </w:tcPr>
          <w:p>
            <w:pPr>
              <w:pStyle w:val="TableParagraph"/>
              <w:spacing w:line="187" w:lineRule="exact"/>
              <w:ind w:left="142"/>
              <w:rPr>
                <w:sz w:val="18"/>
              </w:rPr>
            </w:pPr>
            <w:r>
              <w:rPr>
                <w:spacing w:val="-2"/>
                <w:sz w:val="18"/>
              </w:rPr>
              <w:t>0.141</w:t>
            </w:r>
          </w:p>
        </w:tc>
        <w:tc>
          <w:tcPr>
            <w:tcW w:w="1806" w:type="dxa"/>
          </w:tcPr>
          <w:p>
            <w:pPr>
              <w:pStyle w:val="TableParagraph"/>
              <w:spacing w:line="187" w:lineRule="exact"/>
              <w:ind w:left="151"/>
              <w:rPr>
                <w:rFonts w:ascii="Arial"/>
                <w:b/>
                <w:sz w:val="18"/>
              </w:rPr>
            </w:pPr>
            <w:r>
              <w:rPr>
                <w:rFonts w:ascii="Arial"/>
                <w:b/>
                <w:spacing w:val="-2"/>
                <w:sz w:val="18"/>
              </w:rPr>
              <w:t>Significant</w:t>
            </w:r>
          </w:p>
        </w:tc>
      </w:tr>
      <w:tr>
        <w:trPr>
          <w:trHeight w:val="206" w:hRule="atLeast"/>
        </w:trPr>
        <w:tc>
          <w:tcPr>
            <w:tcW w:w="1943" w:type="dxa"/>
          </w:tcPr>
          <w:p>
            <w:pPr>
              <w:pStyle w:val="TableParagraph"/>
              <w:spacing w:line="187" w:lineRule="exact"/>
              <w:ind w:left="122"/>
              <w:rPr>
                <w:sz w:val="18"/>
              </w:rPr>
            </w:pPr>
            <w:r>
              <w:rPr>
                <w:spacing w:val="-4"/>
                <w:sz w:val="18"/>
              </w:rPr>
              <w:t>Grit</w:t>
            </w:r>
          </w:p>
        </w:tc>
        <w:tc>
          <w:tcPr>
            <w:tcW w:w="1313" w:type="dxa"/>
          </w:tcPr>
          <w:p>
            <w:pPr>
              <w:pStyle w:val="TableParagraph"/>
              <w:rPr>
                <w:rFonts w:ascii="Times New Roman"/>
                <w:sz w:val="14"/>
              </w:rPr>
            </w:pPr>
          </w:p>
        </w:tc>
        <w:tc>
          <w:tcPr>
            <w:tcW w:w="1285" w:type="dxa"/>
          </w:tcPr>
          <w:p>
            <w:pPr>
              <w:pStyle w:val="TableParagraph"/>
              <w:rPr>
                <w:rFonts w:ascii="Times New Roman"/>
                <w:sz w:val="14"/>
              </w:rPr>
            </w:pPr>
          </w:p>
        </w:tc>
        <w:tc>
          <w:tcPr>
            <w:tcW w:w="1277" w:type="dxa"/>
          </w:tcPr>
          <w:p>
            <w:pPr>
              <w:pStyle w:val="TableParagraph"/>
              <w:rPr>
                <w:rFonts w:ascii="Times New Roman"/>
                <w:sz w:val="14"/>
              </w:rPr>
            </w:pPr>
          </w:p>
        </w:tc>
        <w:tc>
          <w:tcPr>
            <w:tcW w:w="1528" w:type="dxa"/>
          </w:tcPr>
          <w:p>
            <w:pPr>
              <w:pStyle w:val="TableParagraph"/>
              <w:rPr>
                <w:rFonts w:ascii="Times New Roman"/>
                <w:sz w:val="14"/>
              </w:rPr>
            </w:pPr>
          </w:p>
        </w:tc>
        <w:tc>
          <w:tcPr>
            <w:tcW w:w="1147" w:type="dxa"/>
          </w:tcPr>
          <w:p>
            <w:pPr>
              <w:pStyle w:val="TableParagraph"/>
              <w:rPr>
                <w:rFonts w:ascii="Times New Roman"/>
                <w:sz w:val="14"/>
              </w:rPr>
            </w:pPr>
          </w:p>
        </w:tc>
        <w:tc>
          <w:tcPr>
            <w:tcW w:w="1001" w:type="dxa"/>
          </w:tcPr>
          <w:p>
            <w:pPr>
              <w:pStyle w:val="TableParagraph"/>
              <w:rPr>
                <w:rFonts w:ascii="Times New Roman"/>
                <w:sz w:val="14"/>
              </w:rPr>
            </w:pPr>
          </w:p>
        </w:tc>
        <w:tc>
          <w:tcPr>
            <w:tcW w:w="1806" w:type="dxa"/>
          </w:tcPr>
          <w:p>
            <w:pPr>
              <w:pStyle w:val="TableParagraph"/>
              <w:spacing w:line="187" w:lineRule="exact"/>
              <w:ind w:left="151"/>
              <w:rPr>
                <w:sz w:val="18"/>
              </w:rPr>
            </w:pPr>
            <w:r>
              <w:rPr>
                <w:rFonts w:ascii="Arial"/>
                <w:b/>
                <w:sz w:val="18"/>
              </w:rPr>
              <w:t>positive </w:t>
            </w:r>
            <w:r>
              <w:rPr>
                <w:rFonts w:ascii="Arial"/>
                <w:b/>
                <w:spacing w:val="-2"/>
                <w:sz w:val="18"/>
              </w:rPr>
              <w:t>effect</w:t>
            </w:r>
            <w:r>
              <w:rPr>
                <w:spacing w:val="-2"/>
                <w:sz w:val="18"/>
              </w:rPr>
              <w:t>.</w:t>
            </w:r>
          </w:p>
        </w:tc>
      </w:tr>
      <w:tr>
        <w:trPr>
          <w:trHeight w:val="206" w:hRule="atLeast"/>
        </w:trPr>
        <w:tc>
          <w:tcPr>
            <w:tcW w:w="1943" w:type="dxa"/>
          </w:tcPr>
          <w:p>
            <w:pPr>
              <w:pStyle w:val="TableParagraph"/>
              <w:rPr>
                <w:rFonts w:ascii="Times New Roman"/>
                <w:sz w:val="14"/>
              </w:rPr>
            </w:pPr>
          </w:p>
        </w:tc>
        <w:tc>
          <w:tcPr>
            <w:tcW w:w="1313" w:type="dxa"/>
          </w:tcPr>
          <w:p>
            <w:pPr>
              <w:pStyle w:val="TableParagraph"/>
              <w:rPr>
                <w:rFonts w:ascii="Times New Roman"/>
                <w:sz w:val="14"/>
              </w:rPr>
            </w:pPr>
          </w:p>
        </w:tc>
        <w:tc>
          <w:tcPr>
            <w:tcW w:w="1285" w:type="dxa"/>
          </w:tcPr>
          <w:p>
            <w:pPr>
              <w:pStyle w:val="TableParagraph"/>
              <w:rPr>
                <w:rFonts w:ascii="Times New Roman"/>
                <w:sz w:val="14"/>
              </w:rPr>
            </w:pPr>
          </w:p>
        </w:tc>
        <w:tc>
          <w:tcPr>
            <w:tcW w:w="1277" w:type="dxa"/>
          </w:tcPr>
          <w:p>
            <w:pPr>
              <w:pStyle w:val="TableParagraph"/>
              <w:rPr>
                <w:rFonts w:ascii="Times New Roman"/>
                <w:sz w:val="14"/>
              </w:rPr>
            </w:pPr>
          </w:p>
        </w:tc>
        <w:tc>
          <w:tcPr>
            <w:tcW w:w="1528" w:type="dxa"/>
          </w:tcPr>
          <w:p>
            <w:pPr>
              <w:pStyle w:val="TableParagraph"/>
              <w:rPr>
                <w:rFonts w:ascii="Times New Roman"/>
                <w:sz w:val="14"/>
              </w:rPr>
            </w:pPr>
          </w:p>
        </w:tc>
        <w:tc>
          <w:tcPr>
            <w:tcW w:w="1147" w:type="dxa"/>
          </w:tcPr>
          <w:p>
            <w:pPr>
              <w:pStyle w:val="TableParagraph"/>
              <w:rPr>
                <w:rFonts w:ascii="Times New Roman"/>
                <w:sz w:val="14"/>
              </w:rPr>
            </w:pPr>
          </w:p>
        </w:tc>
        <w:tc>
          <w:tcPr>
            <w:tcW w:w="1001" w:type="dxa"/>
          </w:tcPr>
          <w:p>
            <w:pPr>
              <w:pStyle w:val="TableParagraph"/>
              <w:rPr>
                <w:rFonts w:ascii="Times New Roman"/>
                <w:sz w:val="14"/>
              </w:rPr>
            </w:pPr>
          </w:p>
        </w:tc>
        <w:tc>
          <w:tcPr>
            <w:tcW w:w="1806" w:type="dxa"/>
          </w:tcPr>
          <w:p>
            <w:pPr>
              <w:pStyle w:val="TableParagraph"/>
              <w:spacing w:line="187" w:lineRule="exact"/>
              <w:ind w:left="151"/>
              <w:rPr>
                <w:sz w:val="18"/>
              </w:rPr>
            </w:pPr>
            <w:r>
              <w:rPr>
                <w:sz w:val="18"/>
              </w:rPr>
              <w:t>Achievement</w:t>
            </w:r>
            <w:r>
              <w:rPr>
                <w:spacing w:val="-11"/>
                <w:sz w:val="18"/>
              </w:rPr>
              <w:t> </w:t>
            </w:r>
            <w:r>
              <w:rPr>
                <w:spacing w:val="-4"/>
                <w:sz w:val="18"/>
              </w:rPr>
              <w:t>goal</w:t>
            </w:r>
          </w:p>
        </w:tc>
      </w:tr>
      <w:tr>
        <w:trPr>
          <w:trHeight w:val="413" w:hRule="atLeast"/>
        </w:trPr>
        <w:tc>
          <w:tcPr>
            <w:tcW w:w="1943" w:type="dxa"/>
          </w:tcPr>
          <w:p>
            <w:pPr>
              <w:pStyle w:val="TableParagraph"/>
              <w:rPr>
                <w:rFonts w:ascii="Times New Roman"/>
                <w:sz w:val="18"/>
              </w:rPr>
            </w:pPr>
          </w:p>
        </w:tc>
        <w:tc>
          <w:tcPr>
            <w:tcW w:w="1313" w:type="dxa"/>
          </w:tcPr>
          <w:p>
            <w:pPr>
              <w:pStyle w:val="TableParagraph"/>
              <w:rPr>
                <w:rFonts w:ascii="Times New Roman"/>
                <w:sz w:val="18"/>
              </w:rPr>
            </w:pPr>
          </w:p>
        </w:tc>
        <w:tc>
          <w:tcPr>
            <w:tcW w:w="1285" w:type="dxa"/>
          </w:tcPr>
          <w:p>
            <w:pPr>
              <w:pStyle w:val="TableParagraph"/>
              <w:rPr>
                <w:rFonts w:ascii="Times New Roman"/>
                <w:sz w:val="18"/>
              </w:rPr>
            </w:pPr>
          </w:p>
        </w:tc>
        <w:tc>
          <w:tcPr>
            <w:tcW w:w="1277" w:type="dxa"/>
          </w:tcPr>
          <w:p>
            <w:pPr>
              <w:pStyle w:val="TableParagraph"/>
              <w:rPr>
                <w:rFonts w:ascii="Times New Roman"/>
                <w:sz w:val="18"/>
              </w:rPr>
            </w:pPr>
          </w:p>
        </w:tc>
        <w:tc>
          <w:tcPr>
            <w:tcW w:w="1528" w:type="dxa"/>
          </w:tcPr>
          <w:p>
            <w:pPr>
              <w:pStyle w:val="TableParagraph"/>
              <w:rPr>
                <w:rFonts w:ascii="Times New Roman"/>
                <w:sz w:val="18"/>
              </w:rPr>
            </w:pPr>
          </w:p>
        </w:tc>
        <w:tc>
          <w:tcPr>
            <w:tcW w:w="1147" w:type="dxa"/>
          </w:tcPr>
          <w:p>
            <w:pPr>
              <w:pStyle w:val="TableParagraph"/>
              <w:rPr>
                <w:rFonts w:ascii="Times New Roman"/>
                <w:sz w:val="18"/>
              </w:rPr>
            </w:pPr>
          </w:p>
        </w:tc>
        <w:tc>
          <w:tcPr>
            <w:tcW w:w="1001" w:type="dxa"/>
          </w:tcPr>
          <w:p>
            <w:pPr>
              <w:pStyle w:val="TableParagraph"/>
              <w:rPr>
                <w:rFonts w:ascii="Times New Roman"/>
                <w:sz w:val="18"/>
              </w:rPr>
            </w:pPr>
          </w:p>
        </w:tc>
        <w:tc>
          <w:tcPr>
            <w:tcW w:w="1806" w:type="dxa"/>
          </w:tcPr>
          <w:p>
            <w:pPr>
              <w:pStyle w:val="TableParagraph"/>
              <w:spacing w:line="206" w:lineRule="exact"/>
              <w:ind w:left="151" w:right="140"/>
              <w:rPr>
                <w:sz w:val="18"/>
              </w:rPr>
            </w:pPr>
            <w:r>
              <w:rPr>
                <w:spacing w:val="-2"/>
                <w:sz w:val="18"/>
              </w:rPr>
              <w:t>significantly </w:t>
            </w:r>
            <w:r>
              <w:rPr>
                <w:sz w:val="18"/>
              </w:rPr>
              <w:t>predicts</w:t>
            </w:r>
            <w:r>
              <w:rPr>
                <w:spacing w:val="-13"/>
                <w:sz w:val="18"/>
              </w:rPr>
              <w:t> </w:t>
            </w:r>
            <w:r>
              <w:rPr>
                <w:sz w:val="18"/>
              </w:rPr>
              <w:t>grit;</w:t>
            </w:r>
            <w:r>
              <w:rPr>
                <w:spacing w:val="-12"/>
                <w:sz w:val="18"/>
              </w:rPr>
              <w:t> </w:t>
            </w:r>
            <w:r>
              <w:rPr>
                <w:sz w:val="18"/>
              </w:rPr>
              <w:t>the</w:t>
            </w:r>
            <w:r>
              <w:rPr>
                <w:spacing w:val="-13"/>
                <w:sz w:val="18"/>
              </w:rPr>
              <w:t> </w:t>
            </w:r>
            <w:r>
              <w:rPr>
                <w:sz w:val="18"/>
              </w:rPr>
              <w:t>f²</w:t>
            </w:r>
          </w:p>
        </w:tc>
      </w:tr>
      <w:tr>
        <w:trPr>
          <w:trHeight w:val="414" w:hRule="atLeast"/>
        </w:trPr>
        <w:tc>
          <w:tcPr>
            <w:tcW w:w="1943" w:type="dxa"/>
          </w:tcPr>
          <w:p>
            <w:pPr>
              <w:pStyle w:val="TableParagraph"/>
              <w:rPr>
                <w:rFonts w:ascii="Times New Roman"/>
                <w:sz w:val="18"/>
              </w:rPr>
            </w:pPr>
          </w:p>
        </w:tc>
        <w:tc>
          <w:tcPr>
            <w:tcW w:w="1313" w:type="dxa"/>
          </w:tcPr>
          <w:p>
            <w:pPr>
              <w:pStyle w:val="TableParagraph"/>
              <w:rPr>
                <w:rFonts w:ascii="Times New Roman"/>
                <w:sz w:val="18"/>
              </w:rPr>
            </w:pPr>
          </w:p>
        </w:tc>
        <w:tc>
          <w:tcPr>
            <w:tcW w:w="1285" w:type="dxa"/>
          </w:tcPr>
          <w:p>
            <w:pPr>
              <w:pStyle w:val="TableParagraph"/>
              <w:rPr>
                <w:rFonts w:ascii="Times New Roman"/>
                <w:sz w:val="18"/>
              </w:rPr>
            </w:pPr>
          </w:p>
        </w:tc>
        <w:tc>
          <w:tcPr>
            <w:tcW w:w="1277" w:type="dxa"/>
          </w:tcPr>
          <w:p>
            <w:pPr>
              <w:pStyle w:val="TableParagraph"/>
              <w:rPr>
                <w:rFonts w:ascii="Times New Roman"/>
                <w:sz w:val="18"/>
              </w:rPr>
            </w:pPr>
          </w:p>
        </w:tc>
        <w:tc>
          <w:tcPr>
            <w:tcW w:w="1528" w:type="dxa"/>
          </w:tcPr>
          <w:p>
            <w:pPr>
              <w:pStyle w:val="TableParagraph"/>
              <w:rPr>
                <w:rFonts w:ascii="Times New Roman"/>
                <w:sz w:val="18"/>
              </w:rPr>
            </w:pPr>
          </w:p>
        </w:tc>
        <w:tc>
          <w:tcPr>
            <w:tcW w:w="1147" w:type="dxa"/>
          </w:tcPr>
          <w:p>
            <w:pPr>
              <w:pStyle w:val="TableParagraph"/>
              <w:rPr>
                <w:rFonts w:ascii="Times New Roman"/>
                <w:sz w:val="18"/>
              </w:rPr>
            </w:pPr>
          </w:p>
        </w:tc>
        <w:tc>
          <w:tcPr>
            <w:tcW w:w="1001" w:type="dxa"/>
          </w:tcPr>
          <w:p>
            <w:pPr>
              <w:pStyle w:val="TableParagraph"/>
              <w:rPr>
                <w:rFonts w:ascii="Times New Roman"/>
                <w:sz w:val="18"/>
              </w:rPr>
            </w:pPr>
          </w:p>
        </w:tc>
        <w:tc>
          <w:tcPr>
            <w:tcW w:w="1806" w:type="dxa"/>
          </w:tcPr>
          <w:p>
            <w:pPr>
              <w:pStyle w:val="TableParagraph"/>
              <w:spacing w:line="204" w:lineRule="exact"/>
              <w:ind w:left="151"/>
              <w:rPr>
                <w:sz w:val="18"/>
              </w:rPr>
            </w:pPr>
            <w:r>
              <w:rPr>
                <w:sz w:val="18"/>
              </w:rPr>
              <w:t>=</w:t>
            </w:r>
            <w:r>
              <w:rPr>
                <w:spacing w:val="-3"/>
                <w:sz w:val="18"/>
              </w:rPr>
              <w:t> </w:t>
            </w:r>
            <w:r>
              <w:rPr>
                <w:sz w:val="18"/>
              </w:rPr>
              <w:t>0.141</w:t>
            </w:r>
            <w:r>
              <w:rPr>
                <w:spacing w:val="-2"/>
                <w:sz w:val="18"/>
              </w:rPr>
              <w:t> </w:t>
            </w:r>
            <w:r>
              <w:rPr>
                <w:sz w:val="18"/>
              </w:rPr>
              <w:t>indicates</w:t>
            </w:r>
            <w:r>
              <w:rPr>
                <w:spacing w:val="-2"/>
                <w:sz w:val="18"/>
              </w:rPr>
              <w:t> </w:t>
            </w:r>
            <w:r>
              <w:rPr>
                <w:spacing w:val="-10"/>
                <w:sz w:val="18"/>
              </w:rPr>
              <w:t>a</w:t>
            </w:r>
          </w:p>
          <w:p>
            <w:pPr>
              <w:pStyle w:val="TableParagraph"/>
              <w:spacing w:line="190" w:lineRule="exact"/>
              <w:ind w:left="151"/>
              <w:rPr>
                <w:rFonts w:ascii="Arial"/>
                <w:i/>
                <w:sz w:val="18"/>
              </w:rPr>
            </w:pPr>
            <w:r>
              <w:rPr>
                <w:rFonts w:ascii="Arial"/>
                <w:i/>
                <w:sz w:val="18"/>
              </w:rPr>
              <w:t>medium </w:t>
            </w:r>
            <w:r>
              <w:rPr>
                <w:rFonts w:ascii="Arial"/>
                <w:i/>
                <w:spacing w:val="-2"/>
                <w:sz w:val="18"/>
              </w:rPr>
              <w:t>effect</w:t>
            </w:r>
          </w:p>
        </w:tc>
      </w:tr>
      <w:tr>
        <w:trPr>
          <w:trHeight w:val="412" w:hRule="atLeast"/>
        </w:trPr>
        <w:tc>
          <w:tcPr>
            <w:tcW w:w="1943" w:type="dxa"/>
          </w:tcPr>
          <w:p>
            <w:pPr>
              <w:pStyle w:val="TableParagraph"/>
              <w:spacing w:line="189" w:lineRule="exact" w:before="203"/>
              <w:ind w:left="122"/>
              <w:rPr>
                <w:sz w:val="18"/>
              </w:rPr>
            </w:pPr>
            <w:r>
              <w:rPr>
                <w:sz w:val="18"/>
              </w:rPr>
              <w:t>Achievement</w:t>
            </w:r>
            <w:r>
              <w:rPr>
                <w:spacing w:val="-8"/>
                <w:sz w:val="18"/>
              </w:rPr>
              <w:t> </w:t>
            </w:r>
            <w:r>
              <w:rPr>
                <w:sz w:val="18"/>
              </w:rPr>
              <w:t>Goal</w:t>
            </w:r>
            <w:r>
              <w:rPr>
                <w:spacing w:val="-6"/>
                <w:sz w:val="18"/>
              </w:rPr>
              <w:t> </w:t>
            </w:r>
            <w:r>
              <w:rPr>
                <w:sz w:val="18"/>
              </w:rPr>
              <w:t>-</w:t>
            </w:r>
            <w:r>
              <w:rPr>
                <w:spacing w:val="-10"/>
                <w:sz w:val="18"/>
              </w:rPr>
              <w:t>&gt;</w:t>
            </w:r>
          </w:p>
        </w:tc>
        <w:tc>
          <w:tcPr>
            <w:tcW w:w="1313" w:type="dxa"/>
          </w:tcPr>
          <w:p>
            <w:pPr>
              <w:pStyle w:val="TableParagraph"/>
              <w:spacing w:line="189" w:lineRule="exact" w:before="203"/>
              <w:ind w:left="135"/>
              <w:rPr>
                <w:sz w:val="18"/>
              </w:rPr>
            </w:pPr>
            <w:r>
              <w:rPr>
                <w:spacing w:val="-2"/>
                <w:sz w:val="18"/>
              </w:rPr>
              <w:t>0.310</w:t>
            </w:r>
          </w:p>
        </w:tc>
        <w:tc>
          <w:tcPr>
            <w:tcW w:w="1285" w:type="dxa"/>
          </w:tcPr>
          <w:p>
            <w:pPr>
              <w:pStyle w:val="TableParagraph"/>
              <w:spacing w:line="189" w:lineRule="exact" w:before="203"/>
              <w:ind w:left="248"/>
              <w:rPr>
                <w:sz w:val="18"/>
              </w:rPr>
            </w:pPr>
            <w:r>
              <w:rPr>
                <w:spacing w:val="-2"/>
                <w:sz w:val="18"/>
              </w:rPr>
              <w:t>0.308</w:t>
            </w:r>
          </w:p>
        </w:tc>
        <w:tc>
          <w:tcPr>
            <w:tcW w:w="1277" w:type="dxa"/>
          </w:tcPr>
          <w:p>
            <w:pPr>
              <w:pStyle w:val="TableParagraph"/>
              <w:spacing w:line="189" w:lineRule="exact" w:before="203"/>
              <w:ind w:left="247"/>
              <w:rPr>
                <w:sz w:val="18"/>
              </w:rPr>
            </w:pPr>
            <w:r>
              <w:rPr>
                <w:spacing w:val="-2"/>
                <w:sz w:val="18"/>
              </w:rPr>
              <w:t>0.094</w:t>
            </w:r>
          </w:p>
        </w:tc>
        <w:tc>
          <w:tcPr>
            <w:tcW w:w="1528" w:type="dxa"/>
          </w:tcPr>
          <w:p>
            <w:pPr>
              <w:pStyle w:val="TableParagraph"/>
              <w:spacing w:line="189" w:lineRule="exact" w:before="203"/>
              <w:ind w:left="240"/>
              <w:rPr>
                <w:sz w:val="18"/>
              </w:rPr>
            </w:pPr>
            <w:r>
              <w:rPr>
                <w:spacing w:val="-2"/>
                <w:sz w:val="18"/>
              </w:rPr>
              <w:t>3.316</w:t>
            </w:r>
          </w:p>
        </w:tc>
        <w:tc>
          <w:tcPr>
            <w:tcW w:w="1147" w:type="dxa"/>
          </w:tcPr>
          <w:p>
            <w:pPr>
              <w:pStyle w:val="TableParagraph"/>
              <w:spacing w:line="189" w:lineRule="exact" w:before="203"/>
              <w:ind w:left="277"/>
              <w:rPr>
                <w:sz w:val="18"/>
              </w:rPr>
            </w:pPr>
            <w:r>
              <w:rPr>
                <w:spacing w:val="-2"/>
                <w:sz w:val="18"/>
              </w:rPr>
              <w:t>0.001</w:t>
            </w:r>
          </w:p>
        </w:tc>
        <w:tc>
          <w:tcPr>
            <w:tcW w:w="1001" w:type="dxa"/>
          </w:tcPr>
          <w:p>
            <w:pPr>
              <w:pStyle w:val="TableParagraph"/>
              <w:spacing w:line="189" w:lineRule="exact" w:before="203"/>
              <w:ind w:left="142"/>
              <w:rPr>
                <w:sz w:val="18"/>
              </w:rPr>
            </w:pPr>
            <w:r>
              <w:rPr>
                <w:spacing w:val="-2"/>
                <w:sz w:val="18"/>
              </w:rPr>
              <w:t>0.103</w:t>
            </w:r>
          </w:p>
        </w:tc>
        <w:tc>
          <w:tcPr>
            <w:tcW w:w="1806" w:type="dxa"/>
          </w:tcPr>
          <w:p>
            <w:pPr>
              <w:pStyle w:val="TableParagraph"/>
              <w:spacing w:line="204" w:lineRule="exact"/>
              <w:ind w:left="151"/>
              <w:rPr>
                <w:sz w:val="18"/>
              </w:rPr>
            </w:pPr>
            <w:r>
              <w:rPr>
                <w:rFonts w:ascii="Arial"/>
                <w:i/>
                <w:spacing w:val="-2"/>
                <w:sz w:val="18"/>
              </w:rPr>
              <w:t>size</w:t>
            </w:r>
            <w:r>
              <w:rPr>
                <w:spacing w:val="-2"/>
                <w:sz w:val="18"/>
              </w:rPr>
              <w:t>.</w:t>
            </w:r>
          </w:p>
          <w:p>
            <w:pPr>
              <w:pStyle w:val="TableParagraph"/>
              <w:spacing w:line="189" w:lineRule="exact"/>
              <w:ind w:left="151"/>
              <w:rPr>
                <w:rFonts w:ascii="Arial"/>
                <w:b/>
                <w:sz w:val="18"/>
              </w:rPr>
            </w:pPr>
            <w:r>
              <w:rPr>
                <w:rFonts w:ascii="Arial"/>
                <w:b/>
                <w:spacing w:val="-2"/>
                <w:sz w:val="18"/>
              </w:rPr>
              <w:t>Significant</w:t>
            </w:r>
          </w:p>
        </w:tc>
      </w:tr>
      <w:tr>
        <w:trPr>
          <w:trHeight w:val="207" w:hRule="atLeast"/>
        </w:trPr>
        <w:tc>
          <w:tcPr>
            <w:tcW w:w="1943" w:type="dxa"/>
          </w:tcPr>
          <w:p>
            <w:pPr>
              <w:pStyle w:val="TableParagraph"/>
              <w:spacing w:line="187" w:lineRule="exact"/>
              <w:ind w:left="122"/>
              <w:rPr>
                <w:sz w:val="18"/>
              </w:rPr>
            </w:pPr>
            <w:r>
              <w:rPr>
                <w:sz w:val="18"/>
              </w:rPr>
              <w:t>Writing</w:t>
            </w:r>
            <w:r>
              <w:rPr>
                <w:spacing w:val="-1"/>
                <w:sz w:val="18"/>
              </w:rPr>
              <w:t> </w:t>
            </w:r>
            <w:r>
              <w:rPr>
                <w:spacing w:val="-2"/>
                <w:sz w:val="18"/>
              </w:rPr>
              <w:t>Strategy</w:t>
            </w:r>
          </w:p>
        </w:tc>
        <w:tc>
          <w:tcPr>
            <w:tcW w:w="1313" w:type="dxa"/>
          </w:tcPr>
          <w:p>
            <w:pPr>
              <w:pStyle w:val="TableParagraph"/>
              <w:rPr>
                <w:rFonts w:ascii="Times New Roman"/>
                <w:sz w:val="14"/>
              </w:rPr>
            </w:pPr>
          </w:p>
        </w:tc>
        <w:tc>
          <w:tcPr>
            <w:tcW w:w="1285" w:type="dxa"/>
          </w:tcPr>
          <w:p>
            <w:pPr>
              <w:pStyle w:val="TableParagraph"/>
              <w:rPr>
                <w:rFonts w:ascii="Times New Roman"/>
                <w:sz w:val="14"/>
              </w:rPr>
            </w:pPr>
          </w:p>
        </w:tc>
        <w:tc>
          <w:tcPr>
            <w:tcW w:w="1277" w:type="dxa"/>
          </w:tcPr>
          <w:p>
            <w:pPr>
              <w:pStyle w:val="TableParagraph"/>
              <w:rPr>
                <w:rFonts w:ascii="Times New Roman"/>
                <w:sz w:val="14"/>
              </w:rPr>
            </w:pPr>
          </w:p>
        </w:tc>
        <w:tc>
          <w:tcPr>
            <w:tcW w:w="1528" w:type="dxa"/>
          </w:tcPr>
          <w:p>
            <w:pPr>
              <w:pStyle w:val="TableParagraph"/>
              <w:rPr>
                <w:rFonts w:ascii="Times New Roman"/>
                <w:sz w:val="14"/>
              </w:rPr>
            </w:pPr>
          </w:p>
        </w:tc>
        <w:tc>
          <w:tcPr>
            <w:tcW w:w="1147" w:type="dxa"/>
          </w:tcPr>
          <w:p>
            <w:pPr>
              <w:pStyle w:val="TableParagraph"/>
              <w:rPr>
                <w:rFonts w:ascii="Times New Roman"/>
                <w:sz w:val="14"/>
              </w:rPr>
            </w:pPr>
          </w:p>
        </w:tc>
        <w:tc>
          <w:tcPr>
            <w:tcW w:w="1001" w:type="dxa"/>
          </w:tcPr>
          <w:p>
            <w:pPr>
              <w:pStyle w:val="TableParagraph"/>
              <w:rPr>
                <w:rFonts w:ascii="Times New Roman"/>
                <w:sz w:val="14"/>
              </w:rPr>
            </w:pPr>
          </w:p>
        </w:tc>
        <w:tc>
          <w:tcPr>
            <w:tcW w:w="1806" w:type="dxa"/>
          </w:tcPr>
          <w:p>
            <w:pPr>
              <w:pStyle w:val="TableParagraph"/>
              <w:spacing w:line="187" w:lineRule="exact"/>
              <w:ind w:left="151"/>
              <w:rPr>
                <w:sz w:val="18"/>
              </w:rPr>
            </w:pPr>
            <w:r>
              <w:rPr>
                <w:rFonts w:ascii="Arial"/>
                <w:b/>
                <w:sz w:val="18"/>
              </w:rPr>
              <w:t>positive </w:t>
            </w:r>
            <w:r>
              <w:rPr>
                <w:rFonts w:ascii="Arial"/>
                <w:b/>
                <w:spacing w:val="-2"/>
                <w:sz w:val="18"/>
              </w:rPr>
              <w:t>effect</w:t>
            </w:r>
            <w:r>
              <w:rPr>
                <w:spacing w:val="-2"/>
                <w:sz w:val="18"/>
              </w:rPr>
              <w:t>.</w:t>
            </w:r>
          </w:p>
        </w:tc>
      </w:tr>
      <w:tr>
        <w:trPr>
          <w:trHeight w:val="414" w:hRule="atLeast"/>
        </w:trPr>
        <w:tc>
          <w:tcPr>
            <w:tcW w:w="1943" w:type="dxa"/>
          </w:tcPr>
          <w:p>
            <w:pPr>
              <w:pStyle w:val="TableParagraph"/>
              <w:rPr>
                <w:rFonts w:ascii="Times New Roman"/>
                <w:sz w:val="18"/>
              </w:rPr>
            </w:pPr>
          </w:p>
        </w:tc>
        <w:tc>
          <w:tcPr>
            <w:tcW w:w="1313" w:type="dxa"/>
          </w:tcPr>
          <w:p>
            <w:pPr>
              <w:pStyle w:val="TableParagraph"/>
              <w:rPr>
                <w:rFonts w:ascii="Times New Roman"/>
                <w:sz w:val="18"/>
              </w:rPr>
            </w:pPr>
          </w:p>
        </w:tc>
        <w:tc>
          <w:tcPr>
            <w:tcW w:w="1285" w:type="dxa"/>
          </w:tcPr>
          <w:p>
            <w:pPr>
              <w:pStyle w:val="TableParagraph"/>
              <w:rPr>
                <w:rFonts w:ascii="Times New Roman"/>
                <w:sz w:val="18"/>
              </w:rPr>
            </w:pPr>
          </w:p>
        </w:tc>
        <w:tc>
          <w:tcPr>
            <w:tcW w:w="1277" w:type="dxa"/>
          </w:tcPr>
          <w:p>
            <w:pPr>
              <w:pStyle w:val="TableParagraph"/>
              <w:rPr>
                <w:rFonts w:ascii="Times New Roman"/>
                <w:sz w:val="18"/>
              </w:rPr>
            </w:pPr>
          </w:p>
        </w:tc>
        <w:tc>
          <w:tcPr>
            <w:tcW w:w="1528" w:type="dxa"/>
          </w:tcPr>
          <w:p>
            <w:pPr>
              <w:pStyle w:val="TableParagraph"/>
              <w:rPr>
                <w:rFonts w:ascii="Times New Roman"/>
                <w:sz w:val="18"/>
              </w:rPr>
            </w:pPr>
          </w:p>
        </w:tc>
        <w:tc>
          <w:tcPr>
            <w:tcW w:w="1147" w:type="dxa"/>
          </w:tcPr>
          <w:p>
            <w:pPr>
              <w:pStyle w:val="TableParagraph"/>
              <w:rPr>
                <w:rFonts w:ascii="Times New Roman"/>
                <w:sz w:val="18"/>
              </w:rPr>
            </w:pPr>
          </w:p>
        </w:tc>
        <w:tc>
          <w:tcPr>
            <w:tcW w:w="1001" w:type="dxa"/>
          </w:tcPr>
          <w:p>
            <w:pPr>
              <w:pStyle w:val="TableParagraph"/>
              <w:rPr>
                <w:rFonts w:ascii="Times New Roman"/>
                <w:sz w:val="18"/>
              </w:rPr>
            </w:pPr>
          </w:p>
        </w:tc>
        <w:tc>
          <w:tcPr>
            <w:tcW w:w="1806" w:type="dxa"/>
          </w:tcPr>
          <w:p>
            <w:pPr>
              <w:pStyle w:val="TableParagraph"/>
              <w:spacing w:line="206" w:lineRule="exact"/>
              <w:ind w:left="151" w:right="217"/>
              <w:rPr>
                <w:sz w:val="18"/>
              </w:rPr>
            </w:pPr>
            <w:r>
              <w:rPr>
                <w:sz w:val="18"/>
              </w:rPr>
              <w:t>Achievement</w:t>
            </w:r>
            <w:r>
              <w:rPr>
                <w:spacing w:val="-13"/>
                <w:sz w:val="18"/>
              </w:rPr>
              <w:t> </w:t>
            </w:r>
            <w:r>
              <w:rPr>
                <w:sz w:val="18"/>
              </w:rPr>
              <w:t>goal directly</w:t>
            </w:r>
            <w:r>
              <w:rPr>
                <w:spacing w:val="-7"/>
                <w:sz w:val="18"/>
              </w:rPr>
              <w:t> </w:t>
            </w:r>
            <w:r>
              <w:rPr>
                <w:spacing w:val="-2"/>
                <w:sz w:val="18"/>
              </w:rPr>
              <w:t>influences</w:t>
            </w:r>
          </w:p>
        </w:tc>
      </w:tr>
      <w:tr>
        <w:trPr>
          <w:trHeight w:val="207" w:hRule="atLeast"/>
        </w:trPr>
        <w:tc>
          <w:tcPr>
            <w:tcW w:w="1943" w:type="dxa"/>
          </w:tcPr>
          <w:p>
            <w:pPr>
              <w:pStyle w:val="TableParagraph"/>
              <w:rPr>
                <w:rFonts w:ascii="Times New Roman"/>
                <w:sz w:val="14"/>
              </w:rPr>
            </w:pPr>
          </w:p>
        </w:tc>
        <w:tc>
          <w:tcPr>
            <w:tcW w:w="1313" w:type="dxa"/>
          </w:tcPr>
          <w:p>
            <w:pPr>
              <w:pStyle w:val="TableParagraph"/>
              <w:rPr>
                <w:rFonts w:ascii="Times New Roman"/>
                <w:sz w:val="14"/>
              </w:rPr>
            </w:pPr>
          </w:p>
        </w:tc>
        <w:tc>
          <w:tcPr>
            <w:tcW w:w="1285" w:type="dxa"/>
          </w:tcPr>
          <w:p>
            <w:pPr>
              <w:pStyle w:val="TableParagraph"/>
              <w:rPr>
                <w:rFonts w:ascii="Times New Roman"/>
                <w:sz w:val="14"/>
              </w:rPr>
            </w:pPr>
          </w:p>
        </w:tc>
        <w:tc>
          <w:tcPr>
            <w:tcW w:w="1277" w:type="dxa"/>
          </w:tcPr>
          <w:p>
            <w:pPr>
              <w:pStyle w:val="TableParagraph"/>
              <w:rPr>
                <w:rFonts w:ascii="Times New Roman"/>
                <w:sz w:val="14"/>
              </w:rPr>
            </w:pPr>
          </w:p>
        </w:tc>
        <w:tc>
          <w:tcPr>
            <w:tcW w:w="1528" w:type="dxa"/>
          </w:tcPr>
          <w:p>
            <w:pPr>
              <w:pStyle w:val="TableParagraph"/>
              <w:rPr>
                <w:rFonts w:ascii="Times New Roman"/>
                <w:sz w:val="14"/>
              </w:rPr>
            </w:pPr>
          </w:p>
        </w:tc>
        <w:tc>
          <w:tcPr>
            <w:tcW w:w="1147" w:type="dxa"/>
          </w:tcPr>
          <w:p>
            <w:pPr>
              <w:pStyle w:val="TableParagraph"/>
              <w:rPr>
                <w:rFonts w:ascii="Times New Roman"/>
                <w:sz w:val="14"/>
              </w:rPr>
            </w:pPr>
          </w:p>
        </w:tc>
        <w:tc>
          <w:tcPr>
            <w:tcW w:w="1001" w:type="dxa"/>
          </w:tcPr>
          <w:p>
            <w:pPr>
              <w:pStyle w:val="TableParagraph"/>
              <w:rPr>
                <w:rFonts w:ascii="Times New Roman"/>
                <w:sz w:val="14"/>
              </w:rPr>
            </w:pPr>
          </w:p>
        </w:tc>
        <w:tc>
          <w:tcPr>
            <w:tcW w:w="1806" w:type="dxa"/>
          </w:tcPr>
          <w:p>
            <w:pPr>
              <w:pStyle w:val="TableParagraph"/>
              <w:spacing w:line="187" w:lineRule="exact"/>
              <w:ind w:left="151"/>
              <w:rPr>
                <w:sz w:val="18"/>
              </w:rPr>
            </w:pPr>
            <w:r>
              <w:rPr>
                <w:sz w:val="18"/>
              </w:rPr>
              <w:t>writing</w:t>
            </w:r>
            <w:r>
              <w:rPr>
                <w:spacing w:val="-1"/>
                <w:sz w:val="18"/>
              </w:rPr>
              <w:t> </w:t>
            </w:r>
            <w:r>
              <w:rPr>
                <w:sz w:val="18"/>
              </w:rPr>
              <w:t>strategy; </w:t>
            </w:r>
            <w:r>
              <w:rPr>
                <w:spacing w:val="-5"/>
                <w:sz w:val="18"/>
              </w:rPr>
              <w:t>f²</w:t>
            </w:r>
          </w:p>
        </w:tc>
      </w:tr>
      <w:tr>
        <w:trPr>
          <w:trHeight w:val="207" w:hRule="atLeast"/>
        </w:trPr>
        <w:tc>
          <w:tcPr>
            <w:tcW w:w="1943" w:type="dxa"/>
          </w:tcPr>
          <w:p>
            <w:pPr>
              <w:pStyle w:val="TableParagraph"/>
              <w:rPr>
                <w:rFonts w:ascii="Times New Roman"/>
                <w:sz w:val="14"/>
              </w:rPr>
            </w:pPr>
          </w:p>
        </w:tc>
        <w:tc>
          <w:tcPr>
            <w:tcW w:w="1313" w:type="dxa"/>
          </w:tcPr>
          <w:p>
            <w:pPr>
              <w:pStyle w:val="TableParagraph"/>
              <w:rPr>
                <w:rFonts w:ascii="Times New Roman"/>
                <w:sz w:val="14"/>
              </w:rPr>
            </w:pPr>
          </w:p>
        </w:tc>
        <w:tc>
          <w:tcPr>
            <w:tcW w:w="1285" w:type="dxa"/>
          </w:tcPr>
          <w:p>
            <w:pPr>
              <w:pStyle w:val="TableParagraph"/>
              <w:rPr>
                <w:rFonts w:ascii="Times New Roman"/>
                <w:sz w:val="14"/>
              </w:rPr>
            </w:pPr>
          </w:p>
        </w:tc>
        <w:tc>
          <w:tcPr>
            <w:tcW w:w="1277" w:type="dxa"/>
          </w:tcPr>
          <w:p>
            <w:pPr>
              <w:pStyle w:val="TableParagraph"/>
              <w:rPr>
                <w:rFonts w:ascii="Times New Roman"/>
                <w:sz w:val="14"/>
              </w:rPr>
            </w:pPr>
          </w:p>
        </w:tc>
        <w:tc>
          <w:tcPr>
            <w:tcW w:w="1528" w:type="dxa"/>
          </w:tcPr>
          <w:p>
            <w:pPr>
              <w:pStyle w:val="TableParagraph"/>
              <w:rPr>
                <w:rFonts w:ascii="Times New Roman"/>
                <w:sz w:val="14"/>
              </w:rPr>
            </w:pPr>
          </w:p>
        </w:tc>
        <w:tc>
          <w:tcPr>
            <w:tcW w:w="1147" w:type="dxa"/>
          </w:tcPr>
          <w:p>
            <w:pPr>
              <w:pStyle w:val="TableParagraph"/>
              <w:rPr>
                <w:rFonts w:ascii="Times New Roman"/>
                <w:sz w:val="14"/>
              </w:rPr>
            </w:pPr>
          </w:p>
        </w:tc>
        <w:tc>
          <w:tcPr>
            <w:tcW w:w="1001" w:type="dxa"/>
          </w:tcPr>
          <w:p>
            <w:pPr>
              <w:pStyle w:val="TableParagraph"/>
              <w:rPr>
                <w:rFonts w:ascii="Times New Roman"/>
                <w:sz w:val="14"/>
              </w:rPr>
            </w:pPr>
          </w:p>
        </w:tc>
        <w:tc>
          <w:tcPr>
            <w:tcW w:w="1806" w:type="dxa"/>
          </w:tcPr>
          <w:p>
            <w:pPr>
              <w:pStyle w:val="TableParagraph"/>
              <w:spacing w:line="187" w:lineRule="exact"/>
              <w:ind w:left="151"/>
              <w:rPr>
                <w:sz w:val="18"/>
              </w:rPr>
            </w:pPr>
            <w:r>
              <w:rPr>
                <w:sz w:val="18"/>
              </w:rPr>
              <w:t>=</w:t>
            </w:r>
            <w:r>
              <w:rPr>
                <w:spacing w:val="-4"/>
                <w:sz w:val="18"/>
              </w:rPr>
              <w:t> </w:t>
            </w:r>
            <w:r>
              <w:rPr>
                <w:sz w:val="18"/>
              </w:rPr>
              <w:t>0.103</w:t>
            </w:r>
            <w:r>
              <w:rPr>
                <w:spacing w:val="-1"/>
                <w:sz w:val="18"/>
              </w:rPr>
              <w:t> </w:t>
            </w:r>
            <w:r>
              <w:rPr>
                <w:sz w:val="18"/>
              </w:rPr>
              <w:t>implies</w:t>
            </w:r>
            <w:r>
              <w:rPr>
                <w:spacing w:val="-1"/>
                <w:sz w:val="18"/>
              </w:rPr>
              <w:t> </w:t>
            </w:r>
            <w:r>
              <w:rPr>
                <w:spacing w:val="-10"/>
                <w:sz w:val="18"/>
              </w:rPr>
              <w:t>a</w:t>
            </w:r>
          </w:p>
        </w:tc>
      </w:tr>
      <w:tr>
        <w:trPr>
          <w:trHeight w:val="413" w:hRule="atLeast"/>
        </w:trPr>
        <w:tc>
          <w:tcPr>
            <w:tcW w:w="1943" w:type="dxa"/>
          </w:tcPr>
          <w:p>
            <w:pPr>
              <w:pStyle w:val="TableParagraph"/>
              <w:rPr>
                <w:rFonts w:ascii="Times New Roman"/>
                <w:sz w:val="18"/>
              </w:rPr>
            </w:pPr>
          </w:p>
        </w:tc>
        <w:tc>
          <w:tcPr>
            <w:tcW w:w="1313" w:type="dxa"/>
          </w:tcPr>
          <w:p>
            <w:pPr>
              <w:pStyle w:val="TableParagraph"/>
              <w:rPr>
                <w:rFonts w:ascii="Times New Roman"/>
                <w:sz w:val="18"/>
              </w:rPr>
            </w:pPr>
          </w:p>
        </w:tc>
        <w:tc>
          <w:tcPr>
            <w:tcW w:w="1285" w:type="dxa"/>
          </w:tcPr>
          <w:p>
            <w:pPr>
              <w:pStyle w:val="TableParagraph"/>
              <w:rPr>
                <w:rFonts w:ascii="Times New Roman"/>
                <w:sz w:val="18"/>
              </w:rPr>
            </w:pPr>
          </w:p>
        </w:tc>
        <w:tc>
          <w:tcPr>
            <w:tcW w:w="1277" w:type="dxa"/>
          </w:tcPr>
          <w:p>
            <w:pPr>
              <w:pStyle w:val="TableParagraph"/>
              <w:rPr>
                <w:rFonts w:ascii="Times New Roman"/>
                <w:sz w:val="18"/>
              </w:rPr>
            </w:pPr>
          </w:p>
        </w:tc>
        <w:tc>
          <w:tcPr>
            <w:tcW w:w="1528" w:type="dxa"/>
          </w:tcPr>
          <w:p>
            <w:pPr>
              <w:pStyle w:val="TableParagraph"/>
              <w:rPr>
                <w:rFonts w:ascii="Times New Roman"/>
                <w:sz w:val="18"/>
              </w:rPr>
            </w:pPr>
          </w:p>
        </w:tc>
        <w:tc>
          <w:tcPr>
            <w:tcW w:w="1147" w:type="dxa"/>
          </w:tcPr>
          <w:p>
            <w:pPr>
              <w:pStyle w:val="TableParagraph"/>
              <w:rPr>
                <w:rFonts w:ascii="Times New Roman"/>
                <w:sz w:val="18"/>
              </w:rPr>
            </w:pPr>
          </w:p>
        </w:tc>
        <w:tc>
          <w:tcPr>
            <w:tcW w:w="1001" w:type="dxa"/>
          </w:tcPr>
          <w:p>
            <w:pPr>
              <w:pStyle w:val="TableParagraph"/>
              <w:rPr>
                <w:rFonts w:ascii="Times New Roman"/>
                <w:sz w:val="18"/>
              </w:rPr>
            </w:pPr>
          </w:p>
        </w:tc>
        <w:tc>
          <w:tcPr>
            <w:tcW w:w="1806" w:type="dxa"/>
          </w:tcPr>
          <w:p>
            <w:pPr>
              <w:pStyle w:val="TableParagraph"/>
              <w:spacing w:line="206" w:lineRule="exact"/>
              <w:ind w:left="151"/>
              <w:rPr>
                <w:sz w:val="18"/>
              </w:rPr>
            </w:pPr>
            <w:r>
              <w:rPr>
                <w:rFonts w:ascii="Arial"/>
                <w:i/>
                <w:spacing w:val="-2"/>
                <w:sz w:val="18"/>
              </w:rPr>
              <w:t>small-to-</w:t>
            </w:r>
            <w:r>
              <w:rPr>
                <w:rFonts w:ascii="Arial"/>
                <w:i/>
                <w:spacing w:val="-2"/>
                <w:sz w:val="18"/>
              </w:rPr>
              <w:t>medium </w:t>
            </w:r>
            <w:r>
              <w:rPr>
                <w:rFonts w:ascii="Arial"/>
                <w:i/>
                <w:sz w:val="18"/>
              </w:rPr>
              <w:t>effect size</w:t>
            </w:r>
            <w:r>
              <w:rPr>
                <w:sz w:val="18"/>
              </w:rPr>
              <w:t>.</w:t>
            </w:r>
          </w:p>
        </w:tc>
      </w:tr>
      <w:tr>
        <w:trPr>
          <w:trHeight w:val="413" w:hRule="atLeast"/>
        </w:trPr>
        <w:tc>
          <w:tcPr>
            <w:tcW w:w="1943" w:type="dxa"/>
          </w:tcPr>
          <w:p>
            <w:pPr>
              <w:pStyle w:val="TableParagraph"/>
              <w:spacing w:line="206" w:lineRule="exact"/>
              <w:ind w:left="122" w:right="98"/>
              <w:rPr>
                <w:sz w:val="18"/>
              </w:rPr>
            </w:pPr>
            <w:r>
              <w:rPr>
                <w:sz w:val="18"/>
              </w:rPr>
              <w:t>Grit</w:t>
            </w:r>
            <w:r>
              <w:rPr>
                <w:spacing w:val="-15"/>
                <w:sz w:val="18"/>
              </w:rPr>
              <w:t> </w:t>
            </w:r>
            <w:r>
              <w:rPr>
                <w:sz w:val="18"/>
              </w:rPr>
              <w:t>-&gt;</w:t>
            </w:r>
            <w:r>
              <w:rPr>
                <w:spacing w:val="-12"/>
                <w:sz w:val="18"/>
              </w:rPr>
              <w:t> </w:t>
            </w:r>
            <w:r>
              <w:rPr>
                <w:sz w:val="18"/>
              </w:rPr>
              <w:t>Writing </w:t>
            </w:r>
            <w:r>
              <w:rPr>
                <w:spacing w:val="-2"/>
                <w:sz w:val="18"/>
              </w:rPr>
              <w:t>Strategy</w:t>
            </w:r>
          </w:p>
        </w:tc>
        <w:tc>
          <w:tcPr>
            <w:tcW w:w="1313" w:type="dxa"/>
          </w:tcPr>
          <w:p>
            <w:pPr>
              <w:pStyle w:val="TableParagraph"/>
              <w:spacing w:line="205" w:lineRule="exact"/>
              <w:ind w:left="135"/>
              <w:rPr>
                <w:sz w:val="18"/>
              </w:rPr>
            </w:pPr>
            <w:r>
              <w:rPr>
                <w:spacing w:val="-2"/>
                <w:sz w:val="18"/>
              </w:rPr>
              <w:t>0.202</w:t>
            </w:r>
          </w:p>
        </w:tc>
        <w:tc>
          <w:tcPr>
            <w:tcW w:w="1285" w:type="dxa"/>
          </w:tcPr>
          <w:p>
            <w:pPr>
              <w:pStyle w:val="TableParagraph"/>
              <w:spacing w:line="205" w:lineRule="exact"/>
              <w:ind w:left="248"/>
              <w:rPr>
                <w:sz w:val="18"/>
              </w:rPr>
            </w:pPr>
            <w:r>
              <w:rPr>
                <w:spacing w:val="-2"/>
                <w:sz w:val="18"/>
              </w:rPr>
              <w:t>0.204</w:t>
            </w:r>
          </w:p>
        </w:tc>
        <w:tc>
          <w:tcPr>
            <w:tcW w:w="1277" w:type="dxa"/>
          </w:tcPr>
          <w:p>
            <w:pPr>
              <w:pStyle w:val="TableParagraph"/>
              <w:spacing w:line="205" w:lineRule="exact"/>
              <w:ind w:left="247"/>
              <w:rPr>
                <w:sz w:val="18"/>
              </w:rPr>
            </w:pPr>
            <w:r>
              <w:rPr>
                <w:spacing w:val="-2"/>
                <w:sz w:val="18"/>
              </w:rPr>
              <w:t>0.098</w:t>
            </w:r>
          </w:p>
        </w:tc>
        <w:tc>
          <w:tcPr>
            <w:tcW w:w="1528" w:type="dxa"/>
          </w:tcPr>
          <w:p>
            <w:pPr>
              <w:pStyle w:val="TableParagraph"/>
              <w:spacing w:line="205" w:lineRule="exact"/>
              <w:ind w:left="240"/>
              <w:rPr>
                <w:sz w:val="18"/>
              </w:rPr>
            </w:pPr>
            <w:r>
              <w:rPr>
                <w:spacing w:val="-2"/>
                <w:sz w:val="18"/>
              </w:rPr>
              <w:t>2.057</w:t>
            </w:r>
          </w:p>
        </w:tc>
        <w:tc>
          <w:tcPr>
            <w:tcW w:w="1147" w:type="dxa"/>
          </w:tcPr>
          <w:p>
            <w:pPr>
              <w:pStyle w:val="TableParagraph"/>
              <w:spacing w:line="205" w:lineRule="exact"/>
              <w:ind w:left="277"/>
              <w:rPr>
                <w:sz w:val="18"/>
              </w:rPr>
            </w:pPr>
            <w:r>
              <w:rPr>
                <w:spacing w:val="-2"/>
                <w:sz w:val="18"/>
              </w:rPr>
              <w:t>0.040</w:t>
            </w:r>
          </w:p>
        </w:tc>
        <w:tc>
          <w:tcPr>
            <w:tcW w:w="1001" w:type="dxa"/>
          </w:tcPr>
          <w:p>
            <w:pPr>
              <w:pStyle w:val="TableParagraph"/>
              <w:spacing w:line="205" w:lineRule="exact"/>
              <w:ind w:left="142"/>
              <w:rPr>
                <w:sz w:val="18"/>
              </w:rPr>
            </w:pPr>
            <w:r>
              <w:rPr>
                <w:spacing w:val="-2"/>
                <w:sz w:val="18"/>
              </w:rPr>
              <w:t>0.044</w:t>
            </w:r>
          </w:p>
        </w:tc>
        <w:tc>
          <w:tcPr>
            <w:tcW w:w="1806" w:type="dxa"/>
          </w:tcPr>
          <w:p>
            <w:pPr>
              <w:pStyle w:val="TableParagraph"/>
              <w:spacing w:line="206" w:lineRule="exact"/>
              <w:ind w:left="151" w:right="140"/>
              <w:rPr>
                <w:sz w:val="18"/>
              </w:rPr>
            </w:pPr>
            <w:r>
              <w:rPr>
                <w:rFonts w:ascii="Arial"/>
                <w:b/>
                <w:spacing w:val="-2"/>
                <w:sz w:val="18"/>
              </w:rPr>
              <w:t>Significant </w:t>
            </w:r>
            <w:r>
              <w:rPr>
                <w:rFonts w:ascii="Arial"/>
                <w:b/>
                <w:sz w:val="18"/>
              </w:rPr>
              <w:t>positive</w:t>
            </w:r>
            <w:r>
              <w:rPr>
                <w:rFonts w:ascii="Arial"/>
                <w:b/>
                <w:spacing w:val="-15"/>
                <w:sz w:val="18"/>
              </w:rPr>
              <w:t> </w:t>
            </w:r>
            <w:r>
              <w:rPr>
                <w:rFonts w:ascii="Arial"/>
                <w:b/>
                <w:sz w:val="18"/>
              </w:rPr>
              <w:t>effect</w:t>
            </w:r>
            <w:r>
              <w:rPr>
                <w:rFonts w:ascii="Arial"/>
                <w:b/>
                <w:spacing w:val="-12"/>
                <w:sz w:val="18"/>
              </w:rPr>
              <w:t> </w:t>
            </w:r>
            <w:r>
              <w:rPr>
                <w:sz w:val="18"/>
              </w:rPr>
              <w:t>but</w:t>
            </w:r>
          </w:p>
        </w:tc>
      </w:tr>
      <w:tr>
        <w:trPr>
          <w:trHeight w:val="413" w:hRule="atLeast"/>
        </w:trPr>
        <w:tc>
          <w:tcPr>
            <w:tcW w:w="1943" w:type="dxa"/>
          </w:tcPr>
          <w:p>
            <w:pPr>
              <w:pStyle w:val="TableParagraph"/>
              <w:rPr>
                <w:rFonts w:ascii="Times New Roman"/>
                <w:sz w:val="18"/>
              </w:rPr>
            </w:pPr>
          </w:p>
        </w:tc>
        <w:tc>
          <w:tcPr>
            <w:tcW w:w="1313" w:type="dxa"/>
          </w:tcPr>
          <w:p>
            <w:pPr>
              <w:pStyle w:val="TableParagraph"/>
              <w:rPr>
                <w:rFonts w:ascii="Times New Roman"/>
                <w:sz w:val="18"/>
              </w:rPr>
            </w:pPr>
          </w:p>
        </w:tc>
        <w:tc>
          <w:tcPr>
            <w:tcW w:w="1285" w:type="dxa"/>
          </w:tcPr>
          <w:p>
            <w:pPr>
              <w:pStyle w:val="TableParagraph"/>
              <w:rPr>
                <w:rFonts w:ascii="Times New Roman"/>
                <w:sz w:val="18"/>
              </w:rPr>
            </w:pPr>
          </w:p>
        </w:tc>
        <w:tc>
          <w:tcPr>
            <w:tcW w:w="1277" w:type="dxa"/>
          </w:tcPr>
          <w:p>
            <w:pPr>
              <w:pStyle w:val="TableParagraph"/>
              <w:rPr>
                <w:rFonts w:ascii="Times New Roman"/>
                <w:sz w:val="18"/>
              </w:rPr>
            </w:pPr>
          </w:p>
        </w:tc>
        <w:tc>
          <w:tcPr>
            <w:tcW w:w="1528" w:type="dxa"/>
          </w:tcPr>
          <w:p>
            <w:pPr>
              <w:pStyle w:val="TableParagraph"/>
              <w:rPr>
                <w:rFonts w:ascii="Times New Roman"/>
                <w:sz w:val="18"/>
              </w:rPr>
            </w:pPr>
          </w:p>
        </w:tc>
        <w:tc>
          <w:tcPr>
            <w:tcW w:w="1147" w:type="dxa"/>
          </w:tcPr>
          <w:p>
            <w:pPr>
              <w:pStyle w:val="TableParagraph"/>
              <w:rPr>
                <w:rFonts w:ascii="Times New Roman"/>
                <w:sz w:val="18"/>
              </w:rPr>
            </w:pPr>
          </w:p>
        </w:tc>
        <w:tc>
          <w:tcPr>
            <w:tcW w:w="1001" w:type="dxa"/>
          </w:tcPr>
          <w:p>
            <w:pPr>
              <w:pStyle w:val="TableParagraph"/>
              <w:rPr>
                <w:rFonts w:ascii="Times New Roman"/>
                <w:sz w:val="18"/>
              </w:rPr>
            </w:pPr>
          </w:p>
        </w:tc>
        <w:tc>
          <w:tcPr>
            <w:tcW w:w="1806" w:type="dxa"/>
          </w:tcPr>
          <w:p>
            <w:pPr>
              <w:pStyle w:val="TableParagraph"/>
              <w:spacing w:line="206" w:lineRule="exact"/>
              <w:ind w:left="151" w:right="140"/>
              <w:rPr>
                <w:sz w:val="18"/>
              </w:rPr>
            </w:pPr>
            <w:r>
              <w:rPr>
                <w:sz w:val="18"/>
              </w:rPr>
              <w:t>smaller in magnitude.</w:t>
            </w:r>
            <w:r>
              <w:rPr>
                <w:spacing w:val="-15"/>
                <w:sz w:val="18"/>
              </w:rPr>
              <w:t> </w:t>
            </w:r>
            <w:r>
              <w:rPr>
                <w:sz w:val="18"/>
              </w:rPr>
              <w:t>f²</w:t>
            </w:r>
            <w:r>
              <w:rPr>
                <w:spacing w:val="-12"/>
                <w:sz w:val="18"/>
              </w:rPr>
              <w:t> </w:t>
            </w:r>
            <w:r>
              <w:rPr>
                <w:sz w:val="18"/>
              </w:rPr>
              <w:t>=</w:t>
            </w:r>
          </w:p>
        </w:tc>
      </w:tr>
      <w:tr>
        <w:trPr>
          <w:trHeight w:val="414" w:hRule="atLeast"/>
        </w:trPr>
        <w:tc>
          <w:tcPr>
            <w:tcW w:w="1943" w:type="dxa"/>
          </w:tcPr>
          <w:p>
            <w:pPr>
              <w:pStyle w:val="TableParagraph"/>
              <w:rPr>
                <w:rFonts w:ascii="Times New Roman"/>
                <w:sz w:val="18"/>
              </w:rPr>
            </w:pPr>
          </w:p>
        </w:tc>
        <w:tc>
          <w:tcPr>
            <w:tcW w:w="1313" w:type="dxa"/>
          </w:tcPr>
          <w:p>
            <w:pPr>
              <w:pStyle w:val="TableParagraph"/>
              <w:rPr>
                <w:rFonts w:ascii="Times New Roman"/>
                <w:sz w:val="18"/>
              </w:rPr>
            </w:pPr>
          </w:p>
        </w:tc>
        <w:tc>
          <w:tcPr>
            <w:tcW w:w="1285" w:type="dxa"/>
          </w:tcPr>
          <w:p>
            <w:pPr>
              <w:pStyle w:val="TableParagraph"/>
              <w:rPr>
                <w:rFonts w:ascii="Times New Roman"/>
                <w:sz w:val="18"/>
              </w:rPr>
            </w:pPr>
          </w:p>
        </w:tc>
        <w:tc>
          <w:tcPr>
            <w:tcW w:w="1277" w:type="dxa"/>
          </w:tcPr>
          <w:p>
            <w:pPr>
              <w:pStyle w:val="TableParagraph"/>
              <w:rPr>
                <w:rFonts w:ascii="Times New Roman"/>
                <w:sz w:val="18"/>
              </w:rPr>
            </w:pPr>
          </w:p>
        </w:tc>
        <w:tc>
          <w:tcPr>
            <w:tcW w:w="1528" w:type="dxa"/>
          </w:tcPr>
          <w:p>
            <w:pPr>
              <w:pStyle w:val="TableParagraph"/>
              <w:rPr>
                <w:rFonts w:ascii="Times New Roman"/>
                <w:sz w:val="18"/>
              </w:rPr>
            </w:pPr>
          </w:p>
        </w:tc>
        <w:tc>
          <w:tcPr>
            <w:tcW w:w="1147" w:type="dxa"/>
          </w:tcPr>
          <w:p>
            <w:pPr>
              <w:pStyle w:val="TableParagraph"/>
              <w:rPr>
                <w:rFonts w:ascii="Times New Roman"/>
                <w:sz w:val="18"/>
              </w:rPr>
            </w:pPr>
          </w:p>
        </w:tc>
        <w:tc>
          <w:tcPr>
            <w:tcW w:w="1001" w:type="dxa"/>
          </w:tcPr>
          <w:p>
            <w:pPr>
              <w:pStyle w:val="TableParagraph"/>
              <w:rPr>
                <w:rFonts w:ascii="Times New Roman"/>
                <w:sz w:val="18"/>
              </w:rPr>
            </w:pPr>
          </w:p>
        </w:tc>
        <w:tc>
          <w:tcPr>
            <w:tcW w:w="1806" w:type="dxa"/>
          </w:tcPr>
          <w:p>
            <w:pPr>
              <w:pStyle w:val="TableParagraph"/>
              <w:spacing w:line="204" w:lineRule="exact"/>
              <w:ind w:left="151"/>
              <w:rPr>
                <w:sz w:val="18"/>
              </w:rPr>
            </w:pPr>
            <w:r>
              <w:rPr>
                <w:sz w:val="18"/>
              </w:rPr>
              <w:t>0.044</w:t>
            </w:r>
            <w:r>
              <w:rPr>
                <w:spacing w:val="-7"/>
                <w:sz w:val="18"/>
              </w:rPr>
              <w:t> </w:t>
            </w:r>
            <w:r>
              <w:rPr>
                <w:sz w:val="18"/>
              </w:rPr>
              <w:t>suggests</w:t>
            </w:r>
            <w:r>
              <w:rPr>
                <w:spacing w:val="-6"/>
                <w:sz w:val="18"/>
              </w:rPr>
              <w:t> </w:t>
            </w:r>
            <w:r>
              <w:rPr>
                <w:spacing w:val="-10"/>
                <w:sz w:val="18"/>
              </w:rPr>
              <w:t>a</w:t>
            </w:r>
          </w:p>
          <w:p>
            <w:pPr>
              <w:pStyle w:val="TableParagraph"/>
              <w:spacing w:line="190" w:lineRule="exact"/>
              <w:ind w:left="151"/>
              <w:rPr>
                <w:sz w:val="18"/>
              </w:rPr>
            </w:pPr>
            <w:r>
              <w:rPr>
                <w:rFonts w:ascii="Arial"/>
                <w:i/>
                <w:sz w:val="18"/>
              </w:rPr>
              <w:t>small</w:t>
            </w:r>
            <w:r>
              <w:rPr>
                <w:rFonts w:ascii="Arial"/>
                <w:i/>
                <w:spacing w:val="-2"/>
                <w:sz w:val="18"/>
              </w:rPr>
              <w:t> </w:t>
            </w:r>
            <w:r>
              <w:rPr>
                <w:rFonts w:ascii="Arial"/>
                <w:i/>
                <w:sz w:val="18"/>
              </w:rPr>
              <w:t>effect</w:t>
            </w:r>
            <w:r>
              <w:rPr>
                <w:rFonts w:ascii="Arial"/>
                <w:i/>
                <w:spacing w:val="-2"/>
                <w:sz w:val="18"/>
              </w:rPr>
              <w:t> size</w:t>
            </w:r>
            <w:r>
              <w:rPr>
                <w:spacing w:val="-2"/>
                <w:sz w:val="18"/>
              </w:rPr>
              <w:t>.</w:t>
            </w:r>
          </w:p>
        </w:tc>
      </w:tr>
      <w:tr>
        <w:trPr>
          <w:trHeight w:val="413" w:hRule="atLeast"/>
        </w:trPr>
        <w:tc>
          <w:tcPr>
            <w:tcW w:w="1943" w:type="dxa"/>
          </w:tcPr>
          <w:p>
            <w:pPr>
              <w:pStyle w:val="TableParagraph"/>
              <w:spacing w:line="205" w:lineRule="exact"/>
              <w:ind w:left="122"/>
              <w:rPr>
                <w:rFonts w:ascii="Arial"/>
                <w:b/>
                <w:sz w:val="18"/>
              </w:rPr>
            </w:pPr>
            <w:r>
              <w:rPr>
                <w:rFonts w:ascii="Arial"/>
                <w:b/>
                <w:sz w:val="18"/>
              </w:rPr>
              <w:t>Indirect</w:t>
            </w:r>
            <w:r>
              <w:rPr>
                <w:rFonts w:ascii="Arial"/>
                <w:b/>
                <w:spacing w:val="-8"/>
                <w:sz w:val="18"/>
              </w:rPr>
              <w:t> </w:t>
            </w:r>
            <w:r>
              <w:rPr>
                <w:rFonts w:ascii="Arial"/>
                <w:b/>
                <w:spacing w:val="-2"/>
                <w:sz w:val="18"/>
              </w:rPr>
              <w:t>Effects</w:t>
            </w:r>
          </w:p>
        </w:tc>
        <w:tc>
          <w:tcPr>
            <w:tcW w:w="1313" w:type="dxa"/>
          </w:tcPr>
          <w:p>
            <w:pPr>
              <w:pStyle w:val="TableParagraph"/>
              <w:spacing w:line="206" w:lineRule="exact"/>
              <w:ind w:left="135" w:right="240"/>
              <w:rPr>
                <w:rFonts w:ascii="Arial"/>
                <w:b/>
                <w:sz w:val="18"/>
              </w:rPr>
            </w:pPr>
            <w:r>
              <w:rPr>
                <w:rFonts w:ascii="Arial"/>
                <w:b/>
                <w:spacing w:val="-2"/>
                <w:sz w:val="18"/>
              </w:rPr>
              <w:t>Original </w:t>
            </w:r>
            <w:r>
              <w:rPr>
                <w:rFonts w:ascii="Arial"/>
                <w:b/>
                <w:sz w:val="18"/>
              </w:rPr>
              <w:t>sample</w:t>
            </w:r>
            <w:r>
              <w:rPr>
                <w:rFonts w:ascii="Arial"/>
                <w:b/>
                <w:spacing w:val="-13"/>
                <w:sz w:val="18"/>
              </w:rPr>
              <w:t> </w:t>
            </w:r>
            <w:r>
              <w:rPr>
                <w:rFonts w:ascii="Arial"/>
                <w:b/>
                <w:sz w:val="18"/>
              </w:rPr>
              <w:t>(O)</w:t>
            </w:r>
          </w:p>
        </w:tc>
        <w:tc>
          <w:tcPr>
            <w:tcW w:w="1285" w:type="dxa"/>
          </w:tcPr>
          <w:p>
            <w:pPr>
              <w:pStyle w:val="TableParagraph"/>
              <w:spacing w:line="206" w:lineRule="exact"/>
              <w:ind w:left="248" w:right="239"/>
              <w:rPr>
                <w:rFonts w:ascii="Arial"/>
                <w:b/>
                <w:sz w:val="18"/>
              </w:rPr>
            </w:pPr>
            <w:r>
              <w:rPr>
                <w:rFonts w:ascii="Arial"/>
                <w:b/>
                <w:spacing w:val="-2"/>
                <w:sz w:val="18"/>
              </w:rPr>
              <w:t>Sample </w:t>
            </w:r>
            <w:r>
              <w:rPr>
                <w:rFonts w:ascii="Arial"/>
                <w:b/>
                <w:sz w:val="18"/>
              </w:rPr>
              <w:t>mean</w:t>
            </w:r>
            <w:r>
              <w:rPr>
                <w:rFonts w:ascii="Arial"/>
                <w:b/>
                <w:spacing w:val="-13"/>
                <w:sz w:val="18"/>
              </w:rPr>
              <w:t> </w:t>
            </w:r>
            <w:r>
              <w:rPr>
                <w:rFonts w:ascii="Arial"/>
                <w:b/>
                <w:sz w:val="18"/>
              </w:rPr>
              <w:t>(M)</w:t>
            </w:r>
          </w:p>
        </w:tc>
        <w:tc>
          <w:tcPr>
            <w:tcW w:w="1277" w:type="dxa"/>
          </w:tcPr>
          <w:p>
            <w:pPr>
              <w:pStyle w:val="TableParagraph"/>
              <w:spacing w:line="206" w:lineRule="exact"/>
              <w:ind w:left="247"/>
              <w:rPr>
                <w:rFonts w:ascii="Arial"/>
                <w:b/>
                <w:sz w:val="18"/>
              </w:rPr>
            </w:pPr>
            <w:r>
              <w:rPr>
                <w:rFonts w:ascii="Arial"/>
                <w:b/>
                <w:spacing w:val="-2"/>
                <w:sz w:val="18"/>
              </w:rPr>
              <w:t>Standard deviation</w:t>
            </w:r>
          </w:p>
        </w:tc>
        <w:tc>
          <w:tcPr>
            <w:tcW w:w="1528" w:type="dxa"/>
          </w:tcPr>
          <w:p>
            <w:pPr>
              <w:pStyle w:val="TableParagraph"/>
              <w:spacing w:line="206" w:lineRule="exact"/>
              <w:ind w:left="240"/>
              <w:rPr>
                <w:rFonts w:ascii="Arial"/>
                <w:b/>
                <w:sz w:val="18"/>
              </w:rPr>
            </w:pPr>
            <w:r>
              <w:rPr>
                <w:rFonts w:ascii="Arial"/>
                <w:b/>
                <w:sz w:val="18"/>
              </w:rPr>
              <w:t>T statistics </w:t>
            </w:r>
            <w:r>
              <w:rPr>
                <w:rFonts w:ascii="Arial"/>
                <w:b/>
                <w:spacing w:val="-2"/>
                <w:sz w:val="18"/>
              </w:rPr>
              <w:t>(|O/STDEV|)</w:t>
            </w:r>
          </w:p>
        </w:tc>
        <w:tc>
          <w:tcPr>
            <w:tcW w:w="1147" w:type="dxa"/>
          </w:tcPr>
          <w:p>
            <w:pPr>
              <w:pStyle w:val="TableParagraph"/>
              <w:spacing w:line="205" w:lineRule="exact"/>
              <w:ind w:left="277"/>
              <w:rPr>
                <w:rFonts w:ascii="Arial"/>
                <w:b/>
                <w:sz w:val="18"/>
              </w:rPr>
            </w:pPr>
            <w:r>
              <w:rPr>
                <w:rFonts w:ascii="Arial"/>
                <w:b/>
                <w:sz w:val="18"/>
              </w:rPr>
              <w:t>P</w:t>
            </w:r>
            <w:r>
              <w:rPr>
                <w:rFonts w:ascii="Arial"/>
                <w:b/>
                <w:spacing w:val="-1"/>
                <w:sz w:val="18"/>
              </w:rPr>
              <w:t> </w:t>
            </w:r>
            <w:r>
              <w:rPr>
                <w:rFonts w:ascii="Arial"/>
                <w:b/>
                <w:spacing w:val="-2"/>
                <w:sz w:val="18"/>
              </w:rPr>
              <w:t>values</w:t>
            </w:r>
          </w:p>
        </w:tc>
        <w:tc>
          <w:tcPr>
            <w:tcW w:w="1001" w:type="dxa"/>
          </w:tcPr>
          <w:p>
            <w:pPr>
              <w:pStyle w:val="TableParagraph"/>
              <w:rPr>
                <w:rFonts w:ascii="Times New Roman"/>
                <w:sz w:val="18"/>
              </w:rPr>
            </w:pPr>
          </w:p>
        </w:tc>
        <w:tc>
          <w:tcPr>
            <w:tcW w:w="1806" w:type="dxa"/>
          </w:tcPr>
          <w:p>
            <w:pPr>
              <w:pStyle w:val="TableParagraph"/>
              <w:rPr>
                <w:rFonts w:ascii="Times New Roman"/>
                <w:sz w:val="18"/>
              </w:rPr>
            </w:pPr>
          </w:p>
        </w:tc>
      </w:tr>
      <w:tr>
        <w:trPr>
          <w:trHeight w:val="413" w:hRule="atLeast"/>
        </w:trPr>
        <w:tc>
          <w:tcPr>
            <w:tcW w:w="1943" w:type="dxa"/>
          </w:tcPr>
          <w:p>
            <w:pPr>
              <w:pStyle w:val="TableParagraph"/>
              <w:spacing w:line="190" w:lineRule="exact" w:before="203"/>
              <w:ind w:left="122"/>
              <w:rPr>
                <w:sz w:val="18"/>
              </w:rPr>
            </w:pPr>
            <w:r>
              <w:rPr>
                <w:sz w:val="18"/>
              </w:rPr>
              <w:t>Achievement</w:t>
            </w:r>
            <w:r>
              <w:rPr>
                <w:spacing w:val="-8"/>
                <w:sz w:val="18"/>
              </w:rPr>
              <w:t> </w:t>
            </w:r>
            <w:r>
              <w:rPr>
                <w:sz w:val="18"/>
              </w:rPr>
              <w:t>Goal</w:t>
            </w:r>
            <w:r>
              <w:rPr>
                <w:spacing w:val="-6"/>
                <w:sz w:val="18"/>
              </w:rPr>
              <w:t> </w:t>
            </w:r>
            <w:r>
              <w:rPr>
                <w:sz w:val="18"/>
              </w:rPr>
              <w:t>-</w:t>
            </w:r>
            <w:r>
              <w:rPr>
                <w:spacing w:val="-10"/>
                <w:sz w:val="18"/>
              </w:rPr>
              <w:t>&gt;</w:t>
            </w:r>
          </w:p>
        </w:tc>
        <w:tc>
          <w:tcPr>
            <w:tcW w:w="1313" w:type="dxa"/>
          </w:tcPr>
          <w:p>
            <w:pPr>
              <w:pStyle w:val="TableParagraph"/>
              <w:spacing w:line="190" w:lineRule="exact" w:before="203"/>
              <w:ind w:left="135"/>
              <w:rPr>
                <w:sz w:val="18"/>
              </w:rPr>
            </w:pPr>
            <w:r>
              <w:rPr>
                <w:spacing w:val="-2"/>
                <w:sz w:val="18"/>
              </w:rPr>
              <w:t>0.071</w:t>
            </w:r>
          </w:p>
        </w:tc>
        <w:tc>
          <w:tcPr>
            <w:tcW w:w="1285" w:type="dxa"/>
          </w:tcPr>
          <w:p>
            <w:pPr>
              <w:pStyle w:val="TableParagraph"/>
              <w:spacing w:line="190" w:lineRule="exact" w:before="203"/>
              <w:ind w:left="248"/>
              <w:rPr>
                <w:sz w:val="18"/>
              </w:rPr>
            </w:pPr>
            <w:r>
              <w:rPr>
                <w:spacing w:val="-2"/>
                <w:sz w:val="18"/>
              </w:rPr>
              <w:t>0.073</w:t>
            </w:r>
          </w:p>
        </w:tc>
        <w:tc>
          <w:tcPr>
            <w:tcW w:w="1277" w:type="dxa"/>
          </w:tcPr>
          <w:p>
            <w:pPr>
              <w:pStyle w:val="TableParagraph"/>
              <w:spacing w:line="204" w:lineRule="exact"/>
              <w:ind w:left="247"/>
              <w:rPr>
                <w:rFonts w:ascii="Arial"/>
                <w:b/>
                <w:sz w:val="18"/>
              </w:rPr>
            </w:pPr>
            <w:r>
              <w:rPr>
                <w:rFonts w:ascii="Arial"/>
                <w:b/>
                <w:spacing w:val="-2"/>
                <w:sz w:val="18"/>
              </w:rPr>
              <w:t>(STDEV)</w:t>
            </w:r>
          </w:p>
          <w:p>
            <w:pPr>
              <w:pStyle w:val="TableParagraph"/>
              <w:spacing w:line="190" w:lineRule="exact"/>
              <w:ind w:left="247"/>
              <w:rPr>
                <w:sz w:val="18"/>
              </w:rPr>
            </w:pPr>
            <w:r>
              <w:rPr>
                <w:spacing w:val="-2"/>
                <w:sz w:val="18"/>
              </w:rPr>
              <w:t>0.042</w:t>
            </w:r>
          </w:p>
        </w:tc>
        <w:tc>
          <w:tcPr>
            <w:tcW w:w="1528" w:type="dxa"/>
          </w:tcPr>
          <w:p>
            <w:pPr>
              <w:pStyle w:val="TableParagraph"/>
              <w:spacing w:line="190" w:lineRule="exact" w:before="203"/>
              <w:ind w:left="240"/>
              <w:rPr>
                <w:sz w:val="18"/>
              </w:rPr>
            </w:pPr>
            <w:r>
              <w:rPr>
                <w:spacing w:val="-2"/>
                <w:sz w:val="18"/>
              </w:rPr>
              <w:t>1.687</w:t>
            </w:r>
          </w:p>
        </w:tc>
        <w:tc>
          <w:tcPr>
            <w:tcW w:w="1147" w:type="dxa"/>
          </w:tcPr>
          <w:p>
            <w:pPr>
              <w:pStyle w:val="TableParagraph"/>
              <w:spacing w:line="190" w:lineRule="exact" w:before="203"/>
              <w:ind w:left="277"/>
              <w:rPr>
                <w:sz w:val="18"/>
              </w:rPr>
            </w:pPr>
            <w:r>
              <w:rPr>
                <w:spacing w:val="-2"/>
                <w:sz w:val="18"/>
              </w:rPr>
              <w:t>0.092</w:t>
            </w:r>
          </w:p>
        </w:tc>
        <w:tc>
          <w:tcPr>
            <w:tcW w:w="1001" w:type="dxa"/>
          </w:tcPr>
          <w:p>
            <w:pPr>
              <w:pStyle w:val="TableParagraph"/>
              <w:spacing w:line="190" w:lineRule="exact" w:before="203"/>
              <w:ind w:left="142"/>
              <w:rPr>
                <w:sz w:val="18"/>
              </w:rPr>
            </w:pPr>
            <w:r>
              <w:rPr>
                <w:spacing w:val="-10"/>
                <w:sz w:val="18"/>
              </w:rPr>
              <w:t>-</w:t>
            </w:r>
          </w:p>
        </w:tc>
        <w:tc>
          <w:tcPr>
            <w:tcW w:w="1806" w:type="dxa"/>
          </w:tcPr>
          <w:p>
            <w:pPr>
              <w:pStyle w:val="TableParagraph"/>
              <w:spacing w:line="190" w:lineRule="exact" w:before="203"/>
              <w:ind w:left="151"/>
              <w:rPr>
                <w:sz w:val="18"/>
              </w:rPr>
            </w:pPr>
            <w:r>
              <w:rPr>
                <w:rFonts w:ascii="Arial"/>
                <w:b/>
                <w:sz w:val="18"/>
              </w:rPr>
              <w:t>Not</w:t>
            </w:r>
            <w:r>
              <w:rPr>
                <w:rFonts w:ascii="Arial"/>
                <w:b/>
                <w:spacing w:val="-1"/>
                <w:sz w:val="18"/>
              </w:rPr>
              <w:t> </w:t>
            </w:r>
            <w:r>
              <w:rPr>
                <w:rFonts w:ascii="Arial"/>
                <w:b/>
                <w:sz w:val="18"/>
              </w:rPr>
              <w:t>significant </w:t>
            </w:r>
            <w:r>
              <w:rPr>
                <w:spacing w:val="-5"/>
                <w:sz w:val="18"/>
              </w:rPr>
              <w:t>(p</w:t>
            </w:r>
          </w:p>
        </w:tc>
      </w:tr>
      <w:tr>
        <w:trPr>
          <w:trHeight w:val="413" w:hRule="atLeast"/>
        </w:trPr>
        <w:tc>
          <w:tcPr>
            <w:tcW w:w="1943" w:type="dxa"/>
          </w:tcPr>
          <w:p>
            <w:pPr>
              <w:pStyle w:val="TableParagraph"/>
              <w:spacing w:line="205" w:lineRule="exact"/>
              <w:ind w:left="122"/>
              <w:rPr>
                <w:sz w:val="18"/>
              </w:rPr>
            </w:pPr>
            <w:r>
              <w:rPr>
                <w:sz w:val="18"/>
              </w:rPr>
              <w:t>Writing</w:t>
            </w:r>
            <w:r>
              <w:rPr>
                <w:spacing w:val="-1"/>
                <w:sz w:val="18"/>
              </w:rPr>
              <w:t> </w:t>
            </w:r>
            <w:r>
              <w:rPr>
                <w:spacing w:val="-2"/>
                <w:sz w:val="18"/>
              </w:rPr>
              <w:t>Strategy</w:t>
            </w:r>
          </w:p>
        </w:tc>
        <w:tc>
          <w:tcPr>
            <w:tcW w:w="1313" w:type="dxa"/>
          </w:tcPr>
          <w:p>
            <w:pPr>
              <w:pStyle w:val="TableParagraph"/>
              <w:rPr>
                <w:rFonts w:ascii="Times New Roman"/>
                <w:sz w:val="18"/>
              </w:rPr>
            </w:pPr>
          </w:p>
        </w:tc>
        <w:tc>
          <w:tcPr>
            <w:tcW w:w="1285" w:type="dxa"/>
          </w:tcPr>
          <w:p>
            <w:pPr>
              <w:pStyle w:val="TableParagraph"/>
              <w:rPr>
                <w:rFonts w:ascii="Times New Roman"/>
                <w:sz w:val="18"/>
              </w:rPr>
            </w:pPr>
          </w:p>
        </w:tc>
        <w:tc>
          <w:tcPr>
            <w:tcW w:w="1277" w:type="dxa"/>
          </w:tcPr>
          <w:p>
            <w:pPr>
              <w:pStyle w:val="TableParagraph"/>
              <w:rPr>
                <w:rFonts w:ascii="Times New Roman"/>
                <w:sz w:val="18"/>
              </w:rPr>
            </w:pPr>
          </w:p>
        </w:tc>
        <w:tc>
          <w:tcPr>
            <w:tcW w:w="1528" w:type="dxa"/>
          </w:tcPr>
          <w:p>
            <w:pPr>
              <w:pStyle w:val="TableParagraph"/>
              <w:rPr>
                <w:rFonts w:ascii="Times New Roman"/>
                <w:sz w:val="18"/>
              </w:rPr>
            </w:pPr>
          </w:p>
        </w:tc>
        <w:tc>
          <w:tcPr>
            <w:tcW w:w="1147" w:type="dxa"/>
          </w:tcPr>
          <w:p>
            <w:pPr>
              <w:pStyle w:val="TableParagraph"/>
              <w:rPr>
                <w:rFonts w:ascii="Times New Roman"/>
                <w:sz w:val="18"/>
              </w:rPr>
            </w:pPr>
          </w:p>
        </w:tc>
        <w:tc>
          <w:tcPr>
            <w:tcW w:w="1001" w:type="dxa"/>
          </w:tcPr>
          <w:p>
            <w:pPr>
              <w:pStyle w:val="TableParagraph"/>
              <w:rPr>
                <w:rFonts w:ascii="Times New Roman"/>
                <w:sz w:val="18"/>
              </w:rPr>
            </w:pPr>
          </w:p>
        </w:tc>
        <w:tc>
          <w:tcPr>
            <w:tcW w:w="1806" w:type="dxa"/>
          </w:tcPr>
          <w:p>
            <w:pPr>
              <w:pStyle w:val="TableParagraph"/>
              <w:spacing w:line="204" w:lineRule="exact"/>
              <w:ind w:left="151"/>
              <w:rPr>
                <w:sz w:val="18"/>
              </w:rPr>
            </w:pPr>
            <w:r>
              <w:rPr>
                <w:sz w:val="18"/>
              </w:rPr>
              <w:t>&gt; 0.05). </w:t>
            </w:r>
            <w:r>
              <w:rPr>
                <w:spacing w:val="-5"/>
                <w:sz w:val="18"/>
              </w:rPr>
              <w:t>The</w:t>
            </w:r>
          </w:p>
          <w:p>
            <w:pPr>
              <w:pStyle w:val="TableParagraph"/>
              <w:spacing w:line="190" w:lineRule="exact"/>
              <w:ind w:left="151"/>
              <w:rPr>
                <w:rFonts w:ascii="Arial"/>
                <w:i/>
                <w:sz w:val="18"/>
              </w:rPr>
            </w:pPr>
            <w:r>
              <w:rPr>
                <w:sz w:val="18"/>
              </w:rPr>
              <w:t>mediation</w:t>
            </w:r>
            <w:r>
              <w:rPr>
                <w:spacing w:val="-1"/>
                <w:sz w:val="18"/>
              </w:rPr>
              <w:t> </w:t>
            </w:r>
            <w:r>
              <w:rPr>
                <w:sz w:val="18"/>
              </w:rPr>
              <w:t>of</w:t>
            </w:r>
            <w:r>
              <w:rPr>
                <w:spacing w:val="-1"/>
                <w:sz w:val="18"/>
              </w:rPr>
              <w:t> </w:t>
            </w:r>
            <w:r>
              <w:rPr>
                <w:rFonts w:ascii="Arial"/>
                <w:i/>
                <w:spacing w:val="-4"/>
                <w:sz w:val="18"/>
              </w:rPr>
              <w:t>Grit</w:t>
            </w:r>
          </w:p>
        </w:tc>
      </w:tr>
      <w:tr>
        <w:trPr>
          <w:trHeight w:val="413" w:hRule="atLeast"/>
        </w:trPr>
        <w:tc>
          <w:tcPr>
            <w:tcW w:w="1943" w:type="dxa"/>
          </w:tcPr>
          <w:p>
            <w:pPr>
              <w:pStyle w:val="TableParagraph"/>
              <w:rPr>
                <w:rFonts w:ascii="Times New Roman"/>
                <w:sz w:val="18"/>
              </w:rPr>
            </w:pPr>
          </w:p>
        </w:tc>
        <w:tc>
          <w:tcPr>
            <w:tcW w:w="1313" w:type="dxa"/>
          </w:tcPr>
          <w:p>
            <w:pPr>
              <w:pStyle w:val="TableParagraph"/>
              <w:rPr>
                <w:rFonts w:ascii="Times New Roman"/>
                <w:sz w:val="18"/>
              </w:rPr>
            </w:pPr>
          </w:p>
        </w:tc>
        <w:tc>
          <w:tcPr>
            <w:tcW w:w="1285" w:type="dxa"/>
          </w:tcPr>
          <w:p>
            <w:pPr>
              <w:pStyle w:val="TableParagraph"/>
              <w:rPr>
                <w:rFonts w:ascii="Times New Roman"/>
                <w:sz w:val="18"/>
              </w:rPr>
            </w:pPr>
          </w:p>
        </w:tc>
        <w:tc>
          <w:tcPr>
            <w:tcW w:w="1277" w:type="dxa"/>
          </w:tcPr>
          <w:p>
            <w:pPr>
              <w:pStyle w:val="TableParagraph"/>
              <w:rPr>
                <w:rFonts w:ascii="Times New Roman"/>
                <w:sz w:val="18"/>
              </w:rPr>
            </w:pPr>
          </w:p>
        </w:tc>
        <w:tc>
          <w:tcPr>
            <w:tcW w:w="1528" w:type="dxa"/>
          </w:tcPr>
          <w:p>
            <w:pPr>
              <w:pStyle w:val="TableParagraph"/>
              <w:rPr>
                <w:rFonts w:ascii="Times New Roman"/>
                <w:sz w:val="18"/>
              </w:rPr>
            </w:pPr>
          </w:p>
        </w:tc>
        <w:tc>
          <w:tcPr>
            <w:tcW w:w="1147" w:type="dxa"/>
          </w:tcPr>
          <w:p>
            <w:pPr>
              <w:pStyle w:val="TableParagraph"/>
              <w:rPr>
                <w:rFonts w:ascii="Times New Roman"/>
                <w:sz w:val="18"/>
              </w:rPr>
            </w:pPr>
          </w:p>
        </w:tc>
        <w:tc>
          <w:tcPr>
            <w:tcW w:w="1001" w:type="dxa"/>
          </w:tcPr>
          <w:p>
            <w:pPr>
              <w:pStyle w:val="TableParagraph"/>
              <w:rPr>
                <w:rFonts w:ascii="Times New Roman"/>
                <w:sz w:val="18"/>
              </w:rPr>
            </w:pPr>
          </w:p>
        </w:tc>
        <w:tc>
          <w:tcPr>
            <w:tcW w:w="1806" w:type="dxa"/>
          </w:tcPr>
          <w:p>
            <w:pPr>
              <w:pStyle w:val="TableParagraph"/>
              <w:spacing w:line="204" w:lineRule="exact"/>
              <w:ind w:left="151"/>
              <w:rPr>
                <w:sz w:val="18"/>
              </w:rPr>
            </w:pPr>
            <w:r>
              <w:rPr>
                <w:spacing w:val="-2"/>
                <w:sz w:val="18"/>
              </w:rPr>
              <w:t>between</w:t>
            </w:r>
          </w:p>
          <w:p>
            <w:pPr>
              <w:pStyle w:val="TableParagraph"/>
              <w:spacing w:line="190" w:lineRule="exact"/>
              <w:ind w:left="151"/>
              <w:rPr>
                <w:rFonts w:ascii="Arial"/>
                <w:i/>
                <w:sz w:val="18"/>
              </w:rPr>
            </w:pPr>
            <w:r>
              <w:rPr>
                <w:rFonts w:ascii="Arial"/>
                <w:i/>
                <w:sz w:val="18"/>
              </w:rPr>
              <w:t>Achievement</w:t>
            </w:r>
            <w:r>
              <w:rPr>
                <w:rFonts w:ascii="Arial"/>
                <w:i/>
                <w:spacing w:val="-11"/>
                <w:sz w:val="18"/>
              </w:rPr>
              <w:t> </w:t>
            </w:r>
            <w:r>
              <w:rPr>
                <w:rFonts w:ascii="Arial"/>
                <w:i/>
                <w:spacing w:val="-4"/>
                <w:sz w:val="18"/>
              </w:rPr>
              <w:t>Goal</w:t>
            </w:r>
          </w:p>
        </w:tc>
      </w:tr>
      <w:tr>
        <w:trPr>
          <w:trHeight w:val="207" w:hRule="atLeast"/>
        </w:trPr>
        <w:tc>
          <w:tcPr>
            <w:tcW w:w="1943" w:type="dxa"/>
          </w:tcPr>
          <w:p>
            <w:pPr>
              <w:pStyle w:val="TableParagraph"/>
              <w:rPr>
                <w:rFonts w:ascii="Times New Roman"/>
                <w:sz w:val="14"/>
              </w:rPr>
            </w:pPr>
          </w:p>
        </w:tc>
        <w:tc>
          <w:tcPr>
            <w:tcW w:w="1313" w:type="dxa"/>
          </w:tcPr>
          <w:p>
            <w:pPr>
              <w:pStyle w:val="TableParagraph"/>
              <w:rPr>
                <w:rFonts w:ascii="Times New Roman"/>
                <w:sz w:val="14"/>
              </w:rPr>
            </w:pPr>
          </w:p>
        </w:tc>
        <w:tc>
          <w:tcPr>
            <w:tcW w:w="1285" w:type="dxa"/>
          </w:tcPr>
          <w:p>
            <w:pPr>
              <w:pStyle w:val="TableParagraph"/>
              <w:rPr>
                <w:rFonts w:ascii="Times New Roman"/>
                <w:sz w:val="14"/>
              </w:rPr>
            </w:pPr>
          </w:p>
        </w:tc>
        <w:tc>
          <w:tcPr>
            <w:tcW w:w="1277" w:type="dxa"/>
          </w:tcPr>
          <w:p>
            <w:pPr>
              <w:pStyle w:val="TableParagraph"/>
              <w:rPr>
                <w:rFonts w:ascii="Times New Roman"/>
                <w:sz w:val="14"/>
              </w:rPr>
            </w:pPr>
          </w:p>
        </w:tc>
        <w:tc>
          <w:tcPr>
            <w:tcW w:w="1528" w:type="dxa"/>
          </w:tcPr>
          <w:p>
            <w:pPr>
              <w:pStyle w:val="TableParagraph"/>
              <w:rPr>
                <w:rFonts w:ascii="Times New Roman"/>
                <w:sz w:val="14"/>
              </w:rPr>
            </w:pPr>
          </w:p>
        </w:tc>
        <w:tc>
          <w:tcPr>
            <w:tcW w:w="1147" w:type="dxa"/>
          </w:tcPr>
          <w:p>
            <w:pPr>
              <w:pStyle w:val="TableParagraph"/>
              <w:rPr>
                <w:rFonts w:ascii="Times New Roman"/>
                <w:sz w:val="14"/>
              </w:rPr>
            </w:pPr>
          </w:p>
        </w:tc>
        <w:tc>
          <w:tcPr>
            <w:tcW w:w="1001" w:type="dxa"/>
          </w:tcPr>
          <w:p>
            <w:pPr>
              <w:pStyle w:val="TableParagraph"/>
              <w:rPr>
                <w:rFonts w:ascii="Times New Roman"/>
                <w:sz w:val="14"/>
              </w:rPr>
            </w:pPr>
          </w:p>
        </w:tc>
        <w:tc>
          <w:tcPr>
            <w:tcW w:w="1806" w:type="dxa"/>
          </w:tcPr>
          <w:p>
            <w:pPr>
              <w:pStyle w:val="TableParagraph"/>
              <w:spacing w:line="187" w:lineRule="exact"/>
              <w:ind w:left="151"/>
              <w:rPr>
                <w:rFonts w:ascii="Arial"/>
                <w:i/>
                <w:sz w:val="18"/>
              </w:rPr>
            </w:pPr>
            <w:r>
              <w:rPr>
                <w:sz w:val="18"/>
              </w:rPr>
              <w:t>and</w:t>
            </w:r>
            <w:r>
              <w:rPr>
                <w:spacing w:val="-3"/>
                <w:sz w:val="18"/>
              </w:rPr>
              <w:t> </w:t>
            </w:r>
            <w:r>
              <w:rPr>
                <w:rFonts w:ascii="Arial"/>
                <w:i/>
                <w:spacing w:val="-2"/>
                <w:sz w:val="18"/>
              </w:rPr>
              <w:t>Writing</w:t>
            </w:r>
          </w:p>
        </w:tc>
      </w:tr>
      <w:tr>
        <w:trPr>
          <w:trHeight w:val="207" w:hRule="atLeast"/>
        </w:trPr>
        <w:tc>
          <w:tcPr>
            <w:tcW w:w="1943" w:type="dxa"/>
          </w:tcPr>
          <w:p>
            <w:pPr>
              <w:pStyle w:val="TableParagraph"/>
              <w:rPr>
                <w:rFonts w:ascii="Times New Roman"/>
                <w:sz w:val="14"/>
              </w:rPr>
            </w:pPr>
          </w:p>
        </w:tc>
        <w:tc>
          <w:tcPr>
            <w:tcW w:w="1313" w:type="dxa"/>
          </w:tcPr>
          <w:p>
            <w:pPr>
              <w:pStyle w:val="TableParagraph"/>
              <w:rPr>
                <w:rFonts w:ascii="Times New Roman"/>
                <w:sz w:val="14"/>
              </w:rPr>
            </w:pPr>
          </w:p>
        </w:tc>
        <w:tc>
          <w:tcPr>
            <w:tcW w:w="1285" w:type="dxa"/>
          </w:tcPr>
          <w:p>
            <w:pPr>
              <w:pStyle w:val="TableParagraph"/>
              <w:rPr>
                <w:rFonts w:ascii="Times New Roman"/>
                <w:sz w:val="14"/>
              </w:rPr>
            </w:pPr>
          </w:p>
        </w:tc>
        <w:tc>
          <w:tcPr>
            <w:tcW w:w="1277" w:type="dxa"/>
          </w:tcPr>
          <w:p>
            <w:pPr>
              <w:pStyle w:val="TableParagraph"/>
              <w:rPr>
                <w:rFonts w:ascii="Times New Roman"/>
                <w:sz w:val="14"/>
              </w:rPr>
            </w:pPr>
          </w:p>
        </w:tc>
        <w:tc>
          <w:tcPr>
            <w:tcW w:w="1528" w:type="dxa"/>
          </w:tcPr>
          <w:p>
            <w:pPr>
              <w:pStyle w:val="TableParagraph"/>
              <w:rPr>
                <w:rFonts w:ascii="Times New Roman"/>
                <w:sz w:val="14"/>
              </w:rPr>
            </w:pPr>
          </w:p>
        </w:tc>
        <w:tc>
          <w:tcPr>
            <w:tcW w:w="1147" w:type="dxa"/>
          </w:tcPr>
          <w:p>
            <w:pPr>
              <w:pStyle w:val="TableParagraph"/>
              <w:rPr>
                <w:rFonts w:ascii="Times New Roman"/>
                <w:sz w:val="14"/>
              </w:rPr>
            </w:pPr>
          </w:p>
        </w:tc>
        <w:tc>
          <w:tcPr>
            <w:tcW w:w="1001" w:type="dxa"/>
          </w:tcPr>
          <w:p>
            <w:pPr>
              <w:pStyle w:val="TableParagraph"/>
              <w:rPr>
                <w:rFonts w:ascii="Times New Roman"/>
                <w:sz w:val="14"/>
              </w:rPr>
            </w:pPr>
          </w:p>
        </w:tc>
        <w:tc>
          <w:tcPr>
            <w:tcW w:w="1806" w:type="dxa"/>
          </w:tcPr>
          <w:p>
            <w:pPr>
              <w:pStyle w:val="TableParagraph"/>
              <w:spacing w:line="187" w:lineRule="exact"/>
              <w:ind w:left="151"/>
              <w:rPr>
                <w:sz w:val="18"/>
              </w:rPr>
            </w:pPr>
            <w:r>
              <w:rPr>
                <w:rFonts w:ascii="Arial"/>
                <w:i/>
                <w:sz w:val="18"/>
              </w:rPr>
              <w:t>Strategy</w:t>
            </w:r>
            <w:r>
              <w:rPr>
                <w:rFonts w:ascii="Arial"/>
                <w:i/>
                <w:spacing w:val="-4"/>
                <w:sz w:val="18"/>
              </w:rPr>
              <w:t> </w:t>
            </w:r>
            <w:r>
              <w:rPr>
                <w:sz w:val="18"/>
              </w:rPr>
              <w:t>is</w:t>
            </w:r>
            <w:r>
              <w:rPr>
                <w:spacing w:val="-3"/>
                <w:sz w:val="18"/>
              </w:rPr>
              <w:t> </w:t>
            </w:r>
            <w:r>
              <w:rPr>
                <w:spacing w:val="-5"/>
                <w:sz w:val="18"/>
              </w:rPr>
              <w:t>not</w:t>
            </w:r>
          </w:p>
        </w:tc>
      </w:tr>
      <w:tr>
        <w:trPr>
          <w:trHeight w:val="414" w:hRule="atLeast"/>
        </w:trPr>
        <w:tc>
          <w:tcPr>
            <w:tcW w:w="1943" w:type="dxa"/>
          </w:tcPr>
          <w:p>
            <w:pPr>
              <w:pStyle w:val="TableParagraph"/>
              <w:rPr>
                <w:rFonts w:ascii="Times New Roman"/>
                <w:sz w:val="18"/>
              </w:rPr>
            </w:pPr>
          </w:p>
        </w:tc>
        <w:tc>
          <w:tcPr>
            <w:tcW w:w="1313" w:type="dxa"/>
          </w:tcPr>
          <w:p>
            <w:pPr>
              <w:pStyle w:val="TableParagraph"/>
              <w:rPr>
                <w:rFonts w:ascii="Times New Roman"/>
                <w:sz w:val="18"/>
              </w:rPr>
            </w:pPr>
          </w:p>
        </w:tc>
        <w:tc>
          <w:tcPr>
            <w:tcW w:w="1285" w:type="dxa"/>
          </w:tcPr>
          <w:p>
            <w:pPr>
              <w:pStyle w:val="TableParagraph"/>
              <w:rPr>
                <w:rFonts w:ascii="Times New Roman"/>
                <w:sz w:val="18"/>
              </w:rPr>
            </w:pPr>
          </w:p>
        </w:tc>
        <w:tc>
          <w:tcPr>
            <w:tcW w:w="1277" w:type="dxa"/>
          </w:tcPr>
          <w:p>
            <w:pPr>
              <w:pStyle w:val="TableParagraph"/>
              <w:rPr>
                <w:rFonts w:ascii="Times New Roman"/>
                <w:sz w:val="18"/>
              </w:rPr>
            </w:pPr>
          </w:p>
        </w:tc>
        <w:tc>
          <w:tcPr>
            <w:tcW w:w="1528" w:type="dxa"/>
          </w:tcPr>
          <w:p>
            <w:pPr>
              <w:pStyle w:val="TableParagraph"/>
              <w:rPr>
                <w:rFonts w:ascii="Times New Roman"/>
                <w:sz w:val="18"/>
              </w:rPr>
            </w:pPr>
          </w:p>
        </w:tc>
        <w:tc>
          <w:tcPr>
            <w:tcW w:w="1147" w:type="dxa"/>
          </w:tcPr>
          <w:p>
            <w:pPr>
              <w:pStyle w:val="TableParagraph"/>
              <w:rPr>
                <w:rFonts w:ascii="Times New Roman"/>
                <w:sz w:val="18"/>
              </w:rPr>
            </w:pPr>
          </w:p>
        </w:tc>
        <w:tc>
          <w:tcPr>
            <w:tcW w:w="1001" w:type="dxa"/>
          </w:tcPr>
          <w:p>
            <w:pPr>
              <w:pStyle w:val="TableParagraph"/>
              <w:rPr>
                <w:rFonts w:ascii="Times New Roman"/>
                <w:sz w:val="18"/>
              </w:rPr>
            </w:pPr>
          </w:p>
        </w:tc>
        <w:tc>
          <w:tcPr>
            <w:tcW w:w="1806" w:type="dxa"/>
          </w:tcPr>
          <w:p>
            <w:pPr>
              <w:pStyle w:val="TableParagraph"/>
              <w:spacing w:line="206" w:lineRule="exact"/>
              <w:ind w:left="151" w:right="140"/>
              <w:rPr>
                <w:sz w:val="18"/>
              </w:rPr>
            </w:pPr>
            <w:r>
              <w:rPr>
                <w:spacing w:val="-2"/>
                <w:sz w:val="18"/>
              </w:rPr>
              <w:t>statistically supported.</w:t>
            </w:r>
          </w:p>
        </w:tc>
      </w:tr>
      <w:tr>
        <w:trPr>
          <w:trHeight w:val="413" w:hRule="atLeast"/>
        </w:trPr>
        <w:tc>
          <w:tcPr>
            <w:tcW w:w="1943" w:type="dxa"/>
          </w:tcPr>
          <w:p>
            <w:pPr>
              <w:pStyle w:val="TableParagraph"/>
              <w:spacing w:line="205" w:lineRule="exact"/>
              <w:ind w:left="122"/>
              <w:rPr>
                <w:rFonts w:ascii="Arial"/>
                <w:b/>
                <w:sz w:val="18"/>
              </w:rPr>
            </w:pPr>
            <w:r>
              <w:rPr>
                <w:rFonts w:ascii="Arial"/>
                <w:b/>
                <w:sz w:val="18"/>
              </w:rPr>
              <w:t>Total</w:t>
            </w:r>
            <w:r>
              <w:rPr>
                <w:rFonts w:ascii="Arial"/>
                <w:b/>
                <w:spacing w:val="1"/>
                <w:sz w:val="18"/>
              </w:rPr>
              <w:t> </w:t>
            </w:r>
            <w:r>
              <w:rPr>
                <w:rFonts w:ascii="Arial"/>
                <w:b/>
                <w:spacing w:val="-2"/>
                <w:sz w:val="18"/>
              </w:rPr>
              <w:t>Effects</w:t>
            </w:r>
          </w:p>
        </w:tc>
        <w:tc>
          <w:tcPr>
            <w:tcW w:w="1313" w:type="dxa"/>
          </w:tcPr>
          <w:p>
            <w:pPr>
              <w:pStyle w:val="TableParagraph"/>
              <w:spacing w:line="206" w:lineRule="exact"/>
              <w:ind w:left="135" w:right="240"/>
              <w:rPr>
                <w:rFonts w:ascii="Arial"/>
                <w:b/>
                <w:sz w:val="18"/>
              </w:rPr>
            </w:pPr>
            <w:r>
              <w:rPr>
                <w:rFonts w:ascii="Arial"/>
                <w:b/>
                <w:spacing w:val="-2"/>
                <w:sz w:val="18"/>
              </w:rPr>
              <w:t>Original </w:t>
            </w:r>
            <w:r>
              <w:rPr>
                <w:rFonts w:ascii="Arial"/>
                <w:b/>
                <w:sz w:val="18"/>
              </w:rPr>
              <w:t>sample</w:t>
            </w:r>
            <w:r>
              <w:rPr>
                <w:rFonts w:ascii="Arial"/>
                <w:b/>
                <w:spacing w:val="-13"/>
                <w:sz w:val="18"/>
              </w:rPr>
              <w:t> </w:t>
            </w:r>
            <w:r>
              <w:rPr>
                <w:rFonts w:ascii="Arial"/>
                <w:b/>
                <w:sz w:val="18"/>
              </w:rPr>
              <w:t>(O)</w:t>
            </w:r>
          </w:p>
        </w:tc>
        <w:tc>
          <w:tcPr>
            <w:tcW w:w="1285" w:type="dxa"/>
          </w:tcPr>
          <w:p>
            <w:pPr>
              <w:pStyle w:val="TableParagraph"/>
              <w:spacing w:line="206" w:lineRule="exact"/>
              <w:ind w:left="248" w:right="239"/>
              <w:rPr>
                <w:rFonts w:ascii="Arial"/>
                <w:b/>
                <w:sz w:val="18"/>
              </w:rPr>
            </w:pPr>
            <w:r>
              <w:rPr>
                <w:rFonts w:ascii="Arial"/>
                <w:b/>
                <w:spacing w:val="-2"/>
                <w:sz w:val="18"/>
              </w:rPr>
              <w:t>Sample </w:t>
            </w:r>
            <w:r>
              <w:rPr>
                <w:rFonts w:ascii="Arial"/>
                <w:b/>
                <w:sz w:val="18"/>
              </w:rPr>
              <w:t>mean</w:t>
            </w:r>
            <w:r>
              <w:rPr>
                <w:rFonts w:ascii="Arial"/>
                <w:b/>
                <w:spacing w:val="-13"/>
                <w:sz w:val="18"/>
              </w:rPr>
              <w:t> </w:t>
            </w:r>
            <w:r>
              <w:rPr>
                <w:rFonts w:ascii="Arial"/>
                <w:b/>
                <w:sz w:val="18"/>
              </w:rPr>
              <w:t>(M)</w:t>
            </w:r>
          </w:p>
        </w:tc>
        <w:tc>
          <w:tcPr>
            <w:tcW w:w="1277" w:type="dxa"/>
          </w:tcPr>
          <w:p>
            <w:pPr>
              <w:pStyle w:val="TableParagraph"/>
              <w:spacing w:line="206" w:lineRule="exact"/>
              <w:ind w:left="247"/>
              <w:rPr>
                <w:rFonts w:ascii="Arial"/>
                <w:b/>
                <w:sz w:val="18"/>
              </w:rPr>
            </w:pPr>
            <w:r>
              <w:rPr>
                <w:rFonts w:ascii="Arial"/>
                <w:b/>
                <w:spacing w:val="-2"/>
                <w:sz w:val="18"/>
              </w:rPr>
              <w:t>Standard deviation</w:t>
            </w:r>
          </w:p>
        </w:tc>
        <w:tc>
          <w:tcPr>
            <w:tcW w:w="1528" w:type="dxa"/>
          </w:tcPr>
          <w:p>
            <w:pPr>
              <w:pStyle w:val="TableParagraph"/>
              <w:spacing w:line="206" w:lineRule="exact"/>
              <w:ind w:left="240"/>
              <w:rPr>
                <w:rFonts w:ascii="Arial"/>
                <w:b/>
                <w:sz w:val="18"/>
              </w:rPr>
            </w:pPr>
            <w:r>
              <w:rPr>
                <w:rFonts w:ascii="Arial"/>
                <w:b/>
                <w:sz w:val="18"/>
              </w:rPr>
              <w:t>T statistics </w:t>
            </w:r>
            <w:r>
              <w:rPr>
                <w:rFonts w:ascii="Arial"/>
                <w:b/>
                <w:spacing w:val="-2"/>
                <w:sz w:val="18"/>
              </w:rPr>
              <w:t>(|O/STDEV|)</w:t>
            </w:r>
          </w:p>
        </w:tc>
        <w:tc>
          <w:tcPr>
            <w:tcW w:w="1147" w:type="dxa"/>
          </w:tcPr>
          <w:p>
            <w:pPr>
              <w:pStyle w:val="TableParagraph"/>
              <w:spacing w:line="205" w:lineRule="exact"/>
              <w:ind w:left="277"/>
              <w:rPr>
                <w:rFonts w:ascii="Arial"/>
                <w:b/>
                <w:sz w:val="18"/>
              </w:rPr>
            </w:pPr>
            <w:r>
              <w:rPr>
                <w:rFonts w:ascii="Arial"/>
                <w:b/>
                <w:sz w:val="18"/>
              </w:rPr>
              <w:t>P</w:t>
            </w:r>
            <w:r>
              <w:rPr>
                <w:rFonts w:ascii="Arial"/>
                <w:b/>
                <w:spacing w:val="-1"/>
                <w:sz w:val="18"/>
              </w:rPr>
              <w:t> </w:t>
            </w:r>
            <w:r>
              <w:rPr>
                <w:rFonts w:ascii="Arial"/>
                <w:b/>
                <w:spacing w:val="-2"/>
                <w:sz w:val="18"/>
              </w:rPr>
              <w:t>values</w:t>
            </w:r>
          </w:p>
        </w:tc>
        <w:tc>
          <w:tcPr>
            <w:tcW w:w="1001" w:type="dxa"/>
          </w:tcPr>
          <w:p>
            <w:pPr>
              <w:pStyle w:val="TableParagraph"/>
              <w:rPr>
                <w:rFonts w:ascii="Times New Roman"/>
                <w:sz w:val="18"/>
              </w:rPr>
            </w:pPr>
          </w:p>
        </w:tc>
        <w:tc>
          <w:tcPr>
            <w:tcW w:w="1806" w:type="dxa"/>
          </w:tcPr>
          <w:p>
            <w:pPr>
              <w:pStyle w:val="TableParagraph"/>
              <w:rPr>
                <w:rFonts w:ascii="Times New Roman"/>
                <w:sz w:val="18"/>
              </w:rPr>
            </w:pPr>
          </w:p>
        </w:tc>
      </w:tr>
      <w:tr>
        <w:trPr>
          <w:trHeight w:val="207" w:hRule="atLeast"/>
        </w:trPr>
        <w:tc>
          <w:tcPr>
            <w:tcW w:w="1943" w:type="dxa"/>
          </w:tcPr>
          <w:p>
            <w:pPr>
              <w:pStyle w:val="TableParagraph"/>
              <w:rPr>
                <w:rFonts w:ascii="Times New Roman"/>
                <w:sz w:val="14"/>
              </w:rPr>
            </w:pPr>
          </w:p>
        </w:tc>
        <w:tc>
          <w:tcPr>
            <w:tcW w:w="1313" w:type="dxa"/>
          </w:tcPr>
          <w:p>
            <w:pPr>
              <w:pStyle w:val="TableParagraph"/>
              <w:rPr>
                <w:rFonts w:ascii="Times New Roman"/>
                <w:sz w:val="14"/>
              </w:rPr>
            </w:pPr>
          </w:p>
        </w:tc>
        <w:tc>
          <w:tcPr>
            <w:tcW w:w="1285" w:type="dxa"/>
          </w:tcPr>
          <w:p>
            <w:pPr>
              <w:pStyle w:val="TableParagraph"/>
              <w:rPr>
                <w:rFonts w:ascii="Times New Roman"/>
                <w:sz w:val="14"/>
              </w:rPr>
            </w:pPr>
          </w:p>
        </w:tc>
        <w:tc>
          <w:tcPr>
            <w:tcW w:w="1277" w:type="dxa"/>
          </w:tcPr>
          <w:p>
            <w:pPr>
              <w:pStyle w:val="TableParagraph"/>
              <w:spacing w:line="187" w:lineRule="exact"/>
              <w:ind w:left="247"/>
              <w:rPr>
                <w:rFonts w:ascii="Arial"/>
                <w:b/>
                <w:sz w:val="18"/>
              </w:rPr>
            </w:pPr>
            <w:r>
              <w:rPr>
                <w:rFonts w:ascii="Arial"/>
                <w:b/>
                <w:spacing w:val="-2"/>
                <w:sz w:val="18"/>
              </w:rPr>
              <w:t>(STDEV)</w:t>
            </w:r>
          </w:p>
        </w:tc>
        <w:tc>
          <w:tcPr>
            <w:tcW w:w="1528" w:type="dxa"/>
          </w:tcPr>
          <w:p>
            <w:pPr>
              <w:pStyle w:val="TableParagraph"/>
              <w:rPr>
                <w:rFonts w:ascii="Times New Roman"/>
                <w:sz w:val="14"/>
              </w:rPr>
            </w:pPr>
          </w:p>
        </w:tc>
        <w:tc>
          <w:tcPr>
            <w:tcW w:w="1147" w:type="dxa"/>
          </w:tcPr>
          <w:p>
            <w:pPr>
              <w:pStyle w:val="TableParagraph"/>
              <w:rPr>
                <w:rFonts w:ascii="Times New Roman"/>
                <w:sz w:val="14"/>
              </w:rPr>
            </w:pPr>
          </w:p>
        </w:tc>
        <w:tc>
          <w:tcPr>
            <w:tcW w:w="1001" w:type="dxa"/>
          </w:tcPr>
          <w:p>
            <w:pPr>
              <w:pStyle w:val="TableParagraph"/>
              <w:rPr>
                <w:rFonts w:ascii="Times New Roman"/>
                <w:sz w:val="14"/>
              </w:rPr>
            </w:pPr>
          </w:p>
        </w:tc>
        <w:tc>
          <w:tcPr>
            <w:tcW w:w="1806" w:type="dxa"/>
          </w:tcPr>
          <w:p>
            <w:pPr>
              <w:pStyle w:val="TableParagraph"/>
              <w:rPr>
                <w:rFonts w:ascii="Times New Roman"/>
                <w:sz w:val="14"/>
              </w:rPr>
            </w:pPr>
          </w:p>
        </w:tc>
      </w:tr>
      <w:tr>
        <w:trPr>
          <w:trHeight w:val="206" w:hRule="atLeast"/>
        </w:trPr>
        <w:tc>
          <w:tcPr>
            <w:tcW w:w="1943" w:type="dxa"/>
          </w:tcPr>
          <w:p>
            <w:pPr>
              <w:pStyle w:val="TableParagraph"/>
              <w:spacing w:line="187" w:lineRule="exact"/>
              <w:ind w:left="122"/>
              <w:rPr>
                <w:sz w:val="18"/>
              </w:rPr>
            </w:pPr>
            <w:r>
              <w:rPr>
                <w:sz w:val="18"/>
              </w:rPr>
              <w:t>Achievement</w:t>
            </w:r>
            <w:r>
              <w:rPr>
                <w:spacing w:val="-8"/>
                <w:sz w:val="18"/>
              </w:rPr>
              <w:t> </w:t>
            </w:r>
            <w:r>
              <w:rPr>
                <w:sz w:val="18"/>
              </w:rPr>
              <w:t>Goal</w:t>
            </w:r>
            <w:r>
              <w:rPr>
                <w:spacing w:val="-6"/>
                <w:sz w:val="18"/>
              </w:rPr>
              <w:t> </w:t>
            </w:r>
            <w:r>
              <w:rPr>
                <w:sz w:val="18"/>
              </w:rPr>
              <w:t>-</w:t>
            </w:r>
            <w:r>
              <w:rPr>
                <w:spacing w:val="-10"/>
                <w:sz w:val="18"/>
              </w:rPr>
              <w:t>&gt;</w:t>
            </w:r>
          </w:p>
        </w:tc>
        <w:tc>
          <w:tcPr>
            <w:tcW w:w="1313" w:type="dxa"/>
          </w:tcPr>
          <w:p>
            <w:pPr>
              <w:pStyle w:val="TableParagraph"/>
              <w:spacing w:line="187" w:lineRule="exact"/>
              <w:ind w:left="135"/>
              <w:rPr>
                <w:sz w:val="18"/>
              </w:rPr>
            </w:pPr>
            <w:r>
              <w:rPr>
                <w:spacing w:val="-2"/>
                <w:sz w:val="18"/>
              </w:rPr>
              <w:t>0.381</w:t>
            </w:r>
          </w:p>
        </w:tc>
        <w:tc>
          <w:tcPr>
            <w:tcW w:w="1285" w:type="dxa"/>
          </w:tcPr>
          <w:p>
            <w:pPr>
              <w:pStyle w:val="TableParagraph"/>
              <w:spacing w:line="187" w:lineRule="exact"/>
              <w:ind w:left="248"/>
              <w:rPr>
                <w:sz w:val="18"/>
              </w:rPr>
            </w:pPr>
            <w:r>
              <w:rPr>
                <w:spacing w:val="-2"/>
                <w:sz w:val="18"/>
              </w:rPr>
              <w:t>0.381</w:t>
            </w:r>
          </w:p>
        </w:tc>
        <w:tc>
          <w:tcPr>
            <w:tcW w:w="1277" w:type="dxa"/>
          </w:tcPr>
          <w:p>
            <w:pPr>
              <w:pStyle w:val="TableParagraph"/>
              <w:spacing w:line="187" w:lineRule="exact"/>
              <w:ind w:left="247"/>
              <w:rPr>
                <w:sz w:val="18"/>
              </w:rPr>
            </w:pPr>
            <w:r>
              <w:rPr>
                <w:spacing w:val="-2"/>
                <w:sz w:val="18"/>
              </w:rPr>
              <w:t>0.084</w:t>
            </w:r>
          </w:p>
        </w:tc>
        <w:tc>
          <w:tcPr>
            <w:tcW w:w="1528" w:type="dxa"/>
          </w:tcPr>
          <w:p>
            <w:pPr>
              <w:pStyle w:val="TableParagraph"/>
              <w:spacing w:line="187" w:lineRule="exact"/>
              <w:ind w:left="240"/>
              <w:rPr>
                <w:sz w:val="18"/>
              </w:rPr>
            </w:pPr>
            <w:r>
              <w:rPr>
                <w:spacing w:val="-2"/>
                <w:sz w:val="18"/>
              </w:rPr>
              <w:t>4.557</w:t>
            </w:r>
          </w:p>
        </w:tc>
        <w:tc>
          <w:tcPr>
            <w:tcW w:w="1147" w:type="dxa"/>
          </w:tcPr>
          <w:p>
            <w:pPr>
              <w:pStyle w:val="TableParagraph"/>
              <w:spacing w:line="187" w:lineRule="exact"/>
              <w:ind w:left="277"/>
              <w:rPr>
                <w:sz w:val="18"/>
              </w:rPr>
            </w:pPr>
            <w:r>
              <w:rPr>
                <w:spacing w:val="-10"/>
                <w:sz w:val="18"/>
              </w:rPr>
              <w:t>0</w:t>
            </w:r>
          </w:p>
        </w:tc>
        <w:tc>
          <w:tcPr>
            <w:tcW w:w="1001" w:type="dxa"/>
          </w:tcPr>
          <w:p>
            <w:pPr>
              <w:pStyle w:val="TableParagraph"/>
              <w:spacing w:line="187" w:lineRule="exact"/>
              <w:ind w:left="142"/>
              <w:rPr>
                <w:sz w:val="18"/>
              </w:rPr>
            </w:pPr>
            <w:r>
              <w:rPr>
                <w:spacing w:val="-10"/>
                <w:sz w:val="18"/>
              </w:rPr>
              <w:t>-</w:t>
            </w:r>
          </w:p>
        </w:tc>
        <w:tc>
          <w:tcPr>
            <w:tcW w:w="1806" w:type="dxa"/>
          </w:tcPr>
          <w:p>
            <w:pPr>
              <w:pStyle w:val="TableParagraph"/>
              <w:spacing w:line="187" w:lineRule="exact"/>
              <w:ind w:left="151"/>
              <w:rPr>
                <w:rFonts w:ascii="Arial"/>
                <w:b/>
                <w:sz w:val="18"/>
              </w:rPr>
            </w:pPr>
            <w:r>
              <w:rPr>
                <w:rFonts w:ascii="Arial"/>
                <w:b/>
                <w:sz w:val="18"/>
              </w:rPr>
              <w:t>Highly </w:t>
            </w:r>
            <w:r>
              <w:rPr>
                <w:rFonts w:ascii="Arial"/>
                <w:b/>
                <w:spacing w:val="-2"/>
                <w:sz w:val="18"/>
              </w:rPr>
              <w:t>significant</w:t>
            </w:r>
          </w:p>
        </w:tc>
      </w:tr>
      <w:tr>
        <w:trPr>
          <w:trHeight w:val="204" w:hRule="atLeast"/>
        </w:trPr>
        <w:tc>
          <w:tcPr>
            <w:tcW w:w="1943" w:type="dxa"/>
          </w:tcPr>
          <w:p>
            <w:pPr>
              <w:pStyle w:val="TableParagraph"/>
              <w:spacing w:line="184" w:lineRule="exact"/>
              <w:ind w:left="122"/>
              <w:rPr>
                <w:sz w:val="18"/>
              </w:rPr>
            </w:pPr>
            <w:r>
              <w:rPr>
                <w:sz w:val="18"/>
              </w:rPr>
              <w:t>Writing</w:t>
            </w:r>
            <w:r>
              <w:rPr>
                <w:spacing w:val="-1"/>
                <w:sz w:val="18"/>
              </w:rPr>
              <w:t> </w:t>
            </w:r>
            <w:r>
              <w:rPr>
                <w:spacing w:val="-2"/>
                <w:sz w:val="18"/>
              </w:rPr>
              <w:t>Strategy</w:t>
            </w:r>
          </w:p>
        </w:tc>
        <w:tc>
          <w:tcPr>
            <w:tcW w:w="1313" w:type="dxa"/>
          </w:tcPr>
          <w:p>
            <w:pPr>
              <w:pStyle w:val="TableParagraph"/>
              <w:rPr>
                <w:rFonts w:ascii="Times New Roman"/>
                <w:sz w:val="14"/>
              </w:rPr>
            </w:pPr>
          </w:p>
        </w:tc>
        <w:tc>
          <w:tcPr>
            <w:tcW w:w="1285" w:type="dxa"/>
          </w:tcPr>
          <w:p>
            <w:pPr>
              <w:pStyle w:val="TableParagraph"/>
              <w:rPr>
                <w:rFonts w:ascii="Times New Roman"/>
                <w:sz w:val="14"/>
              </w:rPr>
            </w:pPr>
          </w:p>
        </w:tc>
        <w:tc>
          <w:tcPr>
            <w:tcW w:w="1277" w:type="dxa"/>
          </w:tcPr>
          <w:p>
            <w:pPr>
              <w:pStyle w:val="TableParagraph"/>
              <w:rPr>
                <w:rFonts w:ascii="Times New Roman"/>
                <w:sz w:val="14"/>
              </w:rPr>
            </w:pPr>
          </w:p>
        </w:tc>
        <w:tc>
          <w:tcPr>
            <w:tcW w:w="1528" w:type="dxa"/>
          </w:tcPr>
          <w:p>
            <w:pPr>
              <w:pStyle w:val="TableParagraph"/>
              <w:rPr>
                <w:rFonts w:ascii="Times New Roman"/>
                <w:sz w:val="14"/>
              </w:rPr>
            </w:pPr>
          </w:p>
        </w:tc>
        <w:tc>
          <w:tcPr>
            <w:tcW w:w="1147" w:type="dxa"/>
          </w:tcPr>
          <w:p>
            <w:pPr>
              <w:pStyle w:val="TableParagraph"/>
              <w:rPr>
                <w:rFonts w:ascii="Times New Roman"/>
                <w:sz w:val="14"/>
              </w:rPr>
            </w:pPr>
          </w:p>
        </w:tc>
        <w:tc>
          <w:tcPr>
            <w:tcW w:w="1001" w:type="dxa"/>
          </w:tcPr>
          <w:p>
            <w:pPr>
              <w:pStyle w:val="TableParagraph"/>
              <w:rPr>
                <w:rFonts w:ascii="Times New Roman"/>
                <w:sz w:val="14"/>
              </w:rPr>
            </w:pPr>
          </w:p>
        </w:tc>
        <w:tc>
          <w:tcPr>
            <w:tcW w:w="1806" w:type="dxa"/>
          </w:tcPr>
          <w:p>
            <w:pPr>
              <w:pStyle w:val="TableParagraph"/>
              <w:spacing w:line="184" w:lineRule="exact"/>
              <w:ind w:left="151"/>
              <w:rPr>
                <w:sz w:val="18"/>
              </w:rPr>
            </w:pPr>
            <w:r>
              <w:rPr>
                <w:rFonts w:ascii="Arial"/>
                <w:b/>
                <w:sz w:val="18"/>
              </w:rPr>
              <w:t>total </w:t>
            </w:r>
            <w:r>
              <w:rPr>
                <w:rFonts w:ascii="Arial"/>
                <w:b/>
                <w:spacing w:val="-2"/>
                <w:sz w:val="18"/>
              </w:rPr>
              <w:t>effect</w:t>
            </w:r>
            <w:r>
              <w:rPr>
                <w:spacing w:val="-2"/>
                <w:sz w:val="18"/>
              </w:rPr>
              <w:t>.</w:t>
            </w:r>
          </w:p>
        </w:tc>
      </w:tr>
      <w:tr>
        <w:trPr>
          <w:trHeight w:val="263" w:hRule="atLeast"/>
        </w:trPr>
        <w:tc>
          <w:tcPr>
            <w:tcW w:w="1943" w:type="dxa"/>
          </w:tcPr>
          <w:p>
            <w:pPr>
              <w:pStyle w:val="TableParagraph"/>
              <w:rPr>
                <w:rFonts w:ascii="Times New Roman"/>
                <w:sz w:val="18"/>
              </w:rPr>
            </w:pPr>
          </w:p>
        </w:tc>
        <w:tc>
          <w:tcPr>
            <w:tcW w:w="1313" w:type="dxa"/>
          </w:tcPr>
          <w:p>
            <w:pPr>
              <w:pStyle w:val="TableParagraph"/>
              <w:spacing w:line="201" w:lineRule="exact"/>
              <w:ind w:left="135"/>
              <w:rPr>
                <w:rFonts w:ascii="Arial"/>
                <w:b/>
                <w:sz w:val="18"/>
              </w:rPr>
            </w:pPr>
            <w:r>
              <w:rPr>
                <w:rFonts w:ascii="Arial"/>
                <w:b/>
                <w:sz w:val="18"/>
              </w:rPr>
              <w:t>R-</w:t>
            </w:r>
            <w:r>
              <w:rPr>
                <w:rFonts w:ascii="Arial"/>
                <w:b/>
                <w:spacing w:val="-2"/>
                <w:sz w:val="18"/>
              </w:rPr>
              <w:t>square</w:t>
            </w:r>
          </w:p>
        </w:tc>
        <w:tc>
          <w:tcPr>
            <w:tcW w:w="2562" w:type="dxa"/>
            <w:gridSpan w:val="2"/>
          </w:tcPr>
          <w:p>
            <w:pPr>
              <w:pStyle w:val="TableParagraph"/>
              <w:spacing w:line="201" w:lineRule="exact"/>
              <w:ind w:left="248"/>
              <w:rPr>
                <w:rFonts w:ascii="Arial"/>
                <w:b/>
                <w:sz w:val="18"/>
              </w:rPr>
            </w:pPr>
            <w:r>
              <w:rPr>
                <w:rFonts w:ascii="Arial"/>
                <w:b/>
                <w:sz w:val="18"/>
              </w:rPr>
              <w:t>R-square</w:t>
            </w:r>
            <w:r>
              <w:rPr>
                <w:rFonts w:ascii="Arial"/>
                <w:b/>
                <w:spacing w:val="-7"/>
                <w:sz w:val="18"/>
              </w:rPr>
              <w:t> </w:t>
            </w:r>
            <w:r>
              <w:rPr>
                <w:rFonts w:ascii="Arial"/>
                <w:b/>
                <w:spacing w:val="-2"/>
                <w:sz w:val="18"/>
              </w:rPr>
              <w:t>adjusted</w:t>
            </w:r>
          </w:p>
        </w:tc>
        <w:tc>
          <w:tcPr>
            <w:tcW w:w="5482" w:type="dxa"/>
            <w:gridSpan w:val="4"/>
          </w:tcPr>
          <w:p>
            <w:pPr>
              <w:pStyle w:val="TableParagraph"/>
              <w:rPr>
                <w:rFonts w:ascii="Times New Roman"/>
                <w:sz w:val="18"/>
              </w:rPr>
            </w:pPr>
          </w:p>
        </w:tc>
      </w:tr>
      <w:tr>
        <w:trPr>
          <w:trHeight w:val="468" w:hRule="atLeast"/>
        </w:trPr>
        <w:tc>
          <w:tcPr>
            <w:tcW w:w="1943" w:type="dxa"/>
          </w:tcPr>
          <w:p>
            <w:pPr>
              <w:pStyle w:val="TableParagraph"/>
              <w:spacing w:before="51"/>
              <w:ind w:left="122"/>
              <w:rPr>
                <w:rFonts w:ascii="Arial"/>
                <w:b/>
                <w:sz w:val="18"/>
              </w:rPr>
            </w:pPr>
            <w:r>
              <w:rPr>
                <w:rFonts w:ascii="Arial"/>
                <w:b/>
                <w:sz w:val="18"/>
              </w:rPr>
              <w:t>Writing</w:t>
            </w:r>
            <w:r>
              <w:rPr>
                <w:rFonts w:ascii="Arial"/>
                <w:b/>
                <w:spacing w:val="-1"/>
                <w:sz w:val="18"/>
              </w:rPr>
              <w:t> </w:t>
            </w:r>
            <w:r>
              <w:rPr>
                <w:rFonts w:ascii="Arial"/>
                <w:b/>
                <w:spacing w:val="-2"/>
                <w:sz w:val="18"/>
              </w:rPr>
              <w:t>Strategy</w:t>
            </w:r>
          </w:p>
        </w:tc>
        <w:tc>
          <w:tcPr>
            <w:tcW w:w="1313" w:type="dxa"/>
          </w:tcPr>
          <w:p>
            <w:pPr>
              <w:pStyle w:val="TableParagraph"/>
              <w:spacing w:before="51"/>
              <w:ind w:left="135"/>
              <w:rPr>
                <w:sz w:val="18"/>
              </w:rPr>
            </w:pPr>
            <w:r>
              <w:rPr>
                <w:spacing w:val="-2"/>
                <w:sz w:val="18"/>
              </w:rPr>
              <w:t>0.181</w:t>
            </w:r>
          </w:p>
        </w:tc>
        <w:tc>
          <w:tcPr>
            <w:tcW w:w="2562" w:type="dxa"/>
            <w:gridSpan w:val="2"/>
          </w:tcPr>
          <w:p>
            <w:pPr>
              <w:pStyle w:val="TableParagraph"/>
              <w:spacing w:before="51"/>
              <w:ind w:left="248"/>
              <w:rPr>
                <w:sz w:val="18"/>
              </w:rPr>
            </w:pPr>
            <w:r>
              <w:rPr>
                <w:spacing w:val="-2"/>
                <w:sz w:val="18"/>
              </w:rPr>
              <w:t>0.167</w:t>
            </w:r>
          </w:p>
        </w:tc>
        <w:tc>
          <w:tcPr>
            <w:tcW w:w="5482" w:type="dxa"/>
            <w:gridSpan w:val="4"/>
          </w:tcPr>
          <w:p>
            <w:pPr>
              <w:pStyle w:val="TableParagraph"/>
              <w:spacing w:line="206" w:lineRule="exact" w:before="36"/>
              <w:ind w:left="3827" w:right="164"/>
              <w:rPr>
                <w:sz w:val="18"/>
              </w:rPr>
            </w:pPr>
            <w:r>
              <w:rPr>
                <w:sz w:val="18"/>
              </w:rPr>
              <w:t>The model explains</w:t>
            </w:r>
            <w:r>
              <w:rPr>
                <w:spacing w:val="-15"/>
                <w:sz w:val="18"/>
              </w:rPr>
              <w:t> </w:t>
            </w:r>
            <w:r>
              <w:rPr>
                <w:rFonts w:ascii="Arial"/>
                <w:b/>
                <w:sz w:val="18"/>
              </w:rPr>
              <w:t>18.1%</w:t>
            </w:r>
            <w:r>
              <w:rPr>
                <w:rFonts w:ascii="Arial"/>
                <w:b/>
                <w:spacing w:val="-12"/>
                <w:sz w:val="18"/>
              </w:rPr>
              <w:t> </w:t>
            </w:r>
            <w:r>
              <w:rPr>
                <w:sz w:val="18"/>
              </w:rPr>
              <w:t>of</w:t>
            </w:r>
          </w:p>
        </w:tc>
      </w:tr>
      <w:tr>
        <w:trPr>
          <w:trHeight w:val="206" w:hRule="atLeast"/>
        </w:trPr>
        <w:tc>
          <w:tcPr>
            <w:tcW w:w="1943" w:type="dxa"/>
          </w:tcPr>
          <w:p>
            <w:pPr>
              <w:pStyle w:val="TableParagraph"/>
              <w:rPr>
                <w:rFonts w:ascii="Times New Roman"/>
                <w:sz w:val="14"/>
              </w:rPr>
            </w:pPr>
          </w:p>
        </w:tc>
        <w:tc>
          <w:tcPr>
            <w:tcW w:w="1313" w:type="dxa"/>
          </w:tcPr>
          <w:p>
            <w:pPr>
              <w:pStyle w:val="TableParagraph"/>
              <w:rPr>
                <w:rFonts w:ascii="Times New Roman"/>
                <w:sz w:val="14"/>
              </w:rPr>
            </w:pPr>
          </w:p>
        </w:tc>
        <w:tc>
          <w:tcPr>
            <w:tcW w:w="2562" w:type="dxa"/>
            <w:gridSpan w:val="2"/>
          </w:tcPr>
          <w:p>
            <w:pPr>
              <w:pStyle w:val="TableParagraph"/>
              <w:rPr>
                <w:rFonts w:ascii="Times New Roman"/>
                <w:sz w:val="14"/>
              </w:rPr>
            </w:pPr>
          </w:p>
        </w:tc>
        <w:tc>
          <w:tcPr>
            <w:tcW w:w="5482" w:type="dxa"/>
            <w:gridSpan w:val="4"/>
          </w:tcPr>
          <w:p>
            <w:pPr>
              <w:pStyle w:val="TableParagraph"/>
              <w:spacing w:line="187" w:lineRule="exact"/>
              <w:ind w:right="482"/>
              <w:jc w:val="right"/>
              <w:rPr>
                <w:sz w:val="18"/>
              </w:rPr>
            </w:pPr>
            <w:r>
              <w:rPr>
                <w:sz w:val="18"/>
              </w:rPr>
              <w:t>the</w:t>
            </w:r>
            <w:r>
              <w:rPr>
                <w:spacing w:val="-6"/>
                <w:sz w:val="18"/>
              </w:rPr>
              <w:t> </w:t>
            </w:r>
            <w:r>
              <w:rPr>
                <w:sz w:val="18"/>
              </w:rPr>
              <w:t>variance</w:t>
            </w:r>
            <w:r>
              <w:rPr>
                <w:spacing w:val="-5"/>
                <w:sz w:val="18"/>
              </w:rPr>
              <w:t> in</w:t>
            </w:r>
          </w:p>
        </w:tc>
      </w:tr>
      <w:tr>
        <w:trPr>
          <w:trHeight w:val="207" w:hRule="atLeast"/>
        </w:trPr>
        <w:tc>
          <w:tcPr>
            <w:tcW w:w="1943" w:type="dxa"/>
          </w:tcPr>
          <w:p>
            <w:pPr>
              <w:pStyle w:val="TableParagraph"/>
              <w:rPr>
                <w:rFonts w:ascii="Times New Roman"/>
                <w:sz w:val="14"/>
              </w:rPr>
            </w:pPr>
          </w:p>
        </w:tc>
        <w:tc>
          <w:tcPr>
            <w:tcW w:w="1313" w:type="dxa"/>
          </w:tcPr>
          <w:p>
            <w:pPr>
              <w:pStyle w:val="TableParagraph"/>
              <w:rPr>
                <w:rFonts w:ascii="Times New Roman"/>
                <w:sz w:val="14"/>
              </w:rPr>
            </w:pPr>
          </w:p>
        </w:tc>
        <w:tc>
          <w:tcPr>
            <w:tcW w:w="2562" w:type="dxa"/>
            <w:gridSpan w:val="2"/>
          </w:tcPr>
          <w:p>
            <w:pPr>
              <w:pStyle w:val="TableParagraph"/>
              <w:rPr>
                <w:rFonts w:ascii="Times New Roman"/>
                <w:sz w:val="14"/>
              </w:rPr>
            </w:pPr>
          </w:p>
        </w:tc>
        <w:tc>
          <w:tcPr>
            <w:tcW w:w="5482" w:type="dxa"/>
            <w:gridSpan w:val="4"/>
          </w:tcPr>
          <w:p>
            <w:pPr>
              <w:pStyle w:val="TableParagraph"/>
              <w:spacing w:line="187" w:lineRule="exact"/>
              <w:ind w:right="143"/>
              <w:jc w:val="right"/>
              <w:rPr>
                <w:sz w:val="18"/>
              </w:rPr>
            </w:pPr>
            <w:r>
              <w:rPr>
                <w:sz w:val="18"/>
              </w:rPr>
              <w:t>Writing</w:t>
            </w:r>
            <w:r>
              <w:rPr>
                <w:spacing w:val="-2"/>
                <w:sz w:val="18"/>
              </w:rPr>
              <w:t> </w:t>
            </w:r>
            <w:r>
              <w:rPr>
                <w:sz w:val="18"/>
              </w:rPr>
              <w:t>Strategy</w:t>
            </w:r>
            <w:r>
              <w:rPr>
                <w:spacing w:val="-1"/>
                <w:sz w:val="18"/>
              </w:rPr>
              <w:t> </w:t>
            </w:r>
            <w:r>
              <w:rPr>
                <w:spacing w:val="-10"/>
                <w:sz w:val="18"/>
              </w:rPr>
              <w:t>—</w:t>
            </w:r>
          </w:p>
        </w:tc>
      </w:tr>
      <w:tr>
        <w:trPr>
          <w:trHeight w:val="413" w:hRule="atLeast"/>
        </w:trPr>
        <w:tc>
          <w:tcPr>
            <w:tcW w:w="1943" w:type="dxa"/>
          </w:tcPr>
          <w:p>
            <w:pPr>
              <w:pStyle w:val="TableParagraph"/>
              <w:rPr>
                <w:rFonts w:ascii="Times New Roman"/>
                <w:sz w:val="18"/>
              </w:rPr>
            </w:pPr>
          </w:p>
        </w:tc>
        <w:tc>
          <w:tcPr>
            <w:tcW w:w="1313" w:type="dxa"/>
          </w:tcPr>
          <w:p>
            <w:pPr>
              <w:pStyle w:val="TableParagraph"/>
              <w:rPr>
                <w:rFonts w:ascii="Times New Roman"/>
                <w:sz w:val="18"/>
              </w:rPr>
            </w:pPr>
          </w:p>
        </w:tc>
        <w:tc>
          <w:tcPr>
            <w:tcW w:w="2562" w:type="dxa"/>
            <w:gridSpan w:val="2"/>
          </w:tcPr>
          <w:p>
            <w:pPr>
              <w:pStyle w:val="TableParagraph"/>
              <w:rPr>
                <w:rFonts w:ascii="Times New Roman"/>
                <w:sz w:val="18"/>
              </w:rPr>
            </w:pPr>
          </w:p>
        </w:tc>
        <w:tc>
          <w:tcPr>
            <w:tcW w:w="5482" w:type="dxa"/>
            <w:gridSpan w:val="4"/>
          </w:tcPr>
          <w:p>
            <w:pPr>
              <w:pStyle w:val="TableParagraph"/>
              <w:spacing w:line="204" w:lineRule="exact"/>
              <w:ind w:left="3827"/>
              <w:rPr>
                <w:rFonts w:ascii="Arial"/>
                <w:i/>
                <w:sz w:val="18"/>
              </w:rPr>
            </w:pPr>
            <w:r>
              <w:rPr>
                <w:sz w:val="18"/>
              </w:rPr>
              <w:t>a</w:t>
            </w:r>
            <w:r>
              <w:rPr>
                <w:spacing w:val="-1"/>
                <w:sz w:val="18"/>
              </w:rPr>
              <w:t> </w:t>
            </w:r>
            <w:r>
              <w:rPr>
                <w:rFonts w:ascii="Arial"/>
                <w:i/>
                <w:spacing w:val="-2"/>
                <w:sz w:val="18"/>
              </w:rPr>
              <w:t>moderate</w:t>
            </w:r>
          </w:p>
          <w:p>
            <w:pPr>
              <w:pStyle w:val="TableParagraph"/>
              <w:spacing w:line="190" w:lineRule="exact"/>
              <w:ind w:left="3827"/>
              <w:rPr>
                <w:sz w:val="18"/>
              </w:rPr>
            </w:pPr>
            <w:r>
              <w:rPr>
                <w:sz w:val="18"/>
              </w:rPr>
              <w:t>explanatory</w:t>
            </w:r>
            <w:r>
              <w:rPr>
                <w:spacing w:val="-11"/>
                <w:sz w:val="18"/>
              </w:rPr>
              <w:t> </w:t>
            </w:r>
            <w:r>
              <w:rPr>
                <w:spacing w:val="-2"/>
                <w:sz w:val="18"/>
              </w:rPr>
              <w:t>power</w:t>
            </w:r>
          </w:p>
        </w:tc>
      </w:tr>
      <w:tr>
        <w:trPr>
          <w:trHeight w:val="207" w:hRule="atLeast"/>
        </w:trPr>
        <w:tc>
          <w:tcPr>
            <w:tcW w:w="1943" w:type="dxa"/>
          </w:tcPr>
          <w:p>
            <w:pPr>
              <w:pStyle w:val="TableParagraph"/>
              <w:rPr>
                <w:rFonts w:ascii="Times New Roman"/>
                <w:sz w:val="14"/>
              </w:rPr>
            </w:pPr>
          </w:p>
        </w:tc>
        <w:tc>
          <w:tcPr>
            <w:tcW w:w="1313" w:type="dxa"/>
          </w:tcPr>
          <w:p>
            <w:pPr>
              <w:pStyle w:val="TableParagraph"/>
              <w:rPr>
                <w:rFonts w:ascii="Times New Roman"/>
                <w:sz w:val="14"/>
              </w:rPr>
            </w:pPr>
          </w:p>
        </w:tc>
        <w:tc>
          <w:tcPr>
            <w:tcW w:w="2562" w:type="dxa"/>
            <w:gridSpan w:val="2"/>
          </w:tcPr>
          <w:p>
            <w:pPr>
              <w:pStyle w:val="TableParagraph"/>
              <w:rPr>
                <w:rFonts w:ascii="Times New Roman"/>
                <w:sz w:val="14"/>
              </w:rPr>
            </w:pPr>
          </w:p>
        </w:tc>
        <w:tc>
          <w:tcPr>
            <w:tcW w:w="5482" w:type="dxa"/>
            <w:gridSpan w:val="4"/>
          </w:tcPr>
          <w:p>
            <w:pPr>
              <w:pStyle w:val="TableParagraph"/>
              <w:spacing w:line="187" w:lineRule="exact"/>
              <w:ind w:right="672"/>
              <w:jc w:val="right"/>
              <w:rPr>
                <w:sz w:val="18"/>
              </w:rPr>
            </w:pPr>
            <w:r>
              <w:rPr>
                <w:sz w:val="18"/>
              </w:rPr>
              <w:t>according</w:t>
            </w:r>
            <w:r>
              <w:rPr>
                <w:spacing w:val="-9"/>
                <w:sz w:val="18"/>
              </w:rPr>
              <w:t> </w:t>
            </w:r>
            <w:r>
              <w:rPr>
                <w:spacing w:val="-5"/>
                <w:sz w:val="18"/>
              </w:rPr>
              <w:t>to</w:t>
            </w:r>
          </w:p>
        </w:tc>
      </w:tr>
      <w:tr>
        <w:trPr>
          <w:trHeight w:val="205" w:hRule="atLeast"/>
        </w:trPr>
        <w:tc>
          <w:tcPr>
            <w:tcW w:w="1943" w:type="dxa"/>
            <w:tcBorders>
              <w:bottom w:val="single" w:sz="4" w:space="0" w:color="000000"/>
            </w:tcBorders>
          </w:tcPr>
          <w:p>
            <w:pPr>
              <w:pStyle w:val="TableParagraph"/>
              <w:rPr>
                <w:rFonts w:ascii="Times New Roman"/>
                <w:sz w:val="14"/>
              </w:rPr>
            </w:pPr>
          </w:p>
        </w:tc>
        <w:tc>
          <w:tcPr>
            <w:tcW w:w="1313" w:type="dxa"/>
            <w:tcBorders>
              <w:bottom w:val="single" w:sz="4" w:space="0" w:color="000000"/>
            </w:tcBorders>
          </w:tcPr>
          <w:p>
            <w:pPr>
              <w:pStyle w:val="TableParagraph"/>
              <w:rPr>
                <w:rFonts w:ascii="Times New Roman"/>
                <w:sz w:val="14"/>
              </w:rPr>
            </w:pPr>
          </w:p>
        </w:tc>
        <w:tc>
          <w:tcPr>
            <w:tcW w:w="2562" w:type="dxa"/>
            <w:gridSpan w:val="2"/>
            <w:tcBorders>
              <w:bottom w:val="single" w:sz="4" w:space="0" w:color="000000"/>
            </w:tcBorders>
          </w:tcPr>
          <w:p>
            <w:pPr>
              <w:pStyle w:val="TableParagraph"/>
              <w:rPr>
                <w:rFonts w:ascii="Times New Roman"/>
                <w:sz w:val="14"/>
              </w:rPr>
            </w:pPr>
          </w:p>
        </w:tc>
        <w:tc>
          <w:tcPr>
            <w:tcW w:w="5482" w:type="dxa"/>
            <w:gridSpan w:val="4"/>
            <w:tcBorders>
              <w:bottom w:val="single" w:sz="4" w:space="0" w:color="000000"/>
            </w:tcBorders>
          </w:tcPr>
          <w:p>
            <w:pPr>
              <w:pStyle w:val="TableParagraph"/>
              <w:spacing w:line="185" w:lineRule="exact"/>
              <w:ind w:right="501"/>
              <w:jc w:val="right"/>
              <w:rPr>
                <w:sz w:val="18"/>
              </w:rPr>
            </w:pPr>
            <w:r>
              <w:rPr>
                <w:sz w:val="18"/>
              </w:rPr>
              <w:t>Cohen</w:t>
            </w:r>
            <w:r>
              <w:rPr>
                <w:spacing w:val="-1"/>
                <w:sz w:val="18"/>
              </w:rPr>
              <w:t> </w:t>
            </w:r>
            <w:r>
              <w:rPr>
                <w:spacing w:val="-2"/>
                <w:sz w:val="18"/>
              </w:rPr>
              <w:t>(1988).</w:t>
            </w:r>
          </w:p>
        </w:tc>
      </w:tr>
    </w:tbl>
    <w:p>
      <w:pPr>
        <w:pStyle w:val="BodyText"/>
        <w:spacing w:before="19"/>
        <w:ind w:left="0"/>
      </w:pPr>
    </w:p>
    <w:p>
      <w:pPr>
        <w:pStyle w:val="BodyText"/>
        <w:ind w:right="1080" w:firstLine="719"/>
        <w:jc w:val="both"/>
      </w:pPr>
      <w:r>
        <w:rPr/>
        <w:t>The combined results suggest a clear pattern: achievement goals are a strong predictor of both grit and writing-strategy use. Students with higher achievement goals are more likely to persist in academic</w:t>
      </w:r>
      <w:r>
        <w:rPr>
          <w:spacing w:val="-1"/>
        </w:rPr>
        <w:t> </w:t>
      </w:r>
      <w:r>
        <w:rPr/>
        <w:t>tasks and to apply</w:t>
      </w:r>
      <w:r>
        <w:rPr>
          <w:spacing w:val="-1"/>
        </w:rPr>
        <w:t> </w:t>
      </w:r>
      <w:r>
        <w:rPr/>
        <w:t>strategic writing behaviors. Grit itself contributes positively to writing strategy use but does not significantly mediate the</w:t>
      </w:r>
    </w:p>
    <w:p>
      <w:pPr>
        <w:pStyle w:val="BodyText"/>
        <w:spacing w:after="0"/>
        <w:jc w:val="both"/>
        <w:sectPr>
          <w:pgSz w:w="12240" w:h="15840"/>
          <w:pgMar w:top="1360" w:bottom="280" w:left="360" w:right="360"/>
        </w:sectPr>
      </w:pPr>
    </w:p>
    <w:p>
      <w:pPr>
        <w:pStyle w:val="BodyText"/>
        <w:spacing w:before="81"/>
        <w:ind w:right="1076"/>
        <w:jc w:val="both"/>
      </w:pPr>
      <w:r>
        <w:rPr/>
        <w:t>relationship between achievement goals and writing strategies. This indicates that while perseverance</w:t>
      </w:r>
      <w:r>
        <w:rPr>
          <w:spacing w:val="-2"/>
        </w:rPr>
        <w:t> </w:t>
      </w:r>
      <w:r>
        <w:rPr/>
        <w:t>supports</w:t>
      </w:r>
      <w:r>
        <w:rPr>
          <w:spacing w:val="-2"/>
        </w:rPr>
        <w:t> </w:t>
      </w:r>
      <w:r>
        <w:rPr/>
        <w:t>effective</w:t>
      </w:r>
      <w:r>
        <w:rPr>
          <w:spacing w:val="-2"/>
        </w:rPr>
        <w:t> </w:t>
      </w:r>
      <w:r>
        <w:rPr/>
        <w:t>writing,</w:t>
      </w:r>
      <w:r>
        <w:rPr>
          <w:spacing w:val="-3"/>
        </w:rPr>
        <w:t> </w:t>
      </w:r>
      <w:r>
        <w:rPr/>
        <w:t>the</w:t>
      </w:r>
      <w:r>
        <w:rPr>
          <w:spacing w:val="-2"/>
        </w:rPr>
        <w:t> </w:t>
      </w:r>
      <w:r>
        <w:rPr/>
        <w:t>motivational</w:t>
      </w:r>
      <w:r>
        <w:rPr>
          <w:spacing w:val="-2"/>
        </w:rPr>
        <w:t> </w:t>
      </w:r>
      <w:r>
        <w:rPr/>
        <w:t>influence</w:t>
      </w:r>
      <w:r>
        <w:rPr>
          <w:spacing w:val="-2"/>
        </w:rPr>
        <w:t> </w:t>
      </w:r>
      <w:r>
        <w:rPr/>
        <w:t>of</w:t>
      </w:r>
      <w:r>
        <w:rPr>
          <w:spacing w:val="-2"/>
        </w:rPr>
        <w:t> </w:t>
      </w:r>
      <w:r>
        <w:rPr/>
        <w:t>achievement</w:t>
      </w:r>
      <w:r>
        <w:rPr>
          <w:spacing w:val="-2"/>
        </w:rPr>
        <w:t> </w:t>
      </w:r>
      <w:r>
        <w:rPr/>
        <w:t>goals on strategy use remains largely direct. The moderate</w:t>
      </w:r>
      <w:r>
        <w:rPr>
          <w:spacing w:val="-1"/>
        </w:rPr>
        <w:t> </w:t>
      </w:r>
      <w:r>
        <w:rPr/>
        <w:t>level of explained variance implies that writing-strategy use is shaped by a broader constellation of cognitive, motivational, and instructional factors. Overall, the structural findings highlight the central role of achievement</w:t>
      </w:r>
      <w:r>
        <w:rPr>
          <w:spacing w:val="-10"/>
        </w:rPr>
        <w:t> </w:t>
      </w:r>
      <w:r>
        <w:rPr/>
        <w:t>goals</w:t>
      </w:r>
      <w:r>
        <w:rPr>
          <w:spacing w:val="-11"/>
        </w:rPr>
        <w:t> </w:t>
      </w:r>
      <w:r>
        <w:rPr/>
        <w:t>in</w:t>
      </w:r>
      <w:r>
        <w:rPr>
          <w:spacing w:val="-9"/>
        </w:rPr>
        <w:t> </w:t>
      </w:r>
      <w:r>
        <w:rPr/>
        <w:t>technical</w:t>
      </w:r>
      <w:r>
        <w:rPr>
          <w:spacing w:val="-8"/>
        </w:rPr>
        <w:t> </w:t>
      </w:r>
      <w:r>
        <w:rPr/>
        <w:t>writing</w:t>
      </w:r>
      <w:r>
        <w:rPr>
          <w:spacing w:val="-10"/>
        </w:rPr>
        <w:t> </w:t>
      </w:r>
      <w:r>
        <w:rPr/>
        <w:t>performance</w:t>
      </w:r>
      <w:r>
        <w:rPr>
          <w:spacing w:val="-9"/>
        </w:rPr>
        <w:t> </w:t>
      </w:r>
      <w:r>
        <w:rPr/>
        <w:t>and</w:t>
      </w:r>
      <w:r>
        <w:rPr>
          <w:spacing w:val="-11"/>
        </w:rPr>
        <w:t> </w:t>
      </w:r>
      <w:r>
        <w:rPr/>
        <w:t>suggest</w:t>
      </w:r>
      <w:r>
        <w:rPr>
          <w:spacing w:val="-10"/>
        </w:rPr>
        <w:t> </w:t>
      </w:r>
      <w:r>
        <w:rPr/>
        <w:t>that</w:t>
      </w:r>
      <w:r>
        <w:rPr>
          <w:spacing w:val="-10"/>
        </w:rPr>
        <w:t> </w:t>
      </w:r>
      <w:r>
        <w:rPr/>
        <w:t>cultivating</w:t>
      </w:r>
      <w:r>
        <w:rPr>
          <w:spacing w:val="-8"/>
        </w:rPr>
        <w:t> </w:t>
      </w:r>
      <w:r>
        <w:rPr/>
        <w:t>mastery- oriented learning environments may enhance students’ strategic writing behaviors.</w:t>
      </w:r>
    </w:p>
    <w:p>
      <w:pPr>
        <w:pStyle w:val="BodyText"/>
        <w:spacing w:before="7"/>
        <w:ind w:left="0"/>
      </w:pPr>
    </w:p>
    <w:p>
      <w:pPr>
        <w:pStyle w:val="ListParagraph"/>
        <w:numPr>
          <w:ilvl w:val="0"/>
          <w:numId w:val="1"/>
        </w:numPr>
        <w:tabs>
          <w:tab w:pos="1323" w:val="left" w:leader="none"/>
        </w:tabs>
        <w:spacing w:line="240" w:lineRule="auto" w:before="0" w:after="0"/>
        <w:ind w:left="1323" w:right="0" w:hanging="243"/>
        <w:jc w:val="left"/>
        <w:rPr>
          <w:b/>
          <w:sz w:val="22"/>
        </w:rPr>
      </w:pPr>
      <w:r>
        <w:rPr>
          <w:b/>
          <w:spacing w:val="-2"/>
          <w:sz w:val="22"/>
        </w:rPr>
        <w:t>Conclusion</w:t>
      </w:r>
    </w:p>
    <w:p>
      <w:pPr>
        <w:spacing w:line="259" w:lineRule="auto" w:before="195"/>
        <w:ind w:left="1080" w:right="1078" w:firstLine="719"/>
        <w:jc w:val="both"/>
        <w:rPr>
          <w:sz w:val="22"/>
        </w:rPr>
      </w:pPr>
      <w:r>
        <w:rPr>
          <w:sz w:val="22"/>
        </w:rPr>
        <w:t>The present study examined the mediating role of grit between achievement goals and writing strategies based on Trichotomous Model of Achievement Goal Theory and Duckworth’s Grit Theory. The study indicated that achievement goals significantly impact students' writing strategies; yet, grit functions as a supporting yet non-mediating factor. This suggests that students' writing strategies are mostly based on their goals, and grit helps them keep going but doesn't directly affect how they use these strategies.</w:t>
      </w:r>
    </w:p>
    <w:p>
      <w:pPr>
        <w:pStyle w:val="BodyText"/>
        <w:spacing w:before="24"/>
        <w:ind w:left="0"/>
        <w:rPr>
          <w:sz w:val="22"/>
        </w:rPr>
      </w:pPr>
    </w:p>
    <w:p>
      <w:pPr>
        <w:spacing w:before="0"/>
        <w:ind w:left="1080" w:right="1076" w:firstLine="719"/>
        <w:jc w:val="both"/>
        <w:rPr>
          <w:sz w:val="22"/>
        </w:rPr>
      </w:pPr>
      <w:r>
        <w:rPr>
          <w:sz w:val="22"/>
        </w:rPr>
        <w:t>The</w:t>
      </w:r>
      <w:r>
        <w:rPr>
          <w:spacing w:val="-1"/>
          <w:sz w:val="22"/>
        </w:rPr>
        <w:t> </w:t>
      </w:r>
      <w:r>
        <w:rPr>
          <w:sz w:val="22"/>
        </w:rPr>
        <w:t>result further</w:t>
      </w:r>
      <w:r>
        <w:rPr>
          <w:spacing w:val="-3"/>
          <w:sz w:val="22"/>
        </w:rPr>
        <w:t> </w:t>
      </w:r>
      <w:r>
        <w:rPr>
          <w:sz w:val="22"/>
        </w:rPr>
        <w:t>shows</w:t>
      </w:r>
      <w:r>
        <w:rPr>
          <w:spacing w:val="-1"/>
          <w:sz w:val="22"/>
        </w:rPr>
        <w:t> </w:t>
      </w:r>
      <w:r>
        <w:rPr>
          <w:sz w:val="22"/>
        </w:rPr>
        <w:t>that</w:t>
      </w:r>
      <w:r>
        <w:rPr>
          <w:spacing w:val="-1"/>
          <w:sz w:val="22"/>
        </w:rPr>
        <w:t> </w:t>
      </w:r>
      <w:r>
        <w:rPr>
          <w:sz w:val="22"/>
        </w:rPr>
        <w:t>it</w:t>
      </w:r>
      <w:r>
        <w:rPr>
          <w:spacing w:val="-2"/>
          <w:sz w:val="22"/>
        </w:rPr>
        <w:t> </w:t>
      </w:r>
      <w:r>
        <w:rPr>
          <w:sz w:val="22"/>
        </w:rPr>
        <w:t>is</w:t>
      </w:r>
      <w:r>
        <w:rPr>
          <w:spacing w:val="-1"/>
          <w:sz w:val="22"/>
        </w:rPr>
        <w:t> </w:t>
      </w:r>
      <w:r>
        <w:rPr>
          <w:sz w:val="22"/>
        </w:rPr>
        <w:t>important to</w:t>
      </w:r>
      <w:r>
        <w:rPr>
          <w:spacing w:val="-3"/>
          <w:sz w:val="22"/>
        </w:rPr>
        <w:t> </w:t>
      </w:r>
      <w:r>
        <w:rPr>
          <w:sz w:val="22"/>
        </w:rPr>
        <w:t>create</w:t>
      </w:r>
      <w:r>
        <w:rPr>
          <w:spacing w:val="-3"/>
          <w:sz w:val="22"/>
        </w:rPr>
        <w:t> </w:t>
      </w:r>
      <w:r>
        <w:rPr>
          <w:sz w:val="22"/>
        </w:rPr>
        <w:t>a</w:t>
      </w:r>
      <w:r>
        <w:rPr>
          <w:spacing w:val="-3"/>
          <w:sz w:val="22"/>
        </w:rPr>
        <w:t> </w:t>
      </w:r>
      <w:r>
        <w:rPr>
          <w:sz w:val="22"/>
        </w:rPr>
        <w:t>learning</w:t>
      </w:r>
      <w:r>
        <w:rPr>
          <w:spacing w:val="-1"/>
          <w:sz w:val="22"/>
        </w:rPr>
        <w:t> </w:t>
      </w:r>
      <w:r>
        <w:rPr>
          <w:sz w:val="22"/>
        </w:rPr>
        <w:t>environment</w:t>
      </w:r>
      <w:r>
        <w:rPr>
          <w:spacing w:val="-1"/>
          <w:sz w:val="22"/>
        </w:rPr>
        <w:t> </w:t>
      </w:r>
      <w:r>
        <w:rPr>
          <w:sz w:val="22"/>
        </w:rPr>
        <w:t>that</w:t>
      </w:r>
      <w:r>
        <w:rPr>
          <w:spacing w:val="-2"/>
          <w:sz w:val="22"/>
        </w:rPr>
        <w:t> </w:t>
      </w:r>
      <w:r>
        <w:rPr>
          <w:sz w:val="22"/>
        </w:rPr>
        <w:t>focuses on mastery goals. Practical steps include embedding mastery goal structures into writing instructions, reinforcing grit through long-term writing projects, and improving instruction in metacognitive strategies. Future initiatives must integrate motivational, cognitive, and pedagogical strategies to enhance students' strategic writing and continued engagement.</w:t>
      </w:r>
    </w:p>
    <w:p>
      <w:pPr>
        <w:pStyle w:val="BodyText"/>
        <w:ind w:left="0"/>
        <w:rPr>
          <w:sz w:val="22"/>
        </w:rPr>
      </w:pPr>
    </w:p>
    <w:p>
      <w:pPr>
        <w:pStyle w:val="BodyText"/>
        <w:ind w:left="0"/>
        <w:rPr>
          <w:sz w:val="22"/>
        </w:rPr>
      </w:pPr>
    </w:p>
    <w:p>
      <w:pPr>
        <w:pStyle w:val="BodyText"/>
        <w:spacing w:before="55"/>
        <w:ind w:left="0"/>
        <w:rPr>
          <w:sz w:val="22"/>
        </w:rPr>
      </w:pPr>
    </w:p>
    <w:p>
      <w:pPr>
        <w:pStyle w:val="Heading1"/>
        <w:spacing w:before="1"/>
        <w:ind w:left="1080"/>
      </w:pPr>
      <w:r>
        <w:rPr>
          <w:spacing w:val="-2"/>
        </w:rPr>
        <w:t>References</w:t>
      </w:r>
    </w:p>
    <w:p>
      <w:pPr>
        <w:pStyle w:val="BodyText"/>
        <w:spacing w:before="26"/>
        <w:ind w:left="0"/>
        <w:rPr>
          <w:rFonts w:ascii="Arial"/>
          <w:b/>
        </w:rPr>
      </w:pPr>
    </w:p>
    <w:p>
      <w:pPr>
        <w:pStyle w:val="BodyText"/>
        <w:ind w:right="1083"/>
        <w:jc w:val="both"/>
      </w:pPr>
      <w:r>
        <w:rPr/>
        <w:t>Ames, C. (1992). Classrooms: Goals, structures, and student motivation. Journal of Educational Psychology, 84(3), 261–271. https://doi.org/10.1037/0022-0663.84.3.261</w:t>
      </w:r>
    </w:p>
    <w:p>
      <w:pPr>
        <w:pStyle w:val="BodyText"/>
        <w:spacing w:before="4"/>
        <w:ind w:left="0"/>
      </w:pPr>
    </w:p>
    <w:p>
      <w:pPr>
        <w:pStyle w:val="BodyText"/>
        <w:ind w:right="1076"/>
        <w:jc w:val="both"/>
      </w:pPr>
      <w:r>
        <w:rPr/>
        <w:t>Bai,</w:t>
      </w:r>
      <w:r>
        <w:rPr>
          <w:spacing w:val="-1"/>
        </w:rPr>
        <w:t> </w:t>
      </w:r>
      <w:r>
        <w:rPr/>
        <w:t>B., Wang,</w:t>
      </w:r>
      <w:r>
        <w:rPr>
          <w:spacing w:val="-1"/>
        </w:rPr>
        <w:t> </w:t>
      </w:r>
      <w:r>
        <w:rPr/>
        <w:t>J., &amp; Nie, Y. (2020).</w:t>
      </w:r>
      <w:r>
        <w:rPr>
          <w:spacing w:val="-1"/>
        </w:rPr>
        <w:t> </w:t>
      </w:r>
      <w:r>
        <w:rPr/>
        <w:t>Self-efficacy, task values,</w:t>
      </w:r>
      <w:r>
        <w:rPr>
          <w:spacing w:val="-1"/>
        </w:rPr>
        <w:t> </w:t>
      </w:r>
      <w:r>
        <w:rPr/>
        <w:t>and growth mindset:</w:t>
      </w:r>
      <w:r>
        <w:rPr>
          <w:spacing w:val="-1"/>
        </w:rPr>
        <w:t> </w:t>
      </w:r>
      <w:r>
        <w:rPr/>
        <w:t>What has the most predictive power for primary school students’ self-regulated learning in English writing and writing competence in an Asian Confucian cultural context? Educational Review, 72(1), 65–84. https://doi.org/10.1080/0305764X.2020.1778639</w:t>
      </w:r>
    </w:p>
    <w:p>
      <w:pPr>
        <w:pStyle w:val="BodyText"/>
        <w:spacing w:before="4"/>
        <w:ind w:left="0"/>
      </w:pPr>
    </w:p>
    <w:p>
      <w:pPr>
        <w:pStyle w:val="BodyText"/>
        <w:spacing w:before="1"/>
        <w:ind w:right="1074"/>
        <w:jc w:val="both"/>
      </w:pPr>
      <w:r>
        <w:rPr/>
        <w:t>Becker,</w:t>
      </w:r>
      <w:r>
        <w:rPr>
          <w:spacing w:val="-12"/>
        </w:rPr>
        <w:t> </w:t>
      </w:r>
      <w:r>
        <w:rPr/>
        <w:t>J.-M.,</w:t>
      </w:r>
      <w:r>
        <w:rPr>
          <w:spacing w:val="-12"/>
        </w:rPr>
        <w:t> </w:t>
      </w:r>
      <w:r>
        <w:rPr/>
        <w:t>Klein,</w:t>
      </w:r>
      <w:r>
        <w:rPr>
          <w:spacing w:val="-11"/>
        </w:rPr>
        <w:t> </w:t>
      </w:r>
      <w:r>
        <w:rPr/>
        <w:t>K.,</w:t>
      </w:r>
      <w:r>
        <w:rPr>
          <w:spacing w:val="-12"/>
        </w:rPr>
        <w:t> </w:t>
      </w:r>
      <w:r>
        <w:rPr/>
        <w:t>&amp;</w:t>
      </w:r>
      <w:r>
        <w:rPr>
          <w:spacing w:val="-11"/>
        </w:rPr>
        <w:t> </w:t>
      </w:r>
      <w:r>
        <w:rPr/>
        <w:t>Wetzels,</w:t>
      </w:r>
      <w:r>
        <w:rPr>
          <w:spacing w:val="-12"/>
        </w:rPr>
        <w:t> </w:t>
      </w:r>
      <w:r>
        <w:rPr/>
        <w:t>M.</w:t>
      </w:r>
      <w:r>
        <w:rPr>
          <w:spacing w:val="-12"/>
        </w:rPr>
        <w:t> </w:t>
      </w:r>
      <w:r>
        <w:rPr/>
        <w:t>(2012).</w:t>
      </w:r>
      <w:r>
        <w:rPr>
          <w:spacing w:val="-12"/>
        </w:rPr>
        <w:t> </w:t>
      </w:r>
      <w:r>
        <w:rPr/>
        <w:t>Hierarchical</w:t>
      </w:r>
      <w:r>
        <w:rPr>
          <w:spacing w:val="-10"/>
        </w:rPr>
        <w:t> </w:t>
      </w:r>
      <w:r>
        <w:rPr/>
        <w:t>latent</w:t>
      </w:r>
      <w:r>
        <w:rPr>
          <w:spacing w:val="-12"/>
        </w:rPr>
        <w:t> </w:t>
      </w:r>
      <w:r>
        <w:rPr/>
        <w:t>variable</w:t>
      </w:r>
      <w:r>
        <w:rPr>
          <w:spacing w:val="-11"/>
        </w:rPr>
        <w:t> </w:t>
      </w:r>
      <w:r>
        <w:rPr/>
        <w:t>models</w:t>
      </w:r>
      <w:r>
        <w:rPr>
          <w:spacing w:val="-11"/>
        </w:rPr>
        <w:t> </w:t>
      </w:r>
      <w:r>
        <w:rPr/>
        <w:t>in</w:t>
      </w:r>
      <w:r>
        <w:rPr>
          <w:spacing w:val="-11"/>
        </w:rPr>
        <w:t> </w:t>
      </w:r>
      <w:r>
        <w:rPr/>
        <w:t>PLS- SEM:</w:t>
      </w:r>
      <w:r>
        <w:rPr>
          <w:spacing w:val="-16"/>
        </w:rPr>
        <w:t> </w:t>
      </w:r>
      <w:r>
        <w:rPr/>
        <w:t>Guidelines</w:t>
      </w:r>
      <w:r>
        <w:rPr>
          <w:spacing w:val="-15"/>
        </w:rPr>
        <w:t> </w:t>
      </w:r>
      <w:r>
        <w:rPr/>
        <w:t>for</w:t>
      </w:r>
      <w:r>
        <w:rPr>
          <w:spacing w:val="-15"/>
        </w:rPr>
        <w:t> </w:t>
      </w:r>
      <w:r>
        <w:rPr/>
        <w:t>using</w:t>
      </w:r>
      <w:r>
        <w:rPr>
          <w:spacing w:val="-14"/>
        </w:rPr>
        <w:t> </w:t>
      </w:r>
      <w:r>
        <w:rPr/>
        <w:t>reflective–formative</w:t>
      </w:r>
      <w:r>
        <w:rPr>
          <w:spacing w:val="-14"/>
        </w:rPr>
        <w:t> </w:t>
      </w:r>
      <w:r>
        <w:rPr/>
        <w:t>type</w:t>
      </w:r>
      <w:r>
        <w:rPr>
          <w:spacing w:val="-14"/>
        </w:rPr>
        <w:t> </w:t>
      </w:r>
      <w:r>
        <w:rPr/>
        <w:t>models.</w:t>
      </w:r>
      <w:r>
        <w:rPr>
          <w:spacing w:val="-16"/>
        </w:rPr>
        <w:t> </w:t>
      </w:r>
      <w:r>
        <w:rPr/>
        <w:t>Long</w:t>
      </w:r>
      <w:r>
        <w:rPr>
          <w:spacing w:val="-14"/>
        </w:rPr>
        <w:t> </w:t>
      </w:r>
      <w:r>
        <w:rPr/>
        <w:t>Range</w:t>
      </w:r>
      <w:r>
        <w:rPr>
          <w:spacing w:val="-15"/>
        </w:rPr>
        <w:t> </w:t>
      </w:r>
      <w:r>
        <w:rPr/>
        <w:t>Planning,</w:t>
      </w:r>
      <w:r>
        <w:rPr>
          <w:spacing w:val="-15"/>
        </w:rPr>
        <w:t> </w:t>
      </w:r>
      <w:r>
        <w:rPr/>
        <w:t>45(5– 6), 359–394. https://doi.org/10.1016/j.lrp.2012.10.001</w:t>
      </w:r>
    </w:p>
    <w:p>
      <w:pPr>
        <w:pStyle w:val="BodyText"/>
        <w:spacing w:before="3"/>
        <w:ind w:left="0"/>
      </w:pPr>
    </w:p>
    <w:p>
      <w:pPr>
        <w:pStyle w:val="BodyText"/>
        <w:tabs>
          <w:tab w:pos="2893" w:val="left" w:leader="none"/>
          <w:tab w:pos="4171" w:val="left" w:leader="none"/>
          <w:tab w:pos="6063" w:val="left" w:leader="none"/>
          <w:tab w:pos="8221" w:val="left" w:leader="none"/>
          <w:tab w:pos="9567" w:val="left" w:leader="none"/>
        </w:tabs>
        <w:ind w:right="1080"/>
        <w:jc w:val="both"/>
      </w:pPr>
      <w:r>
        <w:rPr/>
        <w:t>Camacho,</w:t>
      </w:r>
      <w:r>
        <w:rPr>
          <w:spacing w:val="-7"/>
        </w:rPr>
        <w:t> </w:t>
      </w:r>
      <w:r>
        <w:rPr/>
        <w:t>A.,</w:t>
      </w:r>
      <w:r>
        <w:rPr>
          <w:spacing w:val="-8"/>
        </w:rPr>
        <w:t> </w:t>
      </w:r>
      <w:r>
        <w:rPr/>
        <w:t>Alves,</w:t>
      </w:r>
      <w:r>
        <w:rPr>
          <w:spacing w:val="-8"/>
        </w:rPr>
        <w:t> </w:t>
      </w:r>
      <w:r>
        <w:rPr/>
        <w:t>R.</w:t>
      </w:r>
      <w:r>
        <w:rPr>
          <w:spacing w:val="-5"/>
        </w:rPr>
        <w:t> </w:t>
      </w:r>
      <w:r>
        <w:rPr/>
        <w:t>A.,</w:t>
      </w:r>
      <w:r>
        <w:rPr>
          <w:spacing w:val="-6"/>
        </w:rPr>
        <w:t> </w:t>
      </w:r>
      <w:r>
        <w:rPr/>
        <w:t>Daniel,</w:t>
      </w:r>
      <w:r>
        <w:rPr>
          <w:spacing w:val="-8"/>
        </w:rPr>
        <w:t> </w:t>
      </w:r>
      <w:r>
        <w:rPr/>
        <w:t>J.</w:t>
      </w:r>
      <w:r>
        <w:rPr>
          <w:spacing w:val="-6"/>
        </w:rPr>
        <w:t> </w:t>
      </w:r>
      <w:r>
        <w:rPr/>
        <w:t>R.,</w:t>
      </w:r>
      <w:r>
        <w:rPr>
          <w:spacing w:val="-8"/>
        </w:rPr>
        <w:t> </w:t>
      </w:r>
      <w:r>
        <w:rPr/>
        <w:t>De</w:t>
      </w:r>
      <w:r>
        <w:rPr>
          <w:spacing w:val="-6"/>
        </w:rPr>
        <w:t> </w:t>
      </w:r>
      <w:r>
        <w:rPr/>
        <w:t>Smedt,</w:t>
      </w:r>
      <w:r>
        <w:rPr>
          <w:spacing w:val="-6"/>
        </w:rPr>
        <w:t> </w:t>
      </w:r>
      <w:r>
        <w:rPr/>
        <w:t>F.,</w:t>
      </w:r>
      <w:r>
        <w:rPr>
          <w:spacing w:val="-5"/>
        </w:rPr>
        <w:t> </w:t>
      </w:r>
      <w:r>
        <w:rPr/>
        <w:t>&amp;</w:t>
      </w:r>
      <w:r>
        <w:rPr>
          <w:spacing w:val="-7"/>
        </w:rPr>
        <w:t> </w:t>
      </w:r>
      <w:r>
        <w:rPr/>
        <w:t>Van</w:t>
      </w:r>
      <w:r>
        <w:rPr>
          <w:spacing w:val="-7"/>
        </w:rPr>
        <w:t> </w:t>
      </w:r>
      <w:r>
        <w:rPr/>
        <w:t>Keer,</w:t>
      </w:r>
      <w:r>
        <w:rPr>
          <w:spacing w:val="-8"/>
        </w:rPr>
        <w:t> </w:t>
      </w:r>
      <w:r>
        <w:rPr/>
        <w:t>H.</w:t>
      </w:r>
      <w:r>
        <w:rPr>
          <w:spacing w:val="-6"/>
        </w:rPr>
        <w:t> </w:t>
      </w:r>
      <w:r>
        <w:rPr/>
        <w:t>(2022).</w:t>
      </w:r>
      <w:r>
        <w:rPr>
          <w:spacing w:val="-8"/>
        </w:rPr>
        <w:t> </w:t>
      </w:r>
      <w:r>
        <w:rPr/>
        <w:t>Structural relations among implicit theories, achievement goals, and performance in writing. </w:t>
      </w:r>
      <w:r>
        <w:rPr>
          <w:spacing w:val="-2"/>
        </w:rPr>
        <w:t>Learning</w:t>
      </w:r>
      <w:r>
        <w:rPr/>
        <w:tab/>
      </w:r>
      <w:r>
        <w:rPr>
          <w:spacing w:val="-5"/>
        </w:rPr>
        <w:t>and</w:t>
      </w:r>
      <w:r>
        <w:rPr/>
        <w:tab/>
      </w:r>
      <w:r>
        <w:rPr>
          <w:spacing w:val="-2"/>
        </w:rPr>
        <w:t>Individual</w:t>
      </w:r>
      <w:r>
        <w:rPr/>
        <w:tab/>
      </w:r>
      <w:r>
        <w:rPr>
          <w:spacing w:val="-2"/>
        </w:rPr>
        <w:t>Differences,</w:t>
      </w:r>
      <w:r>
        <w:rPr/>
        <w:tab/>
      </w:r>
      <w:r>
        <w:rPr>
          <w:spacing w:val="-4"/>
        </w:rPr>
        <w:t>100,</w:t>
      </w:r>
      <w:r>
        <w:rPr/>
        <w:tab/>
      </w:r>
      <w:r>
        <w:rPr>
          <w:spacing w:val="-2"/>
        </w:rPr>
        <w:t>102223.</w:t>
      </w:r>
    </w:p>
    <w:p>
      <w:pPr>
        <w:pStyle w:val="BodyText"/>
        <w:spacing w:before="1"/>
      </w:pPr>
      <w:r>
        <w:rPr>
          <w:spacing w:val="-2"/>
        </w:rPr>
        <w:t>https://doi.org/10.1016/j.lindif.2022.102223</w:t>
      </w:r>
    </w:p>
    <w:p>
      <w:pPr>
        <w:pStyle w:val="BodyText"/>
        <w:spacing w:before="4"/>
        <w:ind w:left="0"/>
      </w:pPr>
    </w:p>
    <w:p>
      <w:pPr>
        <w:pStyle w:val="BodyText"/>
        <w:tabs>
          <w:tab w:pos="3275" w:val="left" w:leader="none"/>
          <w:tab w:pos="4818" w:val="left" w:leader="none"/>
          <w:tab w:pos="6641" w:val="left" w:leader="none"/>
          <w:tab w:pos="8450" w:val="left" w:leader="none"/>
          <w:tab w:pos="9834" w:val="left" w:leader="none"/>
        </w:tabs>
        <w:ind w:right="1075"/>
        <w:jc w:val="both"/>
      </w:pPr>
      <w:r>
        <w:rPr/>
        <w:t>Chen, A.-H. (2022). The effects of writing strategy instruction on EFL learners’ writing </w:t>
      </w:r>
      <w:r>
        <w:rPr>
          <w:spacing w:val="-2"/>
        </w:rPr>
        <w:t>development.</w:t>
      </w:r>
      <w:r>
        <w:rPr/>
        <w:tab/>
      </w:r>
      <w:r>
        <w:rPr>
          <w:spacing w:val="-2"/>
        </w:rPr>
        <w:t>English</w:t>
      </w:r>
      <w:r>
        <w:rPr/>
        <w:tab/>
      </w:r>
      <w:r>
        <w:rPr>
          <w:spacing w:val="-2"/>
        </w:rPr>
        <w:t>Language</w:t>
      </w:r>
      <w:r>
        <w:rPr/>
        <w:tab/>
      </w:r>
      <w:r>
        <w:rPr>
          <w:spacing w:val="-2"/>
        </w:rPr>
        <w:t>Teaching,</w:t>
      </w:r>
      <w:r>
        <w:rPr/>
        <w:tab/>
      </w:r>
      <w:r>
        <w:rPr>
          <w:spacing w:val="-2"/>
        </w:rPr>
        <w:t>15(3),</w:t>
      </w:r>
      <w:r>
        <w:rPr/>
        <w:tab/>
      </w:r>
      <w:r>
        <w:rPr>
          <w:spacing w:val="-2"/>
        </w:rPr>
        <w:t>1–29. https://doi.org/10.5539/elt.v15n3p29</w:t>
      </w:r>
    </w:p>
    <w:p>
      <w:pPr>
        <w:pStyle w:val="BodyText"/>
        <w:spacing w:after="0"/>
        <w:jc w:val="both"/>
        <w:sectPr>
          <w:pgSz w:w="12240" w:h="15840"/>
          <w:pgMar w:top="1360" w:bottom="280" w:left="360" w:right="360"/>
        </w:sectPr>
      </w:pPr>
    </w:p>
    <w:p>
      <w:pPr>
        <w:pStyle w:val="BodyText"/>
        <w:tabs>
          <w:tab w:pos="2835" w:val="left" w:leader="none"/>
          <w:tab w:pos="4230" w:val="left" w:leader="none"/>
          <w:tab w:pos="5010" w:val="left" w:leader="none"/>
          <w:tab w:pos="6859" w:val="left" w:leader="none"/>
          <w:tab w:pos="8640" w:val="left" w:leader="none"/>
          <w:tab w:pos="9568" w:val="left" w:leader="none"/>
        </w:tabs>
        <w:spacing w:before="81"/>
        <w:ind w:right="1077"/>
      </w:pPr>
      <w:r>
        <w:rPr/>
        <w:t>Cho,</w:t>
      </w:r>
      <w:r>
        <w:rPr>
          <w:spacing w:val="-1"/>
        </w:rPr>
        <w:t> </w:t>
      </w:r>
      <w:r>
        <w:rPr/>
        <w:t>K.</w:t>
      </w:r>
      <w:r>
        <w:rPr>
          <w:spacing w:val="-2"/>
        </w:rPr>
        <w:t> </w:t>
      </w:r>
      <w:r>
        <w:rPr/>
        <w:t>W.</w:t>
      </w:r>
      <w:r>
        <w:rPr>
          <w:spacing w:val="-3"/>
        </w:rPr>
        <w:t> </w:t>
      </w:r>
      <w:r>
        <w:rPr/>
        <w:t>(2023).</w:t>
      </w:r>
      <w:r>
        <w:rPr>
          <w:spacing w:val="-2"/>
        </w:rPr>
        <w:t> </w:t>
      </w:r>
      <w:r>
        <w:rPr/>
        <w:t>Students’</w:t>
      </w:r>
      <w:r>
        <w:rPr>
          <w:spacing w:val="-1"/>
        </w:rPr>
        <w:t> </w:t>
      </w:r>
      <w:r>
        <w:rPr/>
        <w:t>age</w:t>
      </w:r>
      <w:r>
        <w:rPr>
          <w:spacing w:val="-1"/>
        </w:rPr>
        <w:t> </w:t>
      </w:r>
      <w:r>
        <w:rPr/>
        <w:t>and</w:t>
      </w:r>
      <w:r>
        <w:rPr>
          <w:spacing w:val="-3"/>
        </w:rPr>
        <w:t> </w:t>
      </w:r>
      <w:r>
        <w:rPr/>
        <w:t>noncognitive</w:t>
      </w:r>
      <w:r>
        <w:rPr>
          <w:spacing w:val="-1"/>
        </w:rPr>
        <w:t> </w:t>
      </w:r>
      <w:r>
        <w:rPr/>
        <w:t>traits</w:t>
      </w:r>
      <w:r>
        <w:rPr>
          <w:spacing w:val="-4"/>
        </w:rPr>
        <w:t> </w:t>
      </w:r>
      <w:r>
        <w:rPr/>
        <w:t>predict</w:t>
      </w:r>
      <w:r>
        <w:rPr>
          <w:spacing w:val="-2"/>
        </w:rPr>
        <w:t> </w:t>
      </w:r>
      <w:r>
        <w:rPr/>
        <w:t>writing</w:t>
      </w:r>
      <w:r>
        <w:rPr>
          <w:spacing w:val="-1"/>
        </w:rPr>
        <w:t> </w:t>
      </w:r>
      <w:r>
        <w:rPr/>
        <w:t>self-efficacy</w:t>
      </w:r>
      <w:r>
        <w:rPr>
          <w:spacing w:val="-1"/>
        </w:rPr>
        <w:t> </w:t>
      </w:r>
      <w:r>
        <w:rPr/>
        <w:t>and </w:t>
      </w:r>
      <w:r>
        <w:rPr>
          <w:spacing w:val="-2"/>
        </w:rPr>
        <w:t>motivation.</w:t>
      </w:r>
      <w:r>
        <w:rPr/>
        <w:tab/>
      </w:r>
      <w:r>
        <w:rPr>
          <w:spacing w:val="-2"/>
        </w:rPr>
        <w:t>Studies</w:t>
      </w:r>
      <w:r>
        <w:rPr/>
        <w:tab/>
      </w:r>
      <w:r>
        <w:rPr>
          <w:spacing w:val="-5"/>
        </w:rPr>
        <w:t>in</w:t>
      </w:r>
      <w:r>
        <w:rPr/>
        <w:tab/>
      </w:r>
      <w:r>
        <w:rPr>
          <w:spacing w:val="-2"/>
        </w:rPr>
        <w:t>Educational</w:t>
      </w:r>
      <w:r>
        <w:rPr/>
        <w:tab/>
      </w:r>
      <w:r>
        <w:rPr>
          <w:spacing w:val="-2"/>
        </w:rPr>
        <w:t>Evaluation,</w:t>
      </w:r>
      <w:r>
        <w:rPr/>
        <w:tab/>
      </w:r>
      <w:r>
        <w:rPr>
          <w:spacing w:val="-5"/>
        </w:rPr>
        <w:t>78,</w:t>
      </w:r>
      <w:r>
        <w:rPr/>
        <w:tab/>
      </w:r>
      <w:r>
        <w:rPr>
          <w:spacing w:val="-2"/>
        </w:rPr>
        <w:t>101287.</w:t>
      </w:r>
    </w:p>
    <w:p>
      <w:pPr>
        <w:pStyle w:val="BodyText"/>
      </w:pPr>
      <w:r>
        <w:rPr>
          <w:spacing w:val="-2"/>
        </w:rPr>
        <w:t>https://doi.org/10.1016/j.stueduc.2023.101287</w:t>
      </w:r>
    </w:p>
    <w:p>
      <w:pPr>
        <w:pStyle w:val="BodyText"/>
        <w:spacing w:before="3"/>
        <w:ind w:left="0"/>
      </w:pPr>
    </w:p>
    <w:p>
      <w:pPr>
        <w:pStyle w:val="BodyText"/>
        <w:ind w:right="1073"/>
        <w:jc w:val="both"/>
      </w:pPr>
      <w:r>
        <w:rPr/>
        <w:t>Chung,</w:t>
      </w:r>
      <w:r>
        <w:rPr>
          <w:spacing w:val="-2"/>
        </w:rPr>
        <w:t> </w:t>
      </w:r>
      <w:r>
        <w:rPr/>
        <w:t>H.</w:t>
      </w:r>
      <w:r>
        <w:rPr>
          <w:spacing w:val="-17"/>
        </w:rPr>
        <w:t> </w:t>
      </w:r>
      <w:r>
        <w:rPr/>
        <w:t>Q., Chen, V., &amp; Olson, C.</w:t>
      </w:r>
      <w:r>
        <w:rPr>
          <w:spacing w:val="-17"/>
        </w:rPr>
        <w:t> </w:t>
      </w:r>
      <w:r>
        <w:rPr/>
        <w:t>B. (2021). The impact of self</w:t>
      </w:r>
      <w:r>
        <w:rPr>
          <w:rFonts w:ascii="Cambria Math" w:hAnsi="Cambria Math"/>
        </w:rPr>
        <w:t>‑</w:t>
      </w:r>
      <w:r>
        <w:rPr/>
        <w:t>assessment, planning and goal setting, and reflection before and after revision on student self</w:t>
      </w:r>
      <w:r>
        <w:rPr>
          <w:rFonts w:ascii="Cambria Math" w:hAnsi="Cambria Math"/>
        </w:rPr>
        <w:t>‑</w:t>
      </w:r>
      <w:r>
        <w:rPr/>
        <w:t>efficacy and writing performance. Reading and Writing, 34(7), 1885–1913. </w:t>
      </w:r>
      <w:r>
        <w:rPr>
          <w:spacing w:val="-2"/>
        </w:rPr>
        <w:t>https://doi.org/10.1007/s11145-021-10186-x</w:t>
      </w:r>
    </w:p>
    <w:p>
      <w:pPr>
        <w:pStyle w:val="BodyText"/>
        <w:spacing w:before="4"/>
        <w:ind w:left="0"/>
      </w:pPr>
    </w:p>
    <w:p>
      <w:pPr>
        <w:pStyle w:val="BodyText"/>
        <w:ind w:right="1081"/>
        <w:jc w:val="both"/>
      </w:pPr>
      <w:r>
        <w:rPr/>
        <w:t>Cohen, J. (1988). Statistical power analysis for the behavioral sciences (2nd ed.). Lawrence Erlbaum Associates.</w:t>
      </w:r>
    </w:p>
    <w:p>
      <w:pPr>
        <w:pStyle w:val="BodyText"/>
        <w:spacing w:before="4"/>
        <w:ind w:left="0"/>
      </w:pPr>
    </w:p>
    <w:p>
      <w:pPr>
        <w:pStyle w:val="BodyText"/>
        <w:spacing w:before="1"/>
        <w:ind w:right="1080"/>
        <w:jc w:val="both"/>
      </w:pPr>
      <w:r>
        <w:rPr/>
        <w:t>Creswell,</w:t>
      </w:r>
      <w:r>
        <w:rPr>
          <w:spacing w:val="-13"/>
        </w:rPr>
        <w:t> </w:t>
      </w:r>
      <w:r>
        <w:rPr/>
        <w:t>J.</w:t>
      </w:r>
      <w:r>
        <w:rPr>
          <w:spacing w:val="-13"/>
        </w:rPr>
        <w:t> </w:t>
      </w:r>
      <w:r>
        <w:rPr/>
        <w:t>W.,</w:t>
      </w:r>
      <w:r>
        <w:rPr>
          <w:spacing w:val="-11"/>
        </w:rPr>
        <w:t> </w:t>
      </w:r>
      <w:r>
        <w:rPr/>
        <w:t>&amp;</w:t>
      </w:r>
      <w:r>
        <w:rPr>
          <w:spacing w:val="-10"/>
        </w:rPr>
        <w:t> </w:t>
      </w:r>
      <w:r>
        <w:rPr/>
        <w:t>Creswell,</w:t>
      </w:r>
      <w:r>
        <w:rPr>
          <w:spacing w:val="-13"/>
        </w:rPr>
        <w:t> </w:t>
      </w:r>
      <w:r>
        <w:rPr/>
        <w:t>J.</w:t>
      </w:r>
      <w:r>
        <w:rPr>
          <w:spacing w:val="-13"/>
        </w:rPr>
        <w:t> </w:t>
      </w:r>
      <w:r>
        <w:rPr/>
        <w:t>D.</w:t>
      </w:r>
      <w:r>
        <w:rPr>
          <w:spacing w:val="-12"/>
        </w:rPr>
        <w:t> </w:t>
      </w:r>
      <w:r>
        <w:rPr/>
        <w:t>(2018).</w:t>
      </w:r>
      <w:r>
        <w:rPr>
          <w:spacing w:val="-13"/>
        </w:rPr>
        <w:t> </w:t>
      </w:r>
      <w:r>
        <w:rPr/>
        <w:t>*Research</w:t>
      </w:r>
      <w:r>
        <w:rPr>
          <w:spacing w:val="-12"/>
        </w:rPr>
        <w:t> </w:t>
      </w:r>
      <w:r>
        <w:rPr/>
        <w:t>design:</w:t>
      </w:r>
      <w:r>
        <w:rPr>
          <w:spacing w:val="-13"/>
        </w:rPr>
        <w:t> </w:t>
      </w:r>
      <w:r>
        <w:rPr/>
        <w:t>Qualitative,</w:t>
      </w:r>
      <w:r>
        <w:rPr>
          <w:spacing w:val="-12"/>
        </w:rPr>
        <w:t> </w:t>
      </w:r>
      <w:r>
        <w:rPr/>
        <w:t>quantitative,</w:t>
      </w:r>
      <w:r>
        <w:rPr>
          <w:spacing w:val="-13"/>
        </w:rPr>
        <w:t> </w:t>
      </w:r>
      <w:r>
        <w:rPr/>
        <w:t>and mixed methods approaches* (5th ed.). SAGE Publications.</w:t>
      </w:r>
    </w:p>
    <w:p>
      <w:pPr>
        <w:pStyle w:val="BodyText"/>
        <w:spacing w:before="4"/>
        <w:ind w:left="0"/>
      </w:pPr>
    </w:p>
    <w:p>
      <w:pPr>
        <w:pStyle w:val="BodyText"/>
        <w:ind w:right="1081"/>
        <w:jc w:val="both"/>
      </w:pPr>
      <w:r>
        <w:rPr/>
        <w:t>Cronbach, L. J. (1951). Coefficient alpha and the internal structure of tests. Psychometrika, 16(3), 297–334. https://doi.org/10.1007/BF02310555</w:t>
      </w:r>
    </w:p>
    <w:p>
      <w:pPr>
        <w:pStyle w:val="BodyText"/>
        <w:spacing w:before="4"/>
        <w:ind w:left="0"/>
      </w:pPr>
    </w:p>
    <w:p>
      <w:pPr>
        <w:pStyle w:val="BodyText"/>
        <w:ind w:right="1077"/>
        <w:jc w:val="both"/>
      </w:pPr>
      <w:r>
        <w:rPr/>
        <w:t>De Smedt, F., Landrieu, Y., De Wever, B., &amp; Van Keer, H. (2023). The role of writing motives in the interplay between implicit theories, achievement goals, self-efficacy, and writing</w:t>
      </w:r>
      <w:r>
        <w:rPr>
          <w:spacing w:val="77"/>
        </w:rPr>
        <w:t>    </w:t>
      </w:r>
      <w:r>
        <w:rPr/>
        <w:t>performance.</w:t>
      </w:r>
      <w:r>
        <w:rPr>
          <w:spacing w:val="77"/>
        </w:rPr>
        <w:t>    </w:t>
      </w:r>
      <w:r>
        <w:rPr/>
        <w:t>Frontiers</w:t>
      </w:r>
      <w:r>
        <w:rPr>
          <w:spacing w:val="78"/>
        </w:rPr>
        <w:t>    </w:t>
      </w:r>
      <w:r>
        <w:rPr/>
        <w:t>in</w:t>
      </w:r>
      <w:r>
        <w:rPr>
          <w:spacing w:val="78"/>
        </w:rPr>
        <w:t>    </w:t>
      </w:r>
      <w:r>
        <w:rPr/>
        <w:t>Psychology,</w:t>
      </w:r>
      <w:r>
        <w:rPr>
          <w:spacing w:val="77"/>
        </w:rPr>
        <w:t>    </w:t>
      </w:r>
      <w:r>
        <w:rPr/>
        <w:t>14,</w:t>
      </w:r>
      <w:r>
        <w:rPr>
          <w:spacing w:val="77"/>
        </w:rPr>
        <w:t>    </w:t>
      </w:r>
      <w:r>
        <w:rPr>
          <w:spacing w:val="-2"/>
        </w:rPr>
        <w:t>1149923.</w:t>
      </w:r>
    </w:p>
    <w:p>
      <w:pPr>
        <w:pStyle w:val="BodyText"/>
      </w:pPr>
      <w:r>
        <w:rPr>
          <w:spacing w:val="-2"/>
        </w:rPr>
        <w:t>https://doi.org/10.3389/fpsyg.2023.1149923</w:t>
      </w:r>
    </w:p>
    <w:p>
      <w:pPr>
        <w:pStyle w:val="BodyText"/>
        <w:spacing w:before="4"/>
        <w:ind w:left="0"/>
      </w:pPr>
    </w:p>
    <w:p>
      <w:pPr>
        <w:pStyle w:val="BodyText"/>
        <w:ind w:right="1078"/>
        <w:jc w:val="both"/>
      </w:pPr>
      <w:r>
        <w:rPr/>
        <w:t>Duckworth,</w:t>
      </w:r>
      <w:r>
        <w:rPr>
          <w:spacing w:val="-17"/>
        </w:rPr>
        <w:t> </w:t>
      </w:r>
      <w:r>
        <w:rPr/>
        <w:t>A.</w:t>
      </w:r>
      <w:r>
        <w:rPr>
          <w:spacing w:val="-17"/>
        </w:rPr>
        <w:t> </w:t>
      </w:r>
      <w:r>
        <w:rPr/>
        <w:t>L.,</w:t>
      </w:r>
      <w:r>
        <w:rPr>
          <w:spacing w:val="-16"/>
        </w:rPr>
        <w:t> </w:t>
      </w:r>
      <w:r>
        <w:rPr/>
        <w:t>Peterson,</w:t>
      </w:r>
      <w:r>
        <w:rPr>
          <w:spacing w:val="-17"/>
        </w:rPr>
        <w:t> </w:t>
      </w:r>
      <w:r>
        <w:rPr/>
        <w:t>C.,</w:t>
      </w:r>
      <w:r>
        <w:rPr>
          <w:spacing w:val="-17"/>
        </w:rPr>
        <w:t> </w:t>
      </w:r>
      <w:r>
        <w:rPr/>
        <w:t>Matthews,</w:t>
      </w:r>
      <w:r>
        <w:rPr>
          <w:spacing w:val="-17"/>
        </w:rPr>
        <w:t> </w:t>
      </w:r>
      <w:r>
        <w:rPr/>
        <w:t>M.</w:t>
      </w:r>
      <w:r>
        <w:rPr>
          <w:spacing w:val="-16"/>
        </w:rPr>
        <w:t> </w:t>
      </w:r>
      <w:r>
        <w:rPr/>
        <w:t>D.,</w:t>
      </w:r>
      <w:r>
        <w:rPr>
          <w:spacing w:val="-17"/>
        </w:rPr>
        <w:t> </w:t>
      </w:r>
      <w:r>
        <w:rPr/>
        <w:t>&amp;</w:t>
      </w:r>
      <w:r>
        <w:rPr>
          <w:spacing w:val="-15"/>
        </w:rPr>
        <w:t> </w:t>
      </w:r>
      <w:r>
        <w:rPr/>
        <w:t>Kelly,</w:t>
      </w:r>
      <w:r>
        <w:rPr>
          <w:spacing w:val="-15"/>
        </w:rPr>
        <w:t> </w:t>
      </w:r>
      <w:r>
        <w:rPr/>
        <w:t>D.</w:t>
      </w:r>
      <w:r>
        <w:rPr>
          <w:spacing w:val="-17"/>
        </w:rPr>
        <w:t> </w:t>
      </w:r>
      <w:r>
        <w:rPr/>
        <w:t>R.</w:t>
      </w:r>
      <w:r>
        <w:rPr>
          <w:spacing w:val="-16"/>
        </w:rPr>
        <w:t> </w:t>
      </w:r>
      <w:r>
        <w:rPr/>
        <w:t>(2007).</w:t>
      </w:r>
      <w:r>
        <w:rPr>
          <w:spacing w:val="-17"/>
        </w:rPr>
        <w:t> </w:t>
      </w:r>
      <w:r>
        <w:rPr/>
        <w:t>Grit:</w:t>
      </w:r>
      <w:r>
        <w:rPr>
          <w:spacing w:val="-15"/>
        </w:rPr>
        <w:t> </w:t>
      </w:r>
      <w:r>
        <w:rPr/>
        <w:t>Perseverance and passion for long-term goals. Journal of Personality and Social Psychology, 92(6), 1087–1101. https://doi.org/10.1037/0022-3514.92.6.1087</w:t>
      </w:r>
    </w:p>
    <w:p>
      <w:pPr>
        <w:pStyle w:val="BodyText"/>
        <w:spacing w:before="4"/>
        <w:ind w:left="0"/>
      </w:pPr>
    </w:p>
    <w:p>
      <w:pPr>
        <w:pStyle w:val="BodyText"/>
        <w:ind w:right="1074"/>
        <w:jc w:val="both"/>
      </w:pPr>
      <w:r>
        <w:rPr/>
        <w:t>Dweck, C. S., &amp; Leggett, E. L. (1988). A social-cognitive approach to motivation and personality. Psychological Review, 95(2), 256–273. https://doi.org/10.1037/0033- </w:t>
      </w:r>
      <w:r>
        <w:rPr>
          <w:spacing w:val="-2"/>
        </w:rPr>
        <w:t>295X.95.2.256</w:t>
      </w:r>
    </w:p>
    <w:p>
      <w:pPr>
        <w:pStyle w:val="BodyText"/>
        <w:spacing w:before="5"/>
        <w:ind w:left="0"/>
      </w:pPr>
    </w:p>
    <w:p>
      <w:pPr>
        <w:pStyle w:val="BodyText"/>
        <w:ind w:right="1082"/>
        <w:jc w:val="both"/>
      </w:pPr>
      <w:r>
        <w:rPr/>
        <w:t>Elliot, A. J. (1999). Approach and avoidance motivation and achievement goals. Educational Psychologist, 34(3), 169–189. https://doi.org/10.1207/s15326985ep3403_3</w:t>
      </w:r>
    </w:p>
    <w:p>
      <w:pPr>
        <w:pStyle w:val="BodyText"/>
        <w:spacing w:before="4"/>
        <w:ind w:left="0"/>
      </w:pPr>
    </w:p>
    <w:p>
      <w:pPr>
        <w:pStyle w:val="BodyText"/>
        <w:ind w:right="1076"/>
        <w:jc w:val="both"/>
      </w:pPr>
      <w:r>
        <w:rPr/>
        <w:t>Elliot, A. J., &amp; McGregor, H. A. (2001). A 2 × 2 achievement goal framework. Journal of Personality and Social Psychology, 80(3), 501–519. https://doi.org/10.1037/0022- </w:t>
      </w:r>
      <w:r>
        <w:rPr>
          <w:spacing w:val="-2"/>
        </w:rPr>
        <w:t>3514.80.3.501</w:t>
      </w:r>
    </w:p>
    <w:p>
      <w:pPr>
        <w:pStyle w:val="BodyText"/>
        <w:spacing w:before="4"/>
        <w:ind w:left="0"/>
      </w:pPr>
    </w:p>
    <w:p>
      <w:pPr>
        <w:pStyle w:val="BodyText"/>
        <w:tabs>
          <w:tab w:pos="2389" w:val="left" w:leader="none"/>
          <w:tab w:pos="3233" w:val="left" w:leader="none"/>
          <w:tab w:pos="4090" w:val="left" w:leader="none"/>
          <w:tab w:pos="5960" w:val="left" w:leader="none"/>
          <w:tab w:pos="7511" w:val="left" w:leader="none"/>
          <w:tab w:pos="8778" w:val="left" w:leader="none"/>
          <w:tab w:pos="9568" w:val="left" w:leader="none"/>
        </w:tabs>
        <w:ind w:right="1077"/>
      </w:pPr>
      <w:r>
        <w:rPr/>
        <w:t>Golparvar,</w:t>
      </w:r>
      <w:r>
        <w:rPr>
          <w:spacing w:val="-18"/>
        </w:rPr>
        <w:t> </w:t>
      </w:r>
      <w:r>
        <w:rPr/>
        <w:t>S.</w:t>
      </w:r>
      <w:r>
        <w:rPr>
          <w:spacing w:val="-18"/>
        </w:rPr>
        <w:t> </w:t>
      </w:r>
      <w:r>
        <w:rPr/>
        <w:t>E.,</w:t>
      </w:r>
      <w:r>
        <w:rPr>
          <w:spacing w:val="-18"/>
        </w:rPr>
        <w:t> </w:t>
      </w:r>
      <w:r>
        <w:rPr/>
        <w:t>&amp;</w:t>
      </w:r>
      <w:r>
        <w:rPr>
          <w:spacing w:val="-17"/>
        </w:rPr>
        <w:t> </w:t>
      </w:r>
      <w:r>
        <w:rPr/>
        <w:t>Khafi,</w:t>
      </w:r>
      <w:r>
        <w:rPr>
          <w:spacing w:val="-18"/>
        </w:rPr>
        <w:t> </w:t>
      </w:r>
      <w:r>
        <w:rPr/>
        <w:t>A.</w:t>
      </w:r>
      <w:r>
        <w:rPr>
          <w:spacing w:val="-17"/>
        </w:rPr>
        <w:t> </w:t>
      </w:r>
      <w:r>
        <w:rPr/>
        <w:t>(2021).</w:t>
      </w:r>
      <w:r>
        <w:rPr>
          <w:spacing w:val="-18"/>
        </w:rPr>
        <w:t> </w:t>
      </w:r>
      <w:r>
        <w:rPr/>
        <w:t>The</w:t>
      </w:r>
      <w:r>
        <w:rPr>
          <w:spacing w:val="-17"/>
        </w:rPr>
        <w:t> </w:t>
      </w:r>
      <w:r>
        <w:rPr/>
        <w:t>role</w:t>
      </w:r>
      <w:r>
        <w:rPr>
          <w:spacing w:val="-17"/>
        </w:rPr>
        <w:t> </w:t>
      </w:r>
      <w:r>
        <w:rPr/>
        <w:t>of</w:t>
      </w:r>
      <w:r>
        <w:rPr>
          <w:spacing w:val="-17"/>
        </w:rPr>
        <w:t> </w:t>
      </w:r>
      <w:r>
        <w:rPr/>
        <w:t>L2</w:t>
      </w:r>
      <w:r>
        <w:rPr>
          <w:spacing w:val="-16"/>
        </w:rPr>
        <w:t> </w:t>
      </w:r>
      <w:r>
        <w:rPr/>
        <w:t>writing</w:t>
      </w:r>
      <w:r>
        <w:rPr>
          <w:spacing w:val="-17"/>
        </w:rPr>
        <w:t> </w:t>
      </w:r>
      <w:r>
        <w:rPr/>
        <w:t>self-efficacy</w:t>
      </w:r>
      <w:r>
        <w:rPr>
          <w:spacing w:val="-17"/>
        </w:rPr>
        <w:t> </w:t>
      </w:r>
      <w:r>
        <w:rPr/>
        <w:t>in</w:t>
      </w:r>
      <w:r>
        <w:rPr>
          <w:spacing w:val="-17"/>
        </w:rPr>
        <w:t> </w:t>
      </w:r>
      <w:r>
        <w:rPr/>
        <w:t>integrated</w:t>
      </w:r>
      <w:r>
        <w:rPr>
          <w:spacing w:val="-17"/>
        </w:rPr>
        <w:t> </w:t>
      </w:r>
      <w:r>
        <w:rPr/>
        <w:t>writing </w:t>
      </w:r>
      <w:r>
        <w:rPr>
          <w:spacing w:val="-2"/>
        </w:rPr>
        <w:t>strategy</w:t>
      </w:r>
      <w:r>
        <w:rPr/>
        <w:tab/>
      </w:r>
      <w:r>
        <w:rPr>
          <w:spacing w:val="-5"/>
        </w:rPr>
        <w:t>use</w:t>
      </w:r>
      <w:r>
        <w:rPr/>
        <w:tab/>
      </w:r>
      <w:r>
        <w:rPr>
          <w:spacing w:val="-5"/>
        </w:rPr>
        <w:t>and</w:t>
      </w:r>
      <w:r>
        <w:rPr/>
        <w:tab/>
      </w:r>
      <w:r>
        <w:rPr>
          <w:spacing w:val="-2"/>
        </w:rPr>
        <w:t>performance.</w:t>
      </w:r>
      <w:r>
        <w:rPr/>
        <w:tab/>
      </w:r>
      <w:r>
        <w:rPr>
          <w:spacing w:val="-2"/>
        </w:rPr>
        <w:t>Assessing</w:t>
      </w:r>
      <w:r>
        <w:rPr/>
        <w:tab/>
      </w:r>
      <w:r>
        <w:rPr>
          <w:spacing w:val="-2"/>
        </w:rPr>
        <w:t>Writing,</w:t>
      </w:r>
      <w:r>
        <w:rPr/>
        <w:tab/>
      </w:r>
      <w:r>
        <w:rPr>
          <w:spacing w:val="-5"/>
        </w:rPr>
        <w:t>47,</w:t>
      </w:r>
      <w:r>
        <w:rPr/>
        <w:tab/>
      </w:r>
      <w:r>
        <w:rPr>
          <w:spacing w:val="-2"/>
        </w:rPr>
        <w:t>100504.</w:t>
      </w:r>
    </w:p>
    <w:p>
      <w:pPr>
        <w:pStyle w:val="BodyText"/>
      </w:pPr>
      <w:r>
        <w:rPr>
          <w:spacing w:val="-2"/>
        </w:rPr>
        <w:t>https://doi.org/10.1016/j.asw.2020.100504</w:t>
      </w:r>
    </w:p>
    <w:p>
      <w:pPr>
        <w:pStyle w:val="BodyText"/>
        <w:spacing w:before="5"/>
        <w:ind w:left="0"/>
      </w:pPr>
    </w:p>
    <w:p>
      <w:pPr>
        <w:pStyle w:val="BodyText"/>
        <w:ind w:right="1075"/>
        <w:jc w:val="both"/>
      </w:pPr>
      <w:r>
        <w:rPr/>
        <w:t>Hair, J.</w:t>
      </w:r>
      <w:r>
        <w:rPr>
          <w:spacing w:val="-17"/>
        </w:rPr>
        <w:t> </w:t>
      </w:r>
      <w:r>
        <w:rPr/>
        <w:t>F., Risher, J.</w:t>
      </w:r>
      <w:r>
        <w:rPr>
          <w:spacing w:val="-17"/>
        </w:rPr>
        <w:t> </w:t>
      </w:r>
      <w:r>
        <w:rPr/>
        <w:t>J., Sarstedt, M., &amp; Ringle, C.</w:t>
      </w:r>
      <w:r>
        <w:rPr>
          <w:spacing w:val="-17"/>
        </w:rPr>
        <w:t> </w:t>
      </w:r>
      <w:r>
        <w:rPr/>
        <w:t>M. (2018). When to use and how to report the results of PLS</w:t>
      </w:r>
      <w:r>
        <w:rPr>
          <w:rFonts w:ascii="Cambria Math" w:hAnsi="Cambria Math"/>
        </w:rPr>
        <w:t>‑</w:t>
      </w:r>
      <w:r>
        <w:rPr/>
        <w:t>SEM. European Business Review, 31(1), 2–24. </w:t>
      </w:r>
      <w:r>
        <w:rPr>
          <w:spacing w:val="-2"/>
        </w:rPr>
        <w:t>https://doi.org/10.1108/EBR-11-2018-0203</w:t>
      </w:r>
    </w:p>
    <w:p>
      <w:pPr>
        <w:pStyle w:val="BodyText"/>
        <w:spacing w:after="0"/>
        <w:jc w:val="both"/>
        <w:sectPr>
          <w:pgSz w:w="12240" w:h="15840"/>
          <w:pgMar w:top="1360" w:bottom="280" w:left="360" w:right="360"/>
        </w:sectPr>
      </w:pPr>
    </w:p>
    <w:p>
      <w:pPr>
        <w:pStyle w:val="BodyText"/>
        <w:spacing w:before="81"/>
        <w:ind w:right="1074"/>
        <w:jc w:val="both"/>
      </w:pPr>
      <w:r>
        <w:rPr/>
        <w:t>Henseler, J., Ringle, C. M., &amp; Sarstedt, M. (2015). A new criterion for assessing discriminant validity in variance-based structural equation modeling. Journal of the Academy of Marketing Science, 43(1), 115–135. https://doi.org/10.1007/s11747-014- </w:t>
      </w:r>
      <w:r>
        <w:rPr>
          <w:spacing w:val="-2"/>
        </w:rPr>
        <w:t>0403-8</w:t>
      </w:r>
    </w:p>
    <w:p>
      <w:pPr>
        <w:pStyle w:val="BodyText"/>
        <w:spacing w:before="4"/>
        <w:ind w:left="0"/>
      </w:pPr>
    </w:p>
    <w:p>
      <w:pPr>
        <w:pStyle w:val="BodyText"/>
        <w:ind w:right="1075"/>
        <w:jc w:val="both"/>
      </w:pPr>
      <w:r>
        <w:rPr/>
        <w:t>Husain Abdulhay, Ahmadian, M., Yazdani, H., &amp; Amerian, M. (2020). Examining the relationship between EFL university students' goal orientations and self-regulation in writing. The Journal of Asia TEFL, 17(2), 319–757. </w:t>
      </w:r>
      <w:hyperlink r:id="rId8">
        <w:r>
          <w:rPr>
            <w:spacing w:val="-2"/>
          </w:rPr>
          <w:t>http://dx.doi.org/10.18823/asiatefl.2020.17.2.6.395</w:t>
        </w:r>
      </w:hyperlink>
    </w:p>
    <w:p>
      <w:pPr>
        <w:pStyle w:val="BodyText"/>
        <w:spacing w:before="4"/>
        <w:ind w:left="0"/>
      </w:pPr>
    </w:p>
    <w:p>
      <w:pPr>
        <w:pStyle w:val="BodyText"/>
        <w:tabs>
          <w:tab w:pos="2893" w:val="left" w:leader="none"/>
          <w:tab w:pos="4171" w:val="left" w:leader="none"/>
          <w:tab w:pos="6063" w:val="left" w:leader="none"/>
          <w:tab w:pos="8221" w:val="left" w:leader="none"/>
          <w:tab w:pos="9434" w:val="left" w:leader="none"/>
        </w:tabs>
        <w:ind w:right="1073"/>
        <w:jc w:val="both"/>
      </w:pPr>
      <w:r>
        <w:rPr/>
        <w:t>Kljajic, K., Gaudreau, P., &amp; Franche, V. (2017). An investigation of the 2 × 2 model of perfectionism with burnout, engagement, self-regulation, and academic achievement. </w:t>
      </w:r>
      <w:r>
        <w:rPr>
          <w:spacing w:val="-2"/>
        </w:rPr>
        <w:t>Learning</w:t>
      </w:r>
      <w:r>
        <w:rPr/>
        <w:tab/>
      </w:r>
      <w:r>
        <w:rPr>
          <w:spacing w:val="-4"/>
        </w:rPr>
        <w:t>and</w:t>
      </w:r>
      <w:r>
        <w:rPr/>
        <w:tab/>
      </w:r>
      <w:r>
        <w:rPr>
          <w:spacing w:val="-2"/>
        </w:rPr>
        <w:t>Individual</w:t>
      </w:r>
      <w:r>
        <w:rPr/>
        <w:tab/>
      </w:r>
      <w:r>
        <w:rPr>
          <w:spacing w:val="-2"/>
        </w:rPr>
        <w:t>Differences,</w:t>
      </w:r>
      <w:r>
        <w:rPr/>
        <w:tab/>
      </w:r>
      <w:r>
        <w:rPr>
          <w:spacing w:val="-4"/>
        </w:rPr>
        <w:t>57,</w:t>
      </w:r>
      <w:r>
        <w:rPr/>
        <w:tab/>
      </w:r>
      <w:r>
        <w:rPr>
          <w:spacing w:val="-2"/>
        </w:rPr>
        <w:t>103–113. https://doi.org/10.1016/j.lindif.2017.06.004</w:t>
      </w:r>
    </w:p>
    <w:p>
      <w:pPr>
        <w:pStyle w:val="BodyText"/>
        <w:spacing w:before="5"/>
        <w:ind w:left="0"/>
      </w:pPr>
    </w:p>
    <w:p>
      <w:pPr>
        <w:pStyle w:val="BodyText"/>
        <w:ind w:right="1080"/>
        <w:jc w:val="both"/>
      </w:pPr>
      <w:r>
        <w:rPr/>
        <w:t>Lammers, A. (2020). Scientific writing in undergraduate science curricula: Reading and analyzing research articles to support physics and biology students’ written argument construction. Science Education and Communication, 10, Article 33612. </w:t>
      </w:r>
      <w:r>
        <w:rPr>
          <w:spacing w:val="-2"/>
        </w:rPr>
        <w:t>https://doi.org/10.33612/diss.145239082</w:t>
      </w:r>
    </w:p>
    <w:p>
      <w:pPr>
        <w:pStyle w:val="BodyText"/>
        <w:spacing w:before="4"/>
        <w:ind w:left="0"/>
      </w:pPr>
    </w:p>
    <w:p>
      <w:pPr>
        <w:pStyle w:val="BodyText"/>
        <w:ind w:right="1077"/>
        <w:jc w:val="both"/>
      </w:pPr>
      <w:r>
        <w:rPr/>
        <w:t>Limpo, T., &amp; Alves, R. A. (2017). Relating beliefs in writing skill malleability to writing performance: The mediating role of achievement goals and self-efficacy. Journal of Writing Research, 9(2), 243–274. https://doi.org/10.17239/jowr-2017.09.02.01</w:t>
      </w:r>
    </w:p>
    <w:p>
      <w:pPr>
        <w:pStyle w:val="BodyText"/>
        <w:spacing w:before="4"/>
        <w:ind w:left="0"/>
      </w:pPr>
    </w:p>
    <w:p>
      <w:pPr>
        <w:pStyle w:val="BodyText"/>
        <w:ind w:right="1083"/>
        <w:jc w:val="both"/>
      </w:pPr>
      <w:r>
        <w:rPr/>
        <w:t>Liu, Y., Cheong, C. M., &amp; Zhang, J. (2024). The role of achievement goals and strategy use in secondary school students’ integrated writing performance. Reading and Writing Quarterly, 40(3), 324–349. https://doi.org/10.1080/15434303.2024.2435818</w:t>
      </w:r>
    </w:p>
    <w:p>
      <w:pPr>
        <w:pStyle w:val="BodyText"/>
        <w:spacing w:before="4"/>
        <w:ind w:left="0"/>
      </w:pPr>
    </w:p>
    <w:p>
      <w:pPr>
        <w:pStyle w:val="BodyText"/>
        <w:ind w:right="1077"/>
        <w:jc w:val="both"/>
      </w:pPr>
      <w:r>
        <w:rPr/>
        <w:t>Mikami, H., &amp; Shiozawa, T.</w:t>
      </w:r>
      <w:r>
        <w:rPr>
          <w:spacing w:val="-1"/>
        </w:rPr>
        <w:t> </w:t>
      </w:r>
      <w:r>
        <w:rPr/>
        <w:t>(2024). A self-regulation perspective on L2 grit development and its impact on language achievement. Language Learning Journal. Advance online publication. https://doi.org/10.1177/1362168824128750</w:t>
      </w:r>
    </w:p>
    <w:p>
      <w:pPr>
        <w:pStyle w:val="BodyText"/>
        <w:spacing w:before="5"/>
        <w:ind w:left="0"/>
      </w:pPr>
    </w:p>
    <w:p>
      <w:pPr>
        <w:pStyle w:val="BodyText"/>
        <w:jc w:val="both"/>
      </w:pPr>
      <w:r>
        <w:rPr/>
        <w:t>Petrić,</w:t>
      </w:r>
      <w:r>
        <w:rPr>
          <w:spacing w:val="-9"/>
        </w:rPr>
        <w:t> </w:t>
      </w:r>
      <w:r>
        <w:rPr/>
        <w:t>B.,</w:t>
      </w:r>
      <w:r>
        <w:rPr>
          <w:spacing w:val="-7"/>
        </w:rPr>
        <w:t> </w:t>
      </w:r>
      <w:r>
        <w:rPr/>
        <w:t>&amp;</w:t>
      </w:r>
      <w:r>
        <w:rPr>
          <w:spacing w:val="-7"/>
        </w:rPr>
        <w:t> </w:t>
      </w:r>
      <w:r>
        <w:rPr/>
        <w:t>Czárl,</w:t>
      </w:r>
      <w:r>
        <w:rPr>
          <w:spacing w:val="-7"/>
        </w:rPr>
        <w:t> </w:t>
      </w:r>
      <w:r>
        <w:rPr/>
        <w:t>B.</w:t>
      </w:r>
      <w:r>
        <w:rPr>
          <w:spacing w:val="-8"/>
        </w:rPr>
        <w:t> </w:t>
      </w:r>
      <w:r>
        <w:rPr/>
        <w:t>(2003).</w:t>
      </w:r>
      <w:r>
        <w:rPr>
          <w:spacing w:val="-9"/>
        </w:rPr>
        <w:t> </w:t>
      </w:r>
      <w:r>
        <w:rPr/>
        <w:t>Validating</w:t>
      </w:r>
      <w:r>
        <w:rPr>
          <w:spacing w:val="-6"/>
        </w:rPr>
        <w:t> </w:t>
      </w:r>
      <w:r>
        <w:rPr/>
        <w:t>a</w:t>
      </w:r>
      <w:r>
        <w:rPr>
          <w:spacing w:val="-8"/>
        </w:rPr>
        <w:t> </w:t>
      </w:r>
      <w:r>
        <w:rPr/>
        <w:t>writing</w:t>
      </w:r>
      <w:r>
        <w:rPr>
          <w:spacing w:val="-7"/>
        </w:rPr>
        <w:t> </w:t>
      </w:r>
      <w:r>
        <w:rPr/>
        <w:t>strategy</w:t>
      </w:r>
      <w:r>
        <w:rPr>
          <w:spacing w:val="-7"/>
        </w:rPr>
        <w:t> </w:t>
      </w:r>
      <w:r>
        <w:rPr/>
        <w:t>questionnaire.</w:t>
      </w:r>
      <w:r>
        <w:rPr>
          <w:spacing w:val="-8"/>
        </w:rPr>
        <w:t> </w:t>
      </w:r>
      <w:r>
        <w:rPr/>
        <w:t>System,</w:t>
      </w:r>
      <w:r>
        <w:rPr>
          <w:spacing w:val="-8"/>
        </w:rPr>
        <w:t> </w:t>
      </w:r>
      <w:r>
        <w:rPr>
          <w:spacing w:val="-2"/>
        </w:rPr>
        <w:t>31(2),</w:t>
      </w:r>
    </w:p>
    <w:p>
      <w:pPr>
        <w:pStyle w:val="BodyText"/>
        <w:jc w:val="both"/>
      </w:pPr>
      <w:r>
        <w:rPr>
          <w:spacing w:val="-2"/>
        </w:rPr>
        <w:t>187–215.</w:t>
      </w:r>
      <w:r>
        <w:rPr>
          <w:spacing w:val="69"/>
        </w:rPr>
        <w:t> </w:t>
      </w:r>
      <w:r>
        <w:rPr>
          <w:spacing w:val="-2"/>
        </w:rPr>
        <w:t>https://doi.org/10.1016/S0346-251X(03)00020-</w:t>
      </w:r>
      <w:r>
        <w:rPr>
          <w:spacing w:val="-10"/>
        </w:rPr>
        <w:t>4</w:t>
      </w:r>
    </w:p>
    <w:p>
      <w:pPr>
        <w:pStyle w:val="BodyText"/>
        <w:spacing w:before="4"/>
        <w:ind w:left="0"/>
      </w:pPr>
    </w:p>
    <w:p>
      <w:pPr>
        <w:pStyle w:val="BodyText"/>
        <w:ind w:right="1073"/>
        <w:jc w:val="both"/>
      </w:pPr>
      <w:r>
        <w:rPr/>
        <w:t>Pineteh, E. A. (2014). The academic writing challenges of undergraduate students: A South African case study. International Journal of Higher Education, 3(1), 12–23. </w:t>
      </w:r>
      <w:r>
        <w:rPr>
          <w:spacing w:val="-2"/>
        </w:rPr>
        <w:t>https://doi.org/10.5430/ijhe.v3n1p12</w:t>
      </w:r>
    </w:p>
    <w:p>
      <w:pPr>
        <w:pStyle w:val="BodyText"/>
        <w:spacing w:before="4"/>
        <w:ind w:left="0"/>
      </w:pPr>
    </w:p>
    <w:p>
      <w:pPr>
        <w:pStyle w:val="BodyText"/>
        <w:ind w:right="1076"/>
        <w:jc w:val="both"/>
      </w:pPr>
      <w:r>
        <w:rPr/>
        <w:t>Prihandoko,</w:t>
      </w:r>
      <w:r>
        <w:rPr>
          <w:spacing w:val="-9"/>
        </w:rPr>
        <w:t> </w:t>
      </w:r>
      <w:r>
        <w:rPr/>
        <w:t>L.</w:t>
      </w:r>
      <w:r>
        <w:rPr>
          <w:spacing w:val="-8"/>
        </w:rPr>
        <w:t> </w:t>
      </w:r>
      <w:r>
        <w:rPr/>
        <w:t>A.,</w:t>
      </w:r>
      <w:r>
        <w:rPr>
          <w:spacing w:val="-9"/>
        </w:rPr>
        <w:t> </w:t>
      </w:r>
      <w:r>
        <w:rPr/>
        <w:t>Morganna,</w:t>
      </w:r>
      <w:r>
        <w:rPr>
          <w:spacing w:val="-8"/>
        </w:rPr>
        <w:t> </w:t>
      </w:r>
      <w:r>
        <w:rPr/>
        <w:t>R.,</w:t>
      </w:r>
      <w:r>
        <w:rPr>
          <w:spacing w:val="-9"/>
        </w:rPr>
        <w:t> </w:t>
      </w:r>
      <w:r>
        <w:rPr/>
        <w:t>&amp;</w:t>
      </w:r>
      <w:r>
        <w:rPr>
          <w:spacing w:val="-8"/>
        </w:rPr>
        <w:t> </w:t>
      </w:r>
      <w:r>
        <w:rPr/>
        <w:t>Amalia,</w:t>
      </w:r>
      <w:r>
        <w:rPr>
          <w:spacing w:val="-8"/>
        </w:rPr>
        <w:t> </w:t>
      </w:r>
      <w:r>
        <w:rPr/>
        <w:t>S.</w:t>
      </w:r>
      <w:r>
        <w:rPr>
          <w:spacing w:val="-9"/>
        </w:rPr>
        <w:t> </w:t>
      </w:r>
      <w:r>
        <w:rPr/>
        <w:t>N.</w:t>
      </w:r>
      <w:r>
        <w:rPr>
          <w:spacing w:val="-8"/>
        </w:rPr>
        <w:t> </w:t>
      </w:r>
      <w:r>
        <w:rPr/>
        <w:t>(2024).</w:t>
      </w:r>
      <w:r>
        <w:rPr>
          <w:spacing w:val="-9"/>
        </w:rPr>
        <w:t> </w:t>
      </w:r>
      <w:r>
        <w:rPr/>
        <w:t>Self-efficacy</w:t>
      </w:r>
      <w:r>
        <w:rPr>
          <w:spacing w:val="-8"/>
        </w:rPr>
        <w:t> </w:t>
      </w:r>
      <w:r>
        <w:rPr/>
        <w:t>and</w:t>
      </w:r>
      <w:r>
        <w:rPr>
          <w:spacing w:val="-10"/>
        </w:rPr>
        <w:t> </w:t>
      </w:r>
      <w:r>
        <w:rPr/>
        <w:t>metacognition as the mediated effects of growth mindset on academic writing performance. Journal of Language and Education, 10(2), 1–14. https://doi.org/10.17323/jle.2024.13979</w:t>
      </w:r>
    </w:p>
    <w:p>
      <w:pPr>
        <w:pStyle w:val="BodyText"/>
        <w:spacing w:before="4"/>
        <w:ind w:left="0"/>
      </w:pPr>
    </w:p>
    <w:p>
      <w:pPr>
        <w:pStyle w:val="BodyText"/>
        <w:spacing w:before="1"/>
        <w:ind w:right="1078"/>
        <w:jc w:val="both"/>
      </w:pPr>
      <w:r>
        <w:rPr/>
        <w:t>Rad, H. S., &amp; Jafarpour, A. (2022). Effects of well-being, grit, emotion regulation, and resilience interventions on L2 learners’ writing skills. Journal of College Student Development, 63(2), 228–247. https://doi.org/10.1080/10573569.2022.2096517</w:t>
      </w:r>
    </w:p>
    <w:p>
      <w:pPr>
        <w:pStyle w:val="BodyText"/>
        <w:spacing w:after="0"/>
        <w:jc w:val="both"/>
        <w:sectPr>
          <w:pgSz w:w="12240" w:h="15840"/>
          <w:pgMar w:top="1360" w:bottom="280" w:left="360" w:right="360"/>
        </w:sectPr>
      </w:pPr>
    </w:p>
    <w:p>
      <w:pPr>
        <w:pStyle w:val="BodyText"/>
        <w:spacing w:before="81"/>
        <w:ind w:right="1073"/>
        <w:jc w:val="both"/>
      </w:pPr>
      <w:r>
        <w:rPr/>
        <w:t>Sabti, A. A., Rashid, S. M., &amp; Darmi, R. (2019). The impact of writing anxiety, writing achievement</w:t>
      </w:r>
      <w:r>
        <w:rPr>
          <w:spacing w:val="-1"/>
        </w:rPr>
        <w:t> </w:t>
      </w:r>
      <w:r>
        <w:rPr/>
        <w:t>motivation,</w:t>
      </w:r>
      <w:r>
        <w:rPr>
          <w:spacing w:val="-1"/>
        </w:rPr>
        <w:t> </w:t>
      </w:r>
      <w:r>
        <w:rPr/>
        <w:t>and writing self-efficacy on writing performance:</w:t>
      </w:r>
      <w:r>
        <w:rPr>
          <w:spacing w:val="-1"/>
        </w:rPr>
        <w:t> </w:t>
      </w:r>
      <w:r>
        <w:rPr/>
        <w:t>A</w:t>
      </w:r>
      <w:r>
        <w:rPr>
          <w:spacing w:val="-1"/>
        </w:rPr>
        <w:t> </w:t>
      </w:r>
      <w:r>
        <w:rPr/>
        <w:t>correlational study of Iraqi tertiary EFL learners. SAGE Open, 9(4), 1–14. </w:t>
      </w:r>
      <w:r>
        <w:rPr>
          <w:spacing w:val="-2"/>
        </w:rPr>
        <w:t>https://doi.org/10.1177/2158244019894747</w:t>
      </w:r>
    </w:p>
    <w:p>
      <w:pPr>
        <w:pStyle w:val="BodyText"/>
        <w:spacing w:before="4"/>
        <w:ind w:left="0"/>
      </w:pPr>
    </w:p>
    <w:p>
      <w:pPr>
        <w:pStyle w:val="BodyText"/>
        <w:tabs>
          <w:tab w:pos="3347" w:val="left" w:leader="none"/>
          <w:tab w:pos="5348" w:val="left" w:leader="none"/>
          <w:tab w:pos="7431" w:val="left" w:leader="none"/>
          <w:tab w:pos="9220" w:val="left" w:leader="none"/>
        </w:tabs>
        <w:ind w:right="1077"/>
        <w:jc w:val="both"/>
      </w:pPr>
      <w:r>
        <w:rPr/>
        <w:t>Shen, B., &amp; Bai, B. (2022). Chinese university students’ self-regulated writing strategy use</w:t>
      </w:r>
      <w:r>
        <w:rPr>
          <w:spacing w:val="-5"/>
        </w:rPr>
        <w:t> </w:t>
      </w:r>
      <w:r>
        <w:rPr/>
        <w:t>and</w:t>
      </w:r>
      <w:r>
        <w:rPr>
          <w:spacing w:val="-6"/>
        </w:rPr>
        <w:t> </w:t>
      </w:r>
      <w:r>
        <w:rPr/>
        <w:t>EFL</w:t>
      </w:r>
      <w:r>
        <w:rPr>
          <w:spacing w:val="-6"/>
        </w:rPr>
        <w:t> </w:t>
      </w:r>
      <w:r>
        <w:rPr/>
        <w:t>writing</w:t>
      </w:r>
      <w:r>
        <w:rPr>
          <w:spacing w:val="-6"/>
        </w:rPr>
        <w:t> </w:t>
      </w:r>
      <w:r>
        <w:rPr/>
        <w:t>performance:</w:t>
      </w:r>
      <w:r>
        <w:rPr>
          <w:spacing w:val="-6"/>
        </w:rPr>
        <w:t> </w:t>
      </w:r>
      <w:r>
        <w:rPr/>
        <w:t>Influences</w:t>
      </w:r>
      <w:r>
        <w:rPr>
          <w:spacing w:val="-6"/>
        </w:rPr>
        <w:t> </w:t>
      </w:r>
      <w:r>
        <w:rPr/>
        <w:t>of</w:t>
      </w:r>
      <w:r>
        <w:rPr>
          <w:spacing w:val="-6"/>
        </w:rPr>
        <w:t> </w:t>
      </w:r>
      <w:r>
        <w:rPr/>
        <w:t>self-efficacy,</w:t>
      </w:r>
      <w:r>
        <w:rPr>
          <w:spacing w:val="-6"/>
        </w:rPr>
        <w:t> </w:t>
      </w:r>
      <w:r>
        <w:rPr/>
        <w:t>gender,</w:t>
      </w:r>
      <w:r>
        <w:rPr>
          <w:spacing w:val="-6"/>
        </w:rPr>
        <w:t> </w:t>
      </w:r>
      <w:r>
        <w:rPr/>
        <w:t>and</w:t>
      </w:r>
      <w:r>
        <w:rPr>
          <w:spacing w:val="-6"/>
        </w:rPr>
        <w:t> </w:t>
      </w:r>
      <w:r>
        <w:rPr/>
        <w:t>major.</w:t>
      </w:r>
      <w:r>
        <w:rPr>
          <w:spacing w:val="-6"/>
        </w:rPr>
        <w:t> </w:t>
      </w:r>
      <w:r>
        <w:rPr/>
        <w:t>Applied </w:t>
      </w:r>
      <w:r>
        <w:rPr>
          <w:spacing w:val="-2"/>
        </w:rPr>
        <w:t>Linguistics</w:t>
      </w:r>
      <w:r>
        <w:rPr/>
        <w:tab/>
      </w:r>
      <w:r>
        <w:rPr>
          <w:spacing w:val="-2"/>
        </w:rPr>
        <w:t>Review.</w:t>
      </w:r>
      <w:r>
        <w:rPr/>
        <w:tab/>
      </w:r>
      <w:r>
        <w:rPr>
          <w:spacing w:val="-2"/>
        </w:rPr>
        <w:t>Advance</w:t>
      </w:r>
      <w:r>
        <w:rPr/>
        <w:tab/>
      </w:r>
      <w:r>
        <w:rPr>
          <w:spacing w:val="-2"/>
        </w:rPr>
        <w:t>online</w:t>
      </w:r>
      <w:r>
        <w:rPr/>
        <w:tab/>
      </w:r>
      <w:r>
        <w:rPr>
          <w:spacing w:val="-2"/>
        </w:rPr>
        <w:t>publication. https:/</w:t>
      </w:r>
      <w:hyperlink r:id="rId9">
        <w:r>
          <w:rPr>
            <w:spacing w:val="-2"/>
          </w:rPr>
          <w:t>/www.degruyterbrill.com/document/doi/10.1515/applirev-2020-0103/html</w:t>
        </w:r>
      </w:hyperlink>
    </w:p>
    <w:p>
      <w:pPr>
        <w:pStyle w:val="BodyText"/>
        <w:spacing w:before="4"/>
        <w:ind w:left="0"/>
      </w:pPr>
    </w:p>
    <w:p>
      <w:pPr>
        <w:pStyle w:val="BodyText"/>
        <w:ind w:right="1078"/>
        <w:jc w:val="both"/>
      </w:pPr>
      <w:r>
        <w:rPr/>
        <w:t>Soylu,</w:t>
      </w:r>
      <w:r>
        <w:rPr>
          <w:spacing w:val="-7"/>
        </w:rPr>
        <w:t> </w:t>
      </w:r>
      <w:r>
        <w:rPr/>
        <w:t>M.</w:t>
      </w:r>
      <w:r>
        <w:rPr>
          <w:spacing w:val="-8"/>
        </w:rPr>
        <w:t> </w:t>
      </w:r>
      <w:r>
        <w:rPr/>
        <w:t>Y.,</w:t>
      </w:r>
      <w:r>
        <w:rPr>
          <w:spacing w:val="-8"/>
        </w:rPr>
        <w:t> </w:t>
      </w:r>
      <w:r>
        <w:rPr/>
        <w:t>Zeleny,</w:t>
      </w:r>
      <w:r>
        <w:rPr>
          <w:spacing w:val="-8"/>
        </w:rPr>
        <w:t> </w:t>
      </w:r>
      <w:r>
        <w:rPr/>
        <w:t>M.</w:t>
      </w:r>
      <w:r>
        <w:rPr>
          <w:spacing w:val="-8"/>
        </w:rPr>
        <w:t> </w:t>
      </w:r>
      <w:r>
        <w:rPr/>
        <w:t>G.,</w:t>
      </w:r>
      <w:r>
        <w:rPr>
          <w:spacing w:val="-6"/>
        </w:rPr>
        <w:t> </w:t>
      </w:r>
      <w:r>
        <w:rPr/>
        <w:t>Zhao,</w:t>
      </w:r>
      <w:r>
        <w:rPr>
          <w:spacing w:val="-8"/>
        </w:rPr>
        <w:t> </w:t>
      </w:r>
      <w:r>
        <w:rPr/>
        <w:t>R.,</w:t>
      </w:r>
      <w:r>
        <w:rPr>
          <w:spacing w:val="-8"/>
        </w:rPr>
        <w:t> </w:t>
      </w:r>
      <w:r>
        <w:rPr/>
        <w:t>Bruning,</w:t>
      </w:r>
      <w:r>
        <w:rPr>
          <w:spacing w:val="-8"/>
        </w:rPr>
        <w:t> </w:t>
      </w:r>
      <w:r>
        <w:rPr/>
        <w:t>R.</w:t>
      </w:r>
      <w:r>
        <w:rPr>
          <w:spacing w:val="-9"/>
        </w:rPr>
        <w:t> </w:t>
      </w:r>
      <w:r>
        <w:rPr/>
        <w:t>H.,</w:t>
      </w:r>
      <w:r>
        <w:rPr>
          <w:spacing w:val="-8"/>
        </w:rPr>
        <w:t> </w:t>
      </w:r>
      <w:r>
        <w:rPr/>
        <w:t>Dempsey,</w:t>
      </w:r>
      <w:r>
        <w:rPr>
          <w:spacing w:val="-8"/>
        </w:rPr>
        <w:t> </w:t>
      </w:r>
      <w:r>
        <w:rPr/>
        <w:t>M.</w:t>
      </w:r>
      <w:r>
        <w:rPr>
          <w:spacing w:val="-8"/>
        </w:rPr>
        <w:t> </w:t>
      </w:r>
      <w:r>
        <w:rPr/>
        <w:t>S.,</w:t>
      </w:r>
      <w:r>
        <w:rPr>
          <w:spacing w:val="-8"/>
        </w:rPr>
        <w:t> </w:t>
      </w:r>
      <w:r>
        <w:rPr/>
        <w:t>&amp;</w:t>
      </w:r>
      <w:r>
        <w:rPr>
          <w:spacing w:val="-7"/>
        </w:rPr>
        <w:t> </w:t>
      </w:r>
      <w:r>
        <w:rPr/>
        <w:t>Kauffman,</w:t>
      </w:r>
      <w:r>
        <w:rPr>
          <w:spacing w:val="-8"/>
        </w:rPr>
        <w:t> </w:t>
      </w:r>
      <w:r>
        <w:rPr/>
        <w:t>D.</w:t>
      </w:r>
      <w:r>
        <w:rPr>
          <w:spacing w:val="-7"/>
        </w:rPr>
        <w:t> </w:t>
      </w:r>
      <w:r>
        <w:rPr/>
        <w:t>F. (2017).</w:t>
      </w:r>
      <w:r>
        <w:rPr>
          <w:spacing w:val="-3"/>
        </w:rPr>
        <w:t> </w:t>
      </w:r>
      <w:r>
        <w:rPr/>
        <w:t>Secondary</w:t>
      </w:r>
      <w:r>
        <w:rPr>
          <w:spacing w:val="-2"/>
        </w:rPr>
        <w:t> </w:t>
      </w:r>
      <w:r>
        <w:rPr/>
        <w:t>students’</w:t>
      </w:r>
      <w:r>
        <w:rPr>
          <w:spacing w:val="-2"/>
        </w:rPr>
        <w:t> </w:t>
      </w:r>
      <w:r>
        <w:rPr/>
        <w:t>writing</w:t>
      </w:r>
      <w:r>
        <w:rPr>
          <w:spacing w:val="-2"/>
        </w:rPr>
        <w:t> </w:t>
      </w:r>
      <w:r>
        <w:rPr/>
        <w:t>achievement</w:t>
      </w:r>
      <w:r>
        <w:rPr>
          <w:spacing w:val="-2"/>
        </w:rPr>
        <w:t> </w:t>
      </w:r>
      <w:r>
        <w:rPr/>
        <w:t>goals:</w:t>
      </w:r>
      <w:r>
        <w:rPr>
          <w:spacing w:val="-3"/>
        </w:rPr>
        <w:t> </w:t>
      </w:r>
      <w:r>
        <w:rPr/>
        <w:t>Assessing</w:t>
      </w:r>
      <w:r>
        <w:rPr>
          <w:spacing w:val="-2"/>
        </w:rPr>
        <w:t> </w:t>
      </w:r>
      <w:r>
        <w:rPr/>
        <w:t>the</w:t>
      </w:r>
      <w:r>
        <w:rPr>
          <w:spacing w:val="-2"/>
        </w:rPr>
        <w:t> </w:t>
      </w:r>
      <w:r>
        <w:rPr/>
        <w:t>mediating</w:t>
      </w:r>
      <w:r>
        <w:rPr>
          <w:spacing w:val="-2"/>
        </w:rPr>
        <w:t> </w:t>
      </w:r>
      <w:r>
        <w:rPr/>
        <w:t>effects of mastery and performance goals on writing self-efficacy, affect, and writing achievement.</w:t>
      </w:r>
      <w:r>
        <w:rPr>
          <w:spacing w:val="-17"/>
        </w:rPr>
        <w:t> </w:t>
      </w:r>
      <w:r>
        <w:rPr/>
        <w:t>Frontiers</w:t>
      </w:r>
      <w:r>
        <w:rPr>
          <w:spacing w:val="-17"/>
        </w:rPr>
        <w:t> </w:t>
      </w:r>
      <w:r>
        <w:rPr/>
        <w:t>in</w:t>
      </w:r>
      <w:r>
        <w:rPr>
          <w:spacing w:val="-15"/>
        </w:rPr>
        <w:t> </w:t>
      </w:r>
      <w:r>
        <w:rPr/>
        <w:t>Psychology,</w:t>
      </w:r>
      <w:r>
        <w:rPr>
          <w:spacing w:val="-17"/>
        </w:rPr>
        <w:t> </w:t>
      </w:r>
      <w:r>
        <w:rPr/>
        <w:t>8,</w:t>
      </w:r>
      <w:r>
        <w:rPr>
          <w:spacing w:val="-16"/>
        </w:rPr>
        <w:t> </w:t>
      </w:r>
      <w:r>
        <w:rPr/>
        <w:t>1406.</w:t>
      </w:r>
      <w:r>
        <w:rPr>
          <w:spacing w:val="-17"/>
        </w:rPr>
        <w:t> </w:t>
      </w:r>
      <w:r>
        <w:rPr/>
        <w:t>https://doi.org/10.3389/fpsyg.2017.01406</w:t>
      </w:r>
    </w:p>
    <w:p>
      <w:pPr>
        <w:pStyle w:val="BodyText"/>
        <w:spacing w:before="5"/>
        <w:ind w:left="0"/>
      </w:pPr>
    </w:p>
    <w:p>
      <w:pPr>
        <w:pStyle w:val="BodyText"/>
        <w:ind w:right="1076"/>
        <w:jc w:val="both"/>
      </w:pPr>
      <w:r>
        <w:rPr/>
        <w:t>Stavropoulou, G., Stamovlasis, D., &amp; Gonida, S.-E. (2023). Probing the effects of perceived teacher goals and achievement-goal orientations on students’ self-efficacy, cognitive and metacognitive strategies in writing:</w:t>
      </w:r>
      <w:r>
        <w:rPr>
          <w:spacing w:val="-1"/>
        </w:rPr>
        <w:t> </w:t>
      </w:r>
      <w:r>
        <w:rPr/>
        <w:t>A</w:t>
      </w:r>
      <w:r>
        <w:rPr>
          <w:spacing w:val="-1"/>
        </w:rPr>
        <w:t> </w:t>
      </w:r>
      <w:r>
        <w:rPr/>
        <w:t>person-centered approach.</w:t>
      </w:r>
      <w:r>
        <w:rPr>
          <w:spacing w:val="-1"/>
        </w:rPr>
        <w:t> </w:t>
      </w:r>
      <w:r>
        <w:rPr/>
        <w:t>Learning and Motivation, 80, 101888. https://doi.org/10.1016/j.lmot.2023.101888</w:t>
      </w:r>
    </w:p>
    <w:p>
      <w:pPr>
        <w:pStyle w:val="BodyText"/>
        <w:spacing w:before="4"/>
        <w:ind w:left="0"/>
      </w:pPr>
    </w:p>
    <w:p>
      <w:pPr>
        <w:pStyle w:val="BodyText"/>
        <w:ind w:right="1082"/>
        <w:jc w:val="both"/>
      </w:pPr>
      <w:r>
        <w:rPr/>
        <w:t>Tayea, T., &amp; Mengesha, M. (2024). Identifying and analyzing common English writing challenges among regular undergraduate students. Heliyon, 10(17), e36876. </w:t>
      </w:r>
      <w:r>
        <w:rPr>
          <w:spacing w:val="-2"/>
        </w:rPr>
        <w:t>https:/</w:t>
      </w:r>
      <w:hyperlink r:id="rId10">
        <w:r>
          <w:rPr>
            <w:spacing w:val="-2"/>
          </w:rPr>
          <w:t>/www.cell.com/heliyon/fulltext/S2405-8440(24)12907-6</w:t>
        </w:r>
      </w:hyperlink>
    </w:p>
    <w:p>
      <w:pPr>
        <w:pStyle w:val="BodyText"/>
        <w:spacing w:before="4"/>
        <w:ind w:left="0"/>
      </w:pPr>
    </w:p>
    <w:p>
      <w:pPr>
        <w:pStyle w:val="BodyText"/>
        <w:ind w:right="1075"/>
        <w:jc w:val="both"/>
      </w:pPr>
      <w:r>
        <w:rPr/>
        <w:t>Trautner, M., &amp; Schwinger, M. (2020). Integrating the concepts self-efficacy and motivation</w:t>
      </w:r>
      <w:r>
        <w:rPr>
          <w:spacing w:val="-10"/>
        </w:rPr>
        <w:t> </w:t>
      </w:r>
      <w:r>
        <w:rPr/>
        <w:t>regulation:</w:t>
      </w:r>
      <w:r>
        <w:rPr>
          <w:spacing w:val="-12"/>
        </w:rPr>
        <w:t> </w:t>
      </w:r>
      <w:r>
        <w:rPr/>
        <w:t>How</w:t>
      </w:r>
      <w:r>
        <w:rPr>
          <w:spacing w:val="-10"/>
        </w:rPr>
        <w:t> </w:t>
      </w:r>
      <w:r>
        <w:rPr/>
        <w:t>do</w:t>
      </w:r>
      <w:r>
        <w:rPr>
          <w:spacing w:val="-10"/>
        </w:rPr>
        <w:t> </w:t>
      </w:r>
      <w:r>
        <w:rPr/>
        <w:t>self-efficacy</w:t>
      </w:r>
      <w:r>
        <w:rPr>
          <w:spacing w:val="-11"/>
        </w:rPr>
        <w:t> </w:t>
      </w:r>
      <w:r>
        <w:rPr/>
        <w:t>beliefs</w:t>
      </w:r>
      <w:r>
        <w:rPr>
          <w:spacing w:val="-11"/>
        </w:rPr>
        <w:t> </w:t>
      </w:r>
      <w:r>
        <w:rPr/>
        <w:t>for</w:t>
      </w:r>
      <w:r>
        <w:rPr>
          <w:spacing w:val="-11"/>
        </w:rPr>
        <w:t> </w:t>
      </w:r>
      <w:r>
        <w:rPr/>
        <w:t>motivation</w:t>
      </w:r>
      <w:r>
        <w:rPr>
          <w:spacing w:val="-11"/>
        </w:rPr>
        <w:t> </w:t>
      </w:r>
      <w:r>
        <w:rPr/>
        <w:t>regulation</w:t>
      </w:r>
      <w:r>
        <w:rPr>
          <w:spacing w:val="-11"/>
        </w:rPr>
        <w:t> </w:t>
      </w:r>
      <w:r>
        <w:rPr/>
        <w:t>influence</w:t>
      </w:r>
      <w:r>
        <w:rPr>
          <w:spacing w:val="-11"/>
        </w:rPr>
        <w:t> </w:t>
      </w:r>
      <w:r>
        <w:rPr/>
        <w:t>self- regulatory success? Learning and Individual Differences, 80, 101890. </w:t>
      </w:r>
      <w:r>
        <w:rPr>
          <w:spacing w:val="-2"/>
        </w:rPr>
        <w:t>https://doi.org/10.1016/j.lindif.2020.101890</w:t>
      </w:r>
    </w:p>
    <w:p>
      <w:pPr>
        <w:pStyle w:val="BodyText"/>
        <w:spacing w:before="4"/>
        <w:ind w:left="0"/>
      </w:pPr>
    </w:p>
    <w:p>
      <w:pPr>
        <w:pStyle w:val="BodyText"/>
        <w:tabs>
          <w:tab w:pos="2721" w:val="left" w:leader="none"/>
          <w:tab w:pos="3588" w:val="left" w:leader="none"/>
          <w:tab w:pos="4883" w:val="left" w:leader="none"/>
          <w:tab w:pos="7032" w:val="left" w:leader="none"/>
          <w:tab w:pos="8499" w:val="left" w:leader="none"/>
          <w:tab w:pos="9568" w:val="left" w:leader="none"/>
        </w:tabs>
        <w:spacing w:before="1"/>
        <w:ind w:right="1079"/>
      </w:pPr>
      <w:r>
        <w:rPr/>
        <w:t>Zhang,</w:t>
      </w:r>
      <w:r>
        <w:rPr>
          <w:spacing w:val="40"/>
        </w:rPr>
        <w:t> </w:t>
      </w:r>
      <w:r>
        <w:rPr/>
        <w:t>J.</w:t>
      </w:r>
      <w:r>
        <w:rPr>
          <w:spacing w:val="40"/>
        </w:rPr>
        <w:t> </w:t>
      </w:r>
      <w:r>
        <w:rPr/>
        <w:t>(2023).</w:t>
      </w:r>
      <w:r>
        <w:rPr>
          <w:spacing w:val="68"/>
        </w:rPr>
        <w:t> </w:t>
      </w:r>
      <w:r>
        <w:rPr/>
        <w:t>Modelling</w:t>
      </w:r>
      <w:r>
        <w:rPr>
          <w:spacing w:val="40"/>
        </w:rPr>
        <w:t> </w:t>
      </w:r>
      <w:r>
        <w:rPr/>
        <w:t>the</w:t>
      </w:r>
      <w:r>
        <w:rPr>
          <w:spacing w:val="40"/>
        </w:rPr>
        <w:t> </w:t>
      </w:r>
      <w:r>
        <w:rPr/>
        <w:t>interplay</w:t>
      </w:r>
      <w:r>
        <w:rPr>
          <w:spacing w:val="40"/>
        </w:rPr>
        <w:t> </w:t>
      </w:r>
      <w:r>
        <w:rPr/>
        <w:t>of</w:t>
      </w:r>
      <w:r>
        <w:rPr>
          <w:spacing w:val="40"/>
        </w:rPr>
        <w:t> </w:t>
      </w:r>
      <w:r>
        <w:rPr/>
        <w:t>writing</w:t>
      </w:r>
      <w:r>
        <w:rPr>
          <w:spacing w:val="68"/>
        </w:rPr>
        <w:t> </w:t>
      </w:r>
      <w:r>
        <w:rPr/>
        <w:t>achievement</w:t>
      </w:r>
      <w:r>
        <w:rPr>
          <w:spacing w:val="40"/>
        </w:rPr>
        <w:t> </w:t>
      </w:r>
      <w:r>
        <w:rPr/>
        <w:t>goals</w:t>
      </w:r>
      <w:r>
        <w:rPr>
          <w:spacing w:val="40"/>
        </w:rPr>
        <w:t> </w:t>
      </w:r>
      <w:r>
        <w:rPr/>
        <w:t>and</w:t>
      </w:r>
      <w:r>
        <w:rPr>
          <w:spacing w:val="40"/>
        </w:rPr>
        <w:t> </w:t>
      </w:r>
      <w:r>
        <w:rPr/>
        <w:t>grit</w:t>
      </w:r>
      <w:r>
        <w:rPr>
          <w:spacing w:val="40"/>
        </w:rPr>
        <w:t> </w:t>
      </w:r>
      <w:r>
        <w:rPr/>
        <w:t>in</w:t>
      </w:r>
      <w:r>
        <w:rPr>
          <w:spacing w:val="40"/>
        </w:rPr>
        <w:t> </w:t>
      </w:r>
      <w:r>
        <w:rPr>
          <w:spacing w:val="-2"/>
        </w:rPr>
        <w:t>predicting</w:t>
      </w:r>
      <w:r>
        <w:rPr/>
        <w:tab/>
      </w:r>
      <w:r>
        <w:rPr>
          <w:spacing w:val="-5"/>
        </w:rPr>
        <w:t>L2</w:t>
      </w:r>
      <w:r>
        <w:rPr/>
        <w:tab/>
      </w:r>
      <w:r>
        <w:rPr>
          <w:spacing w:val="-2"/>
        </w:rPr>
        <w:t>writing</w:t>
      </w:r>
      <w:r>
        <w:rPr/>
        <w:tab/>
      </w:r>
      <w:r>
        <w:rPr>
          <w:spacing w:val="-2"/>
        </w:rPr>
        <w:t>achievements.</w:t>
      </w:r>
      <w:r>
        <w:rPr/>
        <w:tab/>
      </w:r>
      <w:r>
        <w:rPr>
          <w:spacing w:val="-2"/>
        </w:rPr>
        <w:t>System,</w:t>
      </w:r>
      <w:r>
        <w:rPr/>
        <w:tab/>
      </w:r>
      <w:r>
        <w:rPr>
          <w:spacing w:val="-4"/>
        </w:rPr>
        <w:t>117,</w:t>
      </w:r>
      <w:r>
        <w:rPr/>
        <w:tab/>
      </w:r>
      <w:r>
        <w:rPr>
          <w:spacing w:val="-2"/>
        </w:rPr>
        <w:t>103118.</w:t>
      </w:r>
    </w:p>
    <w:p>
      <w:pPr>
        <w:pStyle w:val="BodyText"/>
      </w:pPr>
      <w:r>
        <w:rPr>
          <w:spacing w:val="-2"/>
        </w:rPr>
        <w:t>https://doi.org/10.1016/j.system.2023.103118</w:t>
      </w:r>
    </w:p>
    <w:p>
      <w:pPr>
        <w:pStyle w:val="BodyText"/>
        <w:spacing w:before="4"/>
        <w:ind w:left="0"/>
      </w:pPr>
    </w:p>
    <w:p>
      <w:pPr>
        <w:pStyle w:val="BodyText"/>
        <w:tabs>
          <w:tab w:pos="9566" w:val="left" w:leader="none"/>
        </w:tabs>
        <w:ind w:right="1083"/>
      </w:pPr>
      <w:r>
        <w:rPr/>
        <w:t>Zhang,</w:t>
      </w:r>
      <w:r>
        <w:rPr>
          <w:spacing w:val="30"/>
        </w:rPr>
        <w:t> </w:t>
      </w:r>
      <w:r>
        <w:rPr/>
        <w:t>Y.</w:t>
      </w:r>
      <w:r>
        <w:rPr>
          <w:spacing w:val="30"/>
        </w:rPr>
        <w:t> </w:t>
      </w:r>
      <w:r>
        <w:rPr/>
        <w:t>(2023).</w:t>
      </w:r>
      <w:r>
        <w:rPr>
          <w:spacing w:val="30"/>
        </w:rPr>
        <w:t> </w:t>
      </w:r>
      <w:r>
        <w:rPr/>
        <w:t>Achievement</w:t>
      </w:r>
      <w:r>
        <w:rPr>
          <w:spacing w:val="30"/>
        </w:rPr>
        <w:t> </w:t>
      </w:r>
      <w:r>
        <w:rPr/>
        <w:t>goals,</w:t>
      </w:r>
      <w:r>
        <w:rPr>
          <w:spacing w:val="29"/>
        </w:rPr>
        <w:t> </w:t>
      </w:r>
      <w:r>
        <w:rPr/>
        <w:t>grit,</w:t>
      </w:r>
      <w:r>
        <w:rPr>
          <w:spacing w:val="29"/>
        </w:rPr>
        <w:t> </w:t>
      </w:r>
      <w:r>
        <w:rPr/>
        <w:t>and</w:t>
      </w:r>
      <w:r>
        <w:rPr>
          <w:spacing w:val="30"/>
        </w:rPr>
        <w:t> </w:t>
      </w:r>
      <w:r>
        <w:rPr/>
        <w:t>persistence</w:t>
      </w:r>
      <w:r>
        <w:rPr>
          <w:spacing w:val="30"/>
        </w:rPr>
        <w:t> </w:t>
      </w:r>
      <w:r>
        <w:rPr/>
        <w:t>in</w:t>
      </w:r>
      <w:r>
        <w:rPr>
          <w:spacing w:val="30"/>
        </w:rPr>
        <w:t> </w:t>
      </w:r>
      <w:r>
        <w:rPr/>
        <w:t>L2</w:t>
      </w:r>
      <w:r>
        <w:rPr>
          <w:spacing w:val="31"/>
        </w:rPr>
        <w:t> </w:t>
      </w:r>
      <w:r>
        <w:rPr/>
        <w:t>writing:</w:t>
      </w:r>
      <w:r>
        <w:rPr>
          <w:spacing w:val="28"/>
        </w:rPr>
        <w:t> </w:t>
      </w:r>
      <w:r>
        <w:rPr/>
        <w:t>A</w:t>
      </w:r>
      <w:r>
        <w:rPr>
          <w:spacing w:val="30"/>
        </w:rPr>
        <w:t> </w:t>
      </w:r>
      <w:r>
        <w:rPr/>
        <w:t>structural equation</w:t>
      </w:r>
      <w:r>
        <w:rPr>
          <w:spacing w:val="62"/>
          <w:w w:val="150"/>
        </w:rPr>
        <w:t> </w:t>
      </w:r>
      <w:r>
        <w:rPr/>
        <w:t>modeling</w:t>
      </w:r>
      <w:r>
        <w:rPr>
          <w:spacing w:val="63"/>
          <w:w w:val="150"/>
        </w:rPr>
        <w:t> </w:t>
      </w:r>
      <w:r>
        <w:rPr/>
        <w:t>approach.</w:t>
      </w:r>
      <w:r>
        <w:rPr>
          <w:spacing w:val="62"/>
          <w:w w:val="150"/>
        </w:rPr>
        <w:t> </w:t>
      </w:r>
      <w:r>
        <w:rPr/>
        <w:t>Journal</w:t>
      </w:r>
      <w:r>
        <w:rPr>
          <w:spacing w:val="63"/>
          <w:w w:val="150"/>
        </w:rPr>
        <w:t> </w:t>
      </w:r>
      <w:r>
        <w:rPr/>
        <w:t>of</w:t>
      </w:r>
      <w:r>
        <w:rPr>
          <w:spacing w:val="61"/>
          <w:w w:val="150"/>
        </w:rPr>
        <w:t> </w:t>
      </w:r>
      <w:r>
        <w:rPr/>
        <w:t>Second</w:t>
      </w:r>
      <w:r>
        <w:rPr>
          <w:spacing w:val="63"/>
          <w:w w:val="150"/>
        </w:rPr>
        <w:t> </w:t>
      </w:r>
      <w:r>
        <w:rPr/>
        <w:t>Language</w:t>
      </w:r>
      <w:r>
        <w:rPr>
          <w:spacing w:val="63"/>
          <w:w w:val="150"/>
        </w:rPr>
        <w:t> </w:t>
      </w:r>
      <w:r>
        <w:rPr/>
        <w:t>Writing,</w:t>
      </w:r>
      <w:r>
        <w:rPr>
          <w:spacing w:val="60"/>
          <w:w w:val="150"/>
        </w:rPr>
        <w:t> </w:t>
      </w:r>
      <w:r>
        <w:rPr>
          <w:spacing w:val="-5"/>
        </w:rPr>
        <w:t>61,</w:t>
      </w:r>
      <w:r>
        <w:rPr/>
        <w:tab/>
      </w:r>
      <w:r>
        <w:rPr>
          <w:spacing w:val="-2"/>
        </w:rPr>
        <w:t>101002.</w:t>
      </w:r>
    </w:p>
    <w:p>
      <w:pPr>
        <w:pStyle w:val="BodyText"/>
      </w:pPr>
      <w:r>
        <w:rPr>
          <w:spacing w:val="-2"/>
        </w:rPr>
        <w:t>https://doi.org/10.1016/j.jslw.2023.101002</w:t>
      </w:r>
    </w:p>
    <w:p>
      <w:pPr>
        <w:pStyle w:val="BodyText"/>
        <w:spacing w:before="4"/>
        <w:ind w:left="0"/>
      </w:pPr>
    </w:p>
    <w:p>
      <w:pPr>
        <w:pStyle w:val="BodyText"/>
        <w:ind w:right="1079"/>
        <w:jc w:val="both"/>
      </w:pPr>
      <w:r>
        <w:rPr/>
        <w:t>Zhang,</w:t>
      </w:r>
      <w:r>
        <w:rPr>
          <w:spacing w:val="-12"/>
        </w:rPr>
        <w:t> </w:t>
      </w:r>
      <w:r>
        <w:rPr/>
        <w:t>J.,</w:t>
      </w:r>
      <w:r>
        <w:rPr>
          <w:spacing w:val="-13"/>
        </w:rPr>
        <w:t> </w:t>
      </w:r>
      <w:r>
        <w:rPr/>
        <w:t>&amp;</w:t>
      </w:r>
      <w:r>
        <w:rPr>
          <w:spacing w:val="-12"/>
        </w:rPr>
        <w:t> </w:t>
      </w:r>
      <w:r>
        <w:rPr/>
        <w:t>Zhang,</w:t>
      </w:r>
      <w:r>
        <w:rPr>
          <w:spacing w:val="-13"/>
        </w:rPr>
        <w:t> </w:t>
      </w:r>
      <w:r>
        <w:rPr/>
        <w:t>L.</w:t>
      </w:r>
      <w:r>
        <w:rPr>
          <w:spacing w:val="-12"/>
        </w:rPr>
        <w:t> </w:t>
      </w:r>
      <w:r>
        <w:rPr/>
        <w:t>J.</w:t>
      </w:r>
      <w:r>
        <w:rPr>
          <w:spacing w:val="-13"/>
        </w:rPr>
        <w:t> </w:t>
      </w:r>
      <w:r>
        <w:rPr/>
        <w:t>(2023).</w:t>
      </w:r>
      <w:r>
        <w:rPr>
          <w:spacing w:val="-13"/>
        </w:rPr>
        <w:t> </w:t>
      </w:r>
      <w:r>
        <w:rPr/>
        <w:t>Examining</w:t>
      </w:r>
      <w:r>
        <w:rPr>
          <w:spacing w:val="-12"/>
        </w:rPr>
        <w:t> </w:t>
      </w:r>
      <w:r>
        <w:rPr/>
        <w:t>the</w:t>
      </w:r>
      <w:r>
        <w:rPr>
          <w:spacing w:val="-12"/>
        </w:rPr>
        <w:t> </w:t>
      </w:r>
      <w:r>
        <w:rPr/>
        <w:t>relationship</w:t>
      </w:r>
      <w:r>
        <w:rPr>
          <w:spacing w:val="-12"/>
        </w:rPr>
        <w:t> </w:t>
      </w:r>
      <w:r>
        <w:rPr/>
        <w:t>between</w:t>
      </w:r>
      <w:r>
        <w:rPr>
          <w:spacing w:val="-11"/>
        </w:rPr>
        <w:t> </w:t>
      </w:r>
      <w:r>
        <w:rPr/>
        <w:t>English</w:t>
      </w:r>
      <w:r>
        <w:rPr>
          <w:spacing w:val="-12"/>
        </w:rPr>
        <w:t> </w:t>
      </w:r>
      <w:r>
        <w:rPr/>
        <w:t>as</w:t>
      </w:r>
      <w:r>
        <w:rPr>
          <w:spacing w:val="-12"/>
        </w:rPr>
        <w:t> </w:t>
      </w:r>
      <w:r>
        <w:rPr/>
        <w:t>a</w:t>
      </w:r>
      <w:r>
        <w:rPr>
          <w:spacing w:val="-12"/>
        </w:rPr>
        <w:t> </w:t>
      </w:r>
      <w:r>
        <w:rPr/>
        <w:t>foreign language learners' cognitive abilities and L2 grit in predicting their writing performance. Learning</w:t>
      </w:r>
      <w:r>
        <w:rPr>
          <w:spacing w:val="-1"/>
        </w:rPr>
        <w:t> </w:t>
      </w:r>
      <w:r>
        <w:rPr/>
        <w:t>and</w:t>
      </w:r>
      <w:r>
        <w:rPr>
          <w:spacing w:val="-1"/>
        </w:rPr>
        <w:t> </w:t>
      </w:r>
      <w:r>
        <w:rPr/>
        <w:t>Instruction,</w:t>
      </w:r>
      <w:r>
        <w:rPr>
          <w:spacing w:val="-2"/>
        </w:rPr>
        <w:t> </w:t>
      </w:r>
      <w:r>
        <w:rPr/>
        <w:t>88,</w:t>
      </w:r>
      <w:r>
        <w:rPr>
          <w:spacing w:val="-3"/>
        </w:rPr>
        <w:t> </w:t>
      </w:r>
      <w:r>
        <w:rPr/>
        <w:t>101808.</w:t>
      </w:r>
      <w:r>
        <w:rPr>
          <w:spacing w:val="-2"/>
        </w:rPr>
        <w:t> </w:t>
      </w:r>
      <w:r>
        <w:rPr/>
        <w:t>https://doi.org/10.1016/j.learninstruc.2023.101808</w:t>
      </w:r>
    </w:p>
    <w:p>
      <w:pPr>
        <w:pStyle w:val="BodyText"/>
        <w:spacing w:before="4"/>
        <w:ind w:left="0"/>
      </w:pPr>
    </w:p>
    <w:p>
      <w:pPr>
        <w:pStyle w:val="BodyText"/>
        <w:ind w:right="1077"/>
        <w:jc w:val="both"/>
      </w:pPr>
      <w:r>
        <w:rPr/>
        <w:t>Zhou, W., &amp; Lehrer, Q. (2021). Writing motives and writing self-efficacy of Chinese students</w:t>
      </w:r>
      <w:r>
        <w:rPr>
          <w:spacing w:val="-14"/>
        </w:rPr>
        <w:t> </w:t>
      </w:r>
      <w:r>
        <w:rPr/>
        <w:t>in</w:t>
      </w:r>
      <w:r>
        <w:rPr>
          <w:spacing w:val="-13"/>
        </w:rPr>
        <w:t> </w:t>
      </w:r>
      <w:r>
        <w:rPr/>
        <w:t>Shanghai</w:t>
      </w:r>
      <w:r>
        <w:rPr>
          <w:spacing w:val="-12"/>
        </w:rPr>
        <w:t> </w:t>
      </w:r>
      <w:r>
        <w:rPr/>
        <w:t>and</w:t>
      </w:r>
      <w:r>
        <w:rPr>
          <w:spacing w:val="-15"/>
        </w:rPr>
        <w:t> </w:t>
      </w:r>
      <w:r>
        <w:rPr/>
        <w:t>Hong</w:t>
      </w:r>
      <w:r>
        <w:rPr>
          <w:spacing w:val="-12"/>
        </w:rPr>
        <w:t> </w:t>
      </w:r>
      <w:r>
        <w:rPr/>
        <w:t>Kong:</w:t>
      </w:r>
      <w:r>
        <w:rPr>
          <w:spacing w:val="-15"/>
        </w:rPr>
        <w:t> </w:t>
      </w:r>
      <w:r>
        <w:rPr/>
        <w:t>Measurement</w:t>
      </w:r>
      <w:r>
        <w:rPr>
          <w:spacing w:val="-13"/>
        </w:rPr>
        <w:t> </w:t>
      </w:r>
      <w:r>
        <w:rPr/>
        <w:t>invariance</w:t>
      </w:r>
      <w:r>
        <w:rPr>
          <w:spacing w:val="-13"/>
        </w:rPr>
        <w:t> </w:t>
      </w:r>
      <w:r>
        <w:rPr/>
        <w:t>and</w:t>
      </w:r>
      <w:r>
        <w:rPr>
          <w:spacing w:val="-12"/>
        </w:rPr>
        <w:t> </w:t>
      </w:r>
      <w:r>
        <w:rPr/>
        <w:t>multigroup</w:t>
      </w:r>
      <w:r>
        <w:rPr>
          <w:spacing w:val="-12"/>
        </w:rPr>
        <w:t> </w:t>
      </w:r>
      <w:r>
        <w:rPr/>
        <w:t>structural equation</w:t>
      </w:r>
      <w:r>
        <w:rPr>
          <w:spacing w:val="75"/>
          <w:w w:val="150"/>
        </w:rPr>
        <w:t> </w:t>
      </w:r>
      <w:r>
        <w:rPr/>
        <w:t>analyses.</w:t>
      </w:r>
      <w:r>
        <w:rPr>
          <w:spacing w:val="74"/>
          <w:w w:val="150"/>
        </w:rPr>
        <w:t> </w:t>
      </w:r>
      <w:r>
        <w:rPr/>
        <w:t>International</w:t>
      </w:r>
      <w:r>
        <w:rPr>
          <w:spacing w:val="75"/>
          <w:w w:val="150"/>
        </w:rPr>
        <w:t> </w:t>
      </w:r>
      <w:r>
        <w:rPr/>
        <w:t>Journal</w:t>
      </w:r>
      <w:r>
        <w:rPr>
          <w:spacing w:val="75"/>
          <w:w w:val="150"/>
        </w:rPr>
        <w:t> </w:t>
      </w:r>
      <w:r>
        <w:rPr/>
        <w:t>of</w:t>
      </w:r>
      <w:r>
        <w:rPr>
          <w:spacing w:val="74"/>
          <w:w w:val="150"/>
        </w:rPr>
        <w:t> </w:t>
      </w:r>
      <w:r>
        <w:rPr/>
        <w:t>Educational</w:t>
      </w:r>
      <w:r>
        <w:rPr>
          <w:spacing w:val="75"/>
          <w:w w:val="150"/>
        </w:rPr>
        <w:t> </w:t>
      </w:r>
      <w:r>
        <w:rPr/>
        <w:t>Research,</w:t>
      </w:r>
      <w:r>
        <w:rPr>
          <w:spacing w:val="74"/>
          <w:w w:val="150"/>
        </w:rPr>
        <w:t> </w:t>
      </w:r>
      <w:r>
        <w:rPr/>
        <w:t>107,</w:t>
      </w:r>
      <w:r>
        <w:rPr>
          <w:spacing w:val="74"/>
          <w:w w:val="150"/>
        </w:rPr>
        <w:t> </w:t>
      </w:r>
      <w:r>
        <w:rPr/>
        <w:t>101751.</w:t>
      </w:r>
    </w:p>
    <w:p>
      <w:pPr>
        <w:pStyle w:val="BodyText"/>
        <w:spacing w:before="1"/>
      </w:pPr>
      <w:r>
        <w:rPr>
          <w:spacing w:val="-2"/>
        </w:rPr>
        <w:t>https://doi.org/10.1016/j.ijer.2021.101751</w:t>
      </w:r>
    </w:p>
    <w:sectPr>
      <w:pgSz w:w="12240" w:h="15840"/>
      <w:pgMar w:top="13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ambria Math">
    <w:altName w:val="Cambria Math"/>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050" w:hanging="610"/>
        <w:jc w:val="right"/>
      </w:pPr>
      <w:rPr>
        <w:rFonts w:hint="default"/>
        <w:spacing w:val="0"/>
        <w:w w:val="100"/>
        <w:lang w:val="en-US" w:eastAsia="en-US" w:bidi="ar-SA"/>
      </w:rPr>
    </w:lvl>
    <w:lvl w:ilvl="1">
      <w:start w:val="1"/>
      <w:numFmt w:val="decimal"/>
      <w:lvlText w:val="%1.%2."/>
      <w:lvlJc w:val="left"/>
      <w:pPr>
        <w:ind w:left="2266" w:hanging="467"/>
        <w:jc w:val="right"/>
      </w:pPr>
      <w:rPr>
        <w:rFonts w:hint="default" w:ascii="Arial" w:hAnsi="Arial" w:eastAsia="Arial" w:cs="Arial"/>
        <w:b w:val="0"/>
        <w:bCs w:val="0"/>
        <w:i/>
        <w:iCs/>
        <w:spacing w:val="0"/>
        <w:w w:val="100"/>
        <w:sz w:val="24"/>
        <w:szCs w:val="24"/>
        <w:lang w:val="en-US" w:eastAsia="en-US" w:bidi="ar-SA"/>
      </w:rPr>
    </w:lvl>
    <w:lvl w:ilvl="2">
      <w:start w:val="0"/>
      <w:numFmt w:val="bullet"/>
      <w:lvlText w:val="•"/>
      <w:lvlJc w:val="left"/>
      <w:pPr>
        <w:ind w:left="3288" w:hanging="467"/>
      </w:pPr>
      <w:rPr>
        <w:rFonts w:hint="default"/>
        <w:lang w:val="en-US" w:eastAsia="en-US" w:bidi="ar-SA"/>
      </w:rPr>
    </w:lvl>
    <w:lvl w:ilvl="3">
      <w:start w:val="0"/>
      <w:numFmt w:val="bullet"/>
      <w:lvlText w:val="•"/>
      <w:lvlJc w:val="left"/>
      <w:pPr>
        <w:ind w:left="4317" w:hanging="467"/>
      </w:pPr>
      <w:rPr>
        <w:rFonts w:hint="default"/>
        <w:lang w:val="en-US" w:eastAsia="en-US" w:bidi="ar-SA"/>
      </w:rPr>
    </w:lvl>
    <w:lvl w:ilvl="4">
      <w:start w:val="0"/>
      <w:numFmt w:val="bullet"/>
      <w:lvlText w:val="•"/>
      <w:lvlJc w:val="left"/>
      <w:pPr>
        <w:ind w:left="5346" w:hanging="467"/>
      </w:pPr>
      <w:rPr>
        <w:rFonts w:hint="default"/>
        <w:lang w:val="en-US" w:eastAsia="en-US" w:bidi="ar-SA"/>
      </w:rPr>
    </w:lvl>
    <w:lvl w:ilvl="5">
      <w:start w:val="0"/>
      <w:numFmt w:val="bullet"/>
      <w:lvlText w:val="•"/>
      <w:lvlJc w:val="left"/>
      <w:pPr>
        <w:ind w:left="6375" w:hanging="467"/>
      </w:pPr>
      <w:rPr>
        <w:rFonts w:hint="default"/>
        <w:lang w:val="en-US" w:eastAsia="en-US" w:bidi="ar-SA"/>
      </w:rPr>
    </w:lvl>
    <w:lvl w:ilvl="6">
      <w:start w:val="0"/>
      <w:numFmt w:val="bullet"/>
      <w:lvlText w:val="•"/>
      <w:lvlJc w:val="left"/>
      <w:pPr>
        <w:ind w:left="7404" w:hanging="467"/>
      </w:pPr>
      <w:rPr>
        <w:rFonts w:hint="default"/>
        <w:lang w:val="en-US" w:eastAsia="en-US" w:bidi="ar-SA"/>
      </w:rPr>
    </w:lvl>
    <w:lvl w:ilvl="7">
      <w:start w:val="0"/>
      <w:numFmt w:val="bullet"/>
      <w:lvlText w:val="•"/>
      <w:lvlJc w:val="left"/>
      <w:pPr>
        <w:ind w:left="8433" w:hanging="467"/>
      </w:pPr>
      <w:rPr>
        <w:rFonts w:hint="default"/>
        <w:lang w:val="en-US" w:eastAsia="en-US" w:bidi="ar-SA"/>
      </w:rPr>
    </w:lvl>
    <w:lvl w:ilvl="8">
      <w:start w:val="0"/>
      <w:numFmt w:val="bullet"/>
      <w:lvlText w:val="•"/>
      <w:lvlJc w:val="left"/>
      <w:pPr>
        <w:ind w:left="9462" w:hanging="467"/>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1080"/>
    </w:pPr>
    <w:rPr>
      <w:rFonts w:ascii="Arial MT" w:hAnsi="Arial MT" w:eastAsia="Arial MT" w:cs="Arial MT"/>
      <w:sz w:val="24"/>
      <w:szCs w:val="24"/>
      <w:lang w:val="en-US" w:eastAsia="en-US" w:bidi="ar-SA"/>
    </w:rPr>
  </w:style>
  <w:style w:styleId="Heading1" w:type="paragraph">
    <w:name w:val="Heading 1"/>
    <w:basedOn w:val="Normal"/>
    <w:uiPriority w:val="1"/>
    <w:qFormat/>
    <w:pPr>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2266" w:hanging="466"/>
    </w:pPr>
    <w:rPr>
      <w:rFonts w:ascii="Arial" w:hAnsi="Arial" w:eastAsia="Arial" w:cs="Arial"/>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arevel.caburnay@ustp.edu.ph" TargetMode="External"/><Relationship Id="rId6" Type="http://schemas.openxmlformats.org/officeDocument/2006/relationships/hyperlink" Target="mailto:joy.bulig@deped.gov.ph" TargetMode="External"/><Relationship Id="rId7" Type="http://schemas.openxmlformats.org/officeDocument/2006/relationships/hyperlink" Target="mailto:Brandon.obenza@msugensan.edu.ph" TargetMode="External"/><Relationship Id="rId8" Type="http://schemas.openxmlformats.org/officeDocument/2006/relationships/hyperlink" Target="http://dx.doi.org/10.18823/asiatefl.2020.17.2.6.395" TargetMode="External"/><Relationship Id="rId9" Type="http://schemas.openxmlformats.org/officeDocument/2006/relationships/hyperlink" Target="http://www.degruyterbrill.com/document/doi/10.1515/applirev-2020-0103/html" TargetMode="External"/><Relationship Id="rId10" Type="http://schemas.openxmlformats.org/officeDocument/2006/relationships/hyperlink" Target="http://www.cell.com/heliyon/fulltext/S2405-8440(24)12907-6"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dcterms:created xsi:type="dcterms:W3CDTF">2026-05-10T04:03:43Z</dcterms:created>
  <dcterms:modified xsi:type="dcterms:W3CDTF">2026-05-10T04:03:43Z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2026-04-22T00:00:00Z</vt:filetime>
  </property>
  <property fmtid="{D5CDD505-2E9C-101B-9397-08002B2CF9AE}" pid="3" name="Creator">
    <vt:lpwstr>Microsoft® Word 2024</vt:lpwstr>
  </property>
  <property fmtid="{D5CDD505-2E9C-101B-9397-08002B2CF9AE}" pid="4" name="LastSaved">
    <vt:filetime>2026-05-10T00:00:00Z</vt:filetime>
  </property>
  <property fmtid="{D5CDD505-2E9C-101B-9397-08002B2CF9AE}" pid="5" name="Producer">
    <vt:lpwstr>Microsoft® Word 2024</vt:lpwstr>
  </property>
</Properties>
</file>