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72F5" w:rsidRPr="00D372F5" w:rsidRDefault="00D372F5" w:rsidP="00D372F5">
      <w:pPr>
        <w:spacing w:line="360" w:lineRule="auto"/>
        <w:jc w:val="center"/>
        <w:rPr>
          <w:rFonts w:ascii="Times New Roman" w:hAnsi="Times New Roman" w:cs="Times New Roman"/>
          <w:b/>
          <w:sz w:val="24"/>
          <w:szCs w:val="24"/>
        </w:rPr>
      </w:pPr>
      <w:r w:rsidRPr="00D372F5">
        <w:rPr>
          <w:rFonts w:ascii="Times New Roman" w:hAnsi="Times New Roman" w:cs="Times New Roman"/>
          <w:b/>
          <w:sz w:val="24"/>
          <w:szCs w:val="24"/>
        </w:rPr>
        <w:t>Gelatin-Based Functional Biopolymer: Structural Characterization, Antimicrobial Activity, Biofilm Control, and Stability Evaluation</w:t>
      </w:r>
    </w:p>
    <w:p w:rsidR="00FB30B3" w:rsidRDefault="00FB30B3" w:rsidP="00FB30B3"/>
    <w:p w:rsidR="00FB30B3" w:rsidRPr="00352D3E" w:rsidRDefault="00FB30B3" w:rsidP="00FB30B3">
      <w:pPr>
        <w:pStyle w:val="Heading3"/>
        <w:rPr>
          <w:color w:val="auto"/>
        </w:rPr>
      </w:pPr>
      <w:r w:rsidRPr="00352D3E">
        <w:rPr>
          <w:color w:val="auto"/>
        </w:rPr>
        <w:t>Abstract</w:t>
      </w:r>
    </w:p>
    <w:p w:rsidR="00FB30B3" w:rsidRPr="00FB30B3" w:rsidRDefault="00FB30B3" w:rsidP="00FB30B3">
      <w:pPr>
        <w:pStyle w:val="NormalWeb"/>
        <w:spacing w:line="360" w:lineRule="auto"/>
        <w:jc w:val="both"/>
      </w:pPr>
      <w:r w:rsidRPr="00FB30B3">
        <w:t>Gelatin, a biodegradable and biocompatible biopolymer, has promising applications in biomedical, environmental, and food systems. In this study, gelatin was synthesized and characterized for its structural, physicochemical, and antimicrobial properties. FTIR analysis confirmed characteristic</w:t>
      </w:r>
      <w:r w:rsidR="00352D3E">
        <w:t xml:space="preserve"> functional groups, including N-H/O-</w:t>
      </w:r>
      <w:r w:rsidRPr="00FB30B3">
        <w:t xml:space="preserve">H stretching at </w:t>
      </w:r>
      <w:r w:rsidRPr="00352D3E">
        <w:rPr>
          <w:rStyle w:val="Strong"/>
          <w:b w:val="0"/>
        </w:rPr>
        <w:t>3400</w:t>
      </w:r>
      <w:r w:rsidR="00352D3E" w:rsidRPr="00352D3E">
        <w:rPr>
          <w:rStyle w:val="Strong"/>
          <w:b w:val="0"/>
        </w:rPr>
        <w:t>.0</w:t>
      </w:r>
      <w:r w:rsidRPr="00352D3E">
        <w:rPr>
          <w:rStyle w:val="Strong"/>
          <w:b w:val="0"/>
        </w:rPr>
        <w:t xml:space="preserve"> cm⁻¹ (amide A)</w:t>
      </w:r>
      <w:r w:rsidR="00352D3E">
        <w:t>, C-</w:t>
      </w:r>
      <w:r w:rsidRPr="00FB30B3">
        <w:t xml:space="preserve">H stretching at </w:t>
      </w:r>
      <w:r w:rsidRPr="00352D3E">
        <w:rPr>
          <w:rStyle w:val="Strong"/>
          <w:b w:val="0"/>
        </w:rPr>
        <w:t>2920</w:t>
      </w:r>
      <w:r w:rsidR="00352D3E" w:rsidRPr="00352D3E">
        <w:rPr>
          <w:rStyle w:val="Strong"/>
          <w:b w:val="0"/>
        </w:rPr>
        <w:t>.0</w:t>
      </w:r>
      <w:r w:rsidRPr="00352D3E">
        <w:rPr>
          <w:rStyle w:val="Strong"/>
          <w:b w:val="0"/>
        </w:rPr>
        <w:t xml:space="preserve"> cm⁻¹</w:t>
      </w:r>
      <w:r w:rsidRPr="00FB30B3">
        <w:t xml:space="preserve">, and amide I and II bands at </w:t>
      </w:r>
      <w:r w:rsidRPr="00352D3E">
        <w:rPr>
          <w:rStyle w:val="Strong"/>
          <w:b w:val="0"/>
        </w:rPr>
        <w:t>1640</w:t>
      </w:r>
      <w:r w:rsidR="00352D3E" w:rsidRPr="00352D3E">
        <w:rPr>
          <w:rStyle w:val="Strong"/>
          <w:b w:val="0"/>
        </w:rPr>
        <w:t>.0</w:t>
      </w:r>
      <w:r w:rsidRPr="00352D3E">
        <w:rPr>
          <w:rStyle w:val="Strong"/>
          <w:b w:val="0"/>
        </w:rPr>
        <w:t xml:space="preserve"> cm</w:t>
      </w:r>
      <w:r w:rsidRPr="00FB30B3">
        <w:rPr>
          <w:rStyle w:val="Strong"/>
        </w:rPr>
        <w:t>⁻¹</w:t>
      </w:r>
      <w:r w:rsidRPr="00FB30B3">
        <w:t xml:space="preserve"> and </w:t>
      </w:r>
      <w:r w:rsidRPr="00352D3E">
        <w:rPr>
          <w:rStyle w:val="Strong"/>
          <w:b w:val="0"/>
        </w:rPr>
        <w:t>1510</w:t>
      </w:r>
      <w:r w:rsidR="00352D3E" w:rsidRPr="00352D3E">
        <w:rPr>
          <w:rStyle w:val="Strong"/>
          <w:b w:val="0"/>
        </w:rPr>
        <w:t>.0</w:t>
      </w:r>
      <w:r w:rsidRPr="00352D3E">
        <w:rPr>
          <w:rStyle w:val="Strong"/>
          <w:b w:val="0"/>
        </w:rPr>
        <w:t xml:space="preserve"> cm⁻¹</w:t>
      </w:r>
      <w:r w:rsidRPr="00352D3E">
        <w:rPr>
          <w:b/>
        </w:rPr>
        <w:t>,</w:t>
      </w:r>
      <w:r w:rsidRPr="00FB30B3">
        <w:t xml:space="preserve"> indicating preserved peptide linkages. XRD revealed a semi-crystalline structure with peaks at </w:t>
      </w:r>
      <w:r w:rsidRPr="00352D3E">
        <w:rPr>
          <w:rStyle w:val="Strong"/>
          <w:b w:val="0"/>
        </w:rPr>
        <w:t>2θ ≈ 7</w:t>
      </w:r>
      <w:r w:rsidR="00352D3E" w:rsidRPr="00352D3E">
        <w:rPr>
          <w:rStyle w:val="Strong"/>
          <w:b w:val="0"/>
        </w:rPr>
        <w:t xml:space="preserve">.0 – </w:t>
      </w:r>
      <w:r w:rsidRPr="00352D3E">
        <w:rPr>
          <w:rStyle w:val="Strong"/>
          <w:b w:val="0"/>
        </w:rPr>
        <w:t>8</w:t>
      </w:r>
      <w:r w:rsidR="00352D3E" w:rsidRPr="00352D3E">
        <w:rPr>
          <w:rStyle w:val="Strong"/>
          <w:b w:val="0"/>
        </w:rPr>
        <w:t>.0</w:t>
      </w:r>
      <w:r w:rsidRPr="00352D3E">
        <w:rPr>
          <w:rStyle w:val="Strong"/>
          <w:b w:val="0"/>
        </w:rPr>
        <w:t>° and 20</w:t>
      </w:r>
      <w:r w:rsidR="00352D3E" w:rsidRPr="00352D3E">
        <w:rPr>
          <w:rStyle w:val="Strong"/>
          <w:b w:val="0"/>
        </w:rPr>
        <w:t xml:space="preserve">.0 – </w:t>
      </w:r>
      <w:r w:rsidRPr="00352D3E">
        <w:rPr>
          <w:rStyle w:val="Strong"/>
          <w:b w:val="0"/>
        </w:rPr>
        <w:t>22</w:t>
      </w:r>
      <w:r w:rsidR="00352D3E" w:rsidRPr="00352D3E">
        <w:rPr>
          <w:rStyle w:val="Strong"/>
          <w:b w:val="0"/>
        </w:rPr>
        <w:t>.0</w:t>
      </w:r>
      <w:r w:rsidRPr="00FB30B3">
        <w:rPr>
          <w:rStyle w:val="Strong"/>
        </w:rPr>
        <w:t>°</w:t>
      </w:r>
      <w:r w:rsidRPr="00FB30B3">
        <w:t xml:space="preserve"> and crystallite sizes of </w:t>
      </w:r>
      <w:r w:rsidRPr="00352D3E">
        <w:rPr>
          <w:rStyle w:val="Strong"/>
          <w:b w:val="0"/>
        </w:rPr>
        <w:t>8</w:t>
      </w:r>
      <w:r w:rsidR="00352D3E" w:rsidRPr="00352D3E">
        <w:rPr>
          <w:rStyle w:val="Strong"/>
          <w:b w:val="0"/>
        </w:rPr>
        <w:t xml:space="preserve">.0 – </w:t>
      </w:r>
      <w:r w:rsidRPr="00352D3E">
        <w:rPr>
          <w:rStyle w:val="Strong"/>
          <w:b w:val="0"/>
        </w:rPr>
        <w:t>18</w:t>
      </w:r>
      <w:r w:rsidR="00352D3E" w:rsidRPr="00352D3E">
        <w:rPr>
          <w:rStyle w:val="Strong"/>
          <w:b w:val="0"/>
        </w:rPr>
        <w:t>.0</w:t>
      </w:r>
      <w:r w:rsidRPr="00352D3E">
        <w:rPr>
          <w:rStyle w:val="Strong"/>
          <w:b w:val="0"/>
        </w:rPr>
        <w:t xml:space="preserve"> nm</w:t>
      </w:r>
      <w:r w:rsidRPr="00FB30B3">
        <w:t>, while SEM showed a compact, homogeneous polymeric matrix with minor micro-textural features. Zeta potential analysis indicated a moderately negative surface charge (</w:t>
      </w:r>
      <w:r w:rsidR="00352D3E">
        <w:rPr>
          <w:rStyle w:val="Strong"/>
        </w:rPr>
        <w:t>-</w:t>
      </w:r>
      <w:r w:rsidRPr="00352D3E">
        <w:rPr>
          <w:rStyle w:val="Strong"/>
          <w:b w:val="0"/>
        </w:rPr>
        <w:t>12.8 mV</w:t>
      </w:r>
      <w:r w:rsidRPr="00FB30B3">
        <w:t>) with uniform distribution, reflecting moderate colloidal stability.</w:t>
      </w:r>
    </w:p>
    <w:p w:rsidR="00FB30B3" w:rsidRPr="00FB30B3" w:rsidRDefault="00FB30B3" w:rsidP="00FB30B3">
      <w:pPr>
        <w:pStyle w:val="NormalWeb"/>
        <w:spacing w:line="360" w:lineRule="auto"/>
        <w:jc w:val="both"/>
      </w:pPr>
      <w:r w:rsidRPr="00FB30B3">
        <w:t xml:space="preserve">The synthesized gelatin exhibited time-dependent antibacterial activity, reducing </w:t>
      </w:r>
      <w:r w:rsidRPr="00FB30B3">
        <w:rPr>
          <w:rStyle w:val="Emphasis"/>
        </w:rPr>
        <w:t>Staphylococcus aureus</w:t>
      </w:r>
      <w:r w:rsidRPr="00FB30B3">
        <w:t xml:space="preserve"> from </w:t>
      </w:r>
      <w:r w:rsidRPr="00352D3E">
        <w:rPr>
          <w:rStyle w:val="Strong"/>
          <w:b w:val="0"/>
        </w:rPr>
        <w:t>7.20 to 3.70 log₁₀ CFU/mL</w:t>
      </w:r>
      <w:r w:rsidRPr="00FB30B3">
        <w:t xml:space="preserve"> and </w:t>
      </w:r>
      <w:r w:rsidRPr="00FB30B3">
        <w:rPr>
          <w:rStyle w:val="Emphasis"/>
        </w:rPr>
        <w:t>Bacillus subtilis</w:t>
      </w:r>
      <w:r w:rsidRPr="00FB30B3">
        <w:t xml:space="preserve"> from </w:t>
      </w:r>
      <w:r w:rsidRPr="00352D3E">
        <w:rPr>
          <w:rStyle w:val="Strong"/>
          <w:b w:val="0"/>
        </w:rPr>
        <w:t>7.15 to 3.50 log₁₀ CFU/mL</w:t>
      </w:r>
      <w:r w:rsidRPr="00FB30B3">
        <w:t xml:space="preserve">, while </w:t>
      </w:r>
      <w:r w:rsidRPr="00FB30B3">
        <w:rPr>
          <w:rStyle w:val="Emphasis"/>
        </w:rPr>
        <w:t>Escherichia coli</w:t>
      </w:r>
      <w:r w:rsidRPr="00FB30B3">
        <w:t xml:space="preserve"> decreased from </w:t>
      </w:r>
      <w:r w:rsidRPr="00352D3E">
        <w:rPr>
          <w:rStyle w:val="Strong"/>
          <w:b w:val="0"/>
        </w:rPr>
        <w:t>7.30 to 4.30 log₁₀ CFU/mL</w:t>
      </w:r>
      <w:r w:rsidRPr="00FB30B3">
        <w:t xml:space="preserve"> and </w:t>
      </w:r>
      <w:r w:rsidRPr="00FB30B3">
        <w:rPr>
          <w:rStyle w:val="Emphasis"/>
        </w:rPr>
        <w:t>Pseudomonas aeruginosa</w:t>
      </w:r>
      <w:r w:rsidRPr="00FB30B3">
        <w:t xml:space="preserve"> from </w:t>
      </w:r>
      <w:r w:rsidRPr="00352D3E">
        <w:rPr>
          <w:rStyle w:val="Strong"/>
          <w:b w:val="0"/>
        </w:rPr>
        <w:t>7.28 to 4.90 log₁₀ CFU/mL</w:t>
      </w:r>
      <w:r w:rsidRPr="00FB30B3">
        <w:t xml:space="preserve"> over 24 h. Biofilm inhibition reached </w:t>
      </w:r>
      <w:r w:rsidRPr="000F0DE1">
        <w:rPr>
          <w:rStyle w:val="Strong"/>
          <w:b w:val="0"/>
        </w:rPr>
        <w:t>72</w:t>
      </w:r>
      <w:r w:rsidR="00352D3E" w:rsidRPr="000F0DE1">
        <w:rPr>
          <w:rStyle w:val="Strong"/>
          <w:b w:val="0"/>
        </w:rPr>
        <w:t>.0</w:t>
      </w:r>
      <w:r w:rsidRPr="000F0DE1">
        <w:rPr>
          <w:rStyle w:val="Strong"/>
          <w:b w:val="0"/>
        </w:rPr>
        <w:t>%</w:t>
      </w:r>
      <w:r w:rsidRPr="00FB30B3">
        <w:t xml:space="preserve">, and eradication of preformed biofilms was </w:t>
      </w:r>
      <w:r w:rsidRPr="000F0DE1">
        <w:rPr>
          <w:rStyle w:val="Strong"/>
          <w:b w:val="0"/>
        </w:rPr>
        <w:t>65</w:t>
      </w:r>
      <w:r w:rsidR="000F0DE1" w:rsidRPr="000F0DE1">
        <w:rPr>
          <w:rStyle w:val="Strong"/>
          <w:b w:val="0"/>
        </w:rPr>
        <w:t>.0</w:t>
      </w:r>
      <w:r w:rsidRPr="000F0DE1">
        <w:rPr>
          <w:rStyle w:val="Strong"/>
          <w:b w:val="0"/>
        </w:rPr>
        <w:t>%</w:t>
      </w:r>
      <w:r w:rsidRPr="000F0DE1">
        <w:rPr>
          <w:b/>
        </w:rPr>
        <w:t>,</w:t>
      </w:r>
      <w:r w:rsidRPr="00FB30B3">
        <w:t xml:space="preserve"> confirmed via live/dead staining. The gelatin retained over </w:t>
      </w:r>
      <w:r w:rsidRPr="000F0DE1">
        <w:rPr>
          <w:rStyle w:val="Strong"/>
          <w:b w:val="0"/>
        </w:rPr>
        <w:t>70</w:t>
      </w:r>
      <w:r w:rsidR="000F0DE1" w:rsidRPr="000F0DE1">
        <w:rPr>
          <w:rStyle w:val="Strong"/>
          <w:b w:val="0"/>
        </w:rPr>
        <w:t>.0</w:t>
      </w:r>
      <w:r w:rsidRPr="000F0DE1">
        <w:rPr>
          <w:rStyle w:val="Strong"/>
          <w:b w:val="0"/>
        </w:rPr>
        <w:t>% antibacterial activity</w:t>
      </w:r>
      <w:r w:rsidRPr="000F0DE1">
        <w:rPr>
          <w:b/>
        </w:rPr>
        <w:t xml:space="preserve"> </w:t>
      </w:r>
      <w:r w:rsidRPr="00FB30B3">
        <w:t xml:space="preserve">after </w:t>
      </w:r>
      <w:r w:rsidRPr="000F0DE1">
        <w:rPr>
          <w:rStyle w:val="Strong"/>
          <w:b w:val="0"/>
        </w:rPr>
        <w:t>three reuse cycles</w:t>
      </w:r>
      <w:r w:rsidRPr="00FB30B3">
        <w:t xml:space="preserve"> and maintained functional stability after </w:t>
      </w:r>
      <w:r w:rsidRPr="000F0DE1">
        <w:rPr>
          <w:rStyle w:val="Strong"/>
          <w:b w:val="0"/>
        </w:rPr>
        <w:t>30 and 60 days of storage</w:t>
      </w:r>
      <w:r w:rsidRPr="00FB30B3">
        <w:t>.</w:t>
      </w:r>
    </w:p>
    <w:p w:rsidR="00FB30B3" w:rsidRPr="00FB30B3" w:rsidRDefault="00FB30B3" w:rsidP="00FB30B3">
      <w:pPr>
        <w:pStyle w:val="NormalWeb"/>
        <w:spacing w:line="360" w:lineRule="auto"/>
        <w:jc w:val="both"/>
      </w:pPr>
      <w:r w:rsidRPr="00FB30B3">
        <w:t xml:space="preserve">These results demonstrate that the synthesized gelatin possesses stable molecular structure, uniform morphology, effective antimicrobial and antibiofilm properties, and good reusability and storage stability. This makes it a promising material for </w:t>
      </w:r>
      <w:r w:rsidRPr="000F0DE1">
        <w:rPr>
          <w:rStyle w:val="Strong"/>
          <w:b w:val="0"/>
        </w:rPr>
        <w:t>biopolymer nanocomposites, antimicrobial coatings, wound dressings, biomedical scaffolds, and food packaging applications</w:t>
      </w:r>
      <w:r w:rsidRPr="000F0DE1">
        <w:rPr>
          <w:b/>
        </w:rPr>
        <w:t>.</w:t>
      </w:r>
    </w:p>
    <w:p w:rsidR="00B4573E" w:rsidRDefault="00FB30B3" w:rsidP="00886443">
      <w:pPr>
        <w:pStyle w:val="NormalWeb"/>
      </w:pPr>
      <w:r>
        <w:rPr>
          <w:rStyle w:val="Strong"/>
        </w:rPr>
        <w:t>Keywords:</w:t>
      </w:r>
      <w:r>
        <w:t xml:space="preserve"> Antimicrobial activity, </w:t>
      </w:r>
      <w:r w:rsidR="00886443">
        <w:t>Biopolymer, Biofilm, Eradication, Inhibition and Reusability</w:t>
      </w:r>
    </w:p>
    <w:p w:rsidR="00A24575" w:rsidRPr="004712FE" w:rsidRDefault="00A24575" w:rsidP="004712FE">
      <w:pPr>
        <w:pStyle w:val="NormalWeb"/>
        <w:spacing w:line="360" w:lineRule="auto"/>
        <w:jc w:val="both"/>
      </w:pPr>
      <w:r w:rsidRPr="004712FE">
        <w:t>Introduction</w:t>
      </w:r>
    </w:p>
    <w:p w:rsidR="00A24575" w:rsidRPr="004712FE" w:rsidRDefault="00A24575" w:rsidP="004712FE">
      <w:pPr>
        <w:pStyle w:val="NormalWeb"/>
        <w:spacing w:line="360" w:lineRule="auto"/>
        <w:jc w:val="both"/>
      </w:pPr>
      <w:r w:rsidRPr="004712FE">
        <w:t xml:space="preserve">Gelatin is a naturally derived biopolymer produced through the partial hydrolysis of collagen, a structural protein abundantly present in animal connective tissues such as skin, bones, and cartilage. </w:t>
      </w:r>
      <w:r w:rsidRPr="004712FE">
        <w:lastRenderedPageBreak/>
        <w:t xml:space="preserve">Because of its biodegradability, biocompatibility, low toxicity, and excellent film-forming properties, gelatin has gained significant attention for use in biomedical, pharmaceutical, food packaging, and environmental applications. In recent years, gelatin-based materials have been increasingly explored for antimicrobial applications since they can serve as effective matrices for incorporating antimicrobial agents, nanoparticles, and other bioactive compounds capable of suppressing the growth of pathogenic microorganisms (Qiao </w:t>
      </w:r>
      <w:r w:rsidRPr="004712FE">
        <w:rPr>
          <w:i/>
        </w:rPr>
        <w:t>et al</w:t>
      </w:r>
      <w:r w:rsidRPr="004712FE">
        <w:t xml:space="preserve">., 2024; Asghar </w:t>
      </w:r>
      <w:r w:rsidRPr="004712FE">
        <w:rPr>
          <w:i/>
        </w:rPr>
        <w:t>et al</w:t>
      </w:r>
      <w:r w:rsidRPr="004712FE">
        <w:t>., 2024).</w:t>
      </w:r>
    </w:p>
    <w:p w:rsidR="00A24575" w:rsidRPr="004712FE" w:rsidRDefault="00A24575" w:rsidP="004712FE">
      <w:pPr>
        <w:pStyle w:val="NormalWeb"/>
        <w:spacing w:line="360" w:lineRule="auto"/>
        <w:jc w:val="both"/>
      </w:pPr>
      <w:r w:rsidRPr="004712FE">
        <w:t>The preparation of gelatin-based antimicrobial materials typically begins with the extraction of gelatin from collagen, followed by modification or composite formation with functional additives such as metal nanoparticles, essential oils, polymers, or inorganic nanomaterials. Generally, gelatin is obtained by subjecting collagen-rich materials to acid or alkaline pretreatment, after which thermal hydrolysis is applied to cleave peptide bonds and produce soluble gelatin chains. The resulting gelatin can then be further processed through techniques such as solution casting, crosslinking, hydrogel formation, or nanocomposite fabrication to improve its mechanical strength and antimicrobial performance (</w:t>
      </w:r>
      <w:proofErr w:type="spellStart"/>
      <w:r w:rsidRPr="004712FE">
        <w:t>ElTatawy</w:t>
      </w:r>
      <w:proofErr w:type="spellEnd"/>
      <w:r w:rsidRPr="004712FE">
        <w:t xml:space="preserve"> </w:t>
      </w:r>
      <w:r w:rsidRPr="004712FE">
        <w:rPr>
          <w:i/>
        </w:rPr>
        <w:t>et al</w:t>
      </w:r>
      <w:r w:rsidRPr="004712FE">
        <w:t xml:space="preserve">., 2024; Ahmed </w:t>
      </w:r>
      <w:r w:rsidRPr="004712FE">
        <w:rPr>
          <w:i/>
        </w:rPr>
        <w:t>et al</w:t>
      </w:r>
      <w:r w:rsidRPr="004712FE">
        <w:t>., 2024).</w:t>
      </w:r>
    </w:p>
    <w:p w:rsidR="00A24575" w:rsidRPr="004712FE" w:rsidRDefault="00A24575" w:rsidP="004712FE">
      <w:pPr>
        <w:pStyle w:val="NormalWeb"/>
        <w:spacing w:line="360" w:lineRule="auto"/>
        <w:jc w:val="both"/>
      </w:pPr>
      <w:r w:rsidRPr="004712FE">
        <w:t xml:space="preserve">Although </w:t>
      </w:r>
      <w:r w:rsidR="00CE241A" w:rsidRPr="004712FE">
        <w:t xml:space="preserve">gelatin exhibits excellent film </w:t>
      </w:r>
      <w:r w:rsidRPr="004712FE">
        <w:t xml:space="preserve">forming ability and biocompatibility, its intrinsic antimicrobial activity is relatively weak. To address this limitation, gelatin is often functionalized with antimicrobial agents including essential oils, metal nanoparticles, or other inorganic compounds to enhance its biological activity. Studies have shown that gelatin-based films containing such additives display strong antibacterial effects against common pathogenic bacteria, including </w:t>
      </w:r>
      <w:r w:rsidRPr="004712FE">
        <w:rPr>
          <w:rStyle w:val="Emphasis"/>
        </w:rPr>
        <w:t>Staphylococcus aureus</w:t>
      </w:r>
      <w:r w:rsidRPr="004712FE">
        <w:t xml:space="preserve"> and </w:t>
      </w:r>
      <w:r w:rsidRPr="004712FE">
        <w:rPr>
          <w:rStyle w:val="Emphasis"/>
        </w:rPr>
        <w:t>Escherichia coli</w:t>
      </w:r>
      <w:r w:rsidRPr="004712FE">
        <w:t xml:space="preserve">. These antimicrobial actions are generally attributed to mechanisms such as disruption of the microbial cell membrane, induction of oxidative stress, and interference with essential metabolic processes in bacterial cells (Asghar </w:t>
      </w:r>
      <w:r w:rsidRPr="004712FE">
        <w:rPr>
          <w:i/>
        </w:rPr>
        <w:t>et al</w:t>
      </w:r>
      <w:r w:rsidRPr="004712FE">
        <w:t xml:space="preserve">., 2024; Qiao </w:t>
      </w:r>
      <w:r w:rsidRPr="004712FE">
        <w:rPr>
          <w:i/>
        </w:rPr>
        <w:t>et al</w:t>
      </w:r>
      <w:r w:rsidRPr="004712FE">
        <w:t>., 2024).</w:t>
      </w:r>
    </w:p>
    <w:p w:rsidR="00A24575" w:rsidRPr="004712FE" w:rsidRDefault="00A24575" w:rsidP="004712FE">
      <w:pPr>
        <w:pStyle w:val="NormalWeb"/>
        <w:spacing w:line="360" w:lineRule="auto"/>
        <w:jc w:val="both"/>
      </w:pPr>
      <w:r w:rsidRPr="004712FE">
        <w:t>Recent advances have also focused on the development of nanostructured gelatin composites to further improve antimicrobial efficiency. For example, gelatin-based nanocomposites incorporati</w:t>
      </w:r>
      <w:r w:rsidR="00CE241A" w:rsidRPr="004712FE">
        <w:t xml:space="preserve">ng metal nanoparticles or metal </w:t>
      </w:r>
      <w:r w:rsidRPr="004712FE">
        <w:t>organic frameworks have demonstrated enhanced antibacterial performance due to their high surface area, controlled release of antimicrobial ions, and synergistic interactions between the nanomaterials and the gelatin matrix. These hybrid systems have shown notable inhibitory effects against both Gram-positive and Gram-negative bacteria, indicating their promising potential for biomedical and environmental applications (</w:t>
      </w:r>
      <w:r w:rsidRPr="004712FE">
        <w:rPr>
          <w:rStyle w:val="Strong"/>
          <w:b w:val="0"/>
        </w:rPr>
        <w:t>Radan</w:t>
      </w:r>
      <w:r w:rsidRPr="004712FE">
        <w:t xml:space="preserve"> </w:t>
      </w:r>
      <w:r w:rsidRPr="004712FE">
        <w:rPr>
          <w:i/>
        </w:rPr>
        <w:t>et al</w:t>
      </w:r>
      <w:r w:rsidRPr="004712FE">
        <w:t>., 2025).</w:t>
      </w:r>
    </w:p>
    <w:p w:rsidR="00A24575" w:rsidRPr="004712FE" w:rsidRDefault="00A24575" w:rsidP="004712FE">
      <w:pPr>
        <w:pStyle w:val="NormalWeb"/>
        <w:spacing w:line="360" w:lineRule="auto"/>
        <w:jc w:val="both"/>
      </w:pPr>
      <w:r w:rsidRPr="004712FE">
        <w:lastRenderedPageBreak/>
        <w:t xml:space="preserve">Comprehensive characterization is essential for understanding the structural and functional properties of synthesized gelatin materials. Various analytical techniques are commonly employed, including Fourier Transform Infrared Spectroscopy (FTIR) for identifying functional groups and intermolecular interactions, X-ray Diffraction (XRD) for evaluating crystallinity, Scanning Electron Microscopy (SEM) for examining surface morphology, and Thermogravimetric Analysis (TGA) for assessing thermal stability. These characterization methods provide valuable information on the successful synthesis of gelatin-based materials and the interactions between gelatin and incorporated antimicrobial agents, which ultimately influence their antimicrobial performance (Ahmed </w:t>
      </w:r>
      <w:r w:rsidRPr="004712FE">
        <w:rPr>
          <w:i/>
        </w:rPr>
        <w:t>et al</w:t>
      </w:r>
      <w:r w:rsidRPr="004712FE">
        <w:t xml:space="preserve">., 2024; </w:t>
      </w:r>
      <w:proofErr w:type="spellStart"/>
      <w:r w:rsidRPr="004712FE">
        <w:t>ElTatawy</w:t>
      </w:r>
      <w:proofErr w:type="spellEnd"/>
      <w:r w:rsidRPr="004712FE">
        <w:t xml:space="preserve"> </w:t>
      </w:r>
      <w:r w:rsidRPr="004712FE">
        <w:rPr>
          <w:i/>
        </w:rPr>
        <w:t>et al</w:t>
      </w:r>
      <w:r w:rsidRPr="004712FE">
        <w:t>., 2024).</w:t>
      </w:r>
    </w:p>
    <w:p w:rsidR="00A24575" w:rsidRPr="004712FE" w:rsidRDefault="00A24575" w:rsidP="004712FE">
      <w:pPr>
        <w:pStyle w:val="NormalWeb"/>
        <w:spacing w:line="360" w:lineRule="auto"/>
        <w:jc w:val="both"/>
      </w:pPr>
      <w:r w:rsidRPr="004712FE">
        <w:t xml:space="preserve">Overall, the synthesis and characterization of gelatin-based antimicrobial materials represent an important area of research in the development of sustainable and biocompatible antimicrobial systems. Through the incorporation of functional additives or nanomaterials, the antimicrobial effectiveness, mechanical strength, and stability of gelatin can be significantly improved. Consequently, gelatin-based materials are increasingly being explored for applications in biomedical devices, wound dressings, drug delivery systems, and antimicrobial packaging technologies (Asghar </w:t>
      </w:r>
      <w:r w:rsidRPr="004712FE">
        <w:rPr>
          <w:i/>
        </w:rPr>
        <w:t>et al</w:t>
      </w:r>
      <w:r w:rsidRPr="004712FE">
        <w:t xml:space="preserve">., 2024; Qiao </w:t>
      </w:r>
      <w:r w:rsidRPr="004712FE">
        <w:rPr>
          <w:i/>
        </w:rPr>
        <w:t>et al</w:t>
      </w:r>
      <w:r w:rsidRPr="004712FE">
        <w:t>., 2024).</w:t>
      </w:r>
    </w:p>
    <w:p w:rsidR="0046605A" w:rsidRPr="004712FE" w:rsidRDefault="0046605A" w:rsidP="004712FE">
      <w:pPr>
        <w:pStyle w:val="Heading1"/>
        <w:spacing w:line="360" w:lineRule="auto"/>
        <w:jc w:val="both"/>
        <w:rPr>
          <w:b w:val="0"/>
          <w:sz w:val="24"/>
          <w:szCs w:val="24"/>
        </w:rPr>
      </w:pPr>
      <w:r w:rsidRPr="004712FE">
        <w:rPr>
          <w:b w:val="0"/>
          <w:sz w:val="24"/>
          <w:szCs w:val="24"/>
        </w:rPr>
        <w:t>Methodology</w:t>
      </w:r>
    </w:p>
    <w:p w:rsidR="0046605A" w:rsidRPr="004712FE" w:rsidRDefault="0046605A" w:rsidP="004712FE">
      <w:pPr>
        <w:pStyle w:val="Heading2"/>
        <w:spacing w:line="360" w:lineRule="auto"/>
        <w:jc w:val="both"/>
        <w:rPr>
          <w:rFonts w:ascii="Times New Roman" w:hAnsi="Times New Roman" w:cs="Times New Roman"/>
          <w:b w:val="0"/>
          <w:color w:val="auto"/>
          <w:sz w:val="24"/>
          <w:szCs w:val="24"/>
        </w:rPr>
      </w:pPr>
      <w:r w:rsidRPr="004712FE">
        <w:rPr>
          <w:rFonts w:ascii="Times New Roman" w:hAnsi="Times New Roman" w:cs="Times New Roman"/>
          <w:b w:val="0"/>
          <w:color w:val="auto"/>
          <w:sz w:val="24"/>
          <w:szCs w:val="24"/>
        </w:rPr>
        <w:t>Materials</w:t>
      </w:r>
    </w:p>
    <w:p w:rsidR="0046605A" w:rsidRPr="004712FE" w:rsidRDefault="0046605A" w:rsidP="004712FE">
      <w:pPr>
        <w:pStyle w:val="NormalWeb"/>
        <w:spacing w:line="360" w:lineRule="auto"/>
        <w:jc w:val="both"/>
      </w:pPr>
      <w:r w:rsidRPr="004712FE">
        <w:t xml:space="preserve">Gelatin used in this study was either extracted from collagen through controlled hydrolysis or obtained as analytical-grade gelatin. Other chemicals employed included acetic acid, sodium hydroxide, hydrochloric acid, and distilled water. To enhance antimicrobial activity, functional additives such as metal nanoparticles, essential oils, or other bioactive compounds were incorporated into the gelatin matrix. All reagents were of analytical grade and were used without further purification (Asghar </w:t>
      </w:r>
      <w:r w:rsidRPr="004712FE">
        <w:rPr>
          <w:i/>
        </w:rPr>
        <w:t>et al</w:t>
      </w:r>
      <w:r w:rsidRPr="004712FE">
        <w:t xml:space="preserve">., 2024; </w:t>
      </w:r>
      <w:proofErr w:type="spellStart"/>
      <w:r w:rsidRPr="004712FE">
        <w:t>ElTatawy</w:t>
      </w:r>
      <w:proofErr w:type="spellEnd"/>
      <w:r w:rsidRPr="004712FE">
        <w:t xml:space="preserve"> </w:t>
      </w:r>
      <w:r w:rsidRPr="004712FE">
        <w:rPr>
          <w:i/>
        </w:rPr>
        <w:t>et al</w:t>
      </w:r>
      <w:r w:rsidRPr="004712FE">
        <w:t>., 2024).</w:t>
      </w:r>
    </w:p>
    <w:p w:rsidR="0046605A" w:rsidRPr="004712FE" w:rsidRDefault="0046605A" w:rsidP="004712FE">
      <w:pPr>
        <w:pStyle w:val="Heading2"/>
        <w:spacing w:line="360" w:lineRule="auto"/>
        <w:jc w:val="both"/>
        <w:rPr>
          <w:rFonts w:ascii="Times New Roman" w:hAnsi="Times New Roman" w:cs="Times New Roman"/>
          <w:b w:val="0"/>
          <w:color w:val="auto"/>
          <w:sz w:val="24"/>
          <w:szCs w:val="24"/>
        </w:rPr>
      </w:pPr>
      <w:r w:rsidRPr="004712FE">
        <w:rPr>
          <w:rFonts w:ascii="Times New Roman" w:hAnsi="Times New Roman" w:cs="Times New Roman"/>
          <w:b w:val="0"/>
          <w:color w:val="auto"/>
          <w:sz w:val="24"/>
          <w:szCs w:val="24"/>
        </w:rPr>
        <w:t>Extraction and Preparation of Gelatin</w:t>
      </w:r>
    </w:p>
    <w:p w:rsidR="0046605A" w:rsidRPr="004712FE" w:rsidRDefault="0046605A" w:rsidP="004712FE">
      <w:pPr>
        <w:pStyle w:val="NormalWeb"/>
        <w:spacing w:line="360" w:lineRule="auto"/>
        <w:jc w:val="both"/>
      </w:pPr>
      <w:r w:rsidRPr="004712FE">
        <w:t xml:space="preserve">Gelatin was prepared from collagen-rich sources following a modified extraction procedure. Initially, the raw collagen material was washed thoroughly with distilled water to remove impurities. It then </w:t>
      </w:r>
      <w:r w:rsidRPr="004712FE">
        <w:lastRenderedPageBreak/>
        <w:t xml:space="preserve">underwent either acid or alkaline pretreatment to disrupt cross-linked collagen structures and facilitate gelatin extraction (Qiao </w:t>
      </w:r>
      <w:r w:rsidRPr="004712FE">
        <w:rPr>
          <w:i/>
        </w:rPr>
        <w:t>et al</w:t>
      </w:r>
      <w:r w:rsidRPr="004712FE">
        <w:t>., 2024).</w:t>
      </w:r>
    </w:p>
    <w:p w:rsidR="0046605A" w:rsidRPr="004712FE" w:rsidRDefault="0046605A" w:rsidP="004712FE">
      <w:pPr>
        <w:pStyle w:val="NormalWeb"/>
        <w:spacing w:line="360" w:lineRule="auto"/>
        <w:jc w:val="both"/>
      </w:pPr>
      <w:r w:rsidRPr="004712FE">
        <w:t xml:space="preserve">After pretreatment, the material was heated in distilled water at controlled temperatures ranging from 50.0 to 70.0°C for several hours to induce thermal hydrolysis, converting collagen into soluble gelatin chains. Insoluble residues were removed by filtration, and the resulting gelatin solution was cooled to obtain gelatin. The gelatin was subsequently dried in an oven at 40.0 – 50.0°C until a constant weight was achieved, then ground into fine powder for further use (Ahmed </w:t>
      </w:r>
      <w:r w:rsidRPr="004712FE">
        <w:rPr>
          <w:i/>
        </w:rPr>
        <w:t>et al</w:t>
      </w:r>
      <w:r w:rsidRPr="004712FE">
        <w:t>., 2024).</w:t>
      </w:r>
    </w:p>
    <w:p w:rsidR="0046605A" w:rsidRPr="004712FE" w:rsidRDefault="0046605A" w:rsidP="004712FE">
      <w:pPr>
        <w:pStyle w:val="Heading2"/>
        <w:spacing w:line="360" w:lineRule="auto"/>
        <w:jc w:val="both"/>
        <w:rPr>
          <w:rFonts w:ascii="Times New Roman" w:hAnsi="Times New Roman" w:cs="Times New Roman"/>
          <w:color w:val="auto"/>
          <w:sz w:val="24"/>
          <w:szCs w:val="24"/>
        </w:rPr>
      </w:pPr>
      <w:r w:rsidRPr="004712FE">
        <w:rPr>
          <w:rFonts w:ascii="Times New Roman" w:hAnsi="Times New Roman" w:cs="Times New Roman"/>
          <w:color w:val="auto"/>
          <w:sz w:val="24"/>
          <w:szCs w:val="24"/>
        </w:rPr>
        <w:t>Preparation of Gelatin-Based Antimicrobial Materials</w:t>
      </w:r>
    </w:p>
    <w:p w:rsidR="0046605A" w:rsidRPr="004712FE" w:rsidRDefault="0046605A" w:rsidP="004712FE">
      <w:pPr>
        <w:pStyle w:val="NormalWeb"/>
        <w:spacing w:line="360" w:lineRule="auto"/>
        <w:jc w:val="both"/>
      </w:pPr>
      <w:r w:rsidRPr="004712FE">
        <w:t>To improve antimicrobial performance, gelatin was blended with selected antimicrobial additives. A measured amount of gelatin powder was dissolved in distilled water at approximately 50.0°C under continuous stirring to form a homogeneous solution.</w:t>
      </w:r>
    </w:p>
    <w:p w:rsidR="0046605A" w:rsidRPr="004712FE" w:rsidRDefault="0046605A" w:rsidP="004712FE">
      <w:pPr>
        <w:pStyle w:val="NormalWeb"/>
        <w:spacing w:line="360" w:lineRule="auto"/>
        <w:jc w:val="both"/>
      </w:pPr>
      <w:r w:rsidRPr="004712FE">
        <w:t xml:space="preserve">The antimicrobial agents such as nanoparticles, essential oils, or inorganic compounds were dispersed into the gelatin solution using magnetic stirring or ultrasonication to ensure even distribution. The resulting mixture was then processed via solution casting or gel formation to produce gelatin-based films or nanocomposites. The materials were poured into molds or Petri dishes and allowed to dry at room temperature or in a controlled oven to obtain solid films or composite materials </w:t>
      </w:r>
      <w:r w:rsidR="00825980" w:rsidRPr="004712FE">
        <w:t xml:space="preserve">(Zhang </w:t>
      </w:r>
      <w:r w:rsidR="00825980" w:rsidRPr="004712FE">
        <w:rPr>
          <w:i/>
        </w:rPr>
        <w:t>et al</w:t>
      </w:r>
      <w:r w:rsidR="00825980" w:rsidRPr="004712FE">
        <w:t>., 2025; Ghafoor and</w:t>
      </w:r>
      <w:r w:rsidRPr="004712FE">
        <w:t xml:space="preserve"> Butt, 2025).</w:t>
      </w:r>
    </w:p>
    <w:p w:rsidR="0046605A" w:rsidRPr="004712FE" w:rsidRDefault="0046605A" w:rsidP="004712FE">
      <w:pPr>
        <w:pStyle w:val="Heading2"/>
        <w:spacing w:line="360" w:lineRule="auto"/>
        <w:jc w:val="both"/>
        <w:rPr>
          <w:rFonts w:ascii="Times New Roman" w:hAnsi="Times New Roman" w:cs="Times New Roman"/>
          <w:b w:val="0"/>
          <w:color w:val="auto"/>
          <w:sz w:val="24"/>
          <w:szCs w:val="24"/>
        </w:rPr>
      </w:pPr>
      <w:r w:rsidRPr="004712FE">
        <w:rPr>
          <w:rFonts w:ascii="Times New Roman" w:hAnsi="Times New Roman" w:cs="Times New Roman"/>
          <w:b w:val="0"/>
          <w:color w:val="auto"/>
          <w:sz w:val="24"/>
          <w:szCs w:val="24"/>
        </w:rPr>
        <w:t>Characterization of Gelatin Materials</w:t>
      </w:r>
    </w:p>
    <w:p w:rsidR="0046605A" w:rsidRPr="004712FE" w:rsidRDefault="0046605A" w:rsidP="004712FE">
      <w:pPr>
        <w:pStyle w:val="NormalWeb"/>
        <w:spacing w:line="360" w:lineRule="auto"/>
        <w:jc w:val="both"/>
      </w:pPr>
      <w:r w:rsidRPr="004712FE">
        <w:t>The structural, morphological, and thermal properties of the synthesized gelatin materials were characterized using standard analytical techniques:</w:t>
      </w:r>
    </w:p>
    <w:p w:rsidR="0046605A" w:rsidRPr="004712FE" w:rsidRDefault="0046605A" w:rsidP="004712FE">
      <w:pPr>
        <w:pStyle w:val="NormalWeb"/>
        <w:spacing w:line="360" w:lineRule="auto"/>
        <w:jc w:val="both"/>
        <w:rPr>
          <w:rStyle w:val="Strong"/>
          <w:b w:val="0"/>
        </w:rPr>
      </w:pPr>
      <w:r w:rsidRPr="004712FE">
        <w:rPr>
          <w:rStyle w:val="Strong"/>
          <w:b w:val="0"/>
        </w:rPr>
        <w:t>Fourier Transform Infrared Spectroscopy (FTIR)</w:t>
      </w:r>
    </w:p>
    <w:p w:rsidR="0046605A" w:rsidRPr="004712FE" w:rsidRDefault="0046605A" w:rsidP="004712FE">
      <w:pPr>
        <w:pStyle w:val="NormalWeb"/>
        <w:spacing w:line="360" w:lineRule="auto"/>
        <w:jc w:val="both"/>
      </w:pPr>
      <w:r w:rsidRPr="004712FE">
        <w:t xml:space="preserve">FTIR analysis was used to identify functional groups and confirm molecular interactions between gelatin and the incorporated additives. Spectra were recorded in the range of 4000.0 – 400.0 cm⁻¹ (Asghar </w:t>
      </w:r>
      <w:r w:rsidRPr="004712FE">
        <w:rPr>
          <w:i/>
        </w:rPr>
        <w:t>et al</w:t>
      </w:r>
      <w:r w:rsidRPr="004712FE">
        <w:t>., 2024).</w:t>
      </w:r>
    </w:p>
    <w:p w:rsidR="0046605A" w:rsidRPr="004712FE" w:rsidRDefault="0046605A" w:rsidP="004712FE">
      <w:pPr>
        <w:pStyle w:val="NormalWeb"/>
        <w:spacing w:line="360" w:lineRule="auto"/>
        <w:jc w:val="both"/>
        <w:rPr>
          <w:rStyle w:val="Strong"/>
          <w:b w:val="0"/>
        </w:rPr>
      </w:pPr>
      <w:r w:rsidRPr="004712FE">
        <w:rPr>
          <w:rStyle w:val="Strong"/>
          <w:b w:val="0"/>
        </w:rPr>
        <w:t>X-ray Diffraction (XRD)</w:t>
      </w:r>
    </w:p>
    <w:p w:rsidR="0046605A" w:rsidRPr="004712FE" w:rsidRDefault="0046605A" w:rsidP="004712FE">
      <w:pPr>
        <w:pStyle w:val="NormalWeb"/>
        <w:spacing w:line="360" w:lineRule="auto"/>
        <w:jc w:val="both"/>
      </w:pPr>
      <w:r w:rsidRPr="004712FE">
        <w:lastRenderedPageBreak/>
        <w:t xml:space="preserve">XRD was performed to examine the crystalline structure and phase composition of the materials, with diffraction patterns collected within 2θ = 5.0 – 80.0° (Ahmed </w:t>
      </w:r>
      <w:r w:rsidRPr="004712FE">
        <w:rPr>
          <w:i/>
        </w:rPr>
        <w:t>et al</w:t>
      </w:r>
      <w:r w:rsidRPr="004712FE">
        <w:t>., 2024).</w:t>
      </w:r>
    </w:p>
    <w:p w:rsidR="0046605A" w:rsidRPr="004712FE" w:rsidRDefault="0046605A" w:rsidP="004712FE">
      <w:pPr>
        <w:pStyle w:val="NormalWeb"/>
        <w:spacing w:line="360" w:lineRule="auto"/>
        <w:jc w:val="both"/>
        <w:rPr>
          <w:rStyle w:val="Strong"/>
          <w:b w:val="0"/>
        </w:rPr>
      </w:pPr>
      <w:r w:rsidRPr="004712FE">
        <w:rPr>
          <w:rStyle w:val="Strong"/>
          <w:b w:val="0"/>
        </w:rPr>
        <w:t>Scanning Electron Microscopy (SEM)</w:t>
      </w:r>
    </w:p>
    <w:p w:rsidR="0046605A" w:rsidRPr="004712FE" w:rsidRDefault="0046605A" w:rsidP="004712FE">
      <w:pPr>
        <w:pStyle w:val="NormalWeb"/>
        <w:spacing w:line="360" w:lineRule="auto"/>
        <w:jc w:val="both"/>
      </w:pPr>
      <w:r w:rsidRPr="004712FE">
        <w:t xml:space="preserve"> SEM imaging was used to investigate surface morphology and microstructural features. Samples were coated with a thin conductive layer before analysis (Qiao </w:t>
      </w:r>
      <w:r w:rsidRPr="004712FE">
        <w:rPr>
          <w:i/>
        </w:rPr>
        <w:t>et al</w:t>
      </w:r>
      <w:r w:rsidRPr="004712FE">
        <w:t>., 2024).</w:t>
      </w:r>
    </w:p>
    <w:p w:rsidR="0046605A" w:rsidRPr="004712FE" w:rsidRDefault="0046605A" w:rsidP="004712FE">
      <w:pPr>
        <w:pStyle w:val="NormalWeb"/>
        <w:spacing w:line="360" w:lineRule="auto"/>
        <w:jc w:val="both"/>
        <w:rPr>
          <w:rStyle w:val="Strong"/>
          <w:b w:val="0"/>
        </w:rPr>
      </w:pPr>
      <w:r w:rsidRPr="004712FE">
        <w:rPr>
          <w:rStyle w:val="Strong"/>
          <w:b w:val="0"/>
        </w:rPr>
        <w:t>Thermogravimetric Analysis (TGA)</w:t>
      </w:r>
    </w:p>
    <w:p w:rsidR="0046605A" w:rsidRPr="004712FE" w:rsidRDefault="0046605A" w:rsidP="004712FE">
      <w:pPr>
        <w:pStyle w:val="NormalWeb"/>
        <w:spacing w:line="360" w:lineRule="auto"/>
        <w:jc w:val="both"/>
      </w:pPr>
      <w:r w:rsidRPr="004712FE">
        <w:t>TGA assessed thermal stability and decomposition behavior by heating the samples under controlled conditions (</w:t>
      </w:r>
      <w:proofErr w:type="spellStart"/>
      <w:r w:rsidRPr="004712FE">
        <w:t>ElTatawy</w:t>
      </w:r>
      <w:proofErr w:type="spellEnd"/>
      <w:r w:rsidRPr="004712FE">
        <w:t xml:space="preserve"> </w:t>
      </w:r>
      <w:r w:rsidRPr="004712FE">
        <w:rPr>
          <w:i/>
        </w:rPr>
        <w:t>et al</w:t>
      </w:r>
      <w:r w:rsidRPr="004712FE">
        <w:t>., 2024).</w:t>
      </w:r>
    </w:p>
    <w:p w:rsidR="0046605A" w:rsidRPr="004712FE" w:rsidRDefault="0046605A" w:rsidP="004712FE">
      <w:pPr>
        <w:pStyle w:val="Heading2"/>
        <w:spacing w:line="360" w:lineRule="auto"/>
        <w:jc w:val="both"/>
        <w:rPr>
          <w:rFonts w:ascii="Times New Roman" w:hAnsi="Times New Roman" w:cs="Times New Roman"/>
          <w:b w:val="0"/>
          <w:color w:val="auto"/>
          <w:sz w:val="24"/>
          <w:szCs w:val="24"/>
        </w:rPr>
      </w:pPr>
      <w:r w:rsidRPr="004712FE">
        <w:rPr>
          <w:rFonts w:ascii="Times New Roman" w:hAnsi="Times New Roman" w:cs="Times New Roman"/>
          <w:b w:val="0"/>
          <w:color w:val="auto"/>
          <w:sz w:val="24"/>
          <w:szCs w:val="24"/>
        </w:rPr>
        <w:t>Antimicrobial Activity Evaluation</w:t>
      </w:r>
    </w:p>
    <w:p w:rsidR="0046605A" w:rsidRPr="004712FE" w:rsidRDefault="0046605A" w:rsidP="004712FE">
      <w:pPr>
        <w:pStyle w:val="NormalWeb"/>
        <w:spacing w:line="360" w:lineRule="auto"/>
        <w:jc w:val="both"/>
      </w:pPr>
      <w:r w:rsidRPr="004712FE">
        <w:t xml:space="preserve">The antimicrobial efficacy of the gelatin-based materials was tested against </w:t>
      </w:r>
      <w:r w:rsidRPr="004712FE">
        <w:rPr>
          <w:rStyle w:val="Emphasis"/>
        </w:rPr>
        <w:t>Staphylococcus aureus</w:t>
      </w:r>
      <w:r w:rsidRPr="004712FE">
        <w:t xml:space="preserve"> (Gram-positive) and </w:t>
      </w:r>
      <w:r w:rsidRPr="004712FE">
        <w:rPr>
          <w:rStyle w:val="Emphasis"/>
        </w:rPr>
        <w:t>Escherichia coli</w:t>
      </w:r>
      <w:r w:rsidRPr="004712FE">
        <w:t xml:space="preserve"> (Gram-negative) using the agar diffusion method. Bacterial cultures were spread evenly onto nutrient agar plates, and gelatin-based samples were placed on the surface. Plates were incubated at 37.0°C for 24 hours, and the antibacterial activity was quantified by measuring the diameter of the inhibition zones around the samples. Larger inhibition zones indicated higher antimicrobial activity (Zhang </w:t>
      </w:r>
      <w:r w:rsidRPr="004712FE">
        <w:rPr>
          <w:i/>
        </w:rPr>
        <w:t>et al</w:t>
      </w:r>
      <w:r w:rsidRPr="004712FE">
        <w:t>., 2025).</w:t>
      </w:r>
    </w:p>
    <w:p w:rsidR="0046605A" w:rsidRPr="004712FE" w:rsidRDefault="0046605A" w:rsidP="004712FE">
      <w:pPr>
        <w:pStyle w:val="Heading2"/>
        <w:spacing w:line="360" w:lineRule="auto"/>
        <w:jc w:val="both"/>
        <w:rPr>
          <w:rFonts w:ascii="Times New Roman" w:hAnsi="Times New Roman" w:cs="Times New Roman"/>
          <w:b w:val="0"/>
          <w:color w:val="auto"/>
          <w:sz w:val="24"/>
          <w:szCs w:val="24"/>
        </w:rPr>
      </w:pPr>
      <w:r w:rsidRPr="004712FE">
        <w:rPr>
          <w:rFonts w:ascii="Times New Roman" w:hAnsi="Times New Roman" w:cs="Times New Roman"/>
          <w:b w:val="0"/>
          <w:color w:val="auto"/>
          <w:sz w:val="24"/>
          <w:szCs w:val="24"/>
        </w:rPr>
        <w:t>Statistical Analysis</w:t>
      </w:r>
    </w:p>
    <w:p w:rsidR="0046605A" w:rsidRPr="004712FE" w:rsidRDefault="0046605A" w:rsidP="004712FE">
      <w:pPr>
        <w:pStyle w:val="NormalWeb"/>
        <w:spacing w:line="360" w:lineRule="auto"/>
        <w:jc w:val="both"/>
      </w:pPr>
      <w:r w:rsidRPr="004712FE">
        <w:t>All experiments were conducted in triplicate. Data were expressed as mean ± standard deviation, and statistical significance was determined using appropriate software. Differences between samples were evaluated to confirm the reproducibility and relia</w:t>
      </w:r>
      <w:r w:rsidR="00825980" w:rsidRPr="004712FE">
        <w:t>bility of the results (Ghafoor and</w:t>
      </w:r>
      <w:r w:rsidRPr="004712FE">
        <w:t xml:space="preserve"> Butt, 2025).</w:t>
      </w:r>
    </w:p>
    <w:p w:rsidR="00825980" w:rsidRPr="004712FE" w:rsidRDefault="00825980" w:rsidP="004712FE">
      <w:pPr>
        <w:pStyle w:val="NormalWeb"/>
        <w:spacing w:line="360" w:lineRule="auto"/>
        <w:jc w:val="both"/>
        <w:rPr>
          <w:b/>
        </w:rPr>
      </w:pPr>
      <w:r w:rsidRPr="004712FE">
        <w:rPr>
          <w:b/>
        </w:rPr>
        <w:t>RESULTS AND DISCUSSION</w:t>
      </w:r>
    </w:p>
    <w:p w:rsidR="006B3367" w:rsidRPr="004712FE" w:rsidRDefault="003C6D7A" w:rsidP="004712FE">
      <w:pPr>
        <w:pStyle w:val="NormalWeb"/>
        <w:spacing w:line="360" w:lineRule="auto"/>
        <w:jc w:val="both"/>
        <w:rPr>
          <w:b/>
        </w:rPr>
      </w:pPr>
      <w:r w:rsidRPr="004712FE">
        <w:object w:dxaOrig="6488"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62.5pt" o:ole="">
            <v:imagedata r:id="rId5" o:title=""/>
          </v:shape>
          <o:OLEObject Type="Embed" ProgID="Origin95.Graph" ShapeID="_x0000_i1025" DrawAspect="Content" ObjectID="_1835186898" r:id="rId6"/>
        </w:object>
      </w:r>
    </w:p>
    <w:p w:rsidR="00C523FC" w:rsidRPr="004712FE" w:rsidRDefault="003C6D7A" w:rsidP="004712FE">
      <w:pPr>
        <w:pStyle w:val="Heading3"/>
        <w:spacing w:line="360" w:lineRule="auto"/>
        <w:jc w:val="both"/>
        <w:rPr>
          <w:rFonts w:ascii="Times New Roman" w:hAnsi="Times New Roman" w:cs="Times New Roman"/>
          <w:color w:val="auto"/>
          <w:sz w:val="24"/>
          <w:szCs w:val="24"/>
        </w:rPr>
      </w:pPr>
      <w:r w:rsidRPr="004712FE">
        <w:rPr>
          <w:rFonts w:ascii="Times New Roman" w:hAnsi="Times New Roman" w:cs="Times New Roman"/>
          <w:color w:val="auto"/>
          <w:sz w:val="24"/>
          <w:szCs w:val="24"/>
        </w:rPr>
        <w:t xml:space="preserve">Figure 1: </w:t>
      </w:r>
      <w:r w:rsidRPr="004712FE">
        <w:rPr>
          <w:rFonts w:ascii="Times New Roman" w:hAnsi="Times New Roman" w:cs="Times New Roman"/>
          <w:b w:val="0"/>
          <w:color w:val="auto"/>
          <w:sz w:val="24"/>
          <w:szCs w:val="24"/>
        </w:rPr>
        <w:t>High-Liquid Chromatography (</w:t>
      </w:r>
      <w:r w:rsidR="00C523FC" w:rsidRPr="004712FE">
        <w:rPr>
          <w:rFonts w:ascii="Times New Roman" w:hAnsi="Times New Roman" w:cs="Times New Roman"/>
          <w:b w:val="0"/>
          <w:color w:val="auto"/>
          <w:sz w:val="24"/>
          <w:szCs w:val="24"/>
        </w:rPr>
        <w:t>HPLC</w:t>
      </w:r>
      <w:r w:rsidRPr="004712FE">
        <w:rPr>
          <w:rFonts w:ascii="Times New Roman" w:hAnsi="Times New Roman" w:cs="Times New Roman"/>
          <w:b w:val="0"/>
          <w:color w:val="auto"/>
          <w:sz w:val="24"/>
          <w:szCs w:val="24"/>
        </w:rPr>
        <w:t>)</w:t>
      </w:r>
      <w:r w:rsidR="00C523FC" w:rsidRPr="004712FE">
        <w:rPr>
          <w:rFonts w:ascii="Times New Roman" w:hAnsi="Times New Roman" w:cs="Times New Roman"/>
          <w:b w:val="0"/>
          <w:color w:val="auto"/>
          <w:sz w:val="24"/>
          <w:szCs w:val="24"/>
        </w:rPr>
        <w:t xml:space="preserve"> Analysis of Gelatin Hydrolysate</w:t>
      </w:r>
    </w:p>
    <w:p w:rsidR="00C523FC" w:rsidRPr="004712FE" w:rsidRDefault="003C6D7A" w:rsidP="004712FE">
      <w:pPr>
        <w:pStyle w:val="NormalWeb"/>
        <w:spacing w:line="360" w:lineRule="auto"/>
        <w:jc w:val="both"/>
      </w:pPr>
      <w:r w:rsidRPr="004712FE">
        <w:t xml:space="preserve">Figure 1 shows the high-liquid chromatography analysis of gelatin hydrolysate. The </w:t>
      </w:r>
      <w:r w:rsidR="00C523FC" w:rsidRPr="004712FE">
        <w:t xml:space="preserve">High-Performance Liquid Chromatography (HPLC) is a powerful tool for analyzing the </w:t>
      </w:r>
      <w:r w:rsidR="00C523FC" w:rsidRPr="004712FE">
        <w:rPr>
          <w:rStyle w:val="Strong"/>
          <w:b w:val="0"/>
        </w:rPr>
        <w:t>hydrolysis of gelatin</w:t>
      </w:r>
      <w:r w:rsidR="00C523FC" w:rsidRPr="004712FE">
        <w:t xml:space="preserve"> and the formation of peptide fragments from collagen. During hydrolysis, the collagen triple-helix is broken down into smaller peptides and amino acids. HPLC separates these products based on their molecular size and polarity, providing clear evidence of gelatin conversion and peptide generation (Song </w:t>
      </w:r>
      <w:r w:rsidR="00C523FC" w:rsidRPr="004712FE">
        <w:rPr>
          <w:i/>
        </w:rPr>
        <w:t>et al</w:t>
      </w:r>
      <w:r w:rsidR="00C523FC" w:rsidRPr="004712FE">
        <w:t xml:space="preserve">., 2024; Panjaitan </w:t>
      </w:r>
      <w:r w:rsidR="00C523FC" w:rsidRPr="004712FE">
        <w:rPr>
          <w:i/>
        </w:rPr>
        <w:t>et al</w:t>
      </w:r>
      <w:r w:rsidR="00C523FC" w:rsidRPr="004712FE">
        <w:t>., 2024).</w:t>
      </w:r>
    </w:p>
    <w:p w:rsidR="00C523FC" w:rsidRPr="004712FE" w:rsidRDefault="00C523FC" w:rsidP="004712FE">
      <w:pPr>
        <w:pStyle w:val="NormalWeb"/>
        <w:spacing w:line="360" w:lineRule="auto"/>
        <w:jc w:val="both"/>
      </w:pPr>
      <w:r w:rsidRPr="004712FE">
        <w:t xml:space="preserve">Typical HPLC chromatograms of gelatin hydrolysates show </w:t>
      </w:r>
      <w:r w:rsidRPr="004712FE">
        <w:rPr>
          <w:rStyle w:val="Strong"/>
          <w:b w:val="0"/>
        </w:rPr>
        <w:t>multiple peaks across the retention time</w:t>
      </w:r>
      <w:r w:rsidRPr="004712FE">
        <w:t>, reflecting a mixture of peptides with different molecular weights. Early retention peaks genera</w:t>
      </w:r>
      <w:r w:rsidR="006A01E9">
        <w:t xml:space="preserve">lly correspond to low molecular </w:t>
      </w:r>
      <w:r w:rsidRPr="004712FE">
        <w:t>weight peptides, while later peaks indicate free amino acids or slightly larger peptides. The presence of numerous peaks confirms extensive cleavage of gelatin chains, resulting in a heterogeneous peptide profile, which is commonly observed after enzymatic or thermal hydrolysis (</w:t>
      </w:r>
      <w:proofErr w:type="spellStart"/>
      <w:r w:rsidRPr="004712FE">
        <w:t>Nurilmala</w:t>
      </w:r>
      <w:proofErr w:type="spellEnd"/>
      <w:r w:rsidRPr="004712FE">
        <w:t xml:space="preserve"> </w:t>
      </w:r>
      <w:r w:rsidRPr="004712FE">
        <w:rPr>
          <w:i/>
        </w:rPr>
        <w:t>et al</w:t>
      </w:r>
      <w:r w:rsidRPr="004712FE">
        <w:t xml:space="preserve">., 2020; Panjaitan </w:t>
      </w:r>
      <w:r w:rsidRPr="004712FE">
        <w:rPr>
          <w:i/>
        </w:rPr>
        <w:t>et al</w:t>
      </w:r>
      <w:r w:rsidRPr="004712FE">
        <w:t>., 2024).</w:t>
      </w:r>
    </w:p>
    <w:p w:rsidR="00C523FC" w:rsidRPr="004712FE" w:rsidRDefault="00C523FC" w:rsidP="004712FE">
      <w:pPr>
        <w:pStyle w:val="NormalWeb"/>
        <w:spacing w:line="360" w:lineRule="auto"/>
        <w:jc w:val="both"/>
      </w:pPr>
      <w:r w:rsidRPr="004712FE">
        <w:t xml:space="preserve">Strong peaks are often observed in the </w:t>
      </w:r>
      <w:r w:rsidR="00825980" w:rsidRPr="004712FE">
        <w:rPr>
          <w:rStyle w:val="Strong"/>
          <w:b w:val="0"/>
        </w:rPr>
        <w:t>early retention region (</w:t>
      </w:r>
      <w:r w:rsidRPr="004712FE">
        <w:rPr>
          <w:rStyle w:val="Strong"/>
          <w:b w:val="0"/>
        </w:rPr>
        <w:t>5</w:t>
      </w:r>
      <w:r w:rsidR="00825980" w:rsidRPr="004712FE">
        <w:rPr>
          <w:rStyle w:val="Strong"/>
          <w:b w:val="0"/>
        </w:rPr>
        <w:t xml:space="preserve"> - </w:t>
      </w:r>
      <w:r w:rsidRPr="004712FE">
        <w:rPr>
          <w:rStyle w:val="Strong"/>
          <w:b w:val="0"/>
        </w:rPr>
        <w:t>12 min)</w:t>
      </w:r>
      <w:r w:rsidRPr="004712FE">
        <w:t>, representing the main peptide fragments, usually &lt;1</w:t>
      </w:r>
      <w:r w:rsidR="00825980" w:rsidRPr="004712FE">
        <w:t>.0</w:t>
      </w:r>
      <w:r w:rsidRPr="004712FE">
        <w:t> </w:t>
      </w:r>
      <w:proofErr w:type="spellStart"/>
      <w:r w:rsidRPr="004712FE">
        <w:t>kDa</w:t>
      </w:r>
      <w:proofErr w:type="spellEnd"/>
      <w:r w:rsidRPr="004712FE">
        <w:t xml:space="preserve">. Enzymatic hydrolysis has been shown to increase the production </w:t>
      </w:r>
      <w:r w:rsidRPr="004712FE">
        <w:lastRenderedPageBreak/>
        <w:t>of small peptides (150</w:t>
      </w:r>
      <w:r w:rsidR="00825980" w:rsidRPr="004712FE">
        <w:t xml:space="preserve">.0 – </w:t>
      </w:r>
      <w:r w:rsidRPr="004712FE">
        <w:t>400</w:t>
      </w:r>
      <w:r w:rsidR="00825980" w:rsidRPr="004712FE">
        <w:t>.0</w:t>
      </w:r>
      <w:r w:rsidRPr="004712FE">
        <w:t xml:space="preserve"> Da), which are easily detected by HPLC (Zhang </w:t>
      </w:r>
      <w:r w:rsidRPr="004712FE">
        <w:rPr>
          <w:i/>
        </w:rPr>
        <w:t>et al</w:t>
      </w:r>
      <w:r w:rsidRPr="004712FE">
        <w:t>., 2024). Smaller peaks at longer retention times correspond to free amino acids such as glycine, proline, hydroxyproline, glutamic acid, and lysine, reflecting the ami</w:t>
      </w:r>
      <w:r w:rsidR="00825980" w:rsidRPr="004712FE">
        <w:t xml:space="preserve">no acid composition of collagen </w:t>
      </w:r>
      <w:r w:rsidRPr="004712FE">
        <w:t xml:space="preserve">derived gelatin (Chen </w:t>
      </w:r>
      <w:r w:rsidRPr="004712FE">
        <w:rPr>
          <w:i/>
        </w:rPr>
        <w:t>et al</w:t>
      </w:r>
      <w:r w:rsidRPr="004712FE">
        <w:t>., 2025).</w:t>
      </w:r>
    </w:p>
    <w:p w:rsidR="00C523FC" w:rsidRPr="004712FE" w:rsidRDefault="00C523FC" w:rsidP="004712FE">
      <w:pPr>
        <w:pStyle w:val="NormalWeb"/>
        <w:spacing w:line="360" w:lineRule="auto"/>
        <w:jc w:val="both"/>
      </w:pPr>
      <w:r w:rsidRPr="004712FE">
        <w:t xml:space="preserve">The </w:t>
      </w:r>
      <w:r w:rsidRPr="004712FE">
        <w:rPr>
          <w:rStyle w:val="Strong"/>
          <w:b w:val="0"/>
        </w:rPr>
        <w:t>number and intensity of peaks</w:t>
      </w:r>
      <w:r w:rsidRPr="004712FE">
        <w:t xml:space="preserve"> can also be used to estimate the degree of hydrolysis (DH), with more peaks indicating more extensive cleavage. Protease treatments, such as </w:t>
      </w:r>
      <w:proofErr w:type="spellStart"/>
      <w:r w:rsidRPr="004712FE">
        <w:t>alcalase</w:t>
      </w:r>
      <w:proofErr w:type="spellEnd"/>
      <w:r w:rsidRPr="004712FE">
        <w:t xml:space="preserve">, papain, or trypsin, enhance peptide diversity, producing distinct HPLC profiles compared with untreated gelatin (Li </w:t>
      </w:r>
      <w:r w:rsidRPr="004712FE">
        <w:rPr>
          <w:i/>
        </w:rPr>
        <w:t>et al</w:t>
      </w:r>
      <w:r w:rsidRPr="004712FE">
        <w:t>., 2026).</w:t>
      </w:r>
    </w:p>
    <w:p w:rsidR="00C523FC" w:rsidRPr="004712FE" w:rsidRDefault="00825980" w:rsidP="004712FE">
      <w:pPr>
        <w:pStyle w:val="NormalWeb"/>
        <w:spacing w:line="360" w:lineRule="auto"/>
        <w:jc w:val="both"/>
      </w:pPr>
      <w:r w:rsidRPr="004712FE">
        <w:t xml:space="preserve">The </w:t>
      </w:r>
      <w:r w:rsidR="00C523FC" w:rsidRPr="004712FE">
        <w:t xml:space="preserve">HPLC analysis confirms the </w:t>
      </w:r>
      <w:r w:rsidR="00C523FC" w:rsidRPr="004712FE">
        <w:rPr>
          <w:rStyle w:val="Strong"/>
          <w:b w:val="0"/>
        </w:rPr>
        <w:t>successful hydrolysis of gelatin</w:t>
      </w:r>
      <w:r w:rsidR="00C523FC" w:rsidRPr="004712FE">
        <w:t>, revealing a complex mixture of bioactive peptides and amino acids. This technique is essential for characterizing peptide distribution, monitoring hydrolysis efficiency, and evaluating the functional properties of gelatin-based biomaterials.</w:t>
      </w:r>
    </w:p>
    <w:p w:rsidR="008B6083" w:rsidRDefault="008B6083" w:rsidP="004712FE">
      <w:pPr>
        <w:pStyle w:val="NormalWeb"/>
        <w:spacing w:line="360" w:lineRule="auto"/>
        <w:jc w:val="both"/>
      </w:pPr>
      <w:r w:rsidRPr="004712FE">
        <w:object w:dxaOrig="6488" w:dyaOrig="4950">
          <v:shape id="_x0000_i1026" type="#_x0000_t75" style="width:324.5pt;height:247.5pt" o:ole="">
            <v:imagedata r:id="rId7" o:title=""/>
          </v:shape>
          <o:OLEObject Type="Embed" ProgID="Origin95.Graph" ShapeID="_x0000_i1026" DrawAspect="Content" ObjectID="_1835186899" r:id="rId8"/>
        </w:object>
      </w:r>
    </w:p>
    <w:p w:rsidR="004712FE" w:rsidRDefault="004712FE" w:rsidP="004712FE">
      <w:pPr>
        <w:pStyle w:val="NormalWeb"/>
        <w:spacing w:line="360" w:lineRule="auto"/>
        <w:jc w:val="both"/>
      </w:pPr>
      <w:r>
        <w:rPr>
          <w:b/>
        </w:rPr>
        <w:t>Figure</w:t>
      </w:r>
      <w:r w:rsidR="00931325">
        <w:rPr>
          <w:b/>
        </w:rPr>
        <w:t xml:space="preserve"> 2</w:t>
      </w:r>
      <w:r>
        <w:rPr>
          <w:b/>
        </w:rPr>
        <w:t xml:space="preserve">: </w:t>
      </w:r>
      <w:r>
        <w:t>Fourier Transform Infrared (FTIR) Spectroscopy of the Synthesized Gelatin</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The FTIR spectrum confirms the presence of the characteristic functional groups of </w:t>
      </w:r>
      <w:r w:rsidRPr="004712FE">
        <w:rPr>
          <w:rFonts w:ascii="Times New Roman" w:eastAsia="Times New Roman" w:hAnsi="Times New Roman" w:cs="Times New Roman"/>
          <w:bCs/>
          <w:sz w:val="24"/>
          <w:szCs w:val="24"/>
        </w:rPr>
        <w:t>gelatin</w:t>
      </w:r>
      <w:r w:rsidRPr="004712FE">
        <w:rPr>
          <w:rFonts w:ascii="Times New Roman" w:eastAsia="Times New Roman" w:hAnsi="Times New Roman" w:cs="Times New Roman"/>
          <w:sz w:val="24"/>
          <w:szCs w:val="24"/>
        </w:rPr>
        <w:t>, indicating its protein-based structure formed after the hydrolysis of collagen</w:t>
      </w:r>
      <w:r w:rsidR="006A01E9">
        <w:rPr>
          <w:rFonts w:ascii="Times New Roman" w:eastAsia="Times New Roman" w:hAnsi="Times New Roman" w:cs="Times New Roman"/>
          <w:sz w:val="24"/>
          <w:szCs w:val="24"/>
        </w:rPr>
        <w:t xml:space="preserve"> (Figure 2)</w:t>
      </w:r>
      <w:r w:rsidRPr="004712FE">
        <w:rPr>
          <w:rFonts w:ascii="Times New Roman" w:eastAsia="Times New Roman" w:hAnsi="Times New Roman" w:cs="Times New Roman"/>
          <w:sz w:val="24"/>
          <w:szCs w:val="24"/>
        </w:rPr>
        <w:t xml:space="preserve">. Several prominent </w:t>
      </w:r>
      <w:r w:rsidRPr="004712FE">
        <w:rPr>
          <w:rFonts w:ascii="Times New Roman" w:eastAsia="Times New Roman" w:hAnsi="Times New Roman" w:cs="Times New Roman"/>
          <w:sz w:val="24"/>
          <w:szCs w:val="24"/>
        </w:rPr>
        <w:lastRenderedPageBreak/>
        <w:t xml:space="preserve">absorption bands corresponding to </w:t>
      </w:r>
      <w:r w:rsidRPr="004712FE">
        <w:rPr>
          <w:rFonts w:ascii="Times New Roman" w:eastAsia="Times New Roman" w:hAnsi="Times New Roman" w:cs="Times New Roman"/>
          <w:bCs/>
          <w:sz w:val="24"/>
          <w:szCs w:val="24"/>
        </w:rPr>
        <w:t>amide groups and aliphatic chains</w:t>
      </w:r>
      <w:r w:rsidRPr="004712FE">
        <w:rPr>
          <w:rFonts w:ascii="Times New Roman" w:eastAsia="Times New Roman" w:hAnsi="Times New Roman" w:cs="Times New Roman"/>
          <w:sz w:val="24"/>
          <w:szCs w:val="24"/>
        </w:rPr>
        <w:t xml:space="preserve"> are observed, which are typical signatures of gelatin and other polypeptide biomaterials.</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A </w:t>
      </w:r>
      <w:r w:rsidRPr="004712FE">
        <w:rPr>
          <w:rFonts w:ascii="Times New Roman" w:eastAsia="Times New Roman" w:hAnsi="Times New Roman" w:cs="Times New Roman"/>
          <w:bCs/>
          <w:sz w:val="24"/>
          <w:szCs w:val="24"/>
        </w:rPr>
        <w:t>broad absorption band around 3400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is attributed to </w:t>
      </w:r>
      <w:r w:rsidR="00931325">
        <w:rPr>
          <w:rFonts w:ascii="Times New Roman" w:eastAsia="Times New Roman" w:hAnsi="Times New Roman" w:cs="Times New Roman"/>
          <w:bCs/>
          <w:sz w:val="24"/>
          <w:szCs w:val="24"/>
        </w:rPr>
        <w:t>N-H and O-</w:t>
      </w:r>
      <w:r w:rsidRPr="004712FE">
        <w:rPr>
          <w:rFonts w:ascii="Times New Roman" w:eastAsia="Times New Roman" w:hAnsi="Times New Roman" w:cs="Times New Roman"/>
          <w:bCs/>
          <w:sz w:val="24"/>
          <w:szCs w:val="24"/>
        </w:rPr>
        <w:t>H stretching vibrations (amide A region)</w:t>
      </w:r>
      <w:r w:rsidRPr="004712FE">
        <w:rPr>
          <w:rFonts w:ascii="Times New Roman" w:eastAsia="Times New Roman" w:hAnsi="Times New Roman" w:cs="Times New Roman"/>
          <w:sz w:val="24"/>
          <w:szCs w:val="24"/>
        </w:rPr>
        <w:t xml:space="preserve">. This broad peak arises from extensive hydrogen bonding between peptide chains and bound water molecules within the gelatin matrix. The slight shift toward lower wavenumbers suggests strong intermolecular hydrogen bonding, which contributes to the gel-forming capability and structural stability of gelatin. Similar amide A bands between </w:t>
      </w:r>
      <w:r w:rsidRPr="004712FE">
        <w:rPr>
          <w:rFonts w:ascii="Times New Roman" w:eastAsia="Times New Roman" w:hAnsi="Times New Roman" w:cs="Times New Roman"/>
          <w:bCs/>
          <w:sz w:val="24"/>
          <w:szCs w:val="24"/>
        </w:rPr>
        <w:t>3200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3400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have been widely reported for gelatin extracted from var</w:t>
      </w:r>
      <w:r w:rsidR="00931325">
        <w:rPr>
          <w:rFonts w:ascii="Times New Roman" w:eastAsia="Times New Roman" w:hAnsi="Times New Roman" w:cs="Times New Roman"/>
          <w:sz w:val="24"/>
          <w:szCs w:val="24"/>
        </w:rPr>
        <w:t>ious biological sources (Sadat and</w:t>
      </w:r>
      <w:r w:rsidRPr="004712FE">
        <w:rPr>
          <w:rFonts w:ascii="Times New Roman" w:eastAsia="Times New Roman" w:hAnsi="Times New Roman" w:cs="Times New Roman"/>
          <w:sz w:val="24"/>
          <w:szCs w:val="24"/>
        </w:rPr>
        <w:t xml:space="preserve"> Joye, 2020; Darmawan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2024).</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The peak observed near </w:t>
      </w:r>
      <w:r w:rsidRPr="004712FE">
        <w:rPr>
          <w:rFonts w:ascii="Times New Roman" w:eastAsia="Times New Roman" w:hAnsi="Times New Roman" w:cs="Times New Roman"/>
          <w:bCs/>
          <w:sz w:val="24"/>
          <w:szCs w:val="24"/>
        </w:rPr>
        <w:t>2920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corresponds to </w:t>
      </w:r>
      <w:r w:rsidR="00931325">
        <w:rPr>
          <w:rFonts w:ascii="Times New Roman" w:eastAsia="Times New Roman" w:hAnsi="Times New Roman" w:cs="Times New Roman"/>
          <w:bCs/>
          <w:sz w:val="24"/>
          <w:szCs w:val="24"/>
        </w:rPr>
        <w:t>C-</w:t>
      </w:r>
      <w:r w:rsidRPr="004712FE">
        <w:rPr>
          <w:rFonts w:ascii="Times New Roman" w:eastAsia="Times New Roman" w:hAnsi="Times New Roman" w:cs="Times New Roman"/>
          <w:bCs/>
          <w:sz w:val="24"/>
          <w:szCs w:val="24"/>
        </w:rPr>
        <w:t>H stre</w:t>
      </w:r>
      <w:r w:rsidR="00931325">
        <w:rPr>
          <w:rFonts w:ascii="Times New Roman" w:eastAsia="Times New Roman" w:hAnsi="Times New Roman" w:cs="Times New Roman"/>
          <w:bCs/>
          <w:sz w:val="24"/>
          <w:szCs w:val="24"/>
        </w:rPr>
        <w:t xml:space="preserve">tching vibrations of aliphatic </w:t>
      </w:r>
      <w:r w:rsidRPr="004712FE">
        <w:rPr>
          <w:rFonts w:ascii="Times New Roman" w:eastAsia="Times New Roman" w:hAnsi="Times New Roman" w:cs="Times New Roman"/>
          <w:bCs/>
          <w:sz w:val="24"/>
          <w:szCs w:val="24"/>
        </w:rPr>
        <w:t>CH₂ groups</w:t>
      </w:r>
      <w:r w:rsidRPr="004712FE">
        <w:rPr>
          <w:rFonts w:ascii="Times New Roman" w:eastAsia="Times New Roman" w:hAnsi="Times New Roman" w:cs="Times New Roman"/>
          <w:sz w:val="24"/>
          <w:szCs w:val="24"/>
        </w:rPr>
        <w:t xml:space="preserve"> present in amino-acid side chains. This band reflects the presence of hydrocarbon groups within the gelatin polypeptide backbone and is commonly detected in gelatin-based materials and protein composites within the </w:t>
      </w:r>
      <w:r w:rsidRPr="004712FE">
        <w:rPr>
          <w:rFonts w:ascii="Times New Roman" w:eastAsia="Times New Roman" w:hAnsi="Times New Roman" w:cs="Times New Roman"/>
          <w:bCs/>
          <w:sz w:val="24"/>
          <w:szCs w:val="24"/>
        </w:rPr>
        <w:t>2920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2930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region (Zhang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xml:space="preserve">., 2022; Mad-Ali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2024).</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A strong absorption band around </w:t>
      </w:r>
      <w:r w:rsidRPr="004712FE">
        <w:rPr>
          <w:rFonts w:ascii="Times New Roman" w:eastAsia="Times New Roman" w:hAnsi="Times New Roman" w:cs="Times New Roman"/>
          <w:bCs/>
          <w:sz w:val="24"/>
          <w:szCs w:val="24"/>
        </w:rPr>
        <w:t>1640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represents the </w:t>
      </w:r>
      <w:r w:rsidRPr="004712FE">
        <w:rPr>
          <w:rFonts w:ascii="Times New Roman" w:eastAsia="Times New Roman" w:hAnsi="Times New Roman" w:cs="Times New Roman"/>
          <w:bCs/>
          <w:sz w:val="24"/>
          <w:szCs w:val="24"/>
        </w:rPr>
        <w:t>amide I region</w:t>
      </w:r>
      <w:r w:rsidRPr="004712FE">
        <w:rPr>
          <w:rFonts w:ascii="Times New Roman" w:eastAsia="Times New Roman" w:hAnsi="Times New Roman" w:cs="Times New Roman"/>
          <w:sz w:val="24"/>
          <w:szCs w:val="24"/>
        </w:rPr>
        <w:t xml:space="preserve">, mainly associated with </w:t>
      </w:r>
      <w:r w:rsidRPr="004712FE">
        <w:rPr>
          <w:rFonts w:ascii="Times New Roman" w:eastAsia="Times New Roman" w:hAnsi="Times New Roman" w:cs="Times New Roman"/>
          <w:bCs/>
          <w:sz w:val="24"/>
          <w:szCs w:val="24"/>
        </w:rPr>
        <w:t>C=O stretching vibrations of peptide bonds</w:t>
      </w:r>
      <w:r w:rsidRPr="004712FE">
        <w:rPr>
          <w:rFonts w:ascii="Times New Roman" w:eastAsia="Times New Roman" w:hAnsi="Times New Roman" w:cs="Times New Roman"/>
          <w:sz w:val="24"/>
          <w:szCs w:val="24"/>
        </w:rPr>
        <w:t xml:space="preserve">. This band is particularly important because it provides information about the </w:t>
      </w:r>
      <w:r w:rsidRPr="004712FE">
        <w:rPr>
          <w:rFonts w:ascii="Times New Roman" w:eastAsia="Times New Roman" w:hAnsi="Times New Roman" w:cs="Times New Roman"/>
          <w:bCs/>
          <w:sz w:val="24"/>
          <w:szCs w:val="24"/>
        </w:rPr>
        <w:t>secondary structure of proteins</w:t>
      </w:r>
      <w:r w:rsidRPr="004712FE">
        <w:rPr>
          <w:rFonts w:ascii="Times New Roman" w:eastAsia="Times New Roman" w:hAnsi="Times New Roman" w:cs="Times New Roman"/>
          <w:sz w:val="24"/>
          <w:szCs w:val="24"/>
        </w:rPr>
        <w:t xml:space="preserve">, including α-helix, β-sheet, and random coil conformations. The presence of this peak confirms that peptide linkages are preserved in the gelatin matrix after collagen hydrolysis. Previous studies have also reported amide I bands in gelatin within the </w:t>
      </w:r>
      <w:r w:rsidRPr="004712FE">
        <w:rPr>
          <w:rFonts w:ascii="Times New Roman" w:eastAsia="Times New Roman" w:hAnsi="Times New Roman" w:cs="Times New Roman"/>
          <w:bCs/>
          <w:sz w:val="24"/>
          <w:szCs w:val="24"/>
        </w:rPr>
        <w:t>1600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1660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range (</w:t>
      </w:r>
      <w:proofErr w:type="spellStart"/>
      <w:r w:rsidRPr="004712FE">
        <w:rPr>
          <w:rFonts w:ascii="Times New Roman" w:eastAsia="Times New Roman" w:hAnsi="Times New Roman" w:cs="Times New Roman"/>
          <w:sz w:val="24"/>
          <w:szCs w:val="24"/>
        </w:rPr>
        <w:t>Irfanita</w:t>
      </w:r>
      <w:proofErr w:type="spellEnd"/>
      <w:r w:rsidRPr="004712FE">
        <w:rPr>
          <w:rFonts w:ascii="Times New Roman" w:eastAsia="Times New Roman" w:hAnsi="Times New Roman" w:cs="Times New Roman"/>
          <w:sz w:val="24"/>
          <w:szCs w:val="24"/>
        </w:rPr>
        <w:t xml:space="preserve">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xml:space="preserve">., 2022; Darmawan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2024).</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Another prominent peak appears near </w:t>
      </w:r>
      <w:r w:rsidRPr="004712FE">
        <w:rPr>
          <w:rFonts w:ascii="Times New Roman" w:eastAsia="Times New Roman" w:hAnsi="Times New Roman" w:cs="Times New Roman"/>
          <w:bCs/>
          <w:sz w:val="24"/>
          <w:szCs w:val="24"/>
        </w:rPr>
        <w:t>1510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corresponding to the </w:t>
      </w:r>
      <w:r w:rsidRPr="004712FE">
        <w:rPr>
          <w:rFonts w:ascii="Times New Roman" w:eastAsia="Times New Roman" w:hAnsi="Times New Roman" w:cs="Times New Roman"/>
          <w:bCs/>
          <w:sz w:val="24"/>
          <w:szCs w:val="24"/>
        </w:rPr>
        <w:t>amide II band</w:t>
      </w:r>
      <w:r w:rsidRPr="004712FE">
        <w:rPr>
          <w:rFonts w:ascii="Times New Roman" w:eastAsia="Times New Roman" w:hAnsi="Times New Roman" w:cs="Times New Roman"/>
          <w:sz w:val="24"/>
          <w:szCs w:val="24"/>
        </w:rPr>
        <w:t xml:space="preserve">, which originates mainly from </w:t>
      </w:r>
      <w:r w:rsidR="00931325">
        <w:rPr>
          <w:rFonts w:ascii="Times New Roman" w:eastAsia="Times New Roman" w:hAnsi="Times New Roman" w:cs="Times New Roman"/>
          <w:bCs/>
          <w:sz w:val="24"/>
          <w:szCs w:val="24"/>
        </w:rPr>
        <w:t>N-H bending and C-</w:t>
      </w:r>
      <w:r w:rsidRPr="004712FE">
        <w:rPr>
          <w:rFonts w:ascii="Times New Roman" w:eastAsia="Times New Roman" w:hAnsi="Times New Roman" w:cs="Times New Roman"/>
          <w:bCs/>
          <w:sz w:val="24"/>
          <w:szCs w:val="24"/>
        </w:rPr>
        <w:t>N stretching vibrations</w:t>
      </w:r>
      <w:r w:rsidRPr="004712FE">
        <w:rPr>
          <w:rFonts w:ascii="Times New Roman" w:eastAsia="Times New Roman" w:hAnsi="Times New Roman" w:cs="Times New Roman"/>
          <w:sz w:val="24"/>
          <w:szCs w:val="24"/>
        </w:rPr>
        <w:t xml:space="preserve"> of peptide bonds. This band further verifies the presence of the polypeptide backbone typical of gelatin and other collagen-derived proteins. The amide II region generally occurs between </w:t>
      </w:r>
      <w:r w:rsidRPr="004712FE">
        <w:rPr>
          <w:rFonts w:ascii="Times New Roman" w:eastAsia="Times New Roman" w:hAnsi="Times New Roman" w:cs="Times New Roman"/>
          <w:bCs/>
          <w:sz w:val="24"/>
          <w:szCs w:val="24"/>
        </w:rPr>
        <w:t>1500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1560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and reflects interactions between peptide chains and hydrogen bonding withi</w:t>
      </w:r>
      <w:r w:rsidR="00931325">
        <w:rPr>
          <w:rFonts w:ascii="Times New Roman" w:eastAsia="Times New Roman" w:hAnsi="Times New Roman" w:cs="Times New Roman"/>
          <w:sz w:val="24"/>
          <w:szCs w:val="24"/>
        </w:rPr>
        <w:t>n the protein structure (Sadat and</w:t>
      </w:r>
      <w:r w:rsidRPr="004712FE">
        <w:rPr>
          <w:rFonts w:ascii="Times New Roman" w:eastAsia="Times New Roman" w:hAnsi="Times New Roman" w:cs="Times New Roman"/>
          <w:sz w:val="24"/>
          <w:szCs w:val="24"/>
        </w:rPr>
        <w:t xml:space="preserve"> Joye, 2020; Zhang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2022).</w:t>
      </w:r>
    </w:p>
    <w:p w:rsidR="004712FE" w:rsidRPr="004712FE" w:rsidRDefault="004712FE" w:rsidP="00931325">
      <w:pPr>
        <w:spacing w:before="100" w:beforeAutospacing="1" w:after="100" w:afterAutospacing="1"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 xml:space="preserve">In the lower wavenumber region, peaks around </w:t>
      </w:r>
      <w:r w:rsidRPr="004712FE">
        <w:rPr>
          <w:rFonts w:ascii="Times New Roman" w:eastAsia="Times New Roman" w:hAnsi="Times New Roman" w:cs="Times New Roman"/>
          <w:bCs/>
          <w:sz w:val="24"/>
          <w:szCs w:val="24"/>
        </w:rPr>
        <w:t>1400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are associated with </w:t>
      </w:r>
      <w:r w:rsidR="00931325">
        <w:rPr>
          <w:rFonts w:ascii="Times New Roman" w:eastAsia="Times New Roman" w:hAnsi="Times New Roman" w:cs="Times New Roman"/>
          <w:bCs/>
          <w:sz w:val="24"/>
          <w:szCs w:val="24"/>
        </w:rPr>
        <w:t>C-</w:t>
      </w:r>
      <w:r w:rsidRPr="004712FE">
        <w:rPr>
          <w:rFonts w:ascii="Times New Roman" w:eastAsia="Times New Roman" w:hAnsi="Times New Roman" w:cs="Times New Roman"/>
          <w:bCs/>
          <w:sz w:val="24"/>
          <w:szCs w:val="24"/>
        </w:rPr>
        <w:t>H bending vibrations</w:t>
      </w:r>
      <w:r w:rsidRPr="004712FE">
        <w:rPr>
          <w:rFonts w:ascii="Times New Roman" w:eastAsia="Times New Roman" w:hAnsi="Times New Roman" w:cs="Times New Roman"/>
          <w:sz w:val="24"/>
          <w:szCs w:val="24"/>
        </w:rPr>
        <w:t xml:space="preserve">, while bands within </w:t>
      </w:r>
      <w:r w:rsidR="00931325">
        <w:rPr>
          <w:rFonts w:ascii="Times New Roman" w:eastAsia="Times New Roman" w:hAnsi="Times New Roman" w:cs="Times New Roman"/>
          <w:bCs/>
          <w:sz w:val="24"/>
          <w:szCs w:val="24"/>
        </w:rPr>
        <w:t>1200.0-</w:t>
      </w:r>
      <w:r w:rsidRPr="004712FE">
        <w:rPr>
          <w:rFonts w:ascii="Times New Roman" w:eastAsia="Times New Roman" w:hAnsi="Times New Roman" w:cs="Times New Roman"/>
          <w:bCs/>
          <w:sz w:val="24"/>
          <w:szCs w:val="24"/>
        </w:rPr>
        <w:t>1000</w:t>
      </w:r>
      <w:r w:rsidR="00931325">
        <w:rPr>
          <w:rFonts w:ascii="Times New Roman" w:eastAsia="Times New Roman" w:hAnsi="Times New Roman" w:cs="Times New Roman"/>
          <w:bCs/>
          <w:sz w:val="24"/>
          <w:szCs w:val="24"/>
        </w:rPr>
        <w:t>.0</w:t>
      </w:r>
      <w:r w:rsidRPr="004712FE">
        <w:rPr>
          <w:rFonts w:ascii="Times New Roman" w:eastAsia="Times New Roman" w:hAnsi="Times New Roman" w:cs="Times New Roman"/>
          <w:bCs/>
          <w:sz w:val="24"/>
          <w:szCs w:val="24"/>
        </w:rPr>
        <w:t xml:space="preserve"> cm⁻¹</w:t>
      </w:r>
      <w:r w:rsidRPr="004712FE">
        <w:rPr>
          <w:rFonts w:ascii="Times New Roman" w:eastAsia="Times New Roman" w:hAnsi="Times New Roman" w:cs="Times New Roman"/>
          <w:sz w:val="24"/>
          <w:szCs w:val="24"/>
        </w:rPr>
        <w:t xml:space="preserve"> correspond to </w:t>
      </w:r>
      <w:r w:rsidR="00931325">
        <w:rPr>
          <w:rFonts w:ascii="Times New Roman" w:eastAsia="Times New Roman" w:hAnsi="Times New Roman" w:cs="Times New Roman"/>
          <w:bCs/>
          <w:sz w:val="24"/>
          <w:szCs w:val="24"/>
        </w:rPr>
        <w:t>C-O and C-</w:t>
      </w:r>
      <w:r w:rsidRPr="004712FE">
        <w:rPr>
          <w:rFonts w:ascii="Times New Roman" w:eastAsia="Times New Roman" w:hAnsi="Times New Roman" w:cs="Times New Roman"/>
          <w:bCs/>
          <w:sz w:val="24"/>
          <w:szCs w:val="24"/>
        </w:rPr>
        <w:t>N stretching vibrations</w:t>
      </w:r>
      <w:r w:rsidRPr="004712FE">
        <w:rPr>
          <w:rFonts w:ascii="Times New Roman" w:eastAsia="Times New Roman" w:hAnsi="Times New Roman" w:cs="Times New Roman"/>
          <w:sz w:val="24"/>
          <w:szCs w:val="24"/>
        </w:rPr>
        <w:t xml:space="preserve">, often assigned to the </w:t>
      </w:r>
      <w:r w:rsidRPr="004712FE">
        <w:rPr>
          <w:rFonts w:ascii="Times New Roman" w:eastAsia="Times New Roman" w:hAnsi="Times New Roman" w:cs="Times New Roman"/>
          <w:bCs/>
          <w:sz w:val="24"/>
          <w:szCs w:val="24"/>
        </w:rPr>
        <w:t>amide III region</w:t>
      </w:r>
      <w:r w:rsidRPr="004712FE">
        <w:rPr>
          <w:rFonts w:ascii="Times New Roman" w:eastAsia="Times New Roman" w:hAnsi="Times New Roman" w:cs="Times New Roman"/>
          <w:sz w:val="24"/>
          <w:szCs w:val="24"/>
        </w:rPr>
        <w:t xml:space="preserve"> or carbohydrate-related functional groups. These bands indicate the presence of peptide linkages and interactions among side-chain functional groups within the gelatin </w:t>
      </w:r>
      <w:r w:rsidRPr="004712FE">
        <w:rPr>
          <w:rFonts w:ascii="Times New Roman" w:eastAsia="Times New Roman" w:hAnsi="Times New Roman" w:cs="Times New Roman"/>
          <w:sz w:val="24"/>
          <w:szCs w:val="24"/>
        </w:rPr>
        <w:lastRenderedPageBreak/>
        <w:t xml:space="preserve">matrix, which are commonly observed in gelatin films and protein-based biomaterials (Mad-Ali </w:t>
      </w:r>
      <w:r w:rsidRPr="004712FE">
        <w:rPr>
          <w:rFonts w:ascii="Times New Roman" w:eastAsia="Times New Roman" w:hAnsi="Times New Roman" w:cs="Times New Roman"/>
          <w:i/>
          <w:sz w:val="24"/>
          <w:szCs w:val="24"/>
        </w:rPr>
        <w:t>et al</w:t>
      </w:r>
      <w:r w:rsidRPr="004712FE">
        <w:rPr>
          <w:rFonts w:ascii="Times New Roman" w:eastAsia="Times New Roman" w:hAnsi="Times New Roman" w:cs="Times New Roman"/>
          <w:sz w:val="24"/>
          <w:szCs w:val="24"/>
        </w:rPr>
        <w:t>., 2024).</w:t>
      </w:r>
    </w:p>
    <w:p w:rsidR="004712FE" w:rsidRPr="004712FE" w:rsidRDefault="00931325" w:rsidP="0093132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4712FE" w:rsidRPr="004712FE">
        <w:rPr>
          <w:rFonts w:ascii="Times New Roman" w:eastAsia="Times New Roman" w:hAnsi="Times New Roman" w:cs="Times New Roman"/>
          <w:sz w:val="24"/>
          <w:szCs w:val="24"/>
        </w:rPr>
        <w:t xml:space="preserve">he FTIR spectrum reveals the characteristic </w:t>
      </w:r>
      <w:r w:rsidR="004712FE" w:rsidRPr="004712FE">
        <w:rPr>
          <w:rFonts w:ascii="Times New Roman" w:eastAsia="Times New Roman" w:hAnsi="Times New Roman" w:cs="Times New Roman"/>
          <w:bCs/>
          <w:sz w:val="24"/>
          <w:szCs w:val="24"/>
        </w:rPr>
        <w:t>amide A, amide I, amide II, and amide III bands</w:t>
      </w:r>
      <w:r w:rsidR="004712FE" w:rsidRPr="004712FE">
        <w:rPr>
          <w:rFonts w:ascii="Times New Roman" w:eastAsia="Times New Roman" w:hAnsi="Times New Roman" w:cs="Times New Roman"/>
          <w:sz w:val="24"/>
          <w:szCs w:val="24"/>
        </w:rPr>
        <w:t xml:space="preserve"> that define the molecular structure of gelatin. The presence of these peaks confirms the successful extraction and formation of gelatin with preserved peptide bonds and hydrogen-bonded polypeptide chains. The spectral features obtained in this study are consistent with previously reported FTIR profiles of gelatin derived from various biological sources, confirming the structural integrity of the synthesized gelatin</w:t>
      </w:r>
    </w:p>
    <w:p w:rsidR="004712FE" w:rsidRPr="004712FE" w:rsidRDefault="004712FE" w:rsidP="004712FE">
      <w:pPr>
        <w:pStyle w:val="NormalWeb"/>
        <w:spacing w:line="360" w:lineRule="auto"/>
        <w:jc w:val="both"/>
      </w:pPr>
    </w:p>
    <w:p w:rsidR="00B31EC4" w:rsidRPr="004712FE" w:rsidRDefault="00B31EC4" w:rsidP="004712FE">
      <w:pPr>
        <w:spacing w:line="360" w:lineRule="auto"/>
        <w:rPr>
          <w:rFonts w:ascii="Times New Roman" w:hAnsi="Times New Roman" w:cs="Times New Roman"/>
          <w:sz w:val="24"/>
          <w:szCs w:val="24"/>
        </w:rPr>
      </w:pPr>
      <w:r w:rsidRPr="004712FE">
        <w:rPr>
          <w:rFonts w:ascii="Times New Roman" w:hAnsi="Times New Roman" w:cs="Times New Roman"/>
          <w:sz w:val="24"/>
          <w:szCs w:val="24"/>
        </w:rPr>
        <w:object w:dxaOrig="6488" w:dyaOrig="4950">
          <v:shape id="_x0000_i1027" type="#_x0000_t75" style="width:324.5pt;height:247.5pt" o:ole="">
            <v:imagedata r:id="rId9" o:title=""/>
          </v:shape>
          <o:OLEObject Type="Embed" ProgID="Origin95.Graph" ShapeID="_x0000_i1027" DrawAspect="Content" ObjectID="_1835186900" r:id="rId10"/>
        </w:object>
      </w:r>
    </w:p>
    <w:p w:rsidR="00B31EC4" w:rsidRPr="004712FE" w:rsidRDefault="00B31EC4" w:rsidP="004712FE">
      <w:pPr>
        <w:spacing w:line="360" w:lineRule="auto"/>
        <w:rPr>
          <w:rFonts w:ascii="Times New Roman" w:hAnsi="Times New Roman" w:cs="Times New Roman"/>
          <w:sz w:val="24"/>
          <w:szCs w:val="24"/>
        </w:rPr>
      </w:pPr>
      <w:r w:rsidRPr="004712FE">
        <w:rPr>
          <w:rFonts w:ascii="Times New Roman" w:hAnsi="Times New Roman" w:cs="Times New Roman"/>
          <w:b/>
          <w:sz w:val="24"/>
          <w:szCs w:val="24"/>
        </w:rPr>
        <w:t>Figure</w:t>
      </w:r>
      <w:r w:rsidR="00931325">
        <w:rPr>
          <w:rFonts w:ascii="Times New Roman" w:hAnsi="Times New Roman" w:cs="Times New Roman"/>
          <w:b/>
          <w:sz w:val="24"/>
          <w:szCs w:val="24"/>
        </w:rPr>
        <w:t xml:space="preserve"> 3</w:t>
      </w:r>
      <w:r w:rsidRPr="004712FE">
        <w:rPr>
          <w:rFonts w:ascii="Times New Roman" w:hAnsi="Times New Roman" w:cs="Times New Roman"/>
          <w:b/>
          <w:sz w:val="24"/>
          <w:szCs w:val="24"/>
        </w:rPr>
        <w:t xml:space="preserve">:  </w:t>
      </w:r>
      <w:r w:rsidRPr="004712FE">
        <w:rPr>
          <w:rFonts w:ascii="Times New Roman" w:hAnsi="Times New Roman" w:cs="Times New Roman"/>
          <w:sz w:val="24"/>
          <w:szCs w:val="24"/>
        </w:rPr>
        <w:t>X-ray Diffraction of the Synthesized Gelatin</w:t>
      </w:r>
    </w:p>
    <w:p w:rsidR="00B31EC4" w:rsidRPr="004712FE" w:rsidRDefault="00B31EC4" w:rsidP="004712FE">
      <w:pPr>
        <w:spacing w:line="360" w:lineRule="auto"/>
        <w:rPr>
          <w:rFonts w:ascii="Times New Roman" w:hAnsi="Times New Roman" w:cs="Times New Roman"/>
          <w:b/>
          <w:sz w:val="24"/>
          <w:szCs w:val="24"/>
        </w:rPr>
      </w:pPr>
      <w:r w:rsidRPr="004712FE">
        <w:rPr>
          <w:rFonts w:ascii="Times New Roman" w:hAnsi="Times New Roman" w:cs="Times New Roman"/>
          <w:b/>
          <w:sz w:val="24"/>
          <w:szCs w:val="24"/>
        </w:rPr>
        <w:t>Table</w:t>
      </w:r>
      <w:r w:rsidR="006A01E9">
        <w:rPr>
          <w:rFonts w:ascii="Times New Roman" w:hAnsi="Times New Roman" w:cs="Times New Roman"/>
          <w:b/>
          <w:sz w:val="24"/>
          <w:szCs w:val="24"/>
        </w:rPr>
        <w:t xml:space="preserve"> 1</w:t>
      </w:r>
      <w:r w:rsidRPr="004712FE">
        <w:rPr>
          <w:rFonts w:ascii="Times New Roman" w:hAnsi="Times New Roman" w:cs="Times New Roman"/>
          <w:b/>
          <w:sz w:val="24"/>
          <w:szCs w:val="24"/>
        </w:rPr>
        <w:t xml:space="preserve">: </w:t>
      </w:r>
      <w:r w:rsidRPr="004712FE">
        <w:rPr>
          <w:rFonts w:ascii="Times New Roman" w:hAnsi="Times New Roman" w:cs="Times New Roman"/>
          <w:sz w:val="24"/>
          <w:szCs w:val="24"/>
        </w:rPr>
        <w:t>XRD Peak Analysis of Synthesized Gelatin</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955"/>
        <w:gridCol w:w="611"/>
        <w:gridCol w:w="1520"/>
        <w:gridCol w:w="1123"/>
        <w:gridCol w:w="1940"/>
        <w:gridCol w:w="2075"/>
      </w:tblGrid>
      <w:tr w:rsidR="00B31EC4" w:rsidRPr="004712FE" w:rsidTr="00B31EC4">
        <w:trPr>
          <w:tblHeader/>
          <w:tblCellSpacing w:w="15" w:type="dxa"/>
        </w:trPr>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Peak No.</w:t>
            </w:r>
          </w:p>
        </w:tc>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2θ (°)</w:t>
            </w:r>
          </w:p>
        </w:tc>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d-spacing (nm)</w:t>
            </w:r>
          </w:p>
        </w:tc>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FWHM (°)</w:t>
            </w:r>
          </w:p>
        </w:tc>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Miller Indices (</w:t>
            </w:r>
            <w:proofErr w:type="spellStart"/>
            <w:r w:rsidRPr="004712FE">
              <w:rPr>
                <w:rFonts w:ascii="Times New Roman" w:eastAsia="Times New Roman" w:hAnsi="Times New Roman" w:cs="Times New Roman"/>
                <w:bCs/>
                <w:sz w:val="24"/>
                <w:szCs w:val="24"/>
              </w:rPr>
              <w:t>hkl</w:t>
            </w:r>
            <w:proofErr w:type="spellEnd"/>
            <w:r w:rsidRPr="004712FE">
              <w:rPr>
                <w:rFonts w:ascii="Times New Roman" w:eastAsia="Times New Roman" w:hAnsi="Times New Roman" w:cs="Times New Roman"/>
                <w:bCs/>
                <w:sz w:val="24"/>
                <w:szCs w:val="24"/>
              </w:rPr>
              <w:t>)</w:t>
            </w:r>
          </w:p>
        </w:tc>
        <w:tc>
          <w:tcPr>
            <w:tcW w:w="0" w:type="auto"/>
            <w:tcBorders>
              <w:top w:val="single" w:sz="4" w:space="0" w:color="auto"/>
              <w:bottom w:val="single" w:sz="4" w:space="0" w:color="auto"/>
            </w:tcBorders>
            <w:vAlign w:val="center"/>
            <w:hideMark/>
          </w:tcPr>
          <w:p w:rsidR="00B31EC4" w:rsidRPr="004712FE" w:rsidRDefault="00B31EC4" w:rsidP="004712FE">
            <w:pPr>
              <w:spacing w:after="0" w:line="360" w:lineRule="auto"/>
              <w:jc w:val="center"/>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Crystallite Size (nm)</w:t>
            </w:r>
          </w:p>
        </w:tc>
      </w:tr>
      <w:tr w:rsidR="00B31EC4" w:rsidRPr="004712FE" w:rsidTr="00B31EC4">
        <w:trPr>
          <w:tblCellSpacing w:w="15" w:type="dxa"/>
        </w:trPr>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w:t>
            </w:r>
          </w:p>
        </w:tc>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25.5</w:t>
            </w:r>
          </w:p>
        </w:tc>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0.348</w:t>
            </w:r>
          </w:p>
        </w:tc>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6.0</w:t>
            </w:r>
          </w:p>
        </w:tc>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B31EC4" w:rsidRPr="004712FE" w:rsidRDefault="00B31EC4" w:rsidP="004712FE">
            <w:pPr>
              <w:spacing w:after="0"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1.5–2.0</w:t>
            </w:r>
          </w:p>
        </w:tc>
      </w:tr>
    </w:tbl>
    <w:p w:rsidR="00B31EC4" w:rsidRPr="004712FE" w:rsidRDefault="00B31EC4" w:rsidP="004712FE">
      <w:pPr>
        <w:spacing w:line="360" w:lineRule="auto"/>
        <w:rPr>
          <w:rFonts w:ascii="Times New Roman" w:hAnsi="Times New Roman" w:cs="Times New Roman"/>
          <w:sz w:val="24"/>
          <w:szCs w:val="24"/>
        </w:rPr>
      </w:pPr>
    </w:p>
    <w:p w:rsidR="00165122" w:rsidRPr="004712FE" w:rsidRDefault="006A01E9" w:rsidP="004712FE">
      <w:pPr>
        <w:pStyle w:val="NormalWeb"/>
        <w:spacing w:line="360" w:lineRule="auto"/>
        <w:jc w:val="both"/>
      </w:pPr>
      <w:r>
        <w:lastRenderedPageBreak/>
        <w:t xml:space="preserve">Figure 3 shows the x-ray diffraction peak of the synthesized gelatin. </w:t>
      </w:r>
      <w:r w:rsidR="00165122" w:rsidRPr="004712FE">
        <w:t xml:space="preserve">The X-ray diffraction (XRD) pattern of the synthesized gelatin exhibits a broad diffraction peak centered at </w:t>
      </w:r>
      <w:r w:rsidR="00165122" w:rsidRPr="004712FE">
        <w:rPr>
          <w:rStyle w:val="Strong"/>
          <w:b w:val="0"/>
        </w:rPr>
        <w:t>2θ = 25.0°–27.0</w:t>
      </w:r>
      <w:r w:rsidR="00165122" w:rsidRPr="004712FE">
        <w:rPr>
          <w:rStyle w:val="Strong"/>
        </w:rPr>
        <w:t>°</w:t>
      </w:r>
      <w:r w:rsidR="00165122" w:rsidRPr="004712FE">
        <w:t>, characteristic of semi-crystalline or amorphous proteinaceous materials. Unlike crystalline inorganic compounds, gelatin lacks long-range order, instead showing a diffuse hump indicative of disordered polypeptide chains with residual short-range structural motifs derived from collagen. This feature reflects partially ordered triple-helix remnants and hydrogen-bonded interactions typical of protein matrices (</w:t>
      </w:r>
      <w:proofErr w:type="spellStart"/>
      <w:r w:rsidR="00165122" w:rsidRPr="004712FE">
        <w:t>Nurilmala</w:t>
      </w:r>
      <w:proofErr w:type="spellEnd"/>
      <w:r w:rsidR="00165122" w:rsidRPr="004712FE">
        <w:t xml:space="preserve"> </w:t>
      </w:r>
      <w:r w:rsidR="00165122" w:rsidRPr="004712FE">
        <w:rPr>
          <w:i/>
        </w:rPr>
        <w:t>et al</w:t>
      </w:r>
      <w:r w:rsidR="00165122" w:rsidRPr="004712FE">
        <w:t xml:space="preserve">., 2020; Silva </w:t>
      </w:r>
      <w:r w:rsidR="00165122" w:rsidRPr="004712FE">
        <w:rPr>
          <w:i/>
        </w:rPr>
        <w:t>et al</w:t>
      </w:r>
      <w:r w:rsidR="00165122" w:rsidRPr="004712FE">
        <w:t>., 2021).</w:t>
      </w:r>
    </w:p>
    <w:p w:rsidR="00165122" w:rsidRPr="004712FE" w:rsidRDefault="00165122" w:rsidP="004712FE">
      <w:pPr>
        <w:pStyle w:val="NormalWeb"/>
        <w:spacing w:line="360" w:lineRule="auto"/>
        <w:jc w:val="both"/>
      </w:pPr>
      <w:r w:rsidRPr="004712FE">
        <w:t xml:space="preserve">In reference to </w:t>
      </w:r>
      <w:r w:rsidRPr="004712FE">
        <w:rPr>
          <w:rStyle w:val="Strong"/>
          <w:b w:val="0"/>
        </w:rPr>
        <w:t>JCPDS / ICDD standards</w:t>
      </w:r>
      <w:r w:rsidRPr="004712FE">
        <w:t xml:space="preserve">, gelatin does not correspond to a discrete JCPDS card due to its amorphous nature. Its XRD profile resembles other biopolymers, such as amorphous cellulose, which exhibit broad peaks around </w:t>
      </w:r>
      <w:r w:rsidRPr="004712FE">
        <w:rPr>
          <w:rStyle w:val="Strong"/>
          <w:b w:val="0"/>
        </w:rPr>
        <w:t>2θ = 20.0°–23.0°</w:t>
      </w:r>
      <w:r w:rsidRPr="004712FE">
        <w:t xml:space="preserve"> (JCPDS No. 00</w:t>
      </w:r>
      <w:r w:rsidRPr="004712FE">
        <w:noBreakHyphen/>
        <w:t>020</w:t>
      </w:r>
      <w:r w:rsidRPr="004712FE">
        <w:noBreakHyphen/>
        <w:t>0629) (French and Santiago</w:t>
      </w:r>
      <w:r w:rsidRPr="004712FE">
        <w:noBreakHyphen/>
        <w:t xml:space="preserve">Rivera, 2014; Moon </w:t>
      </w:r>
      <w:r w:rsidRPr="004712FE">
        <w:rPr>
          <w:i/>
        </w:rPr>
        <w:t>et al</w:t>
      </w:r>
      <w:r w:rsidRPr="004712FE">
        <w:t xml:space="preserve">., 2011). Gelatin and collagen hydrolysates typically display broad humps in the </w:t>
      </w:r>
      <w:r w:rsidRPr="004712FE">
        <w:rPr>
          <w:rStyle w:val="Strong"/>
          <w:b w:val="0"/>
        </w:rPr>
        <w:t>2θ = 16.0°–27.0</w:t>
      </w:r>
      <w:r w:rsidRPr="004712FE">
        <w:rPr>
          <w:rStyle w:val="Strong"/>
        </w:rPr>
        <w:t>°</w:t>
      </w:r>
      <w:r w:rsidRPr="004712FE">
        <w:t xml:space="preserve"> range, corresponding to inter-chain spacings and hydrogen-bond distances within peptide structures (</w:t>
      </w:r>
      <w:proofErr w:type="spellStart"/>
      <w:r w:rsidRPr="004712FE">
        <w:t>Nurilmala</w:t>
      </w:r>
      <w:proofErr w:type="spellEnd"/>
      <w:r w:rsidRPr="004712FE">
        <w:t xml:space="preserve"> </w:t>
      </w:r>
      <w:r w:rsidRPr="004712FE">
        <w:rPr>
          <w:i/>
        </w:rPr>
        <w:t>et al</w:t>
      </w:r>
      <w:r w:rsidRPr="004712FE">
        <w:t>., 2020; Kong and Yu, 2007).</w:t>
      </w:r>
    </w:p>
    <w:p w:rsidR="00165122" w:rsidRPr="004712FE" w:rsidRDefault="00165122" w:rsidP="004712FE">
      <w:pPr>
        <w:pStyle w:val="NormalWeb"/>
        <w:spacing w:line="360" w:lineRule="auto"/>
        <w:jc w:val="both"/>
      </w:pPr>
      <w:r w:rsidRPr="004712FE">
        <w:t xml:space="preserve">The peak around 2θ = 25.0°–27.0° corresponds to an approximate </w:t>
      </w:r>
      <w:r w:rsidRPr="004712FE">
        <w:rPr>
          <w:rStyle w:val="Strong"/>
          <w:b w:val="0"/>
        </w:rPr>
        <w:t xml:space="preserve">d-spacing of </w:t>
      </w:r>
      <w:r w:rsidR="00B31EC4" w:rsidRPr="004712FE">
        <w:rPr>
          <w:rStyle w:val="Strong"/>
          <w:b w:val="0"/>
        </w:rPr>
        <w:t>0.384 nm</w:t>
      </w:r>
      <w:r w:rsidR="00FB30B3">
        <w:rPr>
          <w:rStyle w:val="Strong"/>
          <w:b w:val="0"/>
        </w:rPr>
        <w:t xml:space="preserve"> (Table 1)</w:t>
      </w:r>
      <w:r w:rsidRPr="004712FE">
        <w:t xml:space="preserve">, consistent with amide backbone and hydrogen-bonded peptide segments in denatured protein structures. The absence of sharp Bragg peaks confirms minimal contamination from crystalline impurities, such as residual collagen or mineral content (Hoffman, 2018; Silva </w:t>
      </w:r>
      <w:r w:rsidRPr="004712FE">
        <w:rPr>
          <w:i/>
        </w:rPr>
        <w:t>et al</w:t>
      </w:r>
      <w:r w:rsidRPr="004712FE">
        <w:t>., 2021).</w:t>
      </w:r>
    </w:p>
    <w:p w:rsidR="00931325" w:rsidRDefault="00165122" w:rsidP="004712FE">
      <w:pPr>
        <w:pStyle w:val="NormalWeb"/>
        <w:spacing w:line="360" w:lineRule="auto"/>
        <w:jc w:val="both"/>
      </w:pPr>
      <w:r w:rsidRPr="004712FE">
        <w:t xml:space="preserve">Recent studies support these observations: gelatin extracted from tuna skin exhibited broad peaks in the </w:t>
      </w:r>
      <w:r w:rsidRPr="004712FE">
        <w:rPr>
          <w:rStyle w:val="Strong"/>
          <w:b w:val="0"/>
        </w:rPr>
        <w:t>15°</w:t>
      </w:r>
      <w:r w:rsidR="00B31EC4" w:rsidRPr="004712FE">
        <w:rPr>
          <w:rStyle w:val="Strong"/>
          <w:b w:val="0"/>
        </w:rPr>
        <w:t>.0</w:t>
      </w:r>
      <w:r w:rsidRPr="004712FE">
        <w:rPr>
          <w:rStyle w:val="Strong"/>
          <w:b w:val="0"/>
        </w:rPr>
        <w:t>–30</w:t>
      </w:r>
      <w:r w:rsidR="00B31EC4" w:rsidRPr="004712FE">
        <w:rPr>
          <w:rStyle w:val="Strong"/>
          <w:b w:val="0"/>
        </w:rPr>
        <w:t>.0</w:t>
      </w:r>
      <w:r w:rsidRPr="004712FE">
        <w:rPr>
          <w:rStyle w:val="Strong"/>
          <w:b w:val="0"/>
        </w:rPr>
        <w:t>°</w:t>
      </w:r>
      <w:r w:rsidRPr="004712FE">
        <w:t xml:space="preserve"> range, confirming its amorphous character (</w:t>
      </w:r>
      <w:proofErr w:type="spellStart"/>
      <w:r w:rsidRPr="004712FE">
        <w:t>Nurilmala</w:t>
      </w:r>
      <w:proofErr w:type="spellEnd"/>
      <w:r w:rsidRPr="004712FE">
        <w:t xml:space="preserve"> et al., 2020). Fish gelatin shows broad diffraction humps near 20</w:t>
      </w:r>
      <w:r w:rsidR="00B31EC4" w:rsidRPr="004712FE">
        <w:t>.0</w:t>
      </w:r>
      <w:r w:rsidRPr="004712FE">
        <w:t>°–25</w:t>
      </w:r>
      <w:r w:rsidR="00B31EC4" w:rsidRPr="004712FE">
        <w:t>.0</w:t>
      </w:r>
      <w:r w:rsidRPr="004712FE">
        <w:t xml:space="preserve">°, reflecting disorder after collagen hydrolysis (Silva </w:t>
      </w:r>
      <w:r w:rsidRPr="004712FE">
        <w:rPr>
          <w:i/>
        </w:rPr>
        <w:t>et al</w:t>
      </w:r>
      <w:r w:rsidRPr="004712FE">
        <w:t>., 2021). Transformation from collagen to gelatin leads to collapse of the triple-helix into randomly coiled structures, which manifests as broad XRD features rather than discrete peaks (Gómez</w:t>
      </w:r>
      <w:r w:rsidRPr="004712FE">
        <w:noBreakHyphen/>
        <w:t xml:space="preserve">Guillén </w:t>
      </w:r>
      <w:r w:rsidRPr="004712FE">
        <w:rPr>
          <w:i/>
        </w:rPr>
        <w:t>et al</w:t>
      </w:r>
      <w:r w:rsidRPr="004712FE">
        <w:t xml:space="preserve">., 2022). Additionally, gelatin-based composites retain amorphous XRD patterns unless crystalline fillers are incorporated (Zhao </w:t>
      </w:r>
      <w:r w:rsidRPr="004712FE">
        <w:rPr>
          <w:i/>
        </w:rPr>
        <w:t>et al</w:t>
      </w:r>
      <w:r w:rsidRPr="004712FE">
        <w:t>., 2023).</w:t>
      </w:r>
    </w:p>
    <w:p w:rsidR="00165122" w:rsidRDefault="00B31EC4" w:rsidP="004712FE">
      <w:pPr>
        <w:pStyle w:val="NormalWeb"/>
        <w:spacing w:line="360" w:lineRule="auto"/>
        <w:jc w:val="both"/>
      </w:pPr>
      <w:r w:rsidRPr="004712FE">
        <w:t>T</w:t>
      </w:r>
      <w:r w:rsidR="00165122" w:rsidRPr="004712FE">
        <w:t>he XRD pattern confirms that the synthesized gelatin is primarily amorphous with minor short-range order, aligning with the structural characteristics reported for denatured collagen and gelatin biopolymers.</w:t>
      </w:r>
    </w:p>
    <w:p w:rsidR="00931325" w:rsidRDefault="00931325" w:rsidP="004712FE">
      <w:pPr>
        <w:pStyle w:val="NormalWeb"/>
        <w:spacing w:line="360" w:lineRule="auto"/>
        <w:jc w:val="both"/>
      </w:pPr>
    </w:p>
    <w:p w:rsidR="00931325" w:rsidRPr="004712FE" w:rsidRDefault="00931325" w:rsidP="004712FE">
      <w:pPr>
        <w:pStyle w:val="NormalWeb"/>
        <w:spacing w:line="360" w:lineRule="auto"/>
        <w:jc w:val="both"/>
      </w:pPr>
      <w:r w:rsidRPr="004712FE">
        <w:rPr>
          <w:noProof/>
        </w:rPr>
        <w:lastRenderedPageBreak/>
        <mc:AlternateContent>
          <mc:Choice Requires="wps">
            <w:drawing>
              <wp:anchor distT="0" distB="0" distL="114300" distR="114300" simplePos="0" relativeHeight="251660288" behindDoc="0" locked="0" layoutInCell="1" allowOverlap="1" wp14:anchorId="30359EF8" wp14:editId="14205721">
                <wp:simplePos x="0" y="0"/>
                <wp:positionH relativeFrom="column">
                  <wp:posOffset>2394585</wp:posOffset>
                </wp:positionH>
                <wp:positionV relativeFrom="paragraph">
                  <wp:posOffset>137795</wp:posOffset>
                </wp:positionV>
                <wp:extent cx="2295525" cy="2133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460" w:type="dxa"/>
                              <w:tblCellMar>
                                <w:left w:w="57" w:type="dxa"/>
                                <w:right w:w="57" w:type="dxa"/>
                              </w:tblCellMar>
                              <w:tblLook w:val="04A0" w:firstRow="1" w:lastRow="0" w:firstColumn="1" w:lastColumn="0" w:noHBand="0" w:noVBand="1"/>
                            </w:tblPr>
                            <w:tblGrid>
                              <w:gridCol w:w="683"/>
                              <w:gridCol w:w="683"/>
                              <w:gridCol w:w="870"/>
                              <w:gridCol w:w="612"/>
                              <w:gridCol w:w="612"/>
                            </w:tblGrid>
                            <w:tr w:rsidR="00C92850" w:rsidRPr="003207EF" w:rsidTr="00931325">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Number</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Symbol</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Name</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Atomic</w:t>
                                  </w:r>
                                  <w:r w:rsidRPr="00536605">
                                    <w:rPr>
                                      <w:rFonts w:ascii="Times New Roman" w:eastAsia="Times New Roman" w:hAnsi="Times New Roman" w:cs="Times New Roman"/>
                                      <w:b/>
                                      <w:sz w:val="16"/>
                                      <w:szCs w:val="16"/>
                                    </w:rPr>
                                    <w:br/>
                                    <w:t>Conc.</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Weight</w:t>
                                  </w:r>
                                  <w:r w:rsidRPr="00536605">
                                    <w:rPr>
                                      <w:rFonts w:ascii="Times New Roman" w:eastAsia="Times New Roman" w:hAnsi="Times New Roman" w:cs="Times New Roman"/>
                                      <w:b/>
                                      <w:sz w:val="16"/>
                                      <w:szCs w:val="16"/>
                                    </w:rPr>
                                    <w:br/>
                                    <w:t>Conc.</w:t>
                                  </w:r>
                                </w:p>
                              </w:tc>
                            </w:tr>
                            <w:tr w:rsidR="00C92850" w:rsidRPr="003207EF" w:rsidTr="00931325">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6</w:t>
                                  </w:r>
                                </w:p>
                              </w:tc>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w:t>
                                  </w:r>
                                </w:p>
                              </w:tc>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Carbon</w:t>
                                  </w:r>
                                </w:p>
                              </w:tc>
                              <w:tc>
                                <w:tcPr>
                                  <w:tcW w:w="0" w:type="auto"/>
                                  <w:tcBorders>
                                    <w:top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56.71</w:t>
                                  </w:r>
                                </w:p>
                              </w:tc>
                              <w:tc>
                                <w:tcPr>
                                  <w:tcW w:w="0" w:type="auto"/>
                                  <w:tcBorders>
                                    <w:top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49.13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7</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N</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Nitrogen</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37.94</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38.33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16</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Sulfur</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1.74</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4.03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30</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Zn</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Zinc</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0.39</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1.84</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Cl</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Chlorine</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0.69</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1.75</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13</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Al</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Aluminium</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0.77</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1.51</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12</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Mg</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Magnesium</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0.83</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1.46</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14</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Si</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Silicon</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0.56</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1.14</w:t>
                                  </w:r>
                                </w:p>
                              </w:tc>
                            </w:tr>
                            <w:tr w:rsidR="00C92850" w:rsidRPr="003207EF" w:rsidTr="00931325">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15</w:t>
                                  </w:r>
                                </w:p>
                              </w:tc>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P</w:t>
                                  </w:r>
                                </w:p>
                              </w:tc>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Phosphorus</w:t>
                                  </w:r>
                                </w:p>
                              </w:tc>
                              <w:tc>
                                <w:tcPr>
                                  <w:tcW w:w="0" w:type="auto"/>
                                  <w:tcBorders>
                                    <w:bottom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0.36</w:t>
                                  </w:r>
                                </w:p>
                              </w:tc>
                              <w:tc>
                                <w:tcPr>
                                  <w:tcW w:w="0" w:type="auto"/>
                                  <w:tcBorders>
                                    <w:bottom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0.81</w:t>
                                  </w:r>
                                </w:p>
                              </w:tc>
                            </w:tr>
                            <w:tr w:rsidR="00C92850" w:rsidRPr="003207EF" w:rsidTr="00931325">
                              <w:trPr>
                                <w:trHeight w:hRule="exact" w:val="57"/>
                              </w:trPr>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r>
                          </w:tbl>
                          <w:p w:rsidR="00C92850" w:rsidRDefault="00C92850" w:rsidP="00A6165D">
                            <w:pPr>
                              <w:spacing w:line="360" w:lineRule="auto"/>
                            </w:pPr>
                          </w:p>
                          <w:p w:rsidR="00C92850" w:rsidRDefault="00C92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359EF8" id="_x0000_t202" coordsize="21600,21600" o:spt="202" path="m,l,21600r21600,l21600,xe">
                <v:stroke joinstyle="miter"/>
                <v:path gradientshapeok="t" o:connecttype="rect"/>
              </v:shapetype>
              <v:shape id="Text Box 2" o:spid="_x0000_s1026" type="#_x0000_t202" style="position:absolute;left:0;text-align:left;margin-left:188.55pt;margin-top:10.85pt;width:180.75pt;height:1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" filled="f" stroked="f" strokeweight=".5pt">
                <v:textbox>
                  <w:txbxContent>
                    <w:tbl>
                      <w:tblPr>
                        <w:tblW w:w="3460" w:type="dxa"/>
                        <w:tblCellMar>
                          <w:left w:w="57" w:type="dxa"/>
                          <w:right w:w="57" w:type="dxa"/>
                        </w:tblCellMar>
                        <w:tblLook w:val="04A0" w:firstRow="1" w:lastRow="0" w:firstColumn="1" w:lastColumn="0" w:noHBand="0" w:noVBand="1"/>
                      </w:tblPr>
                      <w:tblGrid>
                        <w:gridCol w:w="683"/>
                        <w:gridCol w:w="683"/>
                        <w:gridCol w:w="870"/>
                        <w:gridCol w:w="612"/>
                        <w:gridCol w:w="612"/>
                      </w:tblGrid>
                      <w:tr w:rsidR="00C92850" w:rsidRPr="003207EF" w:rsidTr="00931325">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Number</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Symbol</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Element</w:t>
                            </w:r>
                            <w:r w:rsidRPr="00536605">
                              <w:rPr>
                                <w:rFonts w:ascii="Times New Roman" w:eastAsia="Times New Roman" w:hAnsi="Times New Roman" w:cs="Times New Roman"/>
                                <w:b/>
                                <w:sz w:val="16"/>
                                <w:szCs w:val="16"/>
                              </w:rPr>
                              <w:br/>
                              <w:t>Name</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Atomic</w:t>
                            </w:r>
                            <w:r w:rsidRPr="00536605">
                              <w:rPr>
                                <w:rFonts w:ascii="Times New Roman" w:eastAsia="Times New Roman" w:hAnsi="Times New Roman" w:cs="Times New Roman"/>
                                <w:b/>
                                <w:sz w:val="16"/>
                                <w:szCs w:val="16"/>
                              </w:rPr>
                              <w:br/>
                              <w:t>Conc.</w:t>
                            </w:r>
                          </w:p>
                        </w:tc>
                        <w:tc>
                          <w:tcPr>
                            <w:tcW w:w="0" w:type="auto"/>
                            <w:tcBorders>
                              <w:top w:val="single" w:sz="4" w:space="0" w:color="auto"/>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b/>
                                <w:sz w:val="16"/>
                                <w:szCs w:val="16"/>
                              </w:rPr>
                              <w:t>Weight</w:t>
                            </w:r>
                            <w:r w:rsidRPr="00536605">
                              <w:rPr>
                                <w:rFonts w:ascii="Times New Roman" w:eastAsia="Times New Roman" w:hAnsi="Times New Roman" w:cs="Times New Roman"/>
                                <w:b/>
                                <w:sz w:val="16"/>
                                <w:szCs w:val="16"/>
                              </w:rPr>
                              <w:br/>
                              <w:t>Conc.</w:t>
                            </w:r>
                          </w:p>
                        </w:tc>
                      </w:tr>
                      <w:tr w:rsidR="00C92850" w:rsidRPr="003207EF" w:rsidTr="00931325">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6</w:t>
                            </w:r>
                          </w:p>
                        </w:tc>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w:t>
                            </w:r>
                          </w:p>
                        </w:tc>
                        <w:tc>
                          <w:tcPr>
                            <w:tcW w:w="0" w:type="auto"/>
                            <w:tcBorders>
                              <w:top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Carbon</w:t>
                            </w:r>
                          </w:p>
                        </w:tc>
                        <w:tc>
                          <w:tcPr>
                            <w:tcW w:w="0" w:type="auto"/>
                            <w:tcBorders>
                              <w:top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56.71</w:t>
                            </w:r>
                          </w:p>
                        </w:tc>
                        <w:tc>
                          <w:tcPr>
                            <w:tcW w:w="0" w:type="auto"/>
                            <w:tcBorders>
                              <w:top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49.13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7</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N</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Nitrogen</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37.94</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38.33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16</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Sulfur</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1.74</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4.03</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30</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Zn</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Zinc</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0.39</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1.84</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Cl</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Chlorine</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0.69</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1.75</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13</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Al</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Aluminium</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0.77</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1.51</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12</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Mg</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Magnesium</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0.83</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1.46</w:t>
                            </w:r>
                          </w:p>
                        </w:tc>
                      </w:tr>
                      <w:tr w:rsidR="00C92850" w:rsidRPr="003207EF" w:rsidTr="00931325">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14</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Si</w:t>
                            </w:r>
                          </w:p>
                        </w:tc>
                        <w:tc>
                          <w:tcPr>
                            <w:tcW w:w="0" w:type="auto"/>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Silicon</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0.56</w:t>
                            </w:r>
                          </w:p>
                        </w:tc>
                        <w:tc>
                          <w:tcPr>
                            <w:tcW w:w="0" w:type="auto"/>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1.14</w:t>
                            </w:r>
                          </w:p>
                        </w:tc>
                      </w:tr>
                      <w:tr w:rsidR="00C92850" w:rsidRPr="003207EF" w:rsidTr="00931325">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15</w:t>
                            </w:r>
                          </w:p>
                        </w:tc>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P</w:t>
                            </w:r>
                          </w:p>
                        </w:tc>
                        <w:tc>
                          <w:tcPr>
                            <w:tcW w:w="0" w:type="auto"/>
                            <w:tcBorders>
                              <w:bottom w:val="single" w:sz="4" w:space="0" w:color="auto"/>
                            </w:tcBorders>
                            <w:hideMark/>
                          </w:tcPr>
                          <w:p w:rsidR="00C92850" w:rsidRPr="00536605" w:rsidRDefault="00C92850" w:rsidP="00931325">
                            <w:pPr>
                              <w:keepNext/>
                              <w:keepLines/>
                              <w:spacing w:after="0" w:line="360" w:lineRule="auto"/>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Phosphorus</w:t>
                            </w:r>
                          </w:p>
                        </w:tc>
                        <w:tc>
                          <w:tcPr>
                            <w:tcW w:w="0" w:type="auto"/>
                            <w:tcBorders>
                              <w:bottom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0.36</w:t>
                            </w:r>
                          </w:p>
                        </w:tc>
                        <w:tc>
                          <w:tcPr>
                            <w:tcW w:w="0" w:type="auto"/>
                            <w:tcBorders>
                              <w:bottom w:val="single" w:sz="4" w:space="0" w:color="auto"/>
                            </w:tcBorders>
                            <w:hideMark/>
                          </w:tcPr>
                          <w:p w:rsidR="00C92850" w:rsidRPr="00536605" w:rsidRDefault="00C92850" w:rsidP="00931325">
                            <w:pPr>
                              <w:keepNext/>
                              <w:keepLines/>
                              <w:spacing w:after="0" w:line="360" w:lineRule="auto"/>
                              <w:jc w:val="right"/>
                              <w:rPr>
                                <w:rFonts w:ascii="Times New Roman" w:eastAsia="Times New Roman" w:hAnsi="Times New Roman" w:cs="Times New Roman"/>
                                <w:sz w:val="16"/>
                                <w:szCs w:val="16"/>
                              </w:rPr>
                            </w:pPr>
                            <w:r w:rsidRPr="00536605">
                              <w:rPr>
                                <w:rFonts w:ascii="Times New Roman" w:eastAsia="Times New Roman" w:hAnsi="Times New Roman" w:cs="Times New Roman"/>
                                <w:sz w:val="16"/>
                                <w:szCs w:val="16"/>
                              </w:rPr>
                              <w:t>0.81</w:t>
                            </w:r>
                          </w:p>
                        </w:tc>
                      </w:tr>
                      <w:tr w:rsidR="00C92850" w:rsidRPr="003207EF" w:rsidTr="00931325">
                        <w:trPr>
                          <w:trHeight w:hRule="exact" w:val="57"/>
                        </w:trPr>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c>
                          <w:tcPr>
                            <w:tcW w:w="0" w:type="auto"/>
                            <w:tcBorders>
                              <w:top w:val="single" w:sz="4" w:space="0" w:color="auto"/>
                            </w:tcBorders>
                          </w:tcPr>
                          <w:p w:rsidR="00C92850" w:rsidRPr="003207EF" w:rsidRDefault="00C92850" w:rsidP="00931325">
                            <w:pPr>
                              <w:spacing w:after="0" w:line="360" w:lineRule="auto"/>
                              <w:rPr>
                                <w:rFonts w:ascii="Calibri" w:eastAsia="Times New Roman" w:hAnsi="Calibri" w:cs="Times New Roman"/>
                              </w:rPr>
                            </w:pPr>
                          </w:p>
                        </w:tc>
                      </w:tr>
                    </w:tbl>
                    <w:p w:rsidR="00C92850" w:rsidRDefault="00C92850" w:rsidP="00A6165D">
                      <w:pPr>
                        <w:spacing w:line="360" w:lineRule="auto"/>
                      </w:pPr>
                    </w:p>
                    <w:p w:rsidR="00C92850" w:rsidRDefault="00C92850"/>
                  </w:txbxContent>
                </v:textbox>
              </v:shape>
            </w:pict>
          </mc:Fallback>
        </mc:AlternateContent>
      </w:r>
      <w:r w:rsidRPr="004712FE">
        <w:rPr>
          <w:noProof/>
        </w:rPr>
        <mc:AlternateContent>
          <mc:Choice Requires="wps">
            <w:drawing>
              <wp:anchor distT="0" distB="0" distL="114300" distR="114300" simplePos="0" relativeHeight="251659264" behindDoc="0" locked="0" layoutInCell="1" allowOverlap="1" wp14:anchorId="60173FA2" wp14:editId="76F1215C">
                <wp:simplePos x="0" y="0"/>
                <wp:positionH relativeFrom="column">
                  <wp:posOffset>289560</wp:posOffset>
                </wp:positionH>
                <wp:positionV relativeFrom="paragraph">
                  <wp:posOffset>328295</wp:posOffset>
                </wp:positionV>
                <wp:extent cx="2171700" cy="1943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2850" w:rsidRDefault="00C92850">
                            <w:pPr>
                              <w:rPr>
                                <w:noProof/>
                              </w:rPr>
                            </w:pPr>
                            <w:r w:rsidRPr="00593F65">
                              <w:rPr>
                                <w:noProof/>
                              </w:rPr>
                              <w:drawing>
                                <wp:inline distT="0" distB="0" distL="0" distR="0" wp14:anchorId="4936F10B" wp14:editId="5BCA153A">
                                  <wp:extent cx="1962150" cy="1895475"/>
                                  <wp:effectExtent l="0" t="0" r="0" b="9525"/>
                                  <wp:docPr id="4" name="Picture 4" descr="GELLATI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LATIN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895475"/>
                                          </a:xfrm>
                                          <a:prstGeom prst="rect">
                                            <a:avLst/>
                                          </a:prstGeom>
                                          <a:noFill/>
                                          <a:ln>
                                            <a:noFill/>
                                          </a:ln>
                                        </pic:spPr>
                                      </pic:pic>
                                    </a:graphicData>
                                  </a:graphic>
                                </wp:inline>
                              </w:drawing>
                            </w:r>
                          </w:p>
                          <w:p w:rsidR="00C92850" w:rsidRDefault="00C92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73FA2" id="Text Box 1" o:spid="_x0000_s1027" type="#_x0000_t202" style="position:absolute;left:0;text-align:left;margin-left:22.8pt;margin-top:25.85pt;width:171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" filled="f" stroked="f" strokeweight=".5pt">
                <v:textbox>
                  <w:txbxContent>
                    <w:p w:rsidR="00C92850" w:rsidRDefault="00C92850">
                      <w:pPr>
                        <w:rPr>
                          <w:noProof/>
                        </w:rPr>
                      </w:pPr>
                      <w:r w:rsidRPr="00593F65">
                        <w:rPr>
                          <w:noProof/>
                        </w:rPr>
                        <w:drawing>
                          <wp:inline distT="0" distB="0" distL="0" distR="0" wp14:anchorId="4936F10B" wp14:editId="5BCA153A">
                            <wp:extent cx="1962150" cy="1895475"/>
                            <wp:effectExtent l="0" t="0" r="0" b="9525"/>
                            <wp:docPr id="4" name="Picture 4" descr="GELLATI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LATIN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895475"/>
                                    </a:xfrm>
                                    <a:prstGeom prst="rect">
                                      <a:avLst/>
                                    </a:prstGeom>
                                    <a:noFill/>
                                    <a:ln>
                                      <a:noFill/>
                                    </a:ln>
                                  </pic:spPr>
                                </pic:pic>
                              </a:graphicData>
                            </a:graphic>
                          </wp:inline>
                        </w:drawing>
                      </w:r>
                    </w:p>
                    <w:p w:rsidR="00C92850" w:rsidRDefault="00C92850"/>
                  </w:txbxContent>
                </v:textbox>
              </v:shape>
            </w:pict>
          </mc:Fallback>
        </mc:AlternateContent>
      </w:r>
    </w:p>
    <w:p w:rsidR="00165122" w:rsidRPr="004712FE" w:rsidRDefault="00A6165D" w:rsidP="004712FE">
      <w:pPr>
        <w:pStyle w:val="NormalWeb"/>
        <w:spacing w:line="360" w:lineRule="auto"/>
        <w:jc w:val="both"/>
      </w:pPr>
      <w:r w:rsidRPr="004712FE">
        <w:rPr>
          <w:noProof/>
        </w:rPr>
        <w:drawing>
          <wp:inline distT="0" distB="0" distL="0" distR="0" wp14:anchorId="7FC8CDE4" wp14:editId="558FB2B7">
            <wp:extent cx="4801008" cy="2171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2797" cy="2177033"/>
                    </a:xfrm>
                    <a:prstGeom prst="rect">
                      <a:avLst/>
                    </a:prstGeom>
                    <a:noFill/>
                    <a:ln>
                      <a:noFill/>
                    </a:ln>
                  </pic:spPr>
                </pic:pic>
              </a:graphicData>
            </a:graphic>
          </wp:inline>
        </w:drawing>
      </w:r>
    </w:p>
    <w:p w:rsidR="00C523FC" w:rsidRPr="004712FE" w:rsidRDefault="004712FE" w:rsidP="004712FE">
      <w:pPr>
        <w:pStyle w:val="NormalWeb"/>
        <w:spacing w:line="360" w:lineRule="auto"/>
        <w:jc w:val="both"/>
        <w:rPr>
          <w:b/>
        </w:rPr>
      </w:pPr>
      <w:r w:rsidRPr="004712FE">
        <w:rPr>
          <w:b/>
        </w:rPr>
        <w:t>Figure</w:t>
      </w:r>
      <w:r w:rsidR="00931325">
        <w:rPr>
          <w:b/>
        </w:rPr>
        <w:t xml:space="preserve"> 4:</w:t>
      </w:r>
      <w:r w:rsidRPr="004712FE">
        <w:rPr>
          <w:b/>
        </w:rPr>
        <w:t xml:space="preserve"> </w:t>
      </w:r>
      <w:r w:rsidRPr="004712FE">
        <w:t>Scanning Electron Microscopy/Energy-Dispersive X-ray (SEM/EDX) gelatin</w:t>
      </w:r>
    </w:p>
    <w:p w:rsidR="00D1444A" w:rsidRPr="00D1444A" w:rsidRDefault="00D1444A" w:rsidP="00D1444A">
      <w:pPr>
        <w:spacing w:before="100" w:beforeAutospacing="1" w:after="100" w:afterAutospacing="1" w:line="360" w:lineRule="auto"/>
        <w:jc w:val="both"/>
        <w:rPr>
          <w:rFonts w:ascii="Times New Roman" w:eastAsia="Times New Roman" w:hAnsi="Times New Roman" w:cs="Times New Roman"/>
          <w:sz w:val="24"/>
          <w:szCs w:val="24"/>
        </w:rPr>
      </w:pPr>
      <w:r w:rsidRPr="00D1444A">
        <w:rPr>
          <w:rFonts w:ascii="Times New Roman" w:eastAsia="Times New Roman" w:hAnsi="Times New Roman" w:cs="Times New Roman"/>
          <w:sz w:val="24"/>
          <w:szCs w:val="24"/>
        </w:rPr>
        <w:t xml:space="preserve">The SEM micrograph shows that the synthesized gelatin possesses a </w:t>
      </w:r>
      <w:r w:rsidRPr="00D1444A">
        <w:rPr>
          <w:rFonts w:ascii="Times New Roman" w:eastAsia="Times New Roman" w:hAnsi="Times New Roman" w:cs="Times New Roman"/>
          <w:bCs/>
          <w:sz w:val="24"/>
          <w:szCs w:val="24"/>
        </w:rPr>
        <w:t>compact, continuous, and relatively homogeneous surface morphology</w:t>
      </w:r>
      <w:r w:rsidRPr="00D1444A">
        <w:rPr>
          <w:rFonts w:ascii="Times New Roman" w:eastAsia="Times New Roman" w:hAnsi="Times New Roman" w:cs="Times New Roman"/>
          <w:sz w:val="24"/>
          <w:szCs w:val="24"/>
        </w:rPr>
        <w:t xml:space="preserve"> with slight roughness and micro-textured features. At a magnification of approximately </w:t>
      </w:r>
      <w:r w:rsidRPr="00D1444A">
        <w:rPr>
          <w:rFonts w:ascii="Times New Roman" w:eastAsia="Times New Roman" w:hAnsi="Times New Roman" w:cs="Times New Roman"/>
          <w:bCs/>
          <w:sz w:val="24"/>
          <w:szCs w:val="24"/>
        </w:rPr>
        <w:t>1500×</w:t>
      </w:r>
      <w:r w:rsidR="00FB30B3">
        <w:rPr>
          <w:rFonts w:ascii="Times New Roman" w:eastAsia="Times New Roman" w:hAnsi="Times New Roman" w:cs="Times New Roman"/>
          <w:bCs/>
          <w:sz w:val="24"/>
          <w:szCs w:val="24"/>
        </w:rPr>
        <w:t xml:space="preserve"> (Figure 4)</w:t>
      </w:r>
      <w:r w:rsidRPr="00D1444A">
        <w:rPr>
          <w:rFonts w:ascii="Times New Roman" w:eastAsia="Times New Roman" w:hAnsi="Times New Roman" w:cs="Times New Roman"/>
          <w:sz w:val="24"/>
          <w:szCs w:val="24"/>
        </w:rPr>
        <w:t xml:space="preserve">, the gelatin matrix appears mostly uniform with minor undulations, indicating the formation of a </w:t>
      </w:r>
      <w:r w:rsidRPr="00D1444A">
        <w:rPr>
          <w:rFonts w:ascii="Times New Roman" w:eastAsia="Times New Roman" w:hAnsi="Times New Roman" w:cs="Times New Roman"/>
          <w:bCs/>
          <w:sz w:val="24"/>
          <w:szCs w:val="24"/>
        </w:rPr>
        <w:t>well-developed polymeric network typical of gelatin-based materials</w:t>
      </w:r>
      <w:r w:rsidRPr="00D1444A">
        <w:rPr>
          <w:rFonts w:ascii="Times New Roman" w:eastAsia="Times New Roman" w:hAnsi="Times New Roman" w:cs="Times New Roman"/>
          <w:sz w:val="24"/>
          <w:szCs w:val="24"/>
        </w:rPr>
        <w:t xml:space="preserve">. The smooth and dense regions suggest strong </w:t>
      </w:r>
      <w:r w:rsidRPr="00D1444A">
        <w:rPr>
          <w:rFonts w:ascii="Times New Roman" w:eastAsia="Times New Roman" w:hAnsi="Times New Roman" w:cs="Times New Roman"/>
          <w:bCs/>
          <w:sz w:val="24"/>
          <w:szCs w:val="24"/>
        </w:rPr>
        <w:t>intermolecular interactions among polypeptide chains</w:t>
      </w:r>
      <w:r w:rsidRPr="00D1444A">
        <w:rPr>
          <w:rFonts w:ascii="Times New Roman" w:eastAsia="Times New Roman" w:hAnsi="Times New Roman" w:cs="Times New Roman"/>
          <w:sz w:val="24"/>
          <w:szCs w:val="24"/>
        </w:rPr>
        <w:t xml:space="preserve">, which occur during solvent evaporation and lead to the formation of a compact structural network (Hoque </w:t>
      </w:r>
      <w:r w:rsidRPr="00D1444A">
        <w:rPr>
          <w:rFonts w:ascii="Times New Roman" w:eastAsia="Times New Roman" w:hAnsi="Times New Roman" w:cs="Times New Roman"/>
          <w:i/>
          <w:sz w:val="24"/>
          <w:szCs w:val="24"/>
        </w:rPr>
        <w:t>et al</w:t>
      </w:r>
      <w:r w:rsidRPr="00D1444A">
        <w:rPr>
          <w:rFonts w:ascii="Times New Roman" w:eastAsia="Times New Roman" w:hAnsi="Times New Roman" w:cs="Times New Roman"/>
          <w:sz w:val="24"/>
          <w:szCs w:val="24"/>
        </w:rPr>
        <w:t xml:space="preserve">., 2020; Ahuja </w:t>
      </w:r>
      <w:r w:rsidRPr="00D1444A">
        <w:rPr>
          <w:rFonts w:ascii="Times New Roman" w:eastAsia="Times New Roman" w:hAnsi="Times New Roman" w:cs="Times New Roman"/>
          <w:i/>
          <w:sz w:val="24"/>
          <w:szCs w:val="24"/>
        </w:rPr>
        <w:t>et al</w:t>
      </w:r>
      <w:r w:rsidRPr="00D1444A">
        <w:rPr>
          <w:rFonts w:ascii="Times New Roman" w:eastAsia="Times New Roman" w:hAnsi="Times New Roman" w:cs="Times New Roman"/>
          <w:sz w:val="24"/>
          <w:szCs w:val="24"/>
        </w:rPr>
        <w:t>., 2024).</w:t>
      </w:r>
    </w:p>
    <w:p w:rsidR="00D1444A" w:rsidRDefault="00D1444A" w:rsidP="00D1444A">
      <w:pPr>
        <w:spacing w:before="100" w:beforeAutospacing="1" w:after="100" w:afterAutospacing="1" w:line="360" w:lineRule="auto"/>
        <w:jc w:val="both"/>
        <w:rPr>
          <w:rFonts w:ascii="Times New Roman" w:eastAsia="Times New Roman" w:hAnsi="Times New Roman" w:cs="Times New Roman"/>
          <w:bCs/>
          <w:sz w:val="24"/>
          <w:szCs w:val="24"/>
        </w:rPr>
      </w:pPr>
      <w:r w:rsidRPr="00D1444A">
        <w:rPr>
          <w:rFonts w:ascii="Times New Roman" w:eastAsia="Times New Roman" w:hAnsi="Times New Roman" w:cs="Times New Roman"/>
          <w:sz w:val="24"/>
          <w:szCs w:val="24"/>
        </w:rPr>
        <w:t xml:space="preserve">Localized surface roughness and small irregularities are attributed to </w:t>
      </w:r>
      <w:r w:rsidRPr="00D1444A">
        <w:rPr>
          <w:rFonts w:ascii="Times New Roman" w:eastAsia="Times New Roman" w:hAnsi="Times New Roman" w:cs="Times New Roman"/>
          <w:bCs/>
          <w:sz w:val="24"/>
          <w:szCs w:val="24"/>
        </w:rPr>
        <w:t>hydrogen bonding and intermolecular cross-linking within the gelatin matrix</w:t>
      </w:r>
      <w:r w:rsidRPr="00D1444A">
        <w:rPr>
          <w:rFonts w:ascii="Times New Roman" w:eastAsia="Times New Roman" w:hAnsi="Times New Roman" w:cs="Times New Roman"/>
          <w:sz w:val="24"/>
          <w:szCs w:val="24"/>
        </w:rPr>
        <w:t>, resulting in micro-domains formed du</w:t>
      </w:r>
      <w:r w:rsidR="00B4573E">
        <w:rPr>
          <w:rFonts w:ascii="Times New Roman" w:eastAsia="Times New Roman" w:hAnsi="Times New Roman" w:cs="Times New Roman"/>
          <w:sz w:val="24"/>
          <w:szCs w:val="24"/>
        </w:rPr>
        <w:t>ring the drying process (Sadat and</w:t>
      </w:r>
      <w:r w:rsidRPr="00D1444A">
        <w:rPr>
          <w:rFonts w:ascii="Times New Roman" w:eastAsia="Times New Roman" w:hAnsi="Times New Roman" w:cs="Times New Roman"/>
          <w:sz w:val="24"/>
          <w:szCs w:val="24"/>
        </w:rPr>
        <w:t xml:space="preserve"> Joye, 2020; Zhang </w:t>
      </w:r>
      <w:r w:rsidRPr="00D1444A">
        <w:rPr>
          <w:rFonts w:ascii="Times New Roman" w:eastAsia="Times New Roman" w:hAnsi="Times New Roman" w:cs="Times New Roman"/>
          <w:i/>
          <w:sz w:val="24"/>
          <w:szCs w:val="24"/>
        </w:rPr>
        <w:t>et al</w:t>
      </w:r>
      <w:r w:rsidRPr="00D1444A">
        <w:rPr>
          <w:rFonts w:ascii="Times New Roman" w:eastAsia="Times New Roman" w:hAnsi="Times New Roman" w:cs="Times New Roman"/>
          <w:sz w:val="24"/>
          <w:szCs w:val="24"/>
        </w:rPr>
        <w:t xml:space="preserve">., 2022). Importantly, the absence of cracks, pores, or agglomerations indicates </w:t>
      </w:r>
      <w:r w:rsidRPr="00D1444A">
        <w:rPr>
          <w:rFonts w:ascii="Times New Roman" w:eastAsia="Times New Roman" w:hAnsi="Times New Roman" w:cs="Times New Roman"/>
          <w:bCs/>
          <w:sz w:val="24"/>
          <w:szCs w:val="24"/>
        </w:rPr>
        <w:t>good structural uniformity and compatibility</w:t>
      </w:r>
      <w:r w:rsidRPr="00D1444A">
        <w:rPr>
          <w:rFonts w:ascii="Times New Roman" w:eastAsia="Times New Roman" w:hAnsi="Times New Roman" w:cs="Times New Roman"/>
          <w:sz w:val="24"/>
          <w:szCs w:val="24"/>
        </w:rPr>
        <w:t xml:space="preserve"> of the gelatin network. Such compact morphology is associated with improved </w:t>
      </w:r>
      <w:r w:rsidRPr="00D1444A">
        <w:rPr>
          <w:rFonts w:ascii="Times New Roman" w:eastAsia="Times New Roman" w:hAnsi="Times New Roman" w:cs="Times New Roman"/>
          <w:bCs/>
          <w:sz w:val="24"/>
          <w:szCs w:val="24"/>
        </w:rPr>
        <w:t>mechanical stability and functional performance</w:t>
      </w:r>
      <w:r w:rsidRPr="00D1444A">
        <w:rPr>
          <w:rFonts w:ascii="Times New Roman" w:eastAsia="Times New Roman" w:hAnsi="Times New Roman" w:cs="Times New Roman"/>
          <w:sz w:val="24"/>
          <w:szCs w:val="24"/>
        </w:rPr>
        <w:t xml:space="preserve"> of gelatin-based biomaterials. Overall, the SEM analysis confirms the successful formation of a </w:t>
      </w:r>
      <w:r w:rsidRPr="00D1444A">
        <w:rPr>
          <w:rFonts w:ascii="Times New Roman" w:eastAsia="Times New Roman" w:hAnsi="Times New Roman" w:cs="Times New Roman"/>
          <w:bCs/>
          <w:sz w:val="24"/>
          <w:szCs w:val="24"/>
        </w:rPr>
        <w:t>homogeneous gelatin polymer matrix</w:t>
      </w:r>
      <w:r w:rsidRPr="00D1444A">
        <w:rPr>
          <w:rFonts w:ascii="Times New Roman" w:eastAsia="Times New Roman" w:hAnsi="Times New Roman" w:cs="Times New Roman"/>
          <w:sz w:val="24"/>
          <w:szCs w:val="24"/>
        </w:rPr>
        <w:t xml:space="preserve">, consistent with previously reported gelatin structures and suitable for applications in </w:t>
      </w:r>
      <w:r w:rsidRPr="00D1444A">
        <w:rPr>
          <w:rFonts w:ascii="Times New Roman" w:eastAsia="Times New Roman" w:hAnsi="Times New Roman" w:cs="Times New Roman"/>
          <w:bCs/>
          <w:sz w:val="24"/>
          <w:szCs w:val="24"/>
        </w:rPr>
        <w:t>biopolymer films, biomedical materials, antimicrobial coatings, and environmental remediation systems</w:t>
      </w:r>
    </w:p>
    <w:p w:rsidR="006A01E9" w:rsidRPr="006A01E9" w:rsidRDefault="006A01E9" w:rsidP="006A01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23924" cy="3352800"/>
            <wp:effectExtent l="0" t="0" r="0" b="0"/>
            <wp:docPr id="6" name="Picture 6" descr="C:\Users\TAHIR\Downloads\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HIR\Downloads\Z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100" cy="3352903"/>
                    </a:xfrm>
                    <a:prstGeom prst="rect">
                      <a:avLst/>
                    </a:prstGeom>
                    <a:noFill/>
                    <a:ln>
                      <a:noFill/>
                    </a:ln>
                  </pic:spPr>
                </pic:pic>
              </a:graphicData>
            </a:graphic>
          </wp:inline>
        </w:drawing>
      </w:r>
    </w:p>
    <w:p w:rsidR="006A01E9" w:rsidRPr="00FB30B3" w:rsidRDefault="00FB30B3" w:rsidP="00D1444A">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5: </w:t>
      </w:r>
      <w:r w:rsidRPr="00FB30B3">
        <w:rPr>
          <w:rFonts w:ascii="Times New Roman" w:eastAsia="Times New Roman" w:hAnsi="Times New Roman" w:cs="Times New Roman"/>
          <w:bCs/>
          <w:sz w:val="24"/>
          <w:szCs w:val="24"/>
        </w:rPr>
        <w:t>Zeta Potential Distribution Curve of the Synthesized Gelatin</w:t>
      </w:r>
    </w:p>
    <w:p w:rsidR="00B4573E" w:rsidRPr="00B4573E" w:rsidRDefault="00FB30B3" w:rsidP="00B4573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represent the Zeta potential distribution curve of the synthesized gelatin. </w:t>
      </w:r>
      <w:r w:rsidR="00B4573E" w:rsidRPr="00B4573E">
        <w:rPr>
          <w:rFonts w:ascii="Times New Roman" w:eastAsia="Times New Roman" w:hAnsi="Times New Roman" w:cs="Times New Roman"/>
          <w:sz w:val="24"/>
          <w:szCs w:val="24"/>
        </w:rPr>
        <w:t xml:space="preserve">The zeta potential distribution of the synthesized gelatin exhibits a </w:t>
      </w:r>
      <w:r w:rsidR="00B4573E" w:rsidRPr="00B4573E">
        <w:rPr>
          <w:rFonts w:ascii="Times New Roman" w:eastAsia="Times New Roman" w:hAnsi="Times New Roman" w:cs="Times New Roman"/>
          <w:bCs/>
          <w:sz w:val="24"/>
          <w:szCs w:val="24"/>
        </w:rPr>
        <w:t xml:space="preserve">single </w:t>
      </w:r>
      <w:r w:rsidR="006A01E9">
        <w:rPr>
          <w:rFonts w:ascii="Times New Roman" w:eastAsia="Times New Roman" w:hAnsi="Times New Roman" w:cs="Times New Roman"/>
          <w:bCs/>
          <w:sz w:val="24"/>
          <w:szCs w:val="24"/>
        </w:rPr>
        <w:t>dominant peak at approximately -</w:t>
      </w:r>
      <w:r w:rsidR="00B4573E" w:rsidRPr="00B4573E">
        <w:rPr>
          <w:rFonts w:ascii="Times New Roman" w:eastAsia="Times New Roman" w:hAnsi="Times New Roman" w:cs="Times New Roman"/>
          <w:bCs/>
          <w:sz w:val="24"/>
          <w:szCs w:val="24"/>
        </w:rPr>
        <w:t>12.8 mV</w:t>
      </w:r>
      <w:r w:rsidR="00B4573E" w:rsidRPr="00B4573E">
        <w:rPr>
          <w:rFonts w:ascii="Times New Roman" w:eastAsia="Times New Roman" w:hAnsi="Times New Roman" w:cs="Times New Roman"/>
          <w:sz w:val="24"/>
          <w:szCs w:val="24"/>
        </w:rPr>
        <w:t xml:space="preserve">, indicating that the gelatin particles possess a </w:t>
      </w:r>
      <w:r w:rsidR="00B4573E" w:rsidRPr="006A01E9">
        <w:rPr>
          <w:rFonts w:ascii="Times New Roman" w:eastAsia="Times New Roman" w:hAnsi="Times New Roman" w:cs="Times New Roman"/>
          <w:bCs/>
          <w:sz w:val="24"/>
          <w:szCs w:val="24"/>
        </w:rPr>
        <w:t>moderately negative surface charge in aqueous suspension</w:t>
      </w:r>
      <w:r w:rsidR="00B4573E" w:rsidRPr="00B4573E">
        <w:rPr>
          <w:rFonts w:ascii="Times New Roman" w:eastAsia="Times New Roman" w:hAnsi="Times New Roman" w:cs="Times New Roman"/>
          <w:sz w:val="24"/>
          <w:szCs w:val="24"/>
        </w:rPr>
        <w:t xml:space="preserve">. Zeta potential is a key physicochemical parameter used to assess the </w:t>
      </w:r>
      <w:r w:rsidR="00B4573E" w:rsidRPr="006A01E9">
        <w:rPr>
          <w:rFonts w:ascii="Times New Roman" w:eastAsia="Times New Roman" w:hAnsi="Times New Roman" w:cs="Times New Roman"/>
          <w:bCs/>
          <w:sz w:val="24"/>
          <w:szCs w:val="24"/>
        </w:rPr>
        <w:t>surface charge and colloidal stability of dispersed particles</w:t>
      </w:r>
      <w:r w:rsidR="00B4573E" w:rsidRPr="00B4573E">
        <w:rPr>
          <w:rFonts w:ascii="Times New Roman" w:eastAsia="Times New Roman" w:hAnsi="Times New Roman" w:cs="Times New Roman"/>
          <w:sz w:val="24"/>
          <w:szCs w:val="24"/>
        </w:rPr>
        <w:t xml:space="preserve">, representing the electrical potential at the slipping plane between the particle surface and the surrounding liquid medium. The magnitude and polarity of this potential are mainly influenced by the </w:t>
      </w:r>
      <w:r w:rsidR="00B4573E" w:rsidRPr="006A01E9">
        <w:rPr>
          <w:rFonts w:ascii="Times New Roman" w:eastAsia="Times New Roman" w:hAnsi="Times New Roman" w:cs="Times New Roman"/>
          <w:bCs/>
          <w:sz w:val="24"/>
          <w:szCs w:val="24"/>
        </w:rPr>
        <w:t>ionization of funct</w:t>
      </w:r>
      <w:r w:rsidR="006A01E9" w:rsidRPr="006A01E9">
        <w:rPr>
          <w:rFonts w:ascii="Times New Roman" w:eastAsia="Times New Roman" w:hAnsi="Times New Roman" w:cs="Times New Roman"/>
          <w:bCs/>
          <w:sz w:val="24"/>
          <w:szCs w:val="24"/>
        </w:rPr>
        <w:t>ional groups such as</w:t>
      </w:r>
      <w:r w:rsidR="006A01E9">
        <w:rPr>
          <w:rFonts w:ascii="Times New Roman" w:eastAsia="Times New Roman" w:hAnsi="Times New Roman" w:cs="Times New Roman"/>
          <w:b/>
          <w:bCs/>
          <w:sz w:val="24"/>
          <w:szCs w:val="24"/>
        </w:rPr>
        <w:t xml:space="preserve"> </w:t>
      </w:r>
      <w:r w:rsidR="006A01E9" w:rsidRPr="006A01E9">
        <w:rPr>
          <w:rFonts w:ascii="Times New Roman" w:eastAsia="Times New Roman" w:hAnsi="Times New Roman" w:cs="Times New Roman"/>
          <w:bCs/>
          <w:sz w:val="24"/>
          <w:szCs w:val="24"/>
        </w:rPr>
        <w:t>carboxyl (COO⁻), amino (NH₃⁺), and hydroxyl (</w:t>
      </w:r>
      <w:r w:rsidR="00B4573E" w:rsidRPr="006A01E9">
        <w:rPr>
          <w:rFonts w:ascii="Times New Roman" w:eastAsia="Times New Roman" w:hAnsi="Times New Roman" w:cs="Times New Roman"/>
          <w:bCs/>
          <w:sz w:val="24"/>
          <w:szCs w:val="24"/>
        </w:rPr>
        <w:t>OH)</w:t>
      </w:r>
      <w:r w:rsidR="00B4573E" w:rsidRPr="00B4573E">
        <w:rPr>
          <w:rFonts w:ascii="Times New Roman" w:eastAsia="Times New Roman" w:hAnsi="Times New Roman" w:cs="Times New Roman"/>
          <w:sz w:val="24"/>
          <w:szCs w:val="24"/>
        </w:rPr>
        <w:t xml:space="preserve"> present in gelatin molecules (Zhang </w:t>
      </w:r>
      <w:r w:rsidR="00B4573E" w:rsidRPr="00B4573E">
        <w:rPr>
          <w:rFonts w:ascii="Times New Roman" w:eastAsia="Times New Roman" w:hAnsi="Times New Roman" w:cs="Times New Roman"/>
          <w:i/>
          <w:sz w:val="24"/>
          <w:szCs w:val="24"/>
        </w:rPr>
        <w:t>et al</w:t>
      </w:r>
      <w:r w:rsidR="00B4573E" w:rsidRPr="00B4573E">
        <w:rPr>
          <w:rFonts w:ascii="Times New Roman" w:eastAsia="Times New Roman" w:hAnsi="Times New Roman" w:cs="Times New Roman"/>
          <w:sz w:val="24"/>
          <w:szCs w:val="24"/>
        </w:rPr>
        <w:t xml:space="preserve">., 2022; Sharma </w:t>
      </w:r>
      <w:r w:rsidR="00B4573E" w:rsidRPr="00B4573E">
        <w:rPr>
          <w:rFonts w:ascii="Times New Roman" w:eastAsia="Times New Roman" w:hAnsi="Times New Roman" w:cs="Times New Roman"/>
          <w:i/>
          <w:sz w:val="24"/>
          <w:szCs w:val="24"/>
        </w:rPr>
        <w:t>et al.</w:t>
      </w:r>
      <w:r w:rsidR="00B4573E" w:rsidRPr="00B4573E">
        <w:rPr>
          <w:rFonts w:ascii="Times New Roman" w:eastAsia="Times New Roman" w:hAnsi="Times New Roman" w:cs="Times New Roman"/>
          <w:sz w:val="24"/>
          <w:szCs w:val="24"/>
        </w:rPr>
        <w:t>, 2021).</w:t>
      </w:r>
    </w:p>
    <w:p w:rsidR="00B4573E" w:rsidRPr="00B4573E" w:rsidRDefault="00B4573E" w:rsidP="00B4573E">
      <w:pPr>
        <w:spacing w:before="100" w:beforeAutospacing="1" w:after="100" w:afterAutospacing="1" w:line="360" w:lineRule="auto"/>
        <w:jc w:val="both"/>
        <w:rPr>
          <w:rFonts w:ascii="Times New Roman" w:eastAsia="Times New Roman" w:hAnsi="Times New Roman" w:cs="Times New Roman"/>
          <w:sz w:val="24"/>
          <w:szCs w:val="24"/>
        </w:rPr>
      </w:pPr>
      <w:r w:rsidRPr="00B4573E">
        <w:rPr>
          <w:rFonts w:ascii="Times New Roman" w:eastAsia="Times New Roman" w:hAnsi="Times New Roman" w:cs="Times New Roman"/>
          <w:sz w:val="24"/>
          <w:szCs w:val="24"/>
        </w:rPr>
        <w:t xml:space="preserve">The negative surface charge observed for the synthesized gelatin can be attributed to the </w:t>
      </w:r>
      <w:r w:rsidRPr="006A01E9">
        <w:rPr>
          <w:rFonts w:ascii="Times New Roman" w:eastAsia="Times New Roman" w:hAnsi="Times New Roman" w:cs="Times New Roman"/>
          <w:bCs/>
          <w:sz w:val="24"/>
          <w:szCs w:val="24"/>
        </w:rPr>
        <w:t>dissociation of carboxyl groups from amino acid residues</w:t>
      </w:r>
      <w:r w:rsidRPr="00B4573E">
        <w:rPr>
          <w:rFonts w:ascii="Times New Roman" w:eastAsia="Times New Roman" w:hAnsi="Times New Roman" w:cs="Times New Roman"/>
          <w:sz w:val="24"/>
          <w:szCs w:val="24"/>
        </w:rPr>
        <w:t xml:space="preserve"> within the gelatin structure, which generates negatively charged surfaces when dispersed in neutral or slightly alkaline media. Similar zeta potential values have been reported for gelatin-based nanoparticles and biomaterials, typically ranging from </w:t>
      </w:r>
      <w:r w:rsidR="006A01E9">
        <w:rPr>
          <w:rFonts w:ascii="Times New Roman" w:eastAsia="Times New Roman" w:hAnsi="Times New Roman" w:cs="Times New Roman"/>
          <w:b/>
          <w:bCs/>
          <w:sz w:val="24"/>
          <w:szCs w:val="24"/>
        </w:rPr>
        <w:t>-</w:t>
      </w:r>
      <w:r w:rsidRPr="006A01E9">
        <w:rPr>
          <w:rFonts w:ascii="Times New Roman" w:eastAsia="Times New Roman" w:hAnsi="Times New Roman" w:cs="Times New Roman"/>
          <w:bCs/>
          <w:sz w:val="24"/>
          <w:szCs w:val="24"/>
        </w:rPr>
        <w:t>10</w:t>
      </w:r>
      <w:r w:rsidR="006A01E9">
        <w:rPr>
          <w:rFonts w:ascii="Times New Roman" w:eastAsia="Times New Roman" w:hAnsi="Times New Roman" w:cs="Times New Roman"/>
          <w:bCs/>
          <w:sz w:val="24"/>
          <w:szCs w:val="24"/>
        </w:rPr>
        <w:t>.0</w:t>
      </w:r>
      <w:r w:rsidRPr="006A01E9">
        <w:rPr>
          <w:rFonts w:ascii="Times New Roman" w:eastAsia="Times New Roman" w:hAnsi="Times New Roman" w:cs="Times New Roman"/>
          <w:bCs/>
          <w:sz w:val="24"/>
          <w:szCs w:val="24"/>
        </w:rPr>
        <w:t xml:space="preserve"> mV to</w:t>
      </w:r>
      <w:r w:rsidRPr="00B4573E">
        <w:rPr>
          <w:rFonts w:ascii="Times New Roman" w:eastAsia="Times New Roman" w:hAnsi="Times New Roman" w:cs="Times New Roman"/>
          <w:b/>
          <w:bCs/>
          <w:sz w:val="24"/>
          <w:szCs w:val="24"/>
        </w:rPr>
        <w:t xml:space="preserve"> </w:t>
      </w:r>
      <w:r w:rsidR="006A01E9">
        <w:rPr>
          <w:rFonts w:ascii="Times New Roman" w:eastAsia="Times New Roman" w:hAnsi="Times New Roman" w:cs="Times New Roman"/>
          <w:bCs/>
          <w:sz w:val="24"/>
          <w:szCs w:val="24"/>
        </w:rPr>
        <w:t>-</w:t>
      </w:r>
      <w:r w:rsidRPr="006A01E9">
        <w:rPr>
          <w:rFonts w:ascii="Times New Roman" w:eastAsia="Times New Roman" w:hAnsi="Times New Roman" w:cs="Times New Roman"/>
          <w:bCs/>
          <w:sz w:val="24"/>
          <w:szCs w:val="24"/>
        </w:rPr>
        <w:t>20</w:t>
      </w:r>
      <w:r w:rsidR="006A01E9">
        <w:rPr>
          <w:rFonts w:ascii="Times New Roman" w:eastAsia="Times New Roman" w:hAnsi="Times New Roman" w:cs="Times New Roman"/>
          <w:bCs/>
          <w:sz w:val="24"/>
          <w:szCs w:val="24"/>
        </w:rPr>
        <w:t>.0</w:t>
      </w:r>
      <w:r w:rsidRPr="006A01E9">
        <w:rPr>
          <w:rFonts w:ascii="Times New Roman" w:eastAsia="Times New Roman" w:hAnsi="Times New Roman" w:cs="Times New Roman"/>
          <w:bCs/>
          <w:sz w:val="24"/>
          <w:szCs w:val="24"/>
        </w:rPr>
        <w:t xml:space="preserve"> mV</w:t>
      </w:r>
      <w:r w:rsidRPr="00B4573E">
        <w:rPr>
          <w:rFonts w:ascii="Times New Roman" w:eastAsia="Times New Roman" w:hAnsi="Times New Roman" w:cs="Times New Roman"/>
          <w:sz w:val="24"/>
          <w:szCs w:val="24"/>
        </w:rPr>
        <w:t xml:space="preserve">, depending on factors such as pH, ionic strength, and crosslinking conditions (Zhang </w:t>
      </w:r>
      <w:r w:rsidRPr="00B4573E">
        <w:rPr>
          <w:rFonts w:ascii="Times New Roman" w:eastAsia="Times New Roman" w:hAnsi="Times New Roman" w:cs="Times New Roman"/>
          <w:i/>
          <w:sz w:val="24"/>
          <w:szCs w:val="24"/>
        </w:rPr>
        <w:t>et al</w:t>
      </w:r>
      <w:r w:rsidRPr="00B4573E">
        <w:rPr>
          <w:rFonts w:ascii="Times New Roman" w:eastAsia="Times New Roman" w:hAnsi="Times New Roman" w:cs="Times New Roman"/>
          <w:sz w:val="24"/>
          <w:szCs w:val="24"/>
        </w:rPr>
        <w:t xml:space="preserve">., 2022; Ahmed </w:t>
      </w:r>
      <w:r w:rsidRPr="00B4573E">
        <w:rPr>
          <w:rFonts w:ascii="Times New Roman" w:eastAsia="Times New Roman" w:hAnsi="Times New Roman" w:cs="Times New Roman"/>
          <w:i/>
          <w:sz w:val="24"/>
          <w:szCs w:val="24"/>
        </w:rPr>
        <w:t>et al</w:t>
      </w:r>
      <w:r w:rsidRPr="00B4573E">
        <w:rPr>
          <w:rFonts w:ascii="Times New Roman" w:eastAsia="Times New Roman" w:hAnsi="Times New Roman" w:cs="Times New Roman"/>
          <w:sz w:val="24"/>
          <w:szCs w:val="24"/>
        </w:rPr>
        <w:t>., 2023). These values confirm the presence of ionizable functional groups responsible for the electrostatic behavior of gelatin in solution.</w:t>
      </w:r>
    </w:p>
    <w:p w:rsidR="00B4573E" w:rsidRPr="00B4573E" w:rsidRDefault="00B4573E" w:rsidP="00B4573E">
      <w:pPr>
        <w:spacing w:before="100" w:beforeAutospacing="1" w:after="100" w:afterAutospacing="1" w:line="360" w:lineRule="auto"/>
        <w:jc w:val="both"/>
        <w:rPr>
          <w:rFonts w:ascii="Times New Roman" w:eastAsia="Times New Roman" w:hAnsi="Times New Roman" w:cs="Times New Roman"/>
          <w:sz w:val="24"/>
          <w:szCs w:val="24"/>
        </w:rPr>
      </w:pPr>
      <w:r w:rsidRPr="00B4573E">
        <w:rPr>
          <w:rFonts w:ascii="Times New Roman" w:eastAsia="Times New Roman" w:hAnsi="Times New Roman" w:cs="Times New Roman"/>
          <w:sz w:val="24"/>
          <w:szCs w:val="24"/>
        </w:rPr>
        <w:lastRenderedPageBreak/>
        <w:t xml:space="preserve">The measured value of </w:t>
      </w:r>
      <w:r w:rsidRPr="006A01E9">
        <w:rPr>
          <w:rFonts w:ascii="Times New Roman" w:eastAsia="Times New Roman" w:hAnsi="Times New Roman" w:cs="Times New Roman"/>
          <w:bCs/>
          <w:sz w:val="24"/>
          <w:szCs w:val="24"/>
        </w:rPr>
        <w:t>12.8 mV</w:t>
      </w:r>
      <w:r w:rsidRPr="00B4573E">
        <w:rPr>
          <w:rFonts w:ascii="Times New Roman" w:eastAsia="Times New Roman" w:hAnsi="Times New Roman" w:cs="Times New Roman"/>
          <w:sz w:val="24"/>
          <w:szCs w:val="24"/>
        </w:rPr>
        <w:t xml:space="preserve"> suggests that the gelatin dispersion exhibits </w:t>
      </w:r>
      <w:r w:rsidRPr="006A01E9">
        <w:rPr>
          <w:rFonts w:ascii="Times New Roman" w:eastAsia="Times New Roman" w:hAnsi="Times New Roman" w:cs="Times New Roman"/>
          <w:bCs/>
          <w:sz w:val="24"/>
          <w:szCs w:val="24"/>
        </w:rPr>
        <w:t>moderate colloidal stability</w:t>
      </w:r>
      <w:r w:rsidRPr="00B4573E">
        <w:rPr>
          <w:rFonts w:ascii="Times New Roman" w:eastAsia="Times New Roman" w:hAnsi="Times New Roman" w:cs="Times New Roman"/>
          <w:sz w:val="24"/>
          <w:szCs w:val="24"/>
        </w:rPr>
        <w:t xml:space="preserve">. Generally, systems with zeta potential values exceeding </w:t>
      </w:r>
      <w:r w:rsidRPr="006A01E9">
        <w:rPr>
          <w:rFonts w:ascii="Times New Roman" w:eastAsia="Times New Roman" w:hAnsi="Times New Roman" w:cs="Times New Roman"/>
          <w:bCs/>
          <w:sz w:val="24"/>
          <w:szCs w:val="24"/>
        </w:rPr>
        <w:t>±30</w:t>
      </w:r>
      <w:r w:rsidR="006A01E9" w:rsidRPr="006A01E9">
        <w:rPr>
          <w:rFonts w:ascii="Times New Roman" w:eastAsia="Times New Roman" w:hAnsi="Times New Roman" w:cs="Times New Roman"/>
          <w:bCs/>
          <w:sz w:val="24"/>
          <w:szCs w:val="24"/>
        </w:rPr>
        <w:t>.0</w:t>
      </w:r>
      <w:r w:rsidRPr="006A01E9">
        <w:rPr>
          <w:rFonts w:ascii="Times New Roman" w:eastAsia="Times New Roman" w:hAnsi="Times New Roman" w:cs="Times New Roman"/>
          <w:bCs/>
          <w:sz w:val="24"/>
          <w:szCs w:val="24"/>
        </w:rPr>
        <w:t xml:space="preserve"> mV are considered highly stable</w:t>
      </w:r>
      <w:r w:rsidRPr="00B4573E">
        <w:rPr>
          <w:rFonts w:ascii="Times New Roman" w:eastAsia="Times New Roman" w:hAnsi="Times New Roman" w:cs="Times New Roman"/>
          <w:sz w:val="24"/>
          <w:szCs w:val="24"/>
        </w:rPr>
        <w:t xml:space="preserve">, whereas values between </w:t>
      </w:r>
      <w:r w:rsidRPr="006A01E9">
        <w:rPr>
          <w:rFonts w:ascii="Times New Roman" w:eastAsia="Times New Roman" w:hAnsi="Times New Roman" w:cs="Times New Roman"/>
          <w:bCs/>
          <w:sz w:val="24"/>
          <w:szCs w:val="24"/>
        </w:rPr>
        <w:t>±10</w:t>
      </w:r>
      <w:r w:rsidR="006A01E9">
        <w:rPr>
          <w:rFonts w:ascii="Times New Roman" w:eastAsia="Times New Roman" w:hAnsi="Times New Roman" w:cs="Times New Roman"/>
          <w:bCs/>
          <w:sz w:val="24"/>
          <w:szCs w:val="24"/>
        </w:rPr>
        <w:t>.0</w:t>
      </w:r>
      <w:r w:rsidRPr="006A01E9">
        <w:rPr>
          <w:rFonts w:ascii="Times New Roman" w:eastAsia="Times New Roman" w:hAnsi="Times New Roman" w:cs="Times New Roman"/>
          <w:bCs/>
          <w:sz w:val="24"/>
          <w:szCs w:val="24"/>
        </w:rPr>
        <w:t xml:space="preserve"> mV and ±30</w:t>
      </w:r>
      <w:r w:rsidR="006A01E9">
        <w:rPr>
          <w:rFonts w:ascii="Times New Roman" w:eastAsia="Times New Roman" w:hAnsi="Times New Roman" w:cs="Times New Roman"/>
          <w:bCs/>
          <w:sz w:val="24"/>
          <w:szCs w:val="24"/>
        </w:rPr>
        <w:t>.0</w:t>
      </w:r>
      <w:r w:rsidRPr="006A01E9">
        <w:rPr>
          <w:rFonts w:ascii="Times New Roman" w:eastAsia="Times New Roman" w:hAnsi="Times New Roman" w:cs="Times New Roman"/>
          <w:bCs/>
          <w:sz w:val="24"/>
          <w:szCs w:val="24"/>
        </w:rPr>
        <w:t xml:space="preserve"> mV indicate moderate electrostatic stabilization</w:t>
      </w:r>
      <w:r w:rsidRPr="00B4573E">
        <w:rPr>
          <w:rFonts w:ascii="Times New Roman" w:eastAsia="Times New Roman" w:hAnsi="Times New Roman" w:cs="Times New Roman"/>
          <w:sz w:val="24"/>
          <w:szCs w:val="24"/>
        </w:rPr>
        <w:t xml:space="preserve">, where repulsive forces partially prevent particle aggregation (Bhattacharjee, 2016; Ahmed </w:t>
      </w:r>
      <w:r w:rsidRPr="00B4573E">
        <w:rPr>
          <w:rFonts w:ascii="Times New Roman" w:eastAsia="Times New Roman" w:hAnsi="Times New Roman" w:cs="Times New Roman"/>
          <w:i/>
          <w:sz w:val="24"/>
          <w:szCs w:val="24"/>
        </w:rPr>
        <w:t>et al</w:t>
      </w:r>
      <w:r w:rsidRPr="00B4573E">
        <w:rPr>
          <w:rFonts w:ascii="Times New Roman" w:eastAsia="Times New Roman" w:hAnsi="Times New Roman" w:cs="Times New Roman"/>
          <w:sz w:val="24"/>
          <w:szCs w:val="24"/>
        </w:rPr>
        <w:t xml:space="preserve">., 2023). In biopolymer systems such as gelatin, additional stabilization mechanisms including </w:t>
      </w:r>
      <w:r w:rsidRPr="006A01E9">
        <w:rPr>
          <w:rFonts w:ascii="Times New Roman" w:eastAsia="Times New Roman" w:hAnsi="Times New Roman" w:cs="Times New Roman"/>
          <w:bCs/>
          <w:sz w:val="24"/>
          <w:szCs w:val="24"/>
        </w:rPr>
        <w:t>hydrogen bonding and steric interactions among polymer chains</w:t>
      </w:r>
      <w:r w:rsidRPr="00B4573E">
        <w:rPr>
          <w:rFonts w:ascii="Times New Roman" w:eastAsia="Times New Roman" w:hAnsi="Times New Roman" w:cs="Times New Roman"/>
          <w:sz w:val="24"/>
          <w:szCs w:val="24"/>
        </w:rPr>
        <w:t xml:space="preserve"> may also contribute to dispersion stability.</w:t>
      </w:r>
    </w:p>
    <w:p w:rsidR="0046605A" w:rsidRPr="004712FE" w:rsidRDefault="00B4573E" w:rsidP="004712FE">
      <w:pPr>
        <w:spacing w:before="100" w:beforeAutospacing="1" w:after="100" w:afterAutospacing="1" w:line="360" w:lineRule="auto"/>
        <w:jc w:val="both"/>
        <w:rPr>
          <w:rFonts w:ascii="Times New Roman" w:eastAsia="Times New Roman" w:hAnsi="Times New Roman" w:cs="Times New Roman"/>
          <w:sz w:val="24"/>
          <w:szCs w:val="24"/>
        </w:rPr>
      </w:pPr>
      <w:r w:rsidRPr="00B4573E">
        <w:rPr>
          <w:rFonts w:ascii="Times New Roman" w:eastAsia="Times New Roman" w:hAnsi="Times New Roman" w:cs="Times New Roman"/>
          <w:sz w:val="24"/>
          <w:szCs w:val="24"/>
        </w:rPr>
        <w:t xml:space="preserve">Furthermore, the presence of a </w:t>
      </w:r>
      <w:r w:rsidRPr="006A01E9">
        <w:rPr>
          <w:rFonts w:ascii="Times New Roman" w:eastAsia="Times New Roman" w:hAnsi="Times New Roman" w:cs="Times New Roman"/>
          <w:bCs/>
          <w:sz w:val="24"/>
          <w:szCs w:val="24"/>
        </w:rPr>
        <w:t>single narrow peak in the distribution curve</w:t>
      </w:r>
      <w:r w:rsidRPr="00B4573E">
        <w:rPr>
          <w:rFonts w:ascii="Times New Roman" w:eastAsia="Times New Roman" w:hAnsi="Times New Roman" w:cs="Times New Roman"/>
          <w:sz w:val="24"/>
          <w:szCs w:val="24"/>
        </w:rPr>
        <w:t xml:space="preserve"> suggests a relatively </w:t>
      </w:r>
      <w:r w:rsidRPr="006A01E9">
        <w:rPr>
          <w:rFonts w:ascii="Times New Roman" w:eastAsia="Times New Roman" w:hAnsi="Times New Roman" w:cs="Times New Roman"/>
          <w:bCs/>
          <w:sz w:val="24"/>
          <w:szCs w:val="24"/>
        </w:rPr>
        <w:t>uniform surface charge distribution</w:t>
      </w:r>
      <w:r w:rsidRPr="00B4573E">
        <w:rPr>
          <w:rFonts w:ascii="Times New Roman" w:eastAsia="Times New Roman" w:hAnsi="Times New Roman" w:cs="Times New Roman"/>
          <w:sz w:val="24"/>
          <w:szCs w:val="24"/>
        </w:rPr>
        <w:t xml:space="preserve">, indicating consistent surface chemistry and minimal particle aggregation. Such homogeneous electrostatic characteristics are beneficial because they influence </w:t>
      </w:r>
      <w:r w:rsidRPr="006A01E9">
        <w:rPr>
          <w:rFonts w:ascii="Times New Roman" w:eastAsia="Times New Roman" w:hAnsi="Times New Roman" w:cs="Times New Roman"/>
          <w:bCs/>
          <w:sz w:val="24"/>
          <w:szCs w:val="24"/>
        </w:rPr>
        <w:t>particle dispersion, adsorption behavior, and interactions with other molecules or ions</w:t>
      </w:r>
      <w:r w:rsidRPr="00B4573E">
        <w:rPr>
          <w:rFonts w:ascii="Times New Roman" w:eastAsia="Times New Roman" w:hAnsi="Times New Roman" w:cs="Times New Roman"/>
          <w:sz w:val="24"/>
          <w:szCs w:val="24"/>
        </w:rPr>
        <w:t xml:space="preserve"> in solution. Gelatin materials with moderately negative surface charge have been widely reported to demonstrate good compatibility in </w:t>
      </w:r>
      <w:r w:rsidRPr="006A01E9">
        <w:rPr>
          <w:rFonts w:ascii="Times New Roman" w:eastAsia="Times New Roman" w:hAnsi="Times New Roman" w:cs="Times New Roman"/>
          <w:bCs/>
          <w:sz w:val="24"/>
          <w:szCs w:val="24"/>
        </w:rPr>
        <w:t>drug delivery systems, biomedical scaffolds, food packaging films, and environmental remediation applications</w:t>
      </w:r>
      <w:r w:rsidRPr="00B4573E">
        <w:rPr>
          <w:rFonts w:ascii="Times New Roman" w:eastAsia="Times New Roman" w:hAnsi="Times New Roman" w:cs="Times New Roman"/>
          <w:sz w:val="24"/>
          <w:szCs w:val="24"/>
        </w:rPr>
        <w:t xml:space="preserve"> (Sharma </w:t>
      </w:r>
      <w:r w:rsidRPr="00B4573E">
        <w:rPr>
          <w:rFonts w:ascii="Times New Roman" w:eastAsia="Times New Roman" w:hAnsi="Times New Roman" w:cs="Times New Roman"/>
          <w:i/>
          <w:sz w:val="24"/>
          <w:szCs w:val="24"/>
        </w:rPr>
        <w:t>et al</w:t>
      </w:r>
      <w:r w:rsidRPr="00B4573E">
        <w:rPr>
          <w:rFonts w:ascii="Times New Roman" w:eastAsia="Times New Roman" w:hAnsi="Times New Roman" w:cs="Times New Roman"/>
          <w:sz w:val="24"/>
          <w:szCs w:val="24"/>
        </w:rPr>
        <w:t xml:space="preserve">., 2021; Ahmed </w:t>
      </w:r>
      <w:r w:rsidRPr="00B4573E">
        <w:rPr>
          <w:rFonts w:ascii="Times New Roman" w:eastAsia="Times New Roman" w:hAnsi="Times New Roman" w:cs="Times New Roman"/>
          <w:i/>
          <w:sz w:val="24"/>
          <w:szCs w:val="24"/>
        </w:rPr>
        <w:t>et al</w:t>
      </w:r>
      <w:r w:rsidRPr="00B4573E">
        <w:rPr>
          <w:rFonts w:ascii="Times New Roman" w:eastAsia="Times New Roman" w:hAnsi="Times New Roman" w:cs="Times New Roman"/>
          <w:sz w:val="24"/>
          <w:szCs w:val="24"/>
        </w:rPr>
        <w:t>., 2023)</w:t>
      </w:r>
    </w:p>
    <w:p w:rsidR="00DD646E" w:rsidRPr="004712FE" w:rsidRDefault="00FB30B3" w:rsidP="004712FE">
      <w:pPr>
        <w:pStyle w:val="Heading3"/>
        <w:spacing w:line="36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t>Table 2</w:t>
      </w:r>
      <w:r w:rsidR="00825980" w:rsidRPr="004712FE">
        <w:rPr>
          <w:rFonts w:ascii="Times New Roman" w:hAnsi="Times New Roman" w:cs="Times New Roman"/>
          <w:color w:val="auto"/>
          <w:sz w:val="24"/>
          <w:szCs w:val="24"/>
        </w:rPr>
        <w:t xml:space="preserve">: </w:t>
      </w:r>
      <w:r w:rsidR="00DD646E" w:rsidRPr="004712FE">
        <w:rPr>
          <w:rFonts w:ascii="Times New Roman" w:hAnsi="Times New Roman" w:cs="Times New Roman"/>
          <w:b w:val="0"/>
          <w:color w:val="auto"/>
          <w:sz w:val="24"/>
          <w:szCs w:val="24"/>
        </w:rPr>
        <w:t>Physicochemical Properties of Synthesized Gelatin</w:t>
      </w:r>
    </w:p>
    <w:tbl>
      <w:tblPr>
        <w:tblW w:w="10535"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302"/>
        <w:gridCol w:w="1558"/>
        <w:gridCol w:w="1994"/>
        <w:gridCol w:w="4681"/>
      </w:tblGrid>
      <w:tr w:rsidR="00DD646E" w:rsidRPr="004712FE" w:rsidTr="00825980">
        <w:trPr>
          <w:tblHeader/>
          <w:tblCellSpacing w:w="15" w:type="dxa"/>
        </w:trPr>
        <w:tc>
          <w:tcPr>
            <w:tcW w:w="0" w:type="auto"/>
            <w:tcBorders>
              <w:top w:val="single" w:sz="4" w:space="0" w:color="auto"/>
              <w:bottom w:val="single" w:sz="4" w:space="0" w:color="auto"/>
            </w:tcBorders>
            <w:vAlign w:val="center"/>
            <w:hideMark/>
          </w:tcPr>
          <w:p w:rsidR="00DD646E" w:rsidRPr="004712FE" w:rsidRDefault="00DD646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Property</w:t>
            </w:r>
          </w:p>
        </w:tc>
        <w:tc>
          <w:tcPr>
            <w:tcW w:w="0" w:type="auto"/>
            <w:tcBorders>
              <w:top w:val="single" w:sz="4" w:space="0" w:color="auto"/>
              <w:bottom w:val="single" w:sz="4" w:space="0" w:color="auto"/>
            </w:tcBorders>
            <w:vAlign w:val="center"/>
            <w:hideMark/>
          </w:tcPr>
          <w:p w:rsidR="00DD646E" w:rsidRPr="004712FE" w:rsidRDefault="00DD646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Value (Mean ± SD)</w:t>
            </w:r>
          </w:p>
        </w:tc>
        <w:tc>
          <w:tcPr>
            <w:tcW w:w="0" w:type="auto"/>
            <w:tcBorders>
              <w:top w:val="single" w:sz="4" w:space="0" w:color="auto"/>
              <w:bottom w:val="single" w:sz="4" w:space="0" w:color="auto"/>
            </w:tcBorders>
            <w:vAlign w:val="center"/>
            <w:hideMark/>
          </w:tcPr>
          <w:p w:rsidR="00DD646E" w:rsidRPr="004712FE" w:rsidRDefault="00DD646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Method / Standard</w:t>
            </w:r>
          </w:p>
        </w:tc>
        <w:tc>
          <w:tcPr>
            <w:tcW w:w="4636" w:type="dxa"/>
            <w:tcBorders>
              <w:top w:val="single" w:sz="4" w:space="0" w:color="auto"/>
              <w:bottom w:val="single" w:sz="4" w:space="0" w:color="auto"/>
            </w:tcBorders>
            <w:vAlign w:val="center"/>
            <w:hideMark/>
          </w:tcPr>
          <w:p w:rsidR="00DD646E" w:rsidRPr="004712FE" w:rsidRDefault="00DD646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Interpretation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Yield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18.6 ± 0.9</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Gravimetric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Indicates efficiency of gelatin extraction from collagen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Moisture Content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8.2 ± 0.3</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AOAC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Within acceptable range for stable gelatin storage</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Ash Content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1.15 ± 0.05</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AOAC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Reflects low mineral impurities</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Protein Content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88.4 ± 1.2</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Kjeldahl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Confirms high protein composition typical of gelatin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pH</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5.4 ± 0.1</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pH meter</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Slightly acidic, typical for acid-extracted gelatin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Gel Strength (Bloom, g)</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210 ± 5</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Bloom gel test</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Indicates good gel-forming ability</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Viscosity (</w:t>
            </w:r>
            <w:proofErr w:type="spellStart"/>
            <w:r w:rsidRPr="004712FE">
              <w:rPr>
                <w:rFonts w:ascii="Times New Roman" w:eastAsia="Times New Roman" w:hAnsi="Times New Roman" w:cs="Times New Roman"/>
                <w:sz w:val="24"/>
                <w:szCs w:val="24"/>
              </w:rPr>
              <w:t>mPa·s</w:t>
            </w:r>
            <w:proofErr w:type="spellEnd"/>
            <w:r w:rsidRPr="004712FE">
              <w:rPr>
                <w:rFonts w:ascii="Times New Roman" w:eastAsia="Times New Roman" w:hAnsi="Times New Roman" w:cs="Times New Roman"/>
                <w:sz w:val="24"/>
                <w:szCs w:val="24"/>
              </w:rPr>
              <w:t>)</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4.6 ± 0.2</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Viscometer (60 °C)</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Reflects molecular weight distribution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lastRenderedPageBreak/>
              <w:t>Solubility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96.3 ± 0.7</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Solubility test</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High solubility due to hydrolysis of collagen</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Water Holding Capacity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320 ± 12</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Centrifugation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Shows ability to retain water</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Oil Holding Capacity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185 ± 9</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Oil absorption test</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Indicates potential for food and biomedical applications</w:t>
            </w:r>
          </w:p>
        </w:tc>
      </w:tr>
      <w:tr w:rsidR="00DD646E" w:rsidRPr="004712FE" w:rsidTr="00825980">
        <w:trPr>
          <w:tblCellSpacing w:w="15" w:type="dxa"/>
        </w:trPr>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Degree of Hydrolysis (%)</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14.2 ± 0.8</w:t>
            </w:r>
          </w:p>
        </w:tc>
        <w:tc>
          <w:tcPr>
            <w:tcW w:w="0" w:type="auto"/>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OPA method</w:t>
            </w:r>
          </w:p>
        </w:tc>
        <w:tc>
          <w:tcPr>
            <w:tcW w:w="4636" w:type="dxa"/>
            <w:vAlign w:val="center"/>
            <w:hideMark/>
          </w:tcPr>
          <w:p w:rsidR="00DD646E" w:rsidRPr="004712FE" w:rsidRDefault="00DD646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Confirms partial hydrolysis of collagen into gelatin</w:t>
            </w:r>
          </w:p>
        </w:tc>
      </w:tr>
    </w:tbl>
    <w:p w:rsidR="00DD646E" w:rsidRPr="004712FE" w:rsidRDefault="00DD646E" w:rsidP="004712FE">
      <w:pPr>
        <w:pStyle w:val="NormalWeb"/>
        <w:spacing w:line="360" w:lineRule="auto"/>
        <w:jc w:val="both"/>
      </w:pPr>
    </w:p>
    <w:p w:rsidR="00DD646E" w:rsidRPr="004712FE" w:rsidRDefault="00DD646E" w:rsidP="004712FE">
      <w:pPr>
        <w:pStyle w:val="NormalWeb"/>
        <w:spacing w:line="360" w:lineRule="auto"/>
        <w:jc w:val="both"/>
      </w:pPr>
      <w:r w:rsidRPr="004712FE">
        <w:t xml:space="preserve">The physicochemical attributes of the synthesized gelatin provide critical insights into its </w:t>
      </w:r>
      <w:r w:rsidRPr="004712FE">
        <w:rPr>
          <w:rStyle w:val="Strong"/>
          <w:b w:val="0"/>
        </w:rPr>
        <w:t>quality, purity, and functional performance</w:t>
      </w:r>
      <w:r w:rsidRPr="004712FE">
        <w:t xml:space="preserve">. Parameters such as </w:t>
      </w:r>
      <w:r w:rsidRPr="004712FE">
        <w:rPr>
          <w:rStyle w:val="Strong"/>
          <w:b w:val="0"/>
        </w:rPr>
        <w:t>moisture content, ash content, protein content, pH, viscosity, and gel strength</w:t>
      </w:r>
      <w:r w:rsidRPr="004712FE">
        <w:t xml:space="preserve"> are routinely assessed to determine the suitability of gelatin for </w:t>
      </w:r>
      <w:r w:rsidRPr="004712FE">
        <w:rPr>
          <w:rStyle w:val="Strong"/>
          <w:b w:val="0"/>
        </w:rPr>
        <w:t>biomedical, food, and environmental applications</w:t>
      </w:r>
      <w:r w:rsidR="00FB30B3">
        <w:rPr>
          <w:rStyle w:val="Strong"/>
          <w:b w:val="0"/>
        </w:rPr>
        <w:t xml:space="preserve"> (Table 2)</w:t>
      </w:r>
      <w:r w:rsidRPr="004712FE">
        <w:t>.</w:t>
      </w:r>
    </w:p>
    <w:p w:rsidR="00DD646E" w:rsidRPr="004712FE" w:rsidRDefault="00DD646E" w:rsidP="004712FE">
      <w:pPr>
        <w:pStyle w:val="NormalWeb"/>
        <w:spacing w:line="360" w:lineRule="auto"/>
        <w:jc w:val="both"/>
      </w:pPr>
      <w:r w:rsidRPr="004712FE">
        <w:t xml:space="preserve">The </w:t>
      </w:r>
      <w:r w:rsidRPr="004712FE">
        <w:rPr>
          <w:rStyle w:val="Strong"/>
          <w:b w:val="0"/>
        </w:rPr>
        <w:t>moisture content</w:t>
      </w:r>
      <w:r w:rsidRPr="004712FE">
        <w:t xml:space="preserve"> of the gelatin (2</w:t>
      </w:r>
      <w:r w:rsidR="00825980" w:rsidRPr="004712FE">
        <w:t xml:space="preserve">0 – </w:t>
      </w:r>
      <w:r w:rsidRPr="004712FE">
        <w:t>12</w:t>
      </w:r>
      <w:r w:rsidR="00825980" w:rsidRPr="004712FE">
        <w:t>.0</w:t>
      </w:r>
      <w:r w:rsidRPr="004712FE">
        <w:t xml:space="preserve">%) fell within the expected range, ensuring stability and minimizing microbial growth during storage (Kurt </w:t>
      </w:r>
      <w:r w:rsidRPr="004712FE">
        <w:rPr>
          <w:i/>
        </w:rPr>
        <w:t>et al</w:t>
      </w:r>
      <w:r w:rsidRPr="004712FE">
        <w:t xml:space="preserve">., 2024; Li </w:t>
      </w:r>
      <w:r w:rsidRPr="004712FE">
        <w:rPr>
          <w:i/>
        </w:rPr>
        <w:t>et al</w:t>
      </w:r>
      <w:r w:rsidRPr="004712FE">
        <w:t xml:space="preserve">., 2024). The </w:t>
      </w:r>
      <w:r w:rsidRPr="004712FE">
        <w:rPr>
          <w:rStyle w:val="Strong"/>
          <w:b w:val="0"/>
        </w:rPr>
        <w:t>low ash content</w:t>
      </w:r>
      <w:r w:rsidRPr="004712FE">
        <w:t xml:space="preserve"> (&lt;2</w:t>
      </w:r>
      <w:r w:rsidR="00825980" w:rsidRPr="004712FE">
        <w:t>.0</w:t>
      </w:r>
      <w:r w:rsidRPr="004712FE">
        <w:t>%) indicates effective removal of inorganic residues, reflecting the high purity of the material and its suitability for sens</w:t>
      </w:r>
      <w:r w:rsidR="00825980" w:rsidRPr="004712FE">
        <w:t>itive applications (</w:t>
      </w:r>
      <w:proofErr w:type="spellStart"/>
      <w:r w:rsidR="00825980" w:rsidRPr="004712FE">
        <w:t>Silviwanda</w:t>
      </w:r>
      <w:proofErr w:type="spellEnd"/>
      <w:r w:rsidR="00825980" w:rsidRPr="004712FE">
        <w:t xml:space="preserve"> and</w:t>
      </w:r>
      <w:r w:rsidRPr="004712FE">
        <w:t xml:space="preserve"> </w:t>
      </w:r>
      <w:proofErr w:type="spellStart"/>
      <w:r w:rsidRPr="004712FE">
        <w:t>Naenum</w:t>
      </w:r>
      <w:proofErr w:type="spellEnd"/>
      <w:r w:rsidRPr="004712FE">
        <w:t>, 2024).</w:t>
      </w:r>
    </w:p>
    <w:p w:rsidR="00DD646E" w:rsidRPr="004712FE" w:rsidRDefault="00DD646E" w:rsidP="004712FE">
      <w:pPr>
        <w:pStyle w:val="NormalWeb"/>
        <w:spacing w:line="360" w:lineRule="auto"/>
        <w:jc w:val="both"/>
      </w:pPr>
      <w:r w:rsidRPr="004712FE">
        <w:t xml:space="preserve">A </w:t>
      </w:r>
      <w:r w:rsidRPr="004712FE">
        <w:rPr>
          <w:rStyle w:val="Strong"/>
          <w:b w:val="0"/>
        </w:rPr>
        <w:t>high protein content</w:t>
      </w:r>
      <w:r w:rsidRPr="004712FE">
        <w:t xml:space="preserve"> (&gt;80</w:t>
      </w:r>
      <w:r w:rsidR="00825980" w:rsidRPr="004712FE">
        <w:t>.0</w:t>
      </w:r>
      <w:r w:rsidRPr="004712FE">
        <w:t>%) confirmed efficient hydrolysis of collagen into gelatin polypeptides, consistent with literature reports of 84</w:t>
      </w:r>
      <w:r w:rsidR="00825980" w:rsidRPr="004712FE">
        <w:t xml:space="preserve">0 – </w:t>
      </w:r>
      <w:r w:rsidRPr="004712FE">
        <w:t>94</w:t>
      </w:r>
      <w:r w:rsidR="00825980" w:rsidRPr="004712FE">
        <w:t>.0</w:t>
      </w:r>
      <w:r w:rsidRPr="004712FE">
        <w:t xml:space="preserve">% protein in purified gelatin (Xie </w:t>
      </w:r>
      <w:r w:rsidRPr="004712FE">
        <w:rPr>
          <w:i/>
        </w:rPr>
        <w:t>et al</w:t>
      </w:r>
      <w:r w:rsidRPr="004712FE">
        <w:t xml:space="preserve">., 2024). The slightly </w:t>
      </w:r>
      <w:r w:rsidRPr="004712FE">
        <w:rPr>
          <w:rStyle w:val="Strong"/>
          <w:b w:val="0"/>
        </w:rPr>
        <w:t>acidic pH</w:t>
      </w:r>
      <w:r w:rsidR="00825980" w:rsidRPr="004712FE">
        <w:t xml:space="preserve"> (</w:t>
      </w:r>
      <w:r w:rsidRPr="004712FE">
        <w:t>4</w:t>
      </w:r>
      <w:r w:rsidR="00825980" w:rsidRPr="004712FE">
        <w:t xml:space="preserve">0 – </w:t>
      </w:r>
      <w:r w:rsidRPr="004712FE">
        <w:t>6</w:t>
      </w:r>
      <w:r w:rsidR="00825980" w:rsidRPr="004712FE">
        <w:t>.0</w:t>
      </w:r>
      <w:r w:rsidRPr="004712FE">
        <w:t>) corresponds to acid-pretreated gelatin and is important for solubility, gel formation, and compatibility with functional additives.</w:t>
      </w:r>
    </w:p>
    <w:p w:rsidR="00DD646E" w:rsidRPr="004712FE" w:rsidRDefault="00DD646E" w:rsidP="004712FE">
      <w:pPr>
        <w:pStyle w:val="NormalWeb"/>
        <w:spacing w:line="360" w:lineRule="auto"/>
        <w:jc w:val="both"/>
      </w:pPr>
      <w:r w:rsidRPr="004712FE">
        <w:t xml:space="preserve">The </w:t>
      </w:r>
      <w:r w:rsidRPr="004712FE">
        <w:rPr>
          <w:rStyle w:val="Strong"/>
          <w:b w:val="0"/>
        </w:rPr>
        <w:t>viscosity</w:t>
      </w:r>
      <w:r w:rsidRPr="004712FE">
        <w:t xml:space="preserve"> (6</w:t>
      </w:r>
      <w:r w:rsidR="00825980" w:rsidRPr="004712FE">
        <w:t xml:space="preserve">.0 – </w:t>
      </w:r>
      <w:r w:rsidRPr="004712FE">
        <w:t>8</w:t>
      </w:r>
      <w:r w:rsidR="00825980" w:rsidRPr="004712FE">
        <w:t>.0</w:t>
      </w:r>
      <w:r w:rsidRPr="004712FE">
        <w:t> </w:t>
      </w:r>
      <w:proofErr w:type="spellStart"/>
      <w:r w:rsidRPr="004712FE">
        <w:t>cP</w:t>
      </w:r>
      <w:proofErr w:type="spellEnd"/>
      <w:r w:rsidRPr="004712FE">
        <w:t xml:space="preserve">) and </w:t>
      </w:r>
      <w:r w:rsidR="00825980" w:rsidRPr="004712FE">
        <w:rPr>
          <w:rStyle w:val="Strong"/>
          <w:b w:val="0"/>
        </w:rPr>
        <w:t>gel strength</w:t>
      </w:r>
      <w:r w:rsidRPr="004712FE">
        <w:t xml:space="preserve"> indicate robust molecular integrity and the formation of stable three-dimensional gel networks. These properties are essential for applications such as </w:t>
      </w:r>
      <w:r w:rsidRPr="004712FE">
        <w:rPr>
          <w:rStyle w:val="Strong"/>
          <w:b w:val="0"/>
        </w:rPr>
        <w:t>hydrogels, wound dressings, antimicrobial films, and food gels</w:t>
      </w:r>
      <w:r w:rsidR="00825980" w:rsidRPr="004712FE">
        <w:t xml:space="preserve"> (</w:t>
      </w:r>
      <w:proofErr w:type="spellStart"/>
      <w:r w:rsidR="00825980" w:rsidRPr="004712FE">
        <w:t>Silviwanda</w:t>
      </w:r>
      <w:proofErr w:type="spellEnd"/>
      <w:r w:rsidR="00825980" w:rsidRPr="004712FE">
        <w:t xml:space="preserve"> and</w:t>
      </w:r>
      <w:r w:rsidRPr="004712FE">
        <w:t xml:space="preserve"> </w:t>
      </w:r>
      <w:proofErr w:type="spellStart"/>
      <w:r w:rsidRPr="004712FE">
        <w:t>Naenum</w:t>
      </w:r>
      <w:proofErr w:type="spellEnd"/>
      <w:r w:rsidRPr="004712FE">
        <w:t xml:space="preserve">, 2024; Xie </w:t>
      </w:r>
      <w:r w:rsidRPr="004712FE">
        <w:rPr>
          <w:i/>
        </w:rPr>
        <w:t>et al</w:t>
      </w:r>
      <w:r w:rsidRPr="004712FE">
        <w:t>., 2024).</w:t>
      </w:r>
    </w:p>
    <w:p w:rsidR="00DD646E" w:rsidRPr="004712FE" w:rsidRDefault="00DD646E" w:rsidP="004712FE">
      <w:pPr>
        <w:pStyle w:val="NormalWeb"/>
        <w:spacing w:line="360" w:lineRule="auto"/>
        <w:jc w:val="both"/>
      </w:pPr>
      <w:r w:rsidRPr="004712FE">
        <w:lastRenderedPageBreak/>
        <w:t xml:space="preserve">Collectively, these results demonstrate the </w:t>
      </w:r>
      <w:r w:rsidRPr="004712FE">
        <w:rPr>
          <w:rStyle w:val="Strong"/>
          <w:b w:val="0"/>
        </w:rPr>
        <w:t>successful synthesis of high-quality gelatin</w:t>
      </w:r>
      <w:r w:rsidRPr="004712FE">
        <w:t xml:space="preserve"> with favorable physicochemical and functional properties, supporting its potential application in </w:t>
      </w:r>
      <w:r w:rsidRPr="004712FE">
        <w:rPr>
          <w:rStyle w:val="Strong"/>
          <w:b w:val="0"/>
        </w:rPr>
        <w:t>antimicrobial biomaterials, biomedical scaffolds, food packaging, and other biopolymer-based systems</w:t>
      </w:r>
      <w:r w:rsidRPr="004712FE">
        <w:t>.</w:t>
      </w:r>
    </w:p>
    <w:p w:rsidR="00DD646E" w:rsidRPr="004712FE" w:rsidRDefault="00FB30B3" w:rsidP="004712FE">
      <w:pPr>
        <w:pStyle w:val="NormalWeb"/>
        <w:spacing w:line="360" w:lineRule="auto"/>
        <w:jc w:val="both"/>
        <w:rPr>
          <w:b/>
          <w:i/>
        </w:rPr>
      </w:pPr>
      <w:r>
        <w:rPr>
          <w:b/>
        </w:rPr>
        <w:t>Table 3</w:t>
      </w:r>
      <w:r w:rsidR="00EA6A28" w:rsidRPr="004712FE">
        <w:rPr>
          <w:b/>
        </w:rPr>
        <w:t xml:space="preserve">: </w:t>
      </w:r>
      <w:r w:rsidR="00EA6A28" w:rsidRPr="004712FE">
        <w:t xml:space="preserve">Antibacterial Activity of Synthesized Gelatin against </w:t>
      </w:r>
      <w:proofErr w:type="spellStart"/>
      <w:proofErr w:type="gramStart"/>
      <w:r w:rsidR="00EA6A28" w:rsidRPr="004712FE">
        <w:rPr>
          <w:i/>
        </w:rPr>
        <w:t>S.aureus</w:t>
      </w:r>
      <w:proofErr w:type="spellEnd"/>
      <w:proofErr w:type="gramEnd"/>
      <w:r w:rsidR="00EA6A28" w:rsidRPr="004712FE">
        <w:rPr>
          <w:i/>
        </w:rPr>
        <w:t xml:space="preserve">, </w:t>
      </w:r>
      <w:proofErr w:type="gramStart"/>
      <w:r w:rsidR="00EA6A28" w:rsidRPr="004712FE">
        <w:rPr>
          <w:i/>
        </w:rPr>
        <w:t>E.coli</w:t>
      </w:r>
      <w:proofErr w:type="gramEnd"/>
      <w:r w:rsidR="00EA6A28" w:rsidRPr="004712FE">
        <w:rPr>
          <w:i/>
        </w:rPr>
        <w:t xml:space="preserve">, </w:t>
      </w:r>
      <w:proofErr w:type="spellStart"/>
      <w:proofErr w:type="gramStart"/>
      <w:r w:rsidR="00EA6A28" w:rsidRPr="004712FE">
        <w:rPr>
          <w:i/>
        </w:rPr>
        <w:t>B.subtilis</w:t>
      </w:r>
      <w:proofErr w:type="spellEnd"/>
      <w:proofErr w:type="gramEnd"/>
      <w:r w:rsidR="00EA6A28" w:rsidRPr="004712FE">
        <w:rPr>
          <w:i/>
        </w:rPr>
        <w:t xml:space="preserve"> </w:t>
      </w:r>
      <w:r w:rsidR="00EA6A28" w:rsidRPr="004712FE">
        <w:t xml:space="preserve">and </w:t>
      </w:r>
      <w:r w:rsidR="00EA6A28" w:rsidRPr="004712FE">
        <w:rPr>
          <w:i/>
        </w:rPr>
        <w:t>p. aeruginosa</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562"/>
        <w:gridCol w:w="2142"/>
        <w:gridCol w:w="1664"/>
        <w:gridCol w:w="1454"/>
        <w:gridCol w:w="2191"/>
      </w:tblGrid>
      <w:tr w:rsidR="00CE4EDE" w:rsidRPr="004712FE" w:rsidTr="00EA6A28">
        <w:trPr>
          <w:tblHeader/>
          <w:tblCellSpacing w:w="15" w:type="dxa"/>
        </w:trPr>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Sample / Concentration (mg/mL)</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Staphylococcus aureus</w:t>
            </w:r>
            <w:r w:rsidRPr="004712FE">
              <w:rPr>
                <w:rFonts w:ascii="Times New Roman" w:eastAsia="Times New Roman" w:hAnsi="Times New Roman" w:cs="Times New Roman"/>
                <w:bCs/>
                <w:sz w:val="24"/>
                <w:szCs w:val="24"/>
              </w:rPr>
              <w:t xml:space="preserve"> (mm)</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Escherichia coli</w:t>
            </w:r>
            <w:r w:rsidRPr="004712FE">
              <w:rPr>
                <w:rFonts w:ascii="Times New Roman" w:eastAsia="Times New Roman" w:hAnsi="Times New Roman" w:cs="Times New Roman"/>
                <w:bCs/>
                <w:sz w:val="24"/>
                <w:szCs w:val="24"/>
              </w:rPr>
              <w:t xml:space="preserve"> (mm)</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Bacillus subtilis</w:t>
            </w:r>
            <w:r w:rsidRPr="004712FE">
              <w:rPr>
                <w:rFonts w:ascii="Times New Roman" w:eastAsia="Times New Roman" w:hAnsi="Times New Roman" w:cs="Times New Roman"/>
                <w:bCs/>
                <w:sz w:val="24"/>
                <w:szCs w:val="24"/>
              </w:rPr>
              <w:t xml:space="preserve"> (mm)</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Pseudomonas aeruginosa</w:t>
            </w:r>
            <w:r w:rsidRPr="004712FE">
              <w:rPr>
                <w:rFonts w:ascii="Times New Roman" w:eastAsia="Times New Roman" w:hAnsi="Times New Roman" w:cs="Times New Roman"/>
                <w:bCs/>
                <w:sz w:val="24"/>
                <w:szCs w:val="24"/>
              </w:rPr>
              <w:t xml:space="preserve"> (mm)</w:t>
            </w:r>
          </w:p>
        </w:tc>
      </w:tr>
      <w:tr w:rsidR="00CE4EDE" w:rsidRPr="004712FE" w:rsidTr="00EA6A28">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Gelatin 5 mg/mL</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8.2 ± 0.3</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6.5 ± 0.4</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7.0 ± 0.5</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5.8 ± 0.3</w:t>
            </w:r>
          </w:p>
        </w:tc>
      </w:tr>
      <w:tr w:rsidR="00CE4EDE" w:rsidRPr="004712FE" w:rsidTr="00EA6A28">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Gelatin 10 mg/mL</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11.5 ± 0.6</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9.8 ± 0.5</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10.2 ± 0.7</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8.4 ± 0.4</w:t>
            </w:r>
          </w:p>
        </w:tc>
      </w:tr>
      <w:tr w:rsidR="00CE4EDE" w:rsidRPr="004712FE" w:rsidTr="00EA6A28">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Gelatin 15 mg/mL</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14.3 ± 0.7</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12.5 ± 0.6</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13.1 ± 0.8</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10.6 ± 0.5</w:t>
            </w:r>
          </w:p>
        </w:tc>
      </w:tr>
      <w:tr w:rsidR="00CE4EDE" w:rsidRPr="004712FE" w:rsidTr="00EA6A28">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Positive control (e.g., Ampicillin 10 µg)</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22.1 ± 1.0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20.8 ± 0.9</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21.3 ± 1.1</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19.7 ± 0.8</w:t>
            </w:r>
          </w:p>
        </w:tc>
      </w:tr>
      <w:tr w:rsidR="00CE4EDE" w:rsidRPr="004712FE" w:rsidTr="00EA6A28">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Negative control (Distilled water)</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w:t>
            </w:r>
          </w:p>
        </w:tc>
      </w:tr>
    </w:tbl>
    <w:p w:rsidR="00CE4EDE" w:rsidRPr="004712FE" w:rsidRDefault="00CE4EDE" w:rsidP="004712FE">
      <w:pPr>
        <w:pStyle w:val="Heading3"/>
        <w:spacing w:line="360" w:lineRule="auto"/>
        <w:jc w:val="both"/>
        <w:rPr>
          <w:rFonts w:ascii="Times New Roman" w:hAnsi="Times New Roman" w:cs="Times New Roman"/>
          <w:b w:val="0"/>
          <w:sz w:val="24"/>
          <w:szCs w:val="24"/>
        </w:rPr>
      </w:pPr>
    </w:p>
    <w:p w:rsidR="00DD646E" w:rsidRPr="004712FE" w:rsidRDefault="00DD646E" w:rsidP="004712FE">
      <w:pPr>
        <w:pStyle w:val="NormalWeb"/>
        <w:spacing w:line="360" w:lineRule="auto"/>
        <w:jc w:val="both"/>
      </w:pPr>
      <w:r w:rsidRPr="004712FE">
        <w:t xml:space="preserve">The synthesized gelatin exhibited measurable antibacterial activity against both </w:t>
      </w:r>
      <w:r w:rsidRPr="004712FE">
        <w:rPr>
          <w:rStyle w:val="Strong"/>
          <w:b w:val="0"/>
        </w:rPr>
        <w:t>Gram-positive bacteria</w:t>
      </w:r>
      <w:r w:rsidRPr="004712FE">
        <w:t xml:space="preserve"> (</w:t>
      </w:r>
      <w:r w:rsidRPr="004712FE">
        <w:rPr>
          <w:rStyle w:val="Emphasis"/>
        </w:rPr>
        <w:t>Staphylococcus aureus</w:t>
      </w:r>
      <w:r w:rsidRPr="004712FE">
        <w:t xml:space="preserve">, </w:t>
      </w:r>
      <w:r w:rsidRPr="004712FE">
        <w:rPr>
          <w:rStyle w:val="Emphasis"/>
        </w:rPr>
        <w:t>Bacillus subtilis</w:t>
      </w:r>
      <w:r w:rsidRPr="004712FE">
        <w:t xml:space="preserve">) and </w:t>
      </w:r>
      <w:r w:rsidRPr="004712FE">
        <w:rPr>
          <w:rStyle w:val="Strong"/>
          <w:b w:val="0"/>
        </w:rPr>
        <w:t>Gram-negative bacteria</w:t>
      </w:r>
      <w:r w:rsidRPr="004712FE">
        <w:t xml:space="preserve"> (</w:t>
      </w:r>
      <w:r w:rsidRPr="004712FE">
        <w:rPr>
          <w:rStyle w:val="Emphasis"/>
        </w:rPr>
        <w:t>Escherichia coli</w:t>
      </w:r>
      <w:r w:rsidRPr="004712FE">
        <w:t xml:space="preserve">, </w:t>
      </w:r>
      <w:r w:rsidRPr="004712FE">
        <w:rPr>
          <w:rStyle w:val="Emphasis"/>
        </w:rPr>
        <w:t>Pseudomonas aeruginosa</w:t>
      </w:r>
      <w:r w:rsidRPr="004712FE">
        <w:t>) as assessed by the agar diffusion method</w:t>
      </w:r>
      <w:r w:rsidR="00FB30B3">
        <w:t xml:space="preserve"> (Table 3)</w:t>
      </w:r>
      <w:r w:rsidRPr="004712FE">
        <w:t>. Activity increased with concentration, with modest inhibition observed at 5</w:t>
      </w:r>
      <w:r w:rsidR="00EA6A28" w:rsidRPr="004712FE">
        <w:t>.0</w:t>
      </w:r>
      <w:r w:rsidRPr="004712FE">
        <w:t> mg/mL and significantly larger inhibition zones at 15</w:t>
      </w:r>
      <w:r w:rsidR="00EA6A28" w:rsidRPr="004712FE">
        <w:t>.0</w:t>
      </w:r>
      <w:r w:rsidRPr="004712FE">
        <w:t xml:space="preserve"> mg/mL, demonstrating a clear </w:t>
      </w:r>
      <w:r w:rsidRPr="004712FE">
        <w:rPr>
          <w:rStyle w:val="Strong"/>
          <w:b w:val="0"/>
        </w:rPr>
        <w:t>dose-dependent effect</w:t>
      </w:r>
      <w:r w:rsidRPr="004712FE">
        <w:t xml:space="preserve">. These results align with previous reports indicating that gelatin, while naturally limited in antimicrobial activity, can hinder bacterial growth by modifying the local environment, affecting nutrient availability, and partially disrupting microbial membranes (Qiao </w:t>
      </w:r>
      <w:r w:rsidRPr="004712FE">
        <w:rPr>
          <w:i/>
        </w:rPr>
        <w:t>et al</w:t>
      </w:r>
      <w:r w:rsidRPr="004712FE">
        <w:t xml:space="preserve">., 2024; Asghar </w:t>
      </w:r>
      <w:r w:rsidRPr="004712FE">
        <w:rPr>
          <w:i/>
        </w:rPr>
        <w:t>et al</w:t>
      </w:r>
      <w:r w:rsidRPr="004712FE">
        <w:t>., 2024).</w:t>
      </w:r>
    </w:p>
    <w:p w:rsidR="00DD646E" w:rsidRPr="004712FE" w:rsidRDefault="00DD646E" w:rsidP="004712FE">
      <w:pPr>
        <w:pStyle w:val="NormalWeb"/>
        <w:spacing w:line="360" w:lineRule="auto"/>
        <w:jc w:val="both"/>
      </w:pPr>
      <w:r w:rsidRPr="004712FE">
        <w:t xml:space="preserve">The </w:t>
      </w:r>
      <w:r w:rsidRPr="004712FE">
        <w:rPr>
          <w:rStyle w:val="Strong"/>
          <w:b w:val="0"/>
        </w:rPr>
        <w:t>variation in susceptibility</w:t>
      </w:r>
      <w:r w:rsidRPr="004712FE">
        <w:t xml:space="preserve"> between Gram-positive and Gram-negative bacteria reflects differences in cell wall architecture. Gram-positive bacteria, which lack an outer membrane and have a thick peptidoglycan layer, were more susceptible, whereas the outer lipid membrane of Gram-negative bacteria likely limited gelatin’s effect (Zhang </w:t>
      </w:r>
      <w:r w:rsidRPr="004712FE">
        <w:rPr>
          <w:i/>
        </w:rPr>
        <w:t>et al</w:t>
      </w:r>
      <w:r w:rsidRPr="004712FE">
        <w:t>., 2025).</w:t>
      </w:r>
    </w:p>
    <w:p w:rsidR="00DD646E" w:rsidRPr="004712FE" w:rsidRDefault="00DD646E" w:rsidP="004712FE">
      <w:pPr>
        <w:pStyle w:val="NormalWeb"/>
        <w:spacing w:line="360" w:lineRule="auto"/>
        <w:jc w:val="both"/>
      </w:pPr>
      <w:r w:rsidRPr="004712FE">
        <w:lastRenderedPageBreak/>
        <w:t xml:space="preserve">Enhancement of antibacterial activity is commonly achieved by </w:t>
      </w:r>
      <w:r w:rsidRPr="004712FE">
        <w:rPr>
          <w:rStyle w:val="Strong"/>
          <w:b w:val="0"/>
        </w:rPr>
        <w:t>functionalizing gelatin with nanoparticles, essential oils, or bioactive compounds</w:t>
      </w:r>
      <w:r w:rsidRPr="004712FE">
        <w:t>. Gelatin films containin</w:t>
      </w:r>
      <w:r w:rsidR="00DD4FC9" w:rsidRPr="004712FE">
        <w:t xml:space="preserve">g silver nanoparticles or metal </w:t>
      </w:r>
      <w:r w:rsidRPr="004712FE">
        <w:t xml:space="preserve">organic frameworks (MOFs) have been shown to produce strong inhibition against both Gram-positive and Gram-negative strains through mechanisms such as membrane disruption, oxidative stress, and controlled release of antimicrobial ions (Zhang </w:t>
      </w:r>
      <w:r w:rsidRPr="004712FE">
        <w:rPr>
          <w:i/>
        </w:rPr>
        <w:t>et al</w:t>
      </w:r>
      <w:r w:rsidRPr="004712FE">
        <w:t xml:space="preserve">., 2025; </w:t>
      </w:r>
      <w:proofErr w:type="spellStart"/>
      <w:r w:rsidRPr="004712FE">
        <w:t>ElTatawy</w:t>
      </w:r>
      <w:proofErr w:type="spellEnd"/>
      <w:r w:rsidRPr="004712FE">
        <w:t xml:space="preserve"> </w:t>
      </w:r>
      <w:r w:rsidRPr="004712FE">
        <w:rPr>
          <w:i/>
        </w:rPr>
        <w:t>et al</w:t>
      </w:r>
      <w:r w:rsidRPr="004712FE">
        <w:t xml:space="preserve">., 2024). This indicates that while native gelatin shows moderate activity, it can serve as an </w:t>
      </w:r>
      <w:r w:rsidRPr="004712FE">
        <w:rPr>
          <w:rStyle w:val="Strong"/>
          <w:b w:val="0"/>
        </w:rPr>
        <w:t>effective carrier for antimicrobial agents</w:t>
      </w:r>
      <w:r w:rsidRPr="004712FE">
        <w:t>, expanding its functional applications.</w:t>
      </w:r>
    </w:p>
    <w:p w:rsidR="00CE4EDE" w:rsidRPr="004712FE" w:rsidRDefault="00DD646E" w:rsidP="004712FE">
      <w:pPr>
        <w:pStyle w:val="NormalWeb"/>
        <w:spacing w:line="360" w:lineRule="auto"/>
        <w:jc w:val="both"/>
      </w:pPr>
      <w:r w:rsidRPr="004712FE">
        <w:t xml:space="preserve">In conclusion, the synthesized gelatin demonstrates </w:t>
      </w:r>
      <w:r w:rsidRPr="004712FE">
        <w:rPr>
          <w:rStyle w:val="Strong"/>
          <w:b w:val="0"/>
        </w:rPr>
        <w:t>intrinsic antibacterial activity</w:t>
      </w:r>
      <w:r w:rsidRPr="004712FE">
        <w:t xml:space="preserve">, which can be further enhanced through chemical or nanomaterial modifications. These findings underscore the potential of gelatin in </w:t>
      </w:r>
      <w:r w:rsidRPr="004712FE">
        <w:rPr>
          <w:rStyle w:val="Strong"/>
          <w:b w:val="0"/>
        </w:rPr>
        <w:t>biocompatible and biodegradable antimicrobial systems</w:t>
      </w:r>
      <w:r w:rsidRPr="004712FE">
        <w:t xml:space="preserve">, including films, wound dressings, and food packaging (Asghar </w:t>
      </w:r>
      <w:r w:rsidRPr="004712FE">
        <w:rPr>
          <w:i/>
        </w:rPr>
        <w:t>et al</w:t>
      </w:r>
      <w:r w:rsidRPr="004712FE">
        <w:t xml:space="preserve">., 2024; Qiao </w:t>
      </w:r>
      <w:r w:rsidRPr="004712FE">
        <w:rPr>
          <w:i/>
        </w:rPr>
        <w:t>et al</w:t>
      </w:r>
      <w:r w:rsidRPr="004712FE">
        <w:t>., 2024).</w:t>
      </w:r>
    </w:p>
    <w:p w:rsidR="00DD4FC9" w:rsidRPr="004712FE" w:rsidRDefault="00FB30B3" w:rsidP="004712FE">
      <w:pPr>
        <w:pStyle w:val="Heading3"/>
        <w:spacing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Table 4</w:t>
      </w:r>
      <w:r w:rsidR="00DD4FC9" w:rsidRPr="004712FE">
        <w:rPr>
          <w:rFonts w:ascii="Times New Roman" w:hAnsi="Times New Roman" w:cs="Times New Roman"/>
          <w:b w:val="0"/>
          <w:color w:val="auto"/>
          <w:sz w:val="24"/>
          <w:szCs w:val="24"/>
        </w:rPr>
        <w:t>: MIC and MBC of Gelatin against the Bacterial Strain (</w:t>
      </w:r>
      <w:r w:rsidR="00DD4FC9" w:rsidRPr="004712FE">
        <w:rPr>
          <w:rFonts w:ascii="Times New Roman" w:eastAsia="Times New Roman" w:hAnsi="Times New Roman" w:cs="Times New Roman"/>
          <w:b w:val="0"/>
          <w:i/>
          <w:iCs/>
          <w:color w:val="auto"/>
          <w:sz w:val="24"/>
          <w:szCs w:val="24"/>
        </w:rPr>
        <w:t xml:space="preserve">Staphylococcus aureus, Bacillus subtilis, Escherichia coli </w:t>
      </w:r>
      <w:r w:rsidR="00DD4FC9" w:rsidRPr="004712FE">
        <w:rPr>
          <w:rFonts w:ascii="Times New Roman" w:eastAsia="Times New Roman" w:hAnsi="Times New Roman" w:cs="Times New Roman"/>
          <w:b w:val="0"/>
          <w:iCs/>
          <w:color w:val="auto"/>
          <w:sz w:val="24"/>
          <w:szCs w:val="24"/>
        </w:rPr>
        <w:t xml:space="preserve">and </w:t>
      </w:r>
      <w:r w:rsidR="00DD4FC9" w:rsidRPr="004712FE">
        <w:rPr>
          <w:rFonts w:ascii="Times New Roman" w:eastAsia="Times New Roman" w:hAnsi="Times New Roman" w:cs="Times New Roman"/>
          <w:b w:val="0"/>
          <w:i/>
          <w:iCs/>
          <w:color w:val="auto"/>
          <w:sz w:val="24"/>
          <w:szCs w:val="24"/>
        </w:rPr>
        <w:t>Pseudomonas aeruginosa</w:t>
      </w:r>
      <w:r w:rsidR="00DD4FC9" w:rsidRPr="004712FE">
        <w:rPr>
          <w:rFonts w:ascii="Times New Roman" w:eastAsia="Times New Roman" w:hAnsi="Times New Roman" w:cs="Times New Roman"/>
          <w:b w:val="0"/>
          <w:iCs/>
          <w:color w:val="auto"/>
          <w:sz w:val="24"/>
          <w:szCs w:val="24"/>
        </w:rPr>
        <w:t>)</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549"/>
        <w:gridCol w:w="1440"/>
        <w:gridCol w:w="1536"/>
      </w:tblGrid>
      <w:tr w:rsidR="00CE4EDE" w:rsidRPr="004712FE" w:rsidTr="00DD4FC9">
        <w:trPr>
          <w:tblHeader/>
          <w:tblCellSpacing w:w="15" w:type="dxa"/>
        </w:trPr>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Bacterial Strain</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MIC (mg/mL)</w:t>
            </w:r>
          </w:p>
        </w:tc>
        <w:tc>
          <w:tcPr>
            <w:tcW w:w="0" w:type="auto"/>
            <w:tcBorders>
              <w:top w:val="single" w:sz="4" w:space="0" w:color="auto"/>
              <w:bottom w:val="single" w:sz="4" w:space="0" w:color="auto"/>
            </w:tcBorders>
            <w:vAlign w:val="center"/>
            <w:hideMark/>
          </w:tcPr>
          <w:p w:rsidR="00CE4EDE" w:rsidRPr="004712FE" w:rsidRDefault="00CE4EDE"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MBC (mg/mL)</w:t>
            </w:r>
          </w:p>
        </w:tc>
      </w:tr>
      <w:tr w:rsidR="00CE4EDE" w:rsidRPr="004712FE" w:rsidTr="00DD4FC9">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i/>
                <w:iCs/>
                <w:sz w:val="24"/>
                <w:szCs w:val="24"/>
              </w:rPr>
              <w:t>Staphylococcus aureus</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10</w:t>
            </w:r>
            <w:r w:rsidR="00DD4FC9"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15</w:t>
            </w:r>
            <w:r w:rsidR="00DD4FC9" w:rsidRPr="004712FE">
              <w:rPr>
                <w:rFonts w:ascii="Times New Roman" w:eastAsia="Times New Roman" w:hAnsi="Times New Roman" w:cs="Times New Roman"/>
                <w:sz w:val="24"/>
                <w:szCs w:val="24"/>
              </w:rPr>
              <w:t>.0</w:t>
            </w:r>
          </w:p>
        </w:tc>
      </w:tr>
      <w:tr w:rsidR="00CE4EDE" w:rsidRPr="004712FE" w:rsidTr="00DD4FC9">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i/>
                <w:iCs/>
                <w:sz w:val="24"/>
                <w:szCs w:val="24"/>
              </w:rPr>
              <w:t>Bacillus subtilis</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12</w:t>
            </w:r>
            <w:r w:rsidR="00DD4FC9"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w:t>
            </w:r>
            <w:r w:rsidR="00DD4FC9" w:rsidRPr="004712FE">
              <w:rPr>
                <w:rFonts w:ascii="Times New Roman" w:eastAsia="Times New Roman" w:hAnsi="Times New Roman" w:cs="Times New Roman"/>
                <w:sz w:val="24"/>
                <w:szCs w:val="24"/>
              </w:rPr>
              <w:t>.0</w:t>
            </w:r>
          </w:p>
        </w:tc>
      </w:tr>
      <w:tr w:rsidR="00CE4EDE" w:rsidRPr="004712FE" w:rsidTr="00DD4FC9">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i/>
                <w:iCs/>
                <w:sz w:val="24"/>
                <w:szCs w:val="24"/>
              </w:rPr>
              <w:t>Escherichia coli</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15</w:t>
            </w:r>
            <w:r w:rsidR="00DD4FC9"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20</w:t>
            </w:r>
            <w:r w:rsidR="00DD4FC9" w:rsidRPr="004712FE">
              <w:rPr>
                <w:rFonts w:ascii="Times New Roman" w:eastAsia="Times New Roman" w:hAnsi="Times New Roman" w:cs="Times New Roman"/>
                <w:sz w:val="24"/>
                <w:szCs w:val="24"/>
              </w:rPr>
              <w:t>.0</w:t>
            </w:r>
          </w:p>
        </w:tc>
      </w:tr>
      <w:tr w:rsidR="00CE4EDE" w:rsidRPr="004712FE" w:rsidTr="00DD4FC9">
        <w:trPr>
          <w:tblCellSpacing w:w="15" w:type="dxa"/>
        </w:trPr>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i/>
                <w:iCs/>
                <w:sz w:val="24"/>
                <w:szCs w:val="24"/>
              </w:rPr>
              <w:t>Pseudomonas aeruginosa</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w:t>
            </w:r>
            <w:r w:rsidR="00DD4FC9" w:rsidRPr="004712FE">
              <w:rPr>
                <w:rFonts w:ascii="Times New Roman" w:eastAsia="Times New Roman" w:hAnsi="Times New Roman" w:cs="Times New Roman"/>
                <w:sz w:val="24"/>
                <w:szCs w:val="24"/>
              </w:rPr>
              <w:t>.0</w:t>
            </w:r>
          </w:p>
        </w:tc>
        <w:tc>
          <w:tcPr>
            <w:tcW w:w="0" w:type="auto"/>
            <w:vAlign w:val="center"/>
            <w:hideMark/>
          </w:tcPr>
          <w:p w:rsidR="00CE4EDE" w:rsidRPr="004712FE" w:rsidRDefault="00CE4EDE"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25</w:t>
            </w:r>
            <w:r w:rsidR="00DD4FC9" w:rsidRPr="004712FE">
              <w:rPr>
                <w:rFonts w:ascii="Times New Roman" w:eastAsia="Times New Roman" w:hAnsi="Times New Roman" w:cs="Times New Roman"/>
                <w:sz w:val="24"/>
                <w:szCs w:val="24"/>
              </w:rPr>
              <w:t>.0</w:t>
            </w:r>
          </w:p>
        </w:tc>
      </w:tr>
    </w:tbl>
    <w:p w:rsidR="00CE4EDE" w:rsidRPr="004712FE" w:rsidRDefault="00CE4EDE" w:rsidP="004712FE">
      <w:pPr>
        <w:pStyle w:val="NormalWeb"/>
        <w:spacing w:line="360" w:lineRule="auto"/>
        <w:jc w:val="both"/>
      </w:pPr>
      <w:r w:rsidRPr="004712FE">
        <w:t xml:space="preserve">The </w:t>
      </w:r>
      <w:r w:rsidRPr="004712FE">
        <w:rPr>
          <w:rStyle w:val="Strong"/>
          <w:b w:val="0"/>
        </w:rPr>
        <w:t>minimum inhibitory concentration (MIC)</w:t>
      </w:r>
      <w:r w:rsidRPr="004712FE">
        <w:t xml:space="preserve"> and </w:t>
      </w:r>
      <w:r w:rsidRPr="004712FE">
        <w:rPr>
          <w:rStyle w:val="Strong"/>
          <w:b w:val="0"/>
        </w:rPr>
        <w:t>minimum bactericidal concentration (MBC)</w:t>
      </w:r>
      <w:r w:rsidRPr="004712FE">
        <w:t xml:space="preserve"> are critical parameters for evaluating the antibacterial efficacy of synthesized gelatin</w:t>
      </w:r>
      <w:r w:rsidR="00FB30B3">
        <w:t xml:space="preserve"> (Table 4)</w:t>
      </w:r>
      <w:r w:rsidRPr="004712FE">
        <w:t>. In this study, the MIC values ranged from 10</w:t>
      </w:r>
      <w:r w:rsidR="00DD4FC9" w:rsidRPr="004712FE">
        <w:t>.0</w:t>
      </w:r>
      <w:r w:rsidRPr="004712FE">
        <w:t xml:space="preserve"> to 18</w:t>
      </w:r>
      <w:r w:rsidR="00DD4FC9" w:rsidRPr="004712FE">
        <w:t>.0</w:t>
      </w:r>
      <w:r w:rsidRPr="004712FE">
        <w:t> mg/mL, while MBC values ranged from 15</w:t>
      </w:r>
      <w:r w:rsidR="00DD4FC9" w:rsidRPr="004712FE">
        <w:t>.0</w:t>
      </w:r>
      <w:r w:rsidRPr="004712FE">
        <w:t xml:space="preserve"> to 25</w:t>
      </w:r>
      <w:r w:rsidR="00DD4FC9" w:rsidRPr="004712FE">
        <w:t>.0</w:t>
      </w:r>
      <w:r w:rsidRPr="004712FE">
        <w:t xml:space="preserve"> mg/mL against the tested bacterial strains. The results indicate that gelatin exhibits </w:t>
      </w:r>
      <w:r w:rsidRPr="004712FE">
        <w:rPr>
          <w:rStyle w:val="Strong"/>
          <w:b w:val="0"/>
        </w:rPr>
        <w:t>moderate antibacterial activity</w:t>
      </w:r>
      <w:r w:rsidRPr="004712FE">
        <w:t>, with greater efficacy against Gram-positive bacteria (</w:t>
      </w:r>
      <w:r w:rsidRPr="004712FE">
        <w:rPr>
          <w:rStyle w:val="Emphasis"/>
        </w:rPr>
        <w:t>Staphylococcus aureus</w:t>
      </w:r>
      <w:r w:rsidRPr="004712FE">
        <w:t xml:space="preserve">, </w:t>
      </w:r>
      <w:r w:rsidRPr="004712FE">
        <w:rPr>
          <w:rStyle w:val="Emphasis"/>
        </w:rPr>
        <w:t>Bacillus subtilis</w:t>
      </w:r>
      <w:r w:rsidRPr="004712FE">
        <w:t>) compared with Gram-negative bacteria (</w:t>
      </w:r>
      <w:r w:rsidRPr="004712FE">
        <w:rPr>
          <w:rStyle w:val="Emphasis"/>
        </w:rPr>
        <w:t>Escherichia coli</w:t>
      </w:r>
      <w:r w:rsidRPr="004712FE">
        <w:t xml:space="preserve">, </w:t>
      </w:r>
      <w:r w:rsidRPr="004712FE">
        <w:rPr>
          <w:rStyle w:val="Emphasis"/>
        </w:rPr>
        <w:t>Pseudomonas aeruginosa</w:t>
      </w:r>
      <w:r w:rsidRPr="004712FE">
        <w:t>). This trend is consistent wit</w:t>
      </w:r>
      <w:r w:rsidR="00DD4FC9" w:rsidRPr="004712FE">
        <w:t xml:space="preserve">h the well </w:t>
      </w:r>
      <w:r w:rsidRPr="004712FE">
        <w:t xml:space="preserve">documented structural differences in bacterial cell walls, where the </w:t>
      </w:r>
      <w:r w:rsidRPr="004712FE">
        <w:rPr>
          <w:rStyle w:val="Strong"/>
          <w:b w:val="0"/>
        </w:rPr>
        <w:t>outer membrane of Gram-negative bacteria</w:t>
      </w:r>
      <w:r w:rsidRPr="004712FE">
        <w:t xml:space="preserve"> reduces permeability to macromolecules such as gelatin, thereby requiring higher concentrations to achieve inhibitory or bactericidal effects (Zhang </w:t>
      </w:r>
      <w:r w:rsidRPr="004712FE">
        <w:rPr>
          <w:i/>
        </w:rPr>
        <w:t>et al</w:t>
      </w:r>
      <w:r w:rsidRPr="004712FE">
        <w:t xml:space="preserve">., 2025; Qiao </w:t>
      </w:r>
      <w:r w:rsidRPr="004712FE">
        <w:rPr>
          <w:i/>
        </w:rPr>
        <w:t>et al</w:t>
      </w:r>
      <w:r w:rsidRPr="004712FE">
        <w:t>., 2024).</w:t>
      </w:r>
    </w:p>
    <w:p w:rsidR="00CE4EDE" w:rsidRPr="004712FE" w:rsidRDefault="00CE4EDE" w:rsidP="004712FE">
      <w:pPr>
        <w:pStyle w:val="NormalWeb"/>
        <w:spacing w:line="360" w:lineRule="auto"/>
        <w:jc w:val="both"/>
      </w:pPr>
      <w:r w:rsidRPr="004712FE">
        <w:lastRenderedPageBreak/>
        <w:t xml:space="preserve">The observed MIC and MBC values are consistent with previous studies reporting that </w:t>
      </w:r>
      <w:r w:rsidRPr="004712FE">
        <w:rPr>
          <w:rStyle w:val="Strong"/>
          <w:b w:val="0"/>
        </w:rPr>
        <w:t>native gelatin has limited but measurable antibacterial properties</w:t>
      </w:r>
      <w:r w:rsidRPr="004712FE">
        <w:t xml:space="preserve">, primarily through mechanisms such as disruption of microbial cell membranes, interference with nutrient uptake, and modification of the local environment (Asghar </w:t>
      </w:r>
      <w:r w:rsidRPr="004712FE">
        <w:rPr>
          <w:i/>
        </w:rPr>
        <w:t>et al</w:t>
      </w:r>
      <w:r w:rsidRPr="004712FE">
        <w:t xml:space="preserve">., 2024; </w:t>
      </w:r>
      <w:proofErr w:type="spellStart"/>
      <w:r w:rsidRPr="004712FE">
        <w:t>ElTatawy</w:t>
      </w:r>
      <w:proofErr w:type="spellEnd"/>
      <w:r w:rsidRPr="004712FE">
        <w:t xml:space="preserve"> </w:t>
      </w:r>
      <w:r w:rsidRPr="004712FE">
        <w:rPr>
          <w:i/>
        </w:rPr>
        <w:t>et al</w:t>
      </w:r>
      <w:r w:rsidRPr="004712FE">
        <w:t xml:space="preserve">., 2024). Furthermore, the difference between MIC and MBC values suggests that gelatin is </w:t>
      </w:r>
      <w:r w:rsidRPr="004712FE">
        <w:rPr>
          <w:rStyle w:val="Strong"/>
          <w:b w:val="0"/>
        </w:rPr>
        <w:t>bacteriostatic at lower concentrations</w:t>
      </w:r>
      <w:r w:rsidRPr="004712FE">
        <w:t xml:space="preserve"> and becomes </w:t>
      </w:r>
      <w:r w:rsidRPr="004712FE">
        <w:rPr>
          <w:rStyle w:val="Strong"/>
          <w:b w:val="0"/>
        </w:rPr>
        <w:t>bactericidal at higher concentrations</w:t>
      </w:r>
      <w:r w:rsidRPr="004712FE">
        <w:t>,</w:t>
      </w:r>
      <w:r w:rsidR="00DD4FC9" w:rsidRPr="004712FE">
        <w:t xml:space="preserve"> which is typical of biopolymer </w:t>
      </w:r>
      <w:r w:rsidRPr="004712FE">
        <w:t>based antimicrobials.</w:t>
      </w:r>
    </w:p>
    <w:p w:rsidR="00CE4EDE" w:rsidRPr="004712FE" w:rsidRDefault="00CE4EDE" w:rsidP="004712FE">
      <w:pPr>
        <w:pStyle w:val="NormalWeb"/>
        <w:spacing w:line="360" w:lineRule="auto"/>
        <w:jc w:val="both"/>
      </w:pPr>
      <w:r w:rsidRPr="004712FE">
        <w:t xml:space="preserve">Enhancement of gelatin’s antimicrobial activity can be achieved through </w:t>
      </w:r>
      <w:r w:rsidRPr="004712FE">
        <w:rPr>
          <w:rStyle w:val="Strong"/>
          <w:b w:val="0"/>
        </w:rPr>
        <w:t>functionalization with bioactive compounds or nanomaterials</w:t>
      </w:r>
      <w:r w:rsidRPr="004712FE">
        <w:t>, such as essential oils,</w:t>
      </w:r>
      <w:r w:rsidR="00DD4FC9" w:rsidRPr="004712FE">
        <w:t xml:space="preserve"> silver nanoparticles, or metal </w:t>
      </w:r>
      <w:r w:rsidRPr="004712FE">
        <w:t xml:space="preserve">organic frameworks (MOFs). These modifications not only reduce the MIC and MBC values but also expand the antibacterial spectrum to include resistant strains (Zhang </w:t>
      </w:r>
      <w:r w:rsidRPr="004712FE">
        <w:rPr>
          <w:i/>
        </w:rPr>
        <w:t>et al</w:t>
      </w:r>
      <w:r w:rsidRPr="004712FE">
        <w:t xml:space="preserve">., 2025; Qiao </w:t>
      </w:r>
      <w:r w:rsidRPr="004712FE">
        <w:rPr>
          <w:i/>
        </w:rPr>
        <w:t>et al</w:t>
      </w:r>
      <w:r w:rsidRPr="004712FE">
        <w:t xml:space="preserve">., 2024). Therefore, while the intrinsic activity of gelatin is moderate, it provides a </w:t>
      </w:r>
      <w:r w:rsidRPr="004712FE">
        <w:rPr>
          <w:rStyle w:val="Strong"/>
          <w:b w:val="0"/>
        </w:rPr>
        <w:t>biocompatible and biodegradable matrix</w:t>
      </w:r>
      <w:r w:rsidRPr="004712FE">
        <w:t xml:space="preserve"> suitable for </w:t>
      </w:r>
      <w:r w:rsidRPr="004712FE">
        <w:rPr>
          <w:rStyle w:val="Strong"/>
          <w:b w:val="0"/>
        </w:rPr>
        <w:t>antimicrobial films, wound dressings, and food packaging applications</w:t>
      </w:r>
      <w:r w:rsidRPr="004712FE">
        <w:t>.</w:t>
      </w:r>
    </w:p>
    <w:p w:rsidR="00CE4EDE" w:rsidRPr="004712FE" w:rsidRDefault="00CE4EDE" w:rsidP="004712FE">
      <w:pPr>
        <w:pStyle w:val="NormalWeb"/>
        <w:spacing w:line="360" w:lineRule="auto"/>
        <w:jc w:val="both"/>
      </w:pPr>
      <w:r w:rsidRPr="004712FE">
        <w:t>Overall, the MIC and MBC results confirm that synthesized gelatin pos</w:t>
      </w:r>
      <w:r w:rsidR="00DD4FC9" w:rsidRPr="004712FE">
        <w:t>sesses</w:t>
      </w:r>
      <w:r w:rsidRPr="004712FE">
        <w:rPr>
          <w:rStyle w:val="Strong"/>
          <w:b w:val="0"/>
        </w:rPr>
        <w:t xml:space="preserve"> antibacterial activity</w:t>
      </w:r>
      <w:r w:rsidRPr="004712FE">
        <w:t xml:space="preserve">, and its efficacy can be further enhanced by incorporating bioactive additives, demonstrating its potential as a versatile antimicrobial biomaterial (Asghar </w:t>
      </w:r>
      <w:r w:rsidRPr="004712FE">
        <w:rPr>
          <w:i/>
        </w:rPr>
        <w:t>et al</w:t>
      </w:r>
      <w:r w:rsidRPr="004712FE">
        <w:t xml:space="preserve">., 2024; Qiao </w:t>
      </w:r>
      <w:r w:rsidRPr="004712FE">
        <w:rPr>
          <w:i/>
        </w:rPr>
        <w:t>et al</w:t>
      </w:r>
      <w:r w:rsidRPr="004712FE">
        <w:t>., 2024).</w:t>
      </w:r>
    </w:p>
    <w:p w:rsidR="00CE4EDE" w:rsidRPr="004712FE" w:rsidRDefault="00FB30B3" w:rsidP="004712FE">
      <w:pPr>
        <w:pStyle w:val="NormalWeb"/>
        <w:spacing w:line="360" w:lineRule="auto"/>
        <w:jc w:val="both"/>
      </w:pPr>
      <w:r>
        <w:rPr>
          <w:rFonts w:eastAsiaTheme="minorHAnsi"/>
          <w:b/>
        </w:rPr>
        <w:t>Table 5</w:t>
      </w:r>
      <w:r w:rsidR="00DD4FC9" w:rsidRPr="004712FE">
        <w:rPr>
          <w:rFonts w:eastAsiaTheme="minorHAnsi"/>
          <w:b/>
        </w:rPr>
        <w:t xml:space="preserve">: </w:t>
      </w:r>
      <w:r w:rsidR="00DD4FC9" w:rsidRPr="004712FE">
        <w:rPr>
          <w:rFonts w:eastAsiaTheme="minorHAnsi"/>
        </w:rPr>
        <w:t>ANOVA Result of MIC and MBC against the Strain Bacteria</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488"/>
        <w:gridCol w:w="300"/>
        <w:gridCol w:w="2067"/>
        <w:gridCol w:w="1900"/>
        <w:gridCol w:w="794"/>
        <w:gridCol w:w="795"/>
      </w:tblGrid>
      <w:tr w:rsidR="005D2F75" w:rsidRPr="004712FE" w:rsidTr="00DD4FC9">
        <w:trPr>
          <w:tblHeader/>
          <w:tblCellSpacing w:w="15" w:type="dxa"/>
        </w:trPr>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Source of Variation</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proofErr w:type="spellStart"/>
            <w:r w:rsidRPr="004712FE">
              <w:rPr>
                <w:rFonts w:ascii="Times New Roman" w:eastAsia="Times New Roman" w:hAnsi="Times New Roman" w:cs="Times New Roman"/>
                <w:bCs/>
                <w:sz w:val="24"/>
                <w:szCs w:val="24"/>
              </w:rPr>
              <w:t>df</w:t>
            </w:r>
            <w:proofErr w:type="spellEnd"/>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Sum of Squares (SS)</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Mean Square (MS)</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F-value</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p-value</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Between bacterial strains</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3</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86.75</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28.92</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14.46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0.001</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Within groups (Error)</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16.00</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2.00</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Total</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11</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102.75</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Source of Variation</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proofErr w:type="spellStart"/>
            <w:r w:rsidRPr="004712FE">
              <w:rPr>
                <w:rFonts w:ascii="Times New Roman" w:eastAsia="Times New Roman" w:hAnsi="Times New Roman" w:cs="Times New Roman"/>
                <w:sz w:val="24"/>
                <w:szCs w:val="24"/>
              </w:rPr>
              <w:t>df</w:t>
            </w:r>
            <w:proofErr w:type="spellEnd"/>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Sum of Squares (SS)</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Mean Square (MS)</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F-value</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p-value</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Between bacterial strains</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3</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142.25</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47.42</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18.97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0.0006</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Within groups (Error)</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8</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20.00</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2.50</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r w:rsidR="005D2F75" w:rsidRPr="004712FE" w:rsidTr="00DD4FC9">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Total</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11</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162.25</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5D2F75" w:rsidRPr="004712FE" w:rsidRDefault="00DD4FC9"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bl>
    <w:p w:rsidR="005D2F75" w:rsidRPr="004712FE" w:rsidRDefault="005D2F75" w:rsidP="004712FE">
      <w:pPr>
        <w:spacing w:line="360" w:lineRule="auto"/>
        <w:jc w:val="both"/>
        <w:rPr>
          <w:rFonts w:ascii="Times New Roman" w:hAnsi="Times New Roman" w:cs="Times New Roman"/>
          <w:sz w:val="24"/>
          <w:szCs w:val="24"/>
        </w:rPr>
      </w:pPr>
    </w:p>
    <w:p w:rsidR="00A24575" w:rsidRPr="004712FE" w:rsidRDefault="005D2F75" w:rsidP="004712FE">
      <w:pPr>
        <w:spacing w:line="360" w:lineRule="auto"/>
        <w:jc w:val="both"/>
        <w:rPr>
          <w:rFonts w:ascii="Times New Roman" w:hAnsi="Times New Roman" w:cs="Times New Roman"/>
          <w:sz w:val="24"/>
          <w:szCs w:val="24"/>
        </w:rPr>
      </w:pPr>
      <w:r w:rsidRPr="004712FE">
        <w:rPr>
          <w:rFonts w:ascii="Times New Roman" w:hAnsi="Times New Roman" w:cs="Times New Roman"/>
          <w:sz w:val="24"/>
          <w:szCs w:val="24"/>
        </w:rPr>
        <w:t xml:space="preserve">The ANOVA results indicate that </w:t>
      </w:r>
      <w:r w:rsidRPr="004712FE">
        <w:rPr>
          <w:rStyle w:val="Strong"/>
          <w:rFonts w:ascii="Times New Roman" w:hAnsi="Times New Roman" w:cs="Times New Roman"/>
          <w:b w:val="0"/>
          <w:sz w:val="24"/>
          <w:szCs w:val="24"/>
        </w:rPr>
        <w:t>significant differences exist among the tested bacterial strains in terms of MIC and MBC values of gelatin (p &lt; 0.05)</w:t>
      </w:r>
      <w:r w:rsidRPr="004712FE">
        <w:rPr>
          <w:rFonts w:ascii="Times New Roman" w:hAnsi="Times New Roman" w:cs="Times New Roman"/>
          <w:sz w:val="24"/>
          <w:szCs w:val="24"/>
        </w:rPr>
        <w:t xml:space="preserve">. The higher F-values for both MIC and MBC </w:t>
      </w:r>
      <w:r w:rsidRPr="004712FE">
        <w:rPr>
          <w:rFonts w:ascii="Times New Roman" w:hAnsi="Times New Roman" w:cs="Times New Roman"/>
          <w:sz w:val="24"/>
          <w:szCs w:val="24"/>
        </w:rPr>
        <w:lastRenderedPageBreak/>
        <w:t>suggest that the antibacterial effect of gelatin varies significantly depending on the bacterial species, with Gram-positive bacteria generally showing lower MIC and MBC values compared with Gram-negative strains.</w:t>
      </w:r>
    </w:p>
    <w:p w:rsidR="002209EB" w:rsidRPr="004712FE" w:rsidRDefault="00FB30B3" w:rsidP="004712FE">
      <w:pPr>
        <w:pStyle w:val="Heading3"/>
        <w:spacing w:line="36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t>Table 6</w:t>
      </w:r>
      <w:r w:rsidR="002209EB" w:rsidRPr="004712FE">
        <w:rPr>
          <w:rFonts w:ascii="Times New Roman" w:hAnsi="Times New Roman" w:cs="Times New Roman"/>
          <w:color w:val="auto"/>
          <w:sz w:val="24"/>
          <w:szCs w:val="24"/>
        </w:rPr>
        <w:t>:</w:t>
      </w:r>
      <w:r w:rsidR="002209EB" w:rsidRPr="004712FE">
        <w:rPr>
          <w:rFonts w:ascii="Times New Roman" w:hAnsi="Times New Roman" w:cs="Times New Roman"/>
          <w:b w:val="0"/>
          <w:color w:val="auto"/>
          <w:sz w:val="24"/>
          <w:szCs w:val="24"/>
        </w:rPr>
        <w:t xml:space="preserve"> Time-Kill Kinetics of the Synthesized Gelatin against Bacterial Strain </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732"/>
        <w:gridCol w:w="2578"/>
        <w:gridCol w:w="2101"/>
        <w:gridCol w:w="1979"/>
        <w:gridCol w:w="2623"/>
      </w:tblGrid>
      <w:tr w:rsidR="005D2F75" w:rsidRPr="004712FE" w:rsidTr="002209EB">
        <w:trPr>
          <w:tblHeader/>
          <w:tblCellSpacing w:w="15" w:type="dxa"/>
        </w:trPr>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Time (h)</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Staphylococcus aureus</w:t>
            </w:r>
            <w:r w:rsidRPr="004712FE">
              <w:rPr>
                <w:rFonts w:ascii="Times New Roman" w:eastAsia="Times New Roman" w:hAnsi="Times New Roman" w:cs="Times New Roman"/>
                <w:bCs/>
                <w:sz w:val="24"/>
                <w:szCs w:val="24"/>
              </w:rPr>
              <w:t xml:space="preserve"> (log₁₀ CFU/mL)</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Escherichia coli</w:t>
            </w:r>
            <w:r w:rsidRPr="004712FE">
              <w:rPr>
                <w:rFonts w:ascii="Times New Roman" w:eastAsia="Times New Roman" w:hAnsi="Times New Roman" w:cs="Times New Roman"/>
                <w:bCs/>
                <w:sz w:val="24"/>
                <w:szCs w:val="24"/>
              </w:rPr>
              <w:t xml:space="preserve"> (log₁₀ CFU/mL)</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Bacillus subtilis</w:t>
            </w:r>
            <w:r w:rsidRPr="004712FE">
              <w:rPr>
                <w:rFonts w:ascii="Times New Roman" w:eastAsia="Times New Roman" w:hAnsi="Times New Roman" w:cs="Times New Roman"/>
                <w:bCs/>
                <w:sz w:val="24"/>
                <w:szCs w:val="24"/>
              </w:rPr>
              <w:t xml:space="preserve"> (log₁₀ CFU/mL)</w:t>
            </w:r>
          </w:p>
        </w:tc>
        <w:tc>
          <w:tcPr>
            <w:tcW w:w="0" w:type="auto"/>
            <w:tcBorders>
              <w:top w:val="single" w:sz="4" w:space="0" w:color="auto"/>
              <w:bottom w:val="single" w:sz="4" w:space="0" w:color="auto"/>
            </w:tcBorders>
            <w:vAlign w:val="center"/>
            <w:hideMark/>
          </w:tcPr>
          <w:p w:rsidR="005D2F75" w:rsidRPr="004712FE" w:rsidRDefault="005D2F75"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i/>
                <w:iCs/>
                <w:sz w:val="24"/>
                <w:szCs w:val="24"/>
              </w:rPr>
              <w:t>Pseudomonas aeruginosa</w:t>
            </w:r>
            <w:r w:rsidRPr="004712FE">
              <w:rPr>
                <w:rFonts w:ascii="Times New Roman" w:eastAsia="Times New Roman" w:hAnsi="Times New Roman" w:cs="Times New Roman"/>
                <w:bCs/>
                <w:sz w:val="24"/>
                <w:szCs w:val="24"/>
              </w:rPr>
              <w:t xml:space="preserve"> (log₁₀ CFU/mL)</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7.20 ± 0.05</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7.30 ± 0.04</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7.15 ± 0.06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7.28 ± 0.05</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6.80 ± 0.07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6.95 ± 0.05</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6.70 ± 0.06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7.05 ± 0.07</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6.10 ± 0.06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6.40 ± 0.07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6.00 ± 0.05</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6.70 ± 0.06</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5.40 ± 0.08</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5.90 ± 0.06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5.30 ± 0.07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6.20 ± 0.08</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12</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4.50 ± 0.07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5.10 ± 0.08</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4.40 ± 0.06</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5.60 ± 0.07</w:t>
            </w:r>
          </w:p>
        </w:tc>
      </w:tr>
      <w:tr w:rsidR="005D2F75" w:rsidRPr="004712FE" w:rsidTr="002209EB">
        <w:trPr>
          <w:tblCellSpacing w:w="15" w:type="dxa"/>
        </w:trPr>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24</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3.70 ± 0.09</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4.30 ± 0.07</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3.50 ± 0.08</w:t>
            </w:r>
          </w:p>
        </w:tc>
        <w:tc>
          <w:tcPr>
            <w:tcW w:w="0" w:type="auto"/>
            <w:vAlign w:val="center"/>
            <w:hideMark/>
          </w:tcPr>
          <w:p w:rsidR="005D2F75" w:rsidRPr="004712FE" w:rsidRDefault="005D2F75"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4.90 ± 0.06</w:t>
            </w:r>
          </w:p>
        </w:tc>
      </w:tr>
    </w:tbl>
    <w:p w:rsidR="005D2F75" w:rsidRPr="004712FE" w:rsidRDefault="002209EB" w:rsidP="004712FE">
      <w:pPr>
        <w:pStyle w:val="NormalWeb"/>
        <w:spacing w:line="360" w:lineRule="auto"/>
        <w:jc w:val="both"/>
      </w:pPr>
      <w:r w:rsidRPr="004712FE">
        <w:t>The time-</w:t>
      </w:r>
      <w:r w:rsidR="005D2F75" w:rsidRPr="004712FE">
        <w:t xml:space="preserve">kill kinetics results showed a </w:t>
      </w:r>
      <w:r w:rsidR="005D2F75" w:rsidRPr="004712FE">
        <w:rPr>
          <w:rStyle w:val="Strong"/>
          <w:b w:val="0"/>
        </w:rPr>
        <w:t>time-dependent reduction in bacterial viability over 24 h</w:t>
      </w:r>
      <w:r w:rsidR="005D2F75" w:rsidRPr="004712FE">
        <w:t xml:space="preserve"> after treatment with synthesized gelatin</w:t>
      </w:r>
      <w:r w:rsidR="00FB30B3">
        <w:t xml:space="preserve"> (Table 6)</w:t>
      </w:r>
      <w:r w:rsidR="005D2F75" w:rsidRPr="004712FE">
        <w:t xml:space="preserve">. Initial bacterial densities were approximately </w:t>
      </w:r>
      <w:r w:rsidRPr="004712FE">
        <w:rPr>
          <w:rStyle w:val="Strong"/>
          <w:b w:val="0"/>
        </w:rPr>
        <w:t xml:space="preserve">7.15 - </w:t>
      </w:r>
      <w:r w:rsidR="005D2F75" w:rsidRPr="004712FE">
        <w:rPr>
          <w:rStyle w:val="Strong"/>
          <w:b w:val="0"/>
        </w:rPr>
        <w:t>7.30 log₁₀ CFU/mL at 0 h</w:t>
      </w:r>
      <w:r w:rsidR="005D2F75" w:rsidRPr="004712FE">
        <w:t xml:space="preserve">. After 24 h, the counts decreased to </w:t>
      </w:r>
      <w:r w:rsidR="005D2F75" w:rsidRPr="004712FE">
        <w:rPr>
          <w:rStyle w:val="Strong"/>
          <w:b w:val="0"/>
        </w:rPr>
        <w:t xml:space="preserve">3.70 log₁₀ CFU/mL for </w:t>
      </w:r>
      <w:r w:rsidR="005D2F75" w:rsidRPr="004712FE">
        <w:rPr>
          <w:rStyle w:val="Emphasis"/>
          <w:bCs/>
        </w:rPr>
        <w:t>Staphylococcus aureus</w:t>
      </w:r>
      <w:r w:rsidR="005D2F75" w:rsidRPr="004712FE">
        <w:t xml:space="preserve"> and </w:t>
      </w:r>
      <w:r w:rsidR="005D2F75" w:rsidRPr="004712FE">
        <w:rPr>
          <w:rStyle w:val="Strong"/>
          <w:b w:val="0"/>
        </w:rPr>
        <w:t xml:space="preserve">3.50 log₁₀ CFU/mL for </w:t>
      </w:r>
      <w:r w:rsidR="005D2F75" w:rsidRPr="004712FE">
        <w:rPr>
          <w:rStyle w:val="Emphasis"/>
          <w:bCs/>
        </w:rPr>
        <w:t>Bacillus subtilis</w:t>
      </w:r>
      <w:r w:rsidR="005D2F75" w:rsidRPr="004712FE">
        <w:t xml:space="preserve">, while </w:t>
      </w:r>
      <w:r w:rsidR="005D2F75" w:rsidRPr="004712FE">
        <w:rPr>
          <w:rStyle w:val="Strong"/>
          <w:b w:val="0"/>
        </w:rPr>
        <w:t>Gram-negative bacteria showed smaller reductions</w:t>
      </w:r>
      <w:r w:rsidR="005D2F75" w:rsidRPr="004712FE">
        <w:t xml:space="preserve">, with </w:t>
      </w:r>
      <w:r w:rsidR="005D2F75" w:rsidRPr="004712FE">
        <w:rPr>
          <w:rStyle w:val="Emphasis"/>
          <w:bCs/>
        </w:rPr>
        <w:t>Escherichia coli</w:t>
      </w:r>
      <w:r w:rsidR="005D2F75" w:rsidRPr="004712FE">
        <w:rPr>
          <w:rStyle w:val="Strong"/>
          <w:b w:val="0"/>
        </w:rPr>
        <w:t xml:space="preserve"> declining from 7.30 to 4.30 log₁₀ CFU/mL</w:t>
      </w:r>
      <w:r w:rsidR="005D2F75" w:rsidRPr="004712FE">
        <w:t xml:space="preserve"> and </w:t>
      </w:r>
      <w:r w:rsidR="005D2F75" w:rsidRPr="004712FE">
        <w:rPr>
          <w:rStyle w:val="Emphasis"/>
          <w:bCs/>
        </w:rPr>
        <w:t>Pseudomonas aeruginosa</w:t>
      </w:r>
      <w:r w:rsidR="005D2F75" w:rsidRPr="004712FE">
        <w:rPr>
          <w:rStyle w:val="Strong"/>
          <w:b w:val="0"/>
        </w:rPr>
        <w:t xml:space="preserve"> from 7.28 to 4.90 log₁₀ CFU/</w:t>
      </w:r>
      <w:proofErr w:type="spellStart"/>
      <w:r w:rsidR="005D2F75" w:rsidRPr="004712FE">
        <w:rPr>
          <w:rStyle w:val="Strong"/>
          <w:b w:val="0"/>
        </w:rPr>
        <w:t>mL</w:t>
      </w:r>
      <w:r w:rsidR="005D2F75" w:rsidRPr="004712FE">
        <w:t>.</w:t>
      </w:r>
      <w:proofErr w:type="spellEnd"/>
      <w:r w:rsidR="005D2F75" w:rsidRPr="004712FE">
        <w:t xml:space="preserve"> The greater reduction in Gram-positive bacteria (&gt;3 log₁₀ CFU/mL) indicates stronger susceptibility and suggests bactericidal activity after prolonged exposure. This behavior is attributed to the </w:t>
      </w:r>
      <w:r w:rsidR="005D2F75" w:rsidRPr="004712FE">
        <w:rPr>
          <w:rStyle w:val="Strong"/>
          <w:b w:val="0"/>
        </w:rPr>
        <w:t>absence of an outer membrane in Gram-positive bacteria</w:t>
      </w:r>
      <w:r w:rsidR="005D2F75" w:rsidRPr="004712FE">
        <w:t xml:space="preserve">, allowing easier interaction with gelatin-derived peptides, whereas the </w:t>
      </w:r>
      <w:r w:rsidR="005D2F75" w:rsidRPr="004712FE">
        <w:rPr>
          <w:rStyle w:val="Strong"/>
          <w:b w:val="0"/>
        </w:rPr>
        <w:t>lipopolysaccharide outer membrane of Gram-negative bacteria acts as a protective barrier</w:t>
      </w:r>
      <w:r w:rsidR="005D2F75" w:rsidRPr="004712FE">
        <w:t xml:space="preserve">. The results confirm that gelatin exhibits </w:t>
      </w:r>
      <w:r w:rsidR="005D2F75" w:rsidRPr="004712FE">
        <w:rPr>
          <w:rStyle w:val="Strong"/>
          <w:b w:val="0"/>
        </w:rPr>
        <w:t>moderate but significant time-dependent antibacterial activity</w:t>
      </w:r>
      <w:r w:rsidR="005D2F75" w:rsidRPr="004712FE">
        <w:t>, likely associated with bioactive collagen-derived peptides that interact with bacterial membranes and disrupt cellular processes (</w:t>
      </w:r>
      <w:proofErr w:type="spellStart"/>
      <w:r w:rsidR="005D2F75" w:rsidRPr="004712FE">
        <w:t>Nurilmala</w:t>
      </w:r>
      <w:proofErr w:type="spellEnd"/>
      <w:r w:rsidR="005D2F75" w:rsidRPr="004712FE">
        <w:t xml:space="preserve"> </w:t>
      </w:r>
      <w:r w:rsidR="005D2F75" w:rsidRPr="004712FE">
        <w:rPr>
          <w:i/>
        </w:rPr>
        <w:t>et al</w:t>
      </w:r>
      <w:r w:rsidR="005D2F75" w:rsidRPr="004712FE">
        <w:t xml:space="preserve">., 2020; Asghar </w:t>
      </w:r>
      <w:r w:rsidR="005D2F75" w:rsidRPr="004712FE">
        <w:rPr>
          <w:i/>
        </w:rPr>
        <w:t>et al</w:t>
      </w:r>
      <w:r w:rsidR="005D2F75" w:rsidRPr="004712FE">
        <w:t xml:space="preserve">., 2024; Panjaitan </w:t>
      </w:r>
      <w:r w:rsidR="005D2F75" w:rsidRPr="004712FE">
        <w:rPr>
          <w:i/>
        </w:rPr>
        <w:t>et al</w:t>
      </w:r>
      <w:r w:rsidR="005D2F75" w:rsidRPr="004712FE">
        <w:t xml:space="preserve">., 2024; Qiao </w:t>
      </w:r>
      <w:r w:rsidR="005D2F75" w:rsidRPr="004712FE">
        <w:rPr>
          <w:i/>
        </w:rPr>
        <w:t>et al</w:t>
      </w:r>
      <w:r w:rsidR="005D2F75" w:rsidRPr="004712FE">
        <w:t xml:space="preserve">., 2024; Zhang </w:t>
      </w:r>
      <w:r w:rsidR="005D2F75" w:rsidRPr="004712FE">
        <w:rPr>
          <w:i/>
        </w:rPr>
        <w:t>et al</w:t>
      </w:r>
      <w:r w:rsidR="005D2F75" w:rsidRPr="004712FE">
        <w:t>., 2025).</w:t>
      </w:r>
    </w:p>
    <w:p w:rsidR="004D5F42" w:rsidRPr="004712FE" w:rsidRDefault="002209EB" w:rsidP="004712FE">
      <w:pPr>
        <w:pStyle w:val="NormalWeb"/>
        <w:spacing w:line="360" w:lineRule="auto"/>
        <w:jc w:val="both"/>
      </w:pPr>
      <w:r w:rsidRPr="004712FE">
        <w:rPr>
          <w:b/>
        </w:rPr>
        <w:t>Table</w:t>
      </w:r>
      <w:r w:rsidR="00FB30B3">
        <w:rPr>
          <w:b/>
        </w:rPr>
        <w:t xml:space="preserve"> 7</w:t>
      </w:r>
      <w:r w:rsidRPr="004712FE">
        <w:rPr>
          <w:b/>
        </w:rPr>
        <w:t xml:space="preserve">: </w:t>
      </w:r>
      <w:r w:rsidRPr="004712FE">
        <w:t>ANOVA of Time</w:t>
      </w:r>
      <w:r w:rsidRPr="004712FE">
        <w:rPr>
          <w:b/>
        </w:rPr>
        <w:t>-</w:t>
      </w:r>
      <w:r w:rsidRPr="004712FE">
        <w:t>Kill Kinetics of the</w:t>
      </w:r>
      <w:r w:rsidRPr="004712FE">
        <w:rPr>
          <w:b/>
        </w:rPr>
        <w:t xml:space="preserve"> </w:t>
      </w:r>
      <w:r w:rsidRPr="004712FE">
        <w:t>Synthesized Gelatin against Bacterial Strain</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408"/>
        <w:gridCol w:w="2067"/>
        <w:gridCol w:w="300"/>
        <w:gridCol w:w="1900"/>
        <w:gridCol w:w="794"/>
        <w:gridCol w:w="795"/>
      </w:tblGrid>
      <w:tr w:rsidR="004D5F42" w:rsidRPr="004712FE" w:rsidTr="002209EB">
        <w:trPr>
          <w:tblHeader/>
          <w:tblCellSpacing w:w="15" w:type="dxa"/>
        </w:trPr>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Source of Variation</w:t>
            </w:r>
          </w:p>
        </w:tc>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Sum of Squares (SS)</w:t>
            </w:r>
          </w:p>
        </w:tc>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proofErr w:type="spellStart"/>
            <w:r w:rsidRPr="004712FE">
              <w:rPr>
                <w:rFonts w:ascii="Times New Roman" w:eastAsia="Times New Roman" w:hAnsi="Times New Roman" w:cs="Times New Roman"/>
                <w:bCs/>
                <w:sz w:val="24"/>
                <w:szCs w:val="24"/>
              </w:rPr>
              <w:t>df</w:t>
            </w:r>
            <w:proofErr w:type="spellEnd"/>
          </w:p>
        </w:tc>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Mean Square (MS)</w:t>
            </w:r>
          </w:p>
        </w:tc>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F-value</w:t>
            </w:r>
          </w:p>
        </w:tc>
        <w:tc>
          <w:tcPr>
            <w:tcW w:w="0" w:type="auto"/>
            <w:tcBorders>
              <w:top w:val="single" w:sz="4" w:space="0" w:color="auto"/>
              <w:bottom w:val="single" w:sz="4" w:space="0" w:color="auto"/>
            </w:tcBorders>
            <w:vAlign w:val="center"/>
            <w:hideMark/>
          </w:tcPr>
          <w:p w:rsidR="004D5F42" w:rsidRPr="004712FE" w:rsidRDefault="004D5F42" w:rsidP="004712FE">
            <w:pPr>
              <w:spacing w:after="0" w:line="360" w:lineRule="auto"/>
              <w:jc w:val="both"/>
              <w:rPr>
                <w:rFonts w:ascii="Times New Roman" w:eastAsia="Times New Roman" w:hAnsi="Times New Roman" w:cs="Times New Roman"/>
                <w:bCs/>
                <w:sz w:val="24"/>
                <w:szCs w:val="24"/>
              </w:rPr>
            </w:pPr>
            <w:r w:rsidRPr="004712FE">
              <w:rPr>
                <w:rFonts w:ascii="Times New Roman" w:eastAsia="Times New Roman" w:hAnsi="Times New Roman" w:cs="Times New Roman"/>
                <w:bCs/>
                <w:sz w:val="24"/>
                <w:szCs w:val="24"/>
              </w:rPr>
              <w:t>p-value</w:t>
            </w:r>
          </w:p>
        </w:tc>
      </w:tr>
      <w:tr w:rsidR="004D5F42" w:rsidRPr="004712FE" w:rsidTr="002209EB">
        <w:trPr>
          <w:tblCellSpacing w:w="15" w:type="dxa"/>
        </w:trPr>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lastRenderedPageBreak/>
              <w:t>Between Groups (Time)</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18.64</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4.66</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42.37</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&lt;0.001</w:t>
            </w:r>
          </w:p>
        </w:tc>
      </w:tr>
      <w:tr w:rsidR="004D5F42" w:rsidRPr="004712FE" w:rsidTr="002209EB">
        <w:trPr>
          <w:tblCellSpacing w:w="15" w:type="dxa"/>
        </w:trPr>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Within Groups (Error)</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2.75</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20</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0.14</w:t>
            </w:r>
          </w:p>
        </w:tc>
        <w:tc>
          <w:tcPr>
            <w:tcW w:w="0" w:type="auto"/>
            <w:vAlign w:val="center"/>
            <w:hideMark/>
          </w:tcPr>
          <w:p w:rsidR="004D5F42" w:rsidRPr="004712FE" w:rsidRDefault="002209EB"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4D5F42" w:rsidRPr="004712FE" w:rsidRDefault="002209EB"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r w:rsidR="004D5F42" w:rsidRPr="004712FE" w:rsidTr="002209EB">
        <w:trPr>
          <w:tblCellSpacing w:w="15" w:type="dxa"/>
        </w:trPr>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Total</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21.39</w:t>
            </w:r>
          </w:p>
        </w:tc>
        <w:tc>
          <w:tcPr>
            <w:tcW w:w="0" w:type="auto"/>
            <w:vAlign w:val="center"/>
            <w:hideMark/>
          </w:tcPr>
          <w:p w:rsidR="004D5F42" w:rsidRPr="004712FE" w:rsidRDefault="004D5F42"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24</w:t>
            </w:r>
          </w:p>
        </w:tc>
        <w:tc>
          <w:tcPr>
            <w:tcW w:w="0" w:type="auto"/>
            <w:vAlign w:val="center"/>
            <w:hideMark/>
          </w:tcPr>
          <w:p w:rsidR="004D5F42" w:rsidRPr="004712FE" w:rsidRDefault="002209EB"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4D5F42" w:rsidRPr="004712FE" w:rsidRDefault="002209EB"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c>
          <w:tcPr>
            <w:tcW w:w="0" w:type="auto"/>
            <w:vAlign w:val="center"/>
            <w:hideMark/>
          </w:tcPr>
          <w:p w:rsidR="004D5F42" w:rsidRPr="004712FE" w:rsidRDefault="002209EB" w:rsidP="004712FE">
            <w:pPr>
              <w:spacing w:after="0" w:line="360" w:lineRule="auto"/>
              <w:jc w:val="both"/>
              <w:rPr>
                <w:rFonts w:ascii="Times New Roman" w:eastAsia="Times New Roman" w:hAnsi="Times New Roman" w:cs="Times New Roman"/>
                <w:sz w:val="24"/>
                <w:szCs w:val="24"/>
              </w:rPr>
            </w:pPr>
            <w:r w:rsidRPr="004712FE">
              <w:rPr>
                <w:rFonts w:ascii="Times New Roman" w:eastAsia="Times New Roman" w:hAnsi="Times New Roman" w:cs="Times New Roman"/>
                <w:sz w:val="24"/>
                <w:szCs w:val="24"/>
              </w:rPr>
              <w:t>-</w:t>
            </w:r>
          </w:p>
        </w:tc>
      </w:tr>
    </w:tbl>
    <w:p w:rsidR="004D5F42" w:rsidRPr="004712FE" w:rsidRDefault="004D5F42" w:rsidP="004712FE">
      <w:pPr>
        <w:pStyle w:val="NormalWeb"/>
        <w:spacing w:line="360" w:lineRule="auto"/>
        <w:jc w:val="both"/>
      </w:pPr>
      <w:r w:rsidRPr="004712FE">
        <w:t xml:space="preserve">The </w:t>
      </w:r>
      <w:r w:rsidRPr="004712FE">
        <w:rPr>
          <w:rStyle w:val="Strong"/>
          <w:b w:val="0"/>
        </w:rPr>
        <w:t>ANOVA analysis shows a statistically significant difference (p &lt; 0.001)</w:t>
      </w:r>
      <w:r w:rsidRPr="004712FE">
        <w:t xml:space="preserve"> in bacterial counts across the different incubation times. This indicates that </w:t>
      </w:r>
      <w:r w:rsidRPr="004712FE">
        <w:rPr>
          <w:rStyle w:val="Strong"/>
          <w:b w:val="0"/>
        </w:rPr>
        <w:t>exposure time significantly influences the antibacterial activity of gelatin</w:t>
      </w:r>
      <w:r w:rsidRPr="004712FE">
        <w:t xml:space="preserve">, confirming the </w:t>
      </w:r>
      <w:r w:rsidRPr="004712FE">
        <w:rPr>
          <w:rStyle w:val="Strong"/>
          <w:b w:val="0"/>
        </w:rPr>
        <w:t>time-dependent reduction in bacterial viability observed in t</w:t>
      </w:r>
      <w:r w:rsidR="002209EB" w:rsidRPr="004712FE">
        <w:rPr>
          <w:rStyle w:val="Strong"/>
          <w:b w:val="0"/>
        </w:rPr>
        <w:t>he time-</w:t>
      </w:r>
      <w:r w:rsidRPr="004712FE">
        <w:rPr>
          <w:rStyle w:val="Strong"/>
          <w:b w:val="0"/>
        </w:rPr>
        <w:t>kill kinetics assay</w:t>
      </w:r>
      <w:r w:rsidRPr="004712FE">
        <w:t xml:space="preserve">. The high F-value (42.37) further supports that the observed reductions in bacterial populations over time are not due to random variation but rather to the antimicrobial </w:t>
      </w:r>
      <w:r w:rsidR="00E82CA6" w:rsidRPr="004712FE">
        <w:t>effect of the gelatin treatment</w:t>
      </w:r>
    </w:p>
    <w:p w:rsidR="0031774F" w:rsidRPr="004712FE" w:rsidRDefault="00B17A52" w:rsidP="004712FE">
      <w:pPr>
        <w:spacing w:before="100" w:beforeAutospacing="1" w:after="100" w:afterAutospacing="1"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noProof/>
          <w:sz w:val="24"/>
          <w:szCs w:val="24"/>
        </w:rPr>
        <w:drawing>
          <wp:inline distT="0" distB="0" distL="0" distR="0" wp14:anchorId="04C7FF4F" wp14:editId="079A3199">
            <wp:extent cx="6277177" cy="4181475"/>
            <wp:effectExtent l="0" t="0" r="9525" b="0"/>
            <wp:docPr id="5" name="Picture 5" descr="C:\Users\TAHIR\Downloads\BF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HIR\Downloads\BFl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9075" cy="4182739"/>
                    </a:xfrm>
                    <a:prstGeom prst="rect">
                      <a:avLst/>
                    </a:prstGeom>
                    <a:noFill/>
                    <a:ln>
                      <a:noFill/>
                    </a:ln>
                  </pic:spPr>
                </pic:pic>
              </a:graphicData>
            </a:graphic>
          </wp:inline>
        </w:drawing>
      </w:r>
    </w:p>
    <w:p w:rsidR="00F028D8" w:rsidRPr="004712FE" w:rsidRDefault="002209EB" w:rsidP="004712FE">
      <w:pPr>
        <w:pStyle w:val="NormalWeb"/>
        <w:spacing w:line="360" w:lineRule="auto"/>
        <w:jc w:val="both"/>
      </w:pPr>
      <w:r w:rsidRPr="004712FE">
        <w:rPr>
          <w:b/>
        </w:rPr>
        <w:t>Figure</w:t>
      </w:r>
      <w:r w:rsidR="00931325">
        <w:rPr>
          <w:b/>
        </w:rPr>
        <w:t xml:space="preserve"> 6</w:t>
      </w:r>
      <w:r w:rsidRPr="004712FE">
        <w:rPr>
          <w:b/>
        </w:rPr>
        <w:t xml:space="preserve">: </w:t>
      </w:r>
      <w:r w:rsidRPr="004712FE">
        <w:t>Biofilm Inhibition and Eradication of the Bacterial Strain using the Synthesized Gelatin</w:t>
      </w:r>
    </w:p>
    <w:p w:rsidR="00F028D8" w:rsidRPr="004712FE" w:rsidRDefault="00F028D8" w:rsidP="004712FE">
      <w:pPr>
        <w:pStyle w:val="NormalWeb"/>
        <w:spacing w:line="360" w:lineRule="auto"/>
        <w:jc w:val="both"/>
      </w:pPr>
      <w:r w:rsidRPr="004712FE">
        <w:lastRenderedPageBreak/>
        <w:t xml:space="preserve">Biofilms are protective communities of microorganisms embedded in extracellular matrices, which make them more resistant to antibiotics and host defenses compared with free-floating cells. The synthesized gelatin in this study demonstrated </w:t>
      </w:r>
      <w:r w:rsidRPr="004712FE">
        <w:rPr>
          <w:rStyle w:val="Strong"/>
          <w:b w:val="0"/>
        </w:rPr>
        <w:t>notable antibiofilm activity</w:t>
      </w:r>
      <w:r w:rsidRPr="004712FE">
        <w:t>, effectively reducing biofilm formation by both Gram-positive and Gram-negative bacteria. This suggests that gelatin can interfere with the early stages of biofilm development, likely by disrupting bacterial adhesion and the production of extracellular polymeric substances (EPS) (</w:t>
      </w:r>
      <w:proofErr w:type="spellStart"/>
      <w:r w:rsidRPr="004712FE">
        <w:t>Nurilmala</w:t>
      </w:r>
      <w:proofErr w:type="spellEnd"/>
      <w:r w:rsidRPr="004712FE">
        <w:t xml:space="preserve"> </w:t>
      </w:r>
      <w:r w:rsidRPr="004712FE">
        <w:rPr>
          <w:i/>
        </w:rPr>
        <w:t>et al</w:t>
      </w:r>
      <w:r w:rsidRPr="004712FE">
        <w:t xml:space="preserve">., 2020; Panjaitan </w:t>
      </w:r>
      <w:r w:rsidRPr="004712FE">
        <w:rPr>
          <w:i/>
        </w:rPr>
        <w:t>et al</w:t>
      </w:r>
      <w:r w:rsidRPr="004712FE">
        <w:t>., 2024).</w:t>
      </w:r>
    </w:p>
    <w:p w:rsidR="00F028D8" w:rsidRPr="004712FE" w:rsidRDefault="00F028D8" w:rsidP="004712FE">
      <w:pPr>
        <w:pStyle w:val="NormalWeb"/>
        <w:spacing w:line="360" w:lineRule="auto"/>
        <w:jc w:val="both"/>
      </w:pPr>
      <w:r w:rsidRPr="004712FE">
        <w:t xml:space="preserve">Gelatin’s antibiofilm effect is partly attributed to </w:t>
      </w:r>
      <w:r w:rsidRPr="004712FE">
        <w:rPr>
          <w:rStyle w:val="Strong"/>
          <w:b w:val="0"/>
        </w:rPr>
        <w:t>bioactive peptides</w:t>
      </w:r>
      <w:r w:rsidRPr="004712FE">
        <w:t xml:space="preserve"> generated from collagen hydrolysis, rich in glycine, proline, and hydroxyproline, which can interact with bacterial surface proteins and quorum sensing pathways, preventing the transition from planktonic cells to mature biofilms (</w:t>
      </w:r>
      <w:proofErr w:type="spellStart"/>
      <w:r w:rsidRPr="004712FE">
        <w:t>Delattin</w:t>
      </w:r>
      <w:proofErr w:type="spellEnd"/>
      <w:r w:rsidRPr="004712FE">
        <w:t xml:space="preserve"> </w:t>
      </w:r>
      <w:r w:rsidRPr="004712FE">
        <w:rPr>
          <w:i/>
        </w:rPr>
        <w:t>et al</w:t>
      </w:r>
      <w:r w:rsidRPr="004712FE">
        <w:t xml:space="preserve">., 2021). In addition to inhibiting biofilm formation, gelatin showed the ability to </w:t>
      </w:r>
      <w:r w:rsidRPr="004712FE">
        <w:rPr>
          <w:rStyle w:val="Strong"/>
          <w:b w:val="0"/>
        </w:rPr>
        <w:t>eradicate preformed biofilms</w:t>
      </w:r>
      <w:r w:rsidRPr="004712FE">
        <w:t xml:space="preserve"> at higher concentrations or with extended exposure, indicating penetration into the mature biofilm matrix and reduction of viable cells. This property is particularly valuable for </w:t>
      </w:r>
      <w:r w:rsidRPr="004712FE">
        <w:rPr>
          <w:rStyle w:val="Strong"/>
          <w:b w:val="0"/>
        </w:rPr>
        <w:t>wound care and implant-associated infections</w:t>
      </w:r>
      <w:r w:rsidRPr="004712FE">
        <w:t xml:space="preserve">, where mature biofilms contribute to chronic infections and antibiotic resistance (Qiao </w:t>
      </w:r>
      <w:r w:rsidRPr="004712FE">
        <w:rPr>
          <w:i/>
        </w:rPr>
        <w:t>et al</w:t>
      </w:r>
      <w:r w:rsidRPr="004712FE">
        <w:t xml:space="preserve">., 2024; Asghar </w:t>
      </w:r>
      <w:r w:rsidRPr="004712FE">
        <w:rPr>
          <w:i/>
        </w:rPr>
        <w:t>et al</w:t>
      </w:r>
      <w:r w:rsidRPr="004712FE">
        <w:t xml:space="preserve">., 2024; </w:t>
      </w:r>
      <w:proofErr w:type="spellStart"/>
      <w:r w:rsidRPr="004712FE">
        <w:t>ElTatawy</w:t>
      </w:r>
      <w:proofErr w:type="spellEnd"/>
      <w:r w:rsidRPr="004712FE">
        <w:t xml:space="preserve"> </w:t>
      </w:r>
      <w:r w:rsidRPr="004712FE">
        <w:rPr>
          <w:i/>
        </w:rPr>
        <w:t>et al</w:t>
      </w:r>
      <w:r w:rsidRPr="004712FE">
        <w:t>., 2024).</w:t>
      </w:r>
    </w:p>
    <w:p w:rsidR="00F028D8" w:rsidRPr="004712FE" w:rsidRDefault="00F028D8" w:rsidP="004712FE">
      <w:pPr>
        <w:pStyle w:val="NormalWeb"/>
        <w:spacing w:line="360" w:lineRule="auto"/>
        <w:jc w:val="both"/>
      </w:pPr>
      <w:r w:rsidRPr="004712FE">
        <w:t>Furthermore, combining gelatin with o</w:t>
      </w:r>
      <w:r w:rsidR="002209EB" w:rsidRPr="004712FE">
        <w:t xml:space="preserve">ther functional materials </w:t>
      </w:r>
      <w:r w:rsidRPr="004712FE">
        <w:t>such as chitosan or nanoparticles</w:t>
      </w:r>
      <w:r w:rsidR="002209EB" w:rsidRPr="004712FE">
        <w:t xml:space="preserve"> </w:t>
      </w:r>
      <w:r w:rsidRPr="004712FE">
        <w:t>enhances antibiofilm efficacy through synergistic effects, including improved surface charge interactions, controlled antimicrobial ion release, and reactive oxygen species generation. For example</w:t>
      </w:r>
      <w:r w:rsidR="002209EB" w:rsidRPr="004712FE">
        <w:t xml:space="preserve">, gelatin </w:t>
      </w:r>
      <w:r w:rsidRPr="004712FE">
        <w:t xml:space="preserve">silver nanoparticle composites have demonstrated strong inhibition of </w:t>
      </w:r>
      <w:r w:rsidRPr="004712FE">
        <w:rPr>
          <w:rStyle w:val="Emphasis"/>
        </w:rPr>
        <w:t>Staphylococcus aureus</w:t>
      </w:r>
      <w:r w:rsidRPr="004712FE">
        <w:t xml:space="preserve"> and </w:t>
      </w:r>
      <w:r w:rsidRPr="004712FE">
        <w:rPr>
          <w:rStyle w:val="Emphasis"/>
        </w:rPr>
        <w:t>Escherichia coli</w:t>
      </w:r>
      <w:r w:rsidRPr="004712FE">
        <w:t xml:space="preserve"> biofilms, exceeding the activity of gelatin alone (Zhang </w:t>
      </w:r>
      <w:r w:rsidRPr="004712FE">
        <w:rPr>
          <w:i/>
        </w:rPr>
        <w:t>et al</w:t>
      </w:r>
      <w:r w:rsidRPr="004712FE">
        <w:t xml:space="preserve">., 2025; Qiao </w:t>
      </w:r>
      <w:r w:rsidRPr="004712FE">
        <w:rPr>
          <w:i/>
        </w:rPr>
        <w:t>et al</w:t>
      </w:r>
      <w:r w:rsidRPr="004712FE">
        <w:t>., 2024).</w:t>
      </w:r>
    </w:p>
    <w:p w:rsidR="00F028D8" w:rsidRPr="004712FE" w:rsidRDefault="002209EB" w:rsidP="004712FE">
      <w:pPr>
        <w:pStyle w:val="NormalWeb"/>
        <w:spacing w:line="360" w:lineRule="auto"/>
        <w:jc w:val="both"/>
      </w:pPr>
      <w:r w:rsidRPr="004712FE">
        <w:t>T</w:t>
      </w:r>
      <w:r w:rsidR="00F028D8" w:rsidRPr="004712FE">
        <w:t xml:space="preserve">he results highlight the potential of synthesized gelatin as a </w:t>
      </w:r>
      <w:r w:rsidR="00F028D8" w:rsidRPr="004712FE">
        <w:rPr>
          <w:rStyle w:val="Strong"/>
          <w:b w:val="0"/>
        </w:rPr>
        <w:t>biodegradable and biocompatible antibiofilm agent</w:t>
      </w:r>
      <w:r w:rsidR="00F028D8" w:rsidRPr="004712FE">
        <w:t xml:space="preserve">, capable of both preventing biofilm formation and disrupting established biofilms. Its efficacy can be further enhanced through functionalization with bioactive additives, making it suitable for </w:t>
      </w:r>
      <w:r w:rsidR="00F028D8" w:rsidRPr="004712FE">
        <w:rPr>
          <w:rStyle w:val="Strong"/>
          <w:b w:val="0"/>
        </w:rPr>
        <w:t>wound dressings, antimicrobial coatings, implant surface modification, and food contact applications</w:t>
      </w:r>
      <w:r w:rsidR="00F028D8" w:rsidRPr="004712FE">
        <w:t>, where effective biofilm control is critical.</w:t>
      </w:r>
    </w:p>
    <w:p w:rsidR="00226A7E" w:rsidRPr="004712FE" w:rsidRDefault="00B17A52" w:rsidP="004712FE">
      <w:pPr>
        <w:spacing w:before="100" w:beforeAutospacing="1" w:after="100" w:afterAutospacing="1" w:line="360" w:lineRule="auto"/>
        <w:rPr>
          <w:rFonts w:ascii="Times New Roman" w:eastAsia="Times New Roman" w:hAnsi="Times New Roman" w:cs="Times New Roman"/>
          <w:sz w:val="24"/>
          <w:szCs w:val="24"/>
        </w:rPr>
      </w:pPr>
      <w:r w:rsidRPr="004712FE">
        <w:rPr>
          <w:rFonts w:ascii="Times New Roman" w:eastAsia="Times New Roman" w:hAnsi="Times New Roman" w:cs="Times New Roman"/>
          <w:noProof/>
          <w:sz w:val="24"/>
          <w:szCs w:val="24"/>
        </w:rPr>
        <w:lastRenderedPageBreak/>
        <w:drawing>
          <wp:inline distT="0" distB="0" distL="0" distR="0" wp14:anchorId="416D8164" wp14:editId="2109A5C2">
            <wp:extent cx="5433549" cy="3619500"/>
            <wp:effectExtent l="0" t="0" r="0" b="0"/>
            <wp:docPr id="3" name="Picture 3" descr="C:\Users\TAHIR\Downloads\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IR\Downloads\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4054" cy="3619836"/>
                    </a:xfrm>
                    <a:prstGeom prst="rect">
                      <a:avLst/>
                    </a:prstGeom>
                    <a:noFill/>
                    <a:ln>
                      <a:noFill/>
                    </a:ln>
                  </pic:spPr>
                </pic:pic>
              </a:graphicData>
            </a:graphic>
          </wp:inline>
        </w:drawing>
      </w:r>
    </w:p>
    <w:p w:rsidR="00226A7E" w:rsidRPr="004712FE" w:rsidRDefault="006E204D" w:rsidP="004712FE">
      <w:pPr>
        <w:spacing w:line="360" w:lineRule="auto"/>
        <w:rPr>
          <w:rFonts w:ascii="Times New Roman" w:hAnsi="Times New Roman" w:cs="Times New Roman"/>
          <w:sz w:val="24"/>
          <w:szCs w:val="24"/>
        </w:rPr>
      </w:pPr>
      <w:r w:rsidRPr="004712FE">
        <w:rPr>
          <w:rFonts w:ascii="Times New Roman" w:hAnsi="Times New Roman" w:cs="Times New Roman"/>
          <w:b/>
          <w:sz w:val="24"/>
          <w:szCs w:val="24"/>
        </w:rPr>
        <w:t>Figure</w:t>
      </w:r>
      <w:r w:rsidR="00931325">
        <w:rPr>
          <w:rFonts w:ascii="Times New Roman" w:hAnsi="Times New Roman" w:cs="Times New Roman"/>
          <w:b/>
          <w:sz w:val="24"/>
          <w:szCs w:val="24"/>
        </w:rPr>
        <w:t xml:space="preserve"> 7</w:t>
      </w:r>
      <w:r w:rsidRPr="004712FE">
        <w:rPr>
          <w:rFonts w:ascii="Times New Roman" w:hAnsi="Times New Roman" w:cs="Times New Roman"/>
          <w:b/>
          <w:sz w:val="24"/>
          <w:szCs w:val="24"/>
        </w:rPr>
        <w:t xml:space="preserve">: </w:t>
      </w:r>
      <w:r w:rsidRPr="004712FE">
        <w:rPr>
          <w:rFonts w:ascii="Times New Roman" w:hAnsi="Times New Roman" w:cs="Times New Roman"/>
          <w:sz w:val="24"/>
          <w:szCs w:val="24"/>
        </w:rPr>
        <w:t>Reusability and Antimicrobial Stability of the Synthesized Gelatin after Storage (4</w:t>
      </w:r>
      <w:r w:rsidRPr="004712FE">
        <w:rPr>
          <w:rFonts w:ascii="Times New Roman" w:hAnsi="Times New Roman" w:cs="Times New Roman"/>
          <w:sz w:val="24"/>
          <w:szCs w:val="24"/>
          <w:vertAlign w:val="superscript"/>
        </w:rPr>
        <w:t>o</w:t>
      </w:r>
      <w:r w:rsidRPr="004712FE">
        <w:rPr>
          <w:rFonts w:ascii="Times New Roman" w:hAnsi="Times New Roman" w:cs="Times New Roman"/>
          <w:sz w:val="24"/>
          <w:szCs w:val="24"/>
        </w:rPr>
        <w:t>C and 25</w:t>
      </w:r>
      <w:r w:rsidRPr="004712FE">
        <w:rPr>
          <w:rFonts w:ascii="Times New Roman" w:hAnsi="Times New Roman" w:cs="Times New Roman"/>
          <w:sz w:val="24"/>
          <w:szCs w:val="24"/>
          <w:vertAlign w:val="superscript"/>
        </w:rPr>
        <w:t>o</w:t>
      </w:r>
      <w:r w:rsidRPr="004712FE">
        <w:rPr>
          <w:rFonts w:ascii="Times New Roman" w:hAnsi="Times New Roman" w:cs="Times New Roman"/>
          <w:sz w:val="24"/>
          <w:szCs w:val="24"/>
        </w:rPr>
        <w:t>C for 0, 7, 14, 21, and 28 Days)</w:t>
      </w:r>
    </w:p>
    <w:p w:rsidR="00CE241A" w:rsidRPr="004712FE" w:rsidRDefault="00CE241A" w:rsidP="004712FE">
      <w:pPr>
        <w:pStyle w:val="NormalWeb"/>
        <w:spacing w:line="360" w:lineRule="auto"/>
        <w:jc w:val="both"/>
      </w:pPr>
      <w:r w:rsidRPr="004712FE">
        <w:t xml:space="preserve">The reusability and storage stability of antimicrobial materials are critical for practical applications, particularly for biomaterials intended for repeated use or long-term storage. In this study, synthesized gelatin demonstrated </w:t>
      </w:r>
      <w:r w:rsidRPr="004712FE">
        <w:rPr>
          <w:rStyle w:val="Strong"/>
          <w:b w:val="0"/>
        </w:rPr>
        <w:t xml:space="preserve">strong antibacterial activity against </w:t>
      </w:r>
      <w:r w:rsidRPr="004712FE">
        <w:rPr>
          <w:rStyle w:val="Emphasis"/>
          <w:bCs/>
        </w:rPr>
        <w:t>Staphylococcus aureus</w:t>
      </w:r>
      <w:r w:rsidRPr="004712FE">
        <w:rPr>
          <w:rStyle w:val="Strong"/>
        </w:rPr>
        <w:t xml:space="preserve"> </w:t>
      </w:r>
      <w:r w:rsidRPr="004712FE">
        <w:rPr>
          <w:rStyle w:val="Strong"/>
          <w:b w:val="0"/>
        </w:rPr>
        <w:t xml:space="preserve">and </w:t>
      </w:r>
      <w:r w:rsidRPr="004712FE">
        <w:rPr>
          <w:rStyle w:val="Emphasis"/>
          <w:bCs/>
        </w:rPr>
        <w:t>Escherichia coli</w:t>
      </w:r>
      <w:r w:rsidRPr="004712FE">
        <w:t xml:space="preserve"> over multiple reuse cycles. Specifically, the antibacterial efficacy showed a gradual decline with each cycle, yet a sub</w:t>
      </w:r>
      <w:r w:rsidR="00E82CA6" w:rsidRPr="004712FE">
        <w:t xml:space="preserve">stantial proportion of activity </w:t>
      </w:r>
      <w:r w:rsidRPr="004712FE">
        <w:rPr>
          <w:rStyle w:val="Strong"/>
          <w:b w:val="0"/>
        </w:rPr>
        <w:t>approximately</w:t>
      </w:r>
      <w:r w:rsidRPr="004712FE">
        <w:rPr>
          <w:rStyle w:val="Strong"/>
        </w:rPr>
        <w:t xml:space="preserve"> </w:t>
      </w:r>
      <w:r w:rsidRPr="004712FE">
        <w:rPr>
          <w:rStyle w:val="Strong"/>
          <w:b w:val="0"/>
        </w:rPr>
        <w:t>71</w:t>
      </w:r>
      <w:r w:rsidR="00E82CA6" w:rsidRPr="004712FE">
        <w:rPr>
          <w:rStyle w:val="Strong"/>
          <w:b w:val="0"/>
        </w:rPr>
        <w:t>.0-</w:t>
      </w:r>
      <w:r w:rsidRPr="004712FE">
        <w:rPr>
          <w:rStyle w:val="Strong"/>
          <w:b w:val="0"/>
        </w:rPr>
        <w:t>74</w:t>
      </w:r>
      <w:r w:rsidR="00E82CA6" w:rsidRPr="004712FE">
        <w:rPr>
          <w:rStyle w:val="Strong"/>
          <w:b w:val="0"/>
        </w:rPr>
        <w:t>.0</w:t>
      </w:r>
      <w:r w:rsidRPr="004712FE">
        <w:rPr>
          <w:rStyle w:val="Strong"/>
          <w:b w:val="0"/>
        </w:rPr>
        <w:t xml:space="preserve">% for </w:t>
      </w:r>
      <w:r w:rsidRPr="004712FE">
        <w:rPr>
          <w:rStyle w:val="Emphasis"/>
          <w:bCs/>
        </w:rPr>
        <w:t>S. aureus</w:t>
      </w:r>
      <w:r w:rsidRPr="004712FE">
        <w:rPr>
          <w:rStyle w:val="Strong"/>
          <w:b w:val="0"/>
        </w:rPr>
        <w:t xml:space="preserve"> and 70</w:t>
      </w:r>
      <w:r w:rsidR="00E82CA6" w:rsidRPr="004712FE">
        <w:rPr>
          <w:rStyle w:val="Strong"/>
          <w:b w:val="0"/>
        </w:rPr>
        <w:t>.0-</w:t>
      </w:r>
      <w:r w:rsidRPr="004712FE">
        <w:rPr>
          <w:rStyle w:val="Strong"/>
          <w:b w:val="0"/>
        </w:rPr>
        <w:t>72</w:t>
      </w:r>
      <w:r w:rsidR="00E82CA6" w:rsidRPr="004712FE">
        <w:rPr>
          <w:rStyle w:val="Strong"/>
          <w:b w:val="0"/>
        </w:rPr>
        <w:t>.0</w:t>
      </w:r>
      <w:r w:rsidRPr="004712FE">
        <w:rPr>
          <w:rStyle w:val="Strong"/>
          <w:b w:val="0"/>
        </w:rPr>
        <w:t xml:space="preserve">% for </w:t>
      </w:r>
      <w:r w:rsidRPr="004712FE">
        <w:rPr>
          <w:rStyle w:val="Emphasis"/>
          <w:bCs/>
        </w:rPr>
        <w:t>E.</w:t>
      </w:r>
      <w:r w:rsidRPr="004712FE">
        <w:rPr>
          <w:rStyle w:val="Emphasis"/>
          <w:b/>
          <w:bCs/>
        </w:rPr>
        <w:t xml:space="preserve"> </w:t>
      </w:r>
      <w:r w:rsidRPr="004712FE">
        <w:rPr>
          <w:rStyle w:val="Emphasis"/>
          <w:bCs/>
        </w:rPr>
        <w:t>coli</w:t>
      </w:r>
      <w:r w:rsidR="00E82CA6" w:rsidRPr="004712FE">
        <w:t xml:space="preserve"> </w:t>
      </w:r>
      <w:r w:rsidRPr="004712FE">
        <w:t xml:space="preserve">was retained after three consecutive uses. This indicates that the gelatin matrix is </w:t>
      </w:r>
      <w:r w:rsidRPr="004712FE">
        <w:rPr>
          <w:rStyle w:val="Strong"/>
          <w:b w:val="0"/>
        </w:rPr>
        <w:t>structurally stable</w:t>
      </w:r>
      <w:r w:rsidRPr="004712FE">
        <w:t xml:space="preserve"> and preserves its functional antimicrobial activity under repeated bacterial exposure, a desirable property for reusable antimicrobial coatings and treatment systems (Asghar </w:t>
      </w:r>
      <w:r w:rsidRPr="004712FE">
        <w:rPr>
          <w:i/>
        </w:rPr>
        <w:t>et al</w:t>
      </w:r>
      <w:r w:rsidRPr="004712FE">
        <w:t xml:space="preserve">., 2024; Zhang </w:t>
      </w:r>
      <w:r w:rsidRPr="004712FE">
        <w:rPr>
          <w:i/>
        </w:rPr>
        <w:t>et al</w:t>
      </w:r>
      <w:r w:rsidRPr="004712FE">
        <w:t>., 2025).</w:t>
      </w:r>
    </w:p>
    <w:p w:rsidR="00CE241A" w:rsidRPr="004712FE" w:rsidRDefault="00CE241A" w:rsidP="004712FE">
      <w:pPr>
        <w:pStyle w:val="NormalWeb"/>
        <w:spacing w:line="360" w:lineRule="auto"/>
        <w:jc w:val="both"/>
      </w:pPr>
      <w:r w:rsidRPr="004712FE">
        <w:t xml:space="preserve">The maintained activity likely arises from the </w:t>
      </w:r>
      <w:r w:rsidRPr="004712FE">
        <w:rPr>
          <w:rStyle w:val="Strong"/>
          <w:b w:val="0"/>
        </w:rPr>
        <w:t>robust biopolymer network</w:t>
      </w:r>
      <w:r w:rsidRPr="004712FE">
        <w:t xml:space="preserve"> of gelatin and the stability of embedded bactericidal peptides generated during collagen hydrolysis. Similar findings have b</w:t>
      </w:r>
      <w:r w:rsidR="00E82CA6" w:rsidRPr="004712FE">
        <w:t>een reported for gelatin-</w:t>
      </w:r>
      <w:r w:rsidR="00226A7E" w:rsidRPr="004712FE">
        <w:t xml:space="preserve">nanocomposite and gelatin </w:t>
      </w:r>
      <w:r w:rsidRPr="004712FE">
        <w:t xml:space="preserve">essential oil films, where strong interactions between </w:t>
      </w:r>
      <w:r w:rsidRPr="004712FE">
        <w:lastRenderedPageBreak/>
        <w:t xml:space="preserve">the gelatin backbone and antimicrobial agents help preserve activity across repeated use (Qiao </w:t>
      </w:r>
      <w:r w:rsidRPr="004712FE">
        <w:rPr>
          <w:i/>
        </w:rPr>
        <w:t>et al</w:t>
      </w:r>
      <w:r w:rsidRPr="004712FE">
        <w:t>., 2024).</w:t>
      </w:r>
    </w:p>
    <w:p w:rsidR="00CE241A" w:rsidRPr="004712FE" w:rsidRDefault="00CE241A" w:rsidP="004712FE">
      <w:pPr>
        <w:pStyle w:val="NormalWeb"/>
        <w:spacing w:line="360" w:lineRule="auto"/>
        <w:jc w:val="both"/>
      </w:pPr>
      <w:r w:rsidRPr="004712FE">
        <w:t xml:space="preserve">Regarding </w:t>
      </w:r>
      <w:r w:rsidRPr="004712FE">
        <w:rPr>
          <w:rStyle w:val="Strong"/>
          <w:b w:val="0"/>
        </w:rPr>
        <w:t>antimicrobial stability during storage</w:t>
      </w:r>
      <w:r w:rsidRPr="004712FE">
        <w:t xml:space="preserve">, the synthesized gelatin retained significant antibacterial activity at ambient conditions for </w:t>
      </w:r>
      <w:r w:rsidRPr="004712FE">
        <w:rPr>
          <w:rStyle w:val="Strong"/>
          <w:b w:val="0"/>
        </w:rPr>
        <w:t>30 and 60 days</w:t>
      </w:r>
      <w:r w:rsidRPr="004712FE">
        <w:t xml:space="preserve">, with only moderate declines. After 30 days, activity remained at </w:t>
      </w:r>
      <w:r w:rsidRPr="004712FE">
        <w:rPr>
          <w:rStyle w:val="Strong"/>
          <w:b w:val="0"/>
        </w:rPr>
        <w:t>78</w:t>
      </w:r>
      <w:r w:rsidR="00E82CA6" w:rsidRPr="004712FE">
        <w:rPr>
          <w:rStyle w:val="Strong"/>
          <w:b w:val="0"/>
        </w:rPr>
        <w:t>.0</w:t>
      </w:r>
      <w:r w:rsidRPr="004712FE">
        <w:rPr>
          <w:rStyle w:val="Strong"/>
          <w:b w:val="0"/>
        </w:rPr>
        <w:t xml:space="preserve">% for </w:t>
      </w:r>
      <w:r w:rsidRPr="004712FE">
        <w:rPr>
          <w:rStyle w:val="Emphasis"/>
          <w:bCs/>
        </w:rPr>
        <w:t>S. aureus</w:t>
      </w:r>
      <w:r w:rsidR="00E82CA6" w:rsidRPr="004712FE">
        <w:rPr>
          <w:rStyle w:val="Strong"/>
          <w:b w:val="0"/>
        </w:rPr>
        <w:t xml:space="preserve"> and </w:t>
      </w:r>
      <w:r w:rsidRPr="004712FE">
        <w:rPr>
          <w:rStyle w:val="Strong"/>
          <w:b w:val="0"/>
        </w:rPr>
        <w:t>76</w:t>
      </w:r>
      <w:r w:rsidR="00E82CA6" w:rsidRPr="004712FE">
        <w:rPr>
          <w:rStyle w:val="Strong"/>
          <w:b w:val="0"/>
        </w:rPr>
        <w:t>.0</w:t>
      </w:r>
      <w:r w:rsidRPr="004712FE">
        <w:rPr>
          <w:rStyle w:val="Strong"/>
          <w:b w:val="0"/>
        </w:rPr>
        <w:t xml:space="preserve">% for </w:t>
      </w:r>
      <w:r w:rsidRPr="004712FE">
        <w:rPr>
          <w:rStyle w:val="Emphasis"/>
          <w:bCs/>
        </w:rPr>
        <w:t>E. coli</w:t>
      </w:r>
      <w:r w:rsidRPr="004712FE">
        <w:t xml:space="preserve">, and after 60 days, it was </w:t>
      </w:r>
      <w:r w:rsidRPr="004712FE">
        <w:rPr>
          <w:rStyle w:val="Strong"/>
          <w:b w:val="0"/>
        </w:rPr>
        <w:t>71</w:t>
      </w:r>
      <w:r w:rsidR="00E82CA6" w:rsidRPr="004712FE">
        <w:rPr>
          <w:rStyle w:val="Strong"/>
          <w:b w:val="0"/>
        </w:rPr>
        <w:t>.0</w:t>
      </w:r>
      <w:r w:rsidRPr="004712FE">
        <w:rPr>
          <w:rStyle w:val="Strong"/>
          <w:b w:val="0"/>
        </w:rPr>
        <w:t>%</w:t>
      </w:r>
      <w:r w:rsidR="00E82CA6" w:rsidRPr="004712FE">
        <w:rPr>
          <w:rStyle w:val="Strong"/>
          <w:b w:val="0"/>
        </w:rPr>
        <w:t xml:space="preserve"> and </w:t>
      </w:r>
      <w:r w:rsidRPr="004712FE">
        <w:rPr>
          <w:rStyle w:val="Strong"/>
          <w:b w:val="0"/>
        </w:rPr>
        <w:t>70</w:t>
      </w:r>
      <w:r w:rsidR="00E82CA6" w:rsidRPr="004712FE">
        <w:rPr>
          <w:rStyle w:val="Strong"/>
          <w:b w:val="0"/>
        </w:rPr>
        <w:t>.0.</w:t>
      </w:r>
      <w:r w:rsidRPr="004712FE">
        <w:rPr>
          <w:rStyle w:val="Strong"/>
          <w:b w:val="0"/>
        </w:rPr>
        <w:t>%</w:t>
      </w:r>
      <w:r w:rsidRPr="004712FE">
        <w:rPr>
          <w:b/>
        </w:rPr>
        <w:t>,</w:t>
      </w:r>
      <w:r w:rsidRPr="004712FE">
        <w:t xml:space="preserve"> respectively. These results are consistent with other biopolymer</w:t>
      </w:r>
      <w:r w:rsidR="00E82CA6" w:rsidRPr="004712FE">
        <w:t>-based systems, such as gelatin-</w:t>
      </w:r>
      <w:r w:rsidRPr="004712FE">
        <w:t>chitosan composites, where long-term antimicrobial activity is maintained due to preservation of peptide functionality and resistance to degradation (</w:t>
      </w:r>
      <w:proofErr w:type="spellStart"/>
      <w:r w:rsidRPr="004712FE">
        <w:t>ElTatawy</w:t>
      </w:r>
      <w:proofErr w:type="spellEnd"/>
      <w:r w:rsidRPr="004712FE">
        <w:t xml:space="preserve"> </w:t>
      </w:r>
      <w:r w:rsidRPr="004712FE">
        <w:rPr>
          <w:i/>
        </w:rPr>
        <w:t>et al</w:t>
      </w:r>
      <w:r w:rsidRPr="004712FE">
        <w:t xml:space="preserve">., 2024). The ability to sustain antimicrobial activity over time is particularly important for applications such as </w:t>
      </w:r>
      <w:r w:rsidRPr="004712FE">
        <w:rPr>
          <w:rStyle w:val="Strong"/>
          <w:b w:val="0"/>
        </w:rPr>
        <w:t>wound dressings, food packaging, and antimicrobial coatings</w:t>
      </w:r>
      <w:r w:rsidRPr="004712FE">
        <w:t>, where extended storage prior to use is common.</w:t>
      </w:r>
    </w:p>
    <w:p w:rsidR="00CE241A" w:rsidRPr="004712FE" w:rsidRDefault="00CE241A" w:rsidP="004712FE">
      <w:pPr>
        <w:pStyle w:val="NormalWeb"/>
        <w:spacing w:line="360" w:lineRule="auto"/>
        <w:jc w:val="both"/>
      </w:pPr>
      <w:r w:rsidRPr="004712FE">
        <w:t xml:space="preserve">The retained activity suggests that the </w:t>
      </w:r>
      <w:r w:rsidRPr="004712FE">
        <w:rPr>
          <w:rStyle w:val="Strong"/>
          <w:b w:val="0"/>
        </w:rPr>
        <w:t>bioactive peptide fragments</w:t>
      </w:r>
      <w:r w:rsidRPr="004712FE">
        <w:t>, including glycine-, proline-, and hydroxyproline-rich sequences from collagen hydrolysis, remain stable over time. These peptides continue to interact with bacterial membranes, alter permeability, and disrupt metabolic processes, thereby preserving antimicrobial function even after prolonged storage (</w:t>
      </w:r>
      <w:proofErr w:type="spellStart"/>
      <w:r w:rsidRPr="004712FE">
        <w:t>Nurilmala</w:t>
      </w:r>
      <w:proofErr w:type="spellEnd"/>
      <w:r w:rsidRPr="004712FE">
        <w:t xml:space="preserve"> </w:t>
      </w:r>
      <w:r w:rsidRPr="004712FE">
        <w:rPr>
          <w:i/>
        </w:rPr>
        <w:t>et al</w:t>
      </w:r>
      <w:r w:rsidRPr="004712FE">
        <w:t xml:space="preserve">., 2020; Panjaitan </w:t>
      </w:r>
      <w:r w:rsidRPr="004712FE">
        <w:rPr>
          <w:i/>
        </w:rPr>
        <w:t>et al</w:t>
      </w:r>
      <w:r w:rsidRPr="004712FE">
        <w:t>., 2024).</w:t>
      </w:r>
    </w:p>
    <w:p w:rsidR="00CE241A" w:rsidRPr="004712FE" w:rsidRDefault="00CE241A" w:rsidP="004712FE">
      <w:pPr>
        <w:pStyle w:val="NormalWeb"/>
        <w:spacing w:line="360" w:lineRule="auto"/>
        <w:jc w:val="both"/>
      </w:pPr>
      <w:r w:rsidRPr="004712FE">
        <w:t xml:space="preserve">Nonetheless, a </w:t>
      </w:r>
      <w:r w:rsidRPr="004712FE">
        <w:rPr>
          <w:rStyle w:val="Strong"/>
          <w:b w:val="0"/>
        </w:rPr>
        <w:t>gradual decrease in activity</w:t>
      </w:r>
      <w:r w:rsidRPr="004712FE">
        <w:t xml:space="preserve"> can occur due to factors such as physical aging, moisture uptake, or partial denaturation of functional peptides in the gelatin matrix. Proper storage under controlled temperature and humidity conditions is therefore recommended to maximize long-term efficacy (Li </w:t>
      </w:r>
      <w:r w:rsidRPr="004712FE">
        <w:rPr>
          <w:i/>
        </w:rPr>
        <w:t>et al</w:t>
      </w:r>
      <w:r w:rsidRPr="004712FE">
        <w:t>., 2026).</w:t>
      </w:r>
    </w:p>
    <w:p w:rsidR="00CE241A" w:rsidRDefault="00CE241A" w:rsidP="004712FE">
      <w:pPr>
        <w:spacing w:line="360" w:lineRule="auto"/>
        <w:rPr>
          <w:rFonts w:ascii="Times New Roman" w:hAnsi="Times New Roman" w:cs="Times New Roman"/>
          <w:sz w:val="24"/>
          <w:szCs w:val="24"/>
        </w:rPr>
      </w:pPr>
    </w:p>
    <w:p w:rsidR="00F067F1" w:rsidRDefault="00F067F1" w:rsidP="004712FE">
      <w:pPr>
        <w:spacing w:line="360" w:lineRule="auto"/>
        <w:rPr>
          <w:rFonts w:ascii="Times New Roman" w:hAnsi="Times New Roman" w:cs="Times New Roman"/>
          <w:sz w:val="24"/>
          <w:szCs w:val="24"/>
        </w:rPr>
      </w:pPr>
    </w:p>
    <w:p w:rsidR="00F067F1" w:rsidRDefault="00F067F1" w:rsidP="004712FE">
      <w:pPr>
        <w:spacing w:line="360" w:lineRule="auto"/>
        <w:rPr>
          <w:rFonts w:ascii="Times New Roman" w:hAnsi="Times New Roman" w:cs="Times New Roman"/>
          <w:sz w:val="24"/>
          <w:szCs w:val="24"/>
        </w:rPr>
      </w:pPr>
    </w:p>
    <w:p w:rsidR="00F067F1" w:rsidRDefault="00F067F1" w:rsidP="004712FE">
      <w:pPr>
        <w:spacing w:line="360" w:lineRule="auto"/>
        <w:rPr>
          <w:rFonts w:ascii="Times New Roman" w:hAnsi="Times New Roman" w:cs="Times New Roman"/>
          <w:sz w:val="24"/>
          <w:szCs w:val="24"/>
        </w:rPr>
      </w:pPr>
    </w:p>
    <w:p w:rsidR="00F067F1" w:rsidRDefault="00F067F1" w:rsidP="004712FE">
      <w:pPr>
        <w:spacing w:line="360" w:lineRule="auto"/>
        <w:rPr>
          <w:rFonts w:ascii="Times New Roman" w:hAnsi="Times New Roman" w:cs="Times New Roman"/>
          <w:sz w:val="24"/>
          <w:szCs w:val="24"/>
        </w:rPr>
      </w:pPr>
    </w:p>
    <w:p w:rsidR="00F067F1" w:rsidRDefault="00F067F1" w:rsidP="004712FE">
      <w:pPr>
        <w:spacing w:line="360" w:lineRule="auto"/>
        <w:rPr>
          <w:rFonts w:ascii="Times New Roman" w:hAnsi="Times New Roman" w:cs="Times New Roman"/>
          <w:sz w:val="24"/>
          <w:szCs w:val="24"/>
        </w:rPr>
      </w:pPr>
    </w:p>
    <w:p w:rsidR="00F067F1" w:rsidRPr="004712FE" w:rsidRDefault="00F067F1" w:rsidP="004712FE">
      <w:pPr>
        <w:spacing w:line="360" w:lineRule="auto"/>
        <w:rPr>
          <w:rFonts w:ascii="Times New Roman" w:hAnsi="Times New Roman" w:cs="Times New Roman"/>
          <w:sz w:val="24"/>
          <w:szCs w:val="24"/>
        </w:rPr>
      </w:pPr>
    </w:p>
    <w:p w:rsidR="00CE241A" w:rsidRPr="004712FE" w:rsidRDefault="00F067F1" w:rsidP="004712FE">
      <w:pPr>
        <w:pStyle w:val="NormalWeb"/>
        <w:spacing w:line="360" w:lineRule="auto"/>
      </w:pPr>
      <w:r>
        <w:rPr>
          <w:rStyle w:val="Strong"/>
        </w:rPr>
        <w:lastRenderedPageBreak/>
        <w:t xml:space="preserve">References </w:t>
      </w:r>
    </w:p>
    <w:p w:rsidR="0088787D" w:rsidRPr="004712FE" w:rsidRDefault="0088787D" w:rsidP="006F1862">
      <w:pPr>
        <w:pStyle w:val="NormalWeb"/>
        <w:spacing w:line="360" w:lineRule="auto"/>
        <w:ind w:left="993" w:hanging="993"/>
        <w:jc w:val="both"/>
      </w:pPr>
      <w:r w:rsidRPr="004712FE">
        <w:t xml:space="preserve">Ahmed, D., Ibraheem, H., </w:t>
      </w:r>
      <w:r>
        <w:t>Al-</w:t>
      </w:r>
      <w:proofErr w:type="spellStart"/>
      <w:r>
        <w:t>Mashhadani</w:t>
      </w:r>
      <w:proofErr w:type="spellEnd"/>
      <w:r>
        <w:t xml:space="preserve">, M., Yousif, E. and </w:t>
      </w:r>
      <w:proofErr w:type="spellStart"/>
      <w:r>
        <w:t>Bufaroosha</w:t>
      </w:r>
      <w:proofErr w:type="spellEnd"/>
      <w:r>
        <w:t xml:space="preserve">, M. (2024). </w:t>
      </w:r>
      <w:r w:rsidRPr="004712FE">
        <w:t>Gelatin</w:t>
      </w:r>
      <w:r w:rsidRPr="004712FE">
        <w:noBreakHyphen/>
        <w:t xml:space="preserve">immobilized </w:t>
      </w:r>
      <w:proofErr w:type="gramStart"/>
      <w:r w:rsidRPr="004712FE">
        <w:t>Cu(</w:t>
      </w:r>
      <w:proofErr w:type="gramEnd"/>
      <w:r w:rsidRPr="004712FE">
        <w:t xml:space="preserve">II) metal complex: Synthesis and applications. </w:t>
      </w:r>
      <w:r w:rsidRPr="004712FE">
        <w:rPr>
          <w:rStyle w:val="Emphasis"/>
        </w:rPr>
        <w:t>Trends in Sciences</w:t>
      </w:r>
      <w:r w:rsidRPr="004712FE">
        <w:t>, 21(4), 7447.</w:t>
      </w:r>
    </w:p>
    <w:p w:rsidR="0088787D" w:rsidRDefault="0088787D" w:rsidP="006F1862">
      <w:pPr>
        <w:pStyle w:val="NormalWeb"/>
        <w:spacing w:line="360" w:lineRule="auto"/>
        <w:ind w:left="993" w:hanging="993"/>
        <w:jc w:val="both"/>
      </w:pPr>
      <w:r w:rsidRPr="006A01E9">
        <w:t>Ahmed, T., Shahid, M., Azeem, F., Rasul, I., Shah, A. A., Noman</w:t>
      </w:r>
      <w:r>
        <w:t>, M., Hameed, A., Manzoor, N. and</w:t>
      </w:r>
      <w:r w:rsidRPr="006A01E9">
        <w:t xml:space="preserve"> Muhammad, S. (2023). Biodegradation of plastics and polymers using microbial systems: Recent advances and future prospects. </w:t>
      </w:r>
      <w:r w:rsidRPr="006A01E9">
        <w:rPr>
          <w:i/>
          <w:iCs/>
        </w:rPr>
        <w:t>Environmental Science and Pollution Research</w:t>
      </w:r>
      <w:r>
        <w:t>, 30, 14823 -</w:t>
      </w:r>
      <w:r w:rsidRPr="006A01E9">
        <w:t>14841.</w:t>
      </w:r>
    </w:p>
    <w:p w:rsidR="0088787D" w:rsidRDefault="0088787D" w:rsidP="006F1862">
      <w:pPr>
        <w:pStyle w:val="NormalWeb"/>
        <w:spacing w:line="360" w:lineRule="auto"/>
        <w:ind w:left="993" w:hanging="993"/>
        <w:jc w:val="both"/>
      </w:pPr>
      <w:r>
        <w:t>Ahuja, S., Sharma, P. and</w:t>
      </w:r>
      <w:r w:rsidRPr="00B4573E">
        <w:t xml:space="preserve"> Singh, R. (2024). Morphological and thermal characterization of gelatin-based biomaterials. </w:t>
      </w:r>
      <w:r w:rsidRPr="00B4573E">
        <w:rPr>
          <w:i/>
          <w:iCs/>
        </w:rPr>
        <w:t>International Journal of Biological Macromolecules</w:t>
      </w:r>
      <w:r w:rsidRPr="00B4573E">
        <w:t>, 254, 127822.</w:t>
      </w:r>
    </w:p>
    <w:p w:rsidR="0088787D" w:rsidRPr="004712FE" w:rsidRDefault="0088787D" w:rsidP="006F1862">
      <w:pPr>
        <w:pStyle w:val="NormalWeb"/>
        <w:spacing w:line="360" w:lineRule="auto"/>
        <w:ind w:left="993" w:hanging="993"/>
        <w:jc w:val="both"/>
      </w:pPr>
      <w:r w:rsidRPr="004712FE">
        <w:t>Asgha</w:t>
      </w:r>
      <w:r>
        <w:t>r, L., Sahar, A., Khan, M. I. and</w:t>
      </w:r>
      <w:r w:rsidRPr="004712FE">
        <w:t xml:space="preserve"> Shahid, M. (2024). Fabrication and characterization of chitosan and gelatin</w:t>
      </w:r>
      <w:r w:rsidRPr="004712FE">
        <w:noBreakHyphen/>
        <w:t xml:space="preserve">based antimicrobial films incorporated with different essential oils. </w:t>
      </w:r>
      <w:r w:rsidRPr="004712FE">
        <w:rPr>
          <w:rStyle w:val="Emphasis"/>
        </w:rPr>
        <w:t>Foods</w:t>
      </w:r>
      <w:r w:rsidRPr="004712FE">
        <w:t xml:space="preserve">, 13(12), 1796. </w:t>
      </w:r>
    </w:p>
    <w:p w:rsidR="0088787D" w:rsidRPr="004712FE" w:rsidRDefault="0088787D" w:rsidP="006F1862">
      <w:pPr>
        <w:pStyle w:val="NormalWeb"/>
        <w:spacing w:line="360" w:lineRule="auto"/>
        <w:ind w:left="993" w:hanging="993"/>
        <w:jc w:val="both"/>
      </w:pPr>
      <w:r w:rsidRPr="004712FE">
        <w:t>Asghar,</w:t>
      </w:r>
      <w:r>
        <w:t xml:space="preserve"> S., Qureshi, M. A., Khan, R. and</w:t>
      </w:r>
      <w:r w:rsidRPr="004712FE">
        <w:t xml:space="preserve"> Shah, S. (2024). </w:t>
      </w:r>
      <w:r w:rsidRPr="004712FE">
        <w:rPr>
          <w:rStyle w:val="Emphasis"/>
          <w:i w:val="0"/>
        </w:rPr>
        <w:t>Gelatin</w:t>
      </w:r>
      <w:r w:rsidRPr="004712FE">
        <w:rPr>
          <w:rStyle w:val="Emphasis"/>
          <w:i w:val="0"/>
        </w:rPr>
        <w:noBreakHyphen/>
        <w:t>based antimicrobial biomaterials: Preparation, characterization, and biomedical applications.</w:t>
      </w:r>
      <w:r w:rsidRPr="004712FE">
        <w:rPr>
          <w:i/>
        </w:rPr>
        <w:t xml:space="preserve"> </w:t>
      </w:r>
      <w:r w:rsidRPr="004712FE">
        <w:rPr>
          <w:rStyle w:val="Strong"/>
          <w:b w:val="0"/>
          <w:i/>
        </w:rPr>
        <w:t>International Journal of Biological Macromolecules</w:t>
      </w:r>
      <w:r w:rsidRPr="004712FE">
        <w:rPr>
          <w:i/>
        </w:rPr>
        <w:t xml:space="preserve">, </w:t>
      </w:r>
      <w:r w:rsidRPr="004712FE">
        <w:t>246, 124567</w:t>
      </w:r>
      <w:r w:rsidRPr="004712FE">
        <w:rPr>
          <w:i/>
        </w:rPr>
        <w:t>.</w:t>
      </w:r>
    </w:p>
    <w:p w:rsidR="0088787D" w:rsidRDefault="0088787D" w:rsidP="006F1862">
      <w:pPr>
        <w:pStyle w:val="NormalWeb"/>
        <w:spacing w:line="360" w:lineRule="auto"/>
        <w:ind w:left="993" w:hanging="993"/>
        <w:jc w:val="both"/>
      </w:pPr>
      <w:r w:rsidRPr="006A01E9">
        <w:t xml:space="preserve">Bhattacharjee, S. </w:t>
      </w:r>
      <w:r>
        <w:t>(2016). DLS and zeta potential.</w:t>
      </w:r>
      <w:r w:rsidRPr="006A01E9">
        <w:t xml:space="preserve"> What they are and what they are not? </w:t>
      </w:r>
      <w:r w:rsidRPr="006A01E9">
        <w:rPr>
          <w:i/>
          <w:iCs/>
        </w:rPr>
        <w:t>Journal of Controlled Release</w:t>
      </w:r>
      <w:r>
        <w:t xml:space="preserve">, 235, 337 - </w:t>
      </w:r>
      <w:r w:rsidRPr="006A01E9">
        <w:t>351.</w:t>
      </w:r>
    </w:p>
    <w:p w:rsidR="0088787D" w:rsidRDefault="0088787D" w:rsidP="006F1862">
      <w:pPr>
        <w:pStyle w:val="NormalWeb"/>
        <w:spacing w:line="360" w:lineRule="auto"/>
        <w:ind w:left="993" w:hanging="993"/>
        <w:jc w:val="both"/>
        <w:rPr>
          <w:color w:val="FF0000"/>
        </w:rPr>
      </w:pPr>
      <w:r w:rsidRPr="00931325">
        <w:rPr>
          <w:rStyle w:val="Strong"/>
          <w:b w:val="0"/>
        </w:rPr>
        <w:t>Darmawan</w:t>
      </w:r>
      <w:r>
        <w:rPr>
          <w:rStyle w:val="Strong"/>
          <w:b w:val="0"/>
        </w:rPr>
        <w:t xml:space="preserve">, M., </w:t>
      </w:r>
      <w:proofErr w:type="spellStart"/>
      <w:r>
        <w:rPr>
          <w:rStyle w:val="Strong"/>
          <w:b w:val="0"/>
        </w:rPr>
        <w:t>Irwandi</w:t>
      </w:r>
      <w:proofErr w:type="spellEnd"/>
      <w:r>
        <w:rPr>
          <w:rStyle w:val="Strong"/>
          <w:b w:val="0"/>
        </w:rPr>
        <w:t>, J., Rohman, A. and</w:t>
      </w:r>
      <w:r w:rsidRPr="00931325">
        <w:rPr>
          <w:rStyle w:val="Strong"/>
          <w:b w:val="0"/>
        </w:rPr>
        <w:t xml:space="preserve"> Che Man, Y. B. (2024).</w:t>
      </w:r>
      <w:r>
        <w:t xml:space="preserve"> </w:t>
      </w:r>
      <w:r w:rsidRPr="00931325">
        <w:t xml:space="preserve">Muhammad Darmawan, </w:t>
      </w:r>
      <w:proofErr w:type="spellStart"/>
      <w:r w:rsidRPr="00931325">
        <w:t>Jaswir</w:t>
      </w:r>
      <w:proofErr w:type="spellEnd"/>
      <w:r w:rsidRPr="00931325">
        <w:t xml:space="preserve"> Irwandi, Abdul Rohman, and Yaakob B. Che Man. Identification and characterization of gelatin using spectroscopic techniques including FTIR. </w:t>
      </w:r>
      <w:r w:rsidRPr="00931325">
        <w:rPr>
          <w:rStyle w:val="Emphasis"/>
        </w:rPr>
        <w:t>ACS Omega</w:t>
      </w:r>
      <w:r w:rsidRPr="00931325">
        <w:t xml:space="preserve">, </w:t>
      </w:r>
      <w:r w:rsidRPr="00931325">
        <w:rPr>
          <w:rStyle w:val="Strong"/>
          <w:b w:val="0"/>
        </w:rPr>
        <w:t>9</w:t>
      </w:r>
      <w:r w:rsidRPr="00931325">
        <w:t>, 4321–4330.</w:t>
      </w:r>
    </w:p>
    <w:p w:rsidR="0088787D" w:rsidRDefault="0088787D" w:rsidP="0088787D">
      <w:pPr>
        <w:pStyle w:val="NormalWeb"/>
        <w:spacing w:line="360" w:lineRule="auto"/>
        <w:ind w:left="993" w:hanging="993"/>
        <w:jc w:val="both"/>
      </w:pPr>
      <w:proofErr w:type="spellStart"/>
      <w:r w:rsidRPr="00C92850">
        <w:t>Delattin</w:t>
      </w:r>
      <w:proofErr w:type="spellEnd"/>
      <w:r w:rsidRPr="00C92850">
        <w:t>, N</w:t>
      </w:r>
      <w:r>
        <w:t>.</w:t>
      </w:r>
      <w:r w:rsidRPr="00C92850">
        <w:t xml:space="preserve">, </w:t>
      </w:r>
      <w:r w:rsidRPr="004307A1">
        <w:rPr>
          <w:bCs/>
        </w:rPr>
        <w:t>De Brucker, K.,</w:t>
      </w:r>
      <w:r w:rsidRPr="004307A1">
        <w:t xml:space="preserve"> </w:t>
      </w:r>
      <w:r w:rsidRPr="004307A1">
        <w:rPr>
          <w:bCs/>
        </w:rPr>
        <w:t>Craik, D. J.</w:t>
      </w:r>
      <w:r w:rsidRPr="004307A1">
        <w:t xml:space="preserve">, </w:t>
      </w:r>
      <w:proofErr w:type="spellStart"/>
      <w:r w:rsidRPr="004307A1">
        <w:rPr>
          <w:bCs/>
        </w:rPr>
        <w:t>Cheneval</w:t>
      </w:r>
      <w:proofErr w:type="spellEnd"/>
      <w:r w:rsidRPr="004307A1">
        <w:rPr>
          <w:bCs/>
        </w:rPr>
        <w:t>, O.,</w:t>
      </w:r>
      <w:r w:rsidRPr="004307A1">
        <w:t xml:space="preserve"> </w:t>
      </w:r>
      <w:r w:rsidRPr="004307A1">
        <w:rPr>
          <w:bCs/>
        </w:rPr>
        <w:t>Friedman, M.,</w:t>
      </w:r>
      <w:r w:rsidRPr="004307A1">
        <w:t xml:space="preserve"> </w:t>
      </w:r>
      <w:r w:rsidRPr="004307A1">
        <w:rPr>
          <w:bCs/>
        </w:rPr>
        <w:t>Butler, M. S.</w:t>
      </w:r>
      <w:r w:rsidRPr="004307A1">
        <w:t xml:space="preserve">, and </w:t>
      </w:r>
      <w:proofErr w:type="spellStart"/>
      <w:r w:rsidRPr="004307A1">
        <w:rPr>
          <w:bCs/>
        </w:rPr>
        <w:t>Coenye</w:t>
      </w:r>
      <w:proofErr w:type="spellEnd"/>
      <w:r w:rsidRPr="004307A1">
        <w:rPr>
          <w:bCs/>
        </w:rPr>
        <w:t>, T.</w:t>
      </w:r>
      <w:r w:rsidRPr="00C92850">
        <w:t xml:space="preserve"> (2021). Peptide inhibitors of biofilm formation: Mechanisms and applications. </w:t>
      </w:r>
      <w:r w:rsidRPr="00C92850">
        <w:rPr>
          <w:i/>
          <w:iCs/>
        </w:rPr>
        <w:t>Journal of Biomedical Materials Research Part A</w:t>
      </w:r>
      <w:r w:rsidRPr="00C92850">
        <w:t xml:space="preserve">, </w:t>
      </w:r>
      <w:r w:rsidRPr="004307A1">
        <w:rPr>
          <w:bCs/>
        </w:rPr>
        <w:t>109</w:t>
      </w:r>
      <w:r>
        <w:t xml:space="preserve">(2), 178 - </w:t>
      </w:r>
      <w:r w:rsidRPr="00C92850">
        <w:t xml:space="preserve">190. </w:t>
      </w:r>
    </w:p>
    <w:p w:rsidR="0088787D" w:rsidRPr="004712FE" w:rsidRDefault="0088787D" w:rsidP="006F1862">
      <w:pPr>
        <w:pStyle w:val="NormalWeb"/>
        <w:spacing w:line="360" w:lineRule="auto"/>
        <w:ind w:left="993" w:hanging="993"/>
        <w:jc w:val="both"/>
      </w:pPr>
      <w:proofErr w:type="spellStart"/>
      <w:r w:rsidRPr="004712FE">
        <w:lastRenderedPageBreak/>
        <w:t>El</w:t>
      </w:r>
      <w:r>
        <w:t>Tatawy</w:t>
      </w:r>
      <w:proofErr w:type="spellEnd"/>
      <w:r>
        <w:t>, R. A., El-Magd, M. A. and</w:t>
      </w:r>
      <w:r w:rsidRPr="004712FE">
        <w:t xml:space="preserve"> El-Sayed, A. A. (2024). Functional gelatin nanocomposites with enhanced antibacterial and antibiofilm activity. </w:t>
      </w:r>
      <w:r w:rsidRPr="004712FE">
        <w:rPr>
          <w:rStyle w:val="Emphasis"/>
        </w:rPr>
        <w:t>Materials Science &amp; Engineering C</w:t>
      </w:r>
      <w:r w:rsidRPr="004712FE">
        <w:t>, 152, 113127.</w:t>
      </w:r>
    </w:p>
    <w:p w:rsidR="0088787D" w:rsidRPr="004712FE" w:rsidRDefault="0088787D" w:rsidP="006F1862">
      <w:pPr>
        <w:pStyle w:val="NormalWeb"/>
        <w:spacing w:line="360" w:lineRule="auto"/>
        <w:ind w:left="993" w:hanging="993"/>
        <w:jc w:val="both"/>
      </w:pPr>
      <w:proofErr w:type="spellStart"/>
      <w:r w:rsidRPr="004712FE">
        <w:t>ElTatawy</w:t>
      </w:r>
      <w:proofErr w:type="spellEnd"/>
      <w:r w:rsidRPr="004712FE">
        <w:t>, R. A.</w:t>
      </w:r>
      <w:r>
        <w:t xml:space="preserve">, Ismail, A. M., </w:t>
      </w:r>
      <w:proofErr w:type="spellStart"/>
      <w:r>
        <w:t>Ayoup</w:t>
      </w:r>
      <w:proofErr w:type="spellEnd"/>
      <w:r>
        <w:t>, M. S. and</w:t>
      </w:r>
      <w:r w:rsidRPr="004712FE">
        <w:t xml:space="preserve"> </w:t>
      </w:r>
      <w:proofErr w:type="spellStart"/>
      <w:r w:rsidRPr="004712FE">
        <w:t>Abouel-Fetouh</w:t>
      </w:r>
      <w:proofErr w:type="spellEnd"/>
      <w:r w:rsidRPr="004712FE">
        <w:t xml:space="preserve">, H. (2024). Preparation and kinetic studies of a new antibacterial sodium alginate-gelatin hydrogel composite. </w:t>
      </w:r>
      <w:r w:rsidRPr="004712FE">
        <w:rPr>
          <w:i/>
          <w:iCs/>
        </w:rPr>
        <w:t>Scientific Reports</w:t>
      </w:r>
      <w:r w:rsidRPr="004712FE">
        <w:t xml:space="preserve">, 14, 29206. </w:t>
      </w:r>
    </w:p>
    <w:p w:rsidR="0088787D" w:rsidRDefault="0088787D" w:rsidP="006F1862">
      <w:pPr>
        <w:pStyle w:val="NormalWeb"/>
        <w:spacing w:line="360" w:lineRule="auto"/>
        <w:ind w:left="993" w:hanging="993"/>
        <w:jc w:val="both"/>
      </w:pPr>
      <w:r>
        <w:t>French, A. D. and</w:t>
      </w:r>
      <w:r w:rsidRPr="004712FE">
        <w:t xml:space="preserve"> Santiago</w:t>
      </w:r>
      <w:r w:rsidRPr="004712FE">
        <w:noBreakHyphen/>
        <w:t xml:space="preserve">Rivera, M. (2014). Cellulose diffraction patterns and crystal structure. </w:t>
      </w:r>
      <w:r w:rsidRPr="004712FE">
        <w:rPr>
          <w:rStyle w:val="Emphasis"/>
        </w:rPr>
        <w:t>Cellulose</w:t>
      </w:r>
      <w:r>
        <w:t xml:space="preserve">, 21, 885 - </w:t>
      </w:r>
      <w:r w:rsidRPr="004712FE">
        <w:t>896.</w:t>
      </w:r>
    </w:p>
    <w:p w:rsidR="0088787D" w:rsidRPr="004712FE" w:rsidRDefault="0088787D" w:rsidP="006F1862">
      <w:pPr>
        <w:pStyle w:val="NormalWeb"/>
        <w:spacing w:line="360" w:lineRule="auto"/>
        <w:ind w:left="993" w:hanging="993"/>
        <w:jc w:val="both"/>
      </w:pPr>
      <w:r>
        <w:t>Ghafoor, H. and</w:t>
      </w:r>
      <w:r w:rsidRPr="004712FE">
        <w:t xml:space="preserve"> Butt, M. S. (2025). Synthesis and characterization of clove/gelatin coated silk sutures for surgical site infection and wound healing. </w:t>
      </w:r>
      <w:r w:rsidRPr="004712FE">
        <w:rPr>
          <w:i/>
          <w:iCs/>
        </w:rPr>
        <w:t>Journal of Materials Science: Materials in Medicine</w:t>
      </w:r>
      <w:r w:rsidRPr="004712FE">
        <w:t xml:space="preserve">, 36, 36. </w:t>
      </w:r>
    </w:p>
    <w:p w:rsidR="0088787D" w:rsidRDefault="0088787D" w:rsidP="0088787D">
      <w:pPr>
        <w:pStyle w:val="NormalWeb"/>
        <w:spacing w:line="360" w:lineRule="auto"/>
        <w:ind w:left="993" w:hanging="993"/>
        <w:jc w:val="both"/>
      </w:pPr>
      <w:r w:rsidRPr="00C92850">
        <w:t>Gómez-Guillén, M</w:t>
      </w:r>
      <w:r>
        <w:t>.,</w:t>
      </w:r>
      <w:r w:rsidRPr="00C92850">
        <w:t xml:space="preserve"> Concepción, </w:t>
      </w:r>
      <w:r w:rsidRPr="004307A1">
        <w:rPr>
          <w:bCs/>
        </w:rPr>
        <w:t>G., Beatriz</w:t>
      </w:r>
      <w:r w:rsidRPr="004307A1">
        <w:t xml:space="preserve">, </w:t>
      </w:r>
      <w:r w:rsidRPr="004307A1">
        <w:rPr>
          <w:bCs/>
        </w:rPr>
        <w:t>L., María E.</w:t>
      </w:r>
      <w:r w:rsidRPr="004307A1">
        <w:t xml:space="preserve"> and </w:t>
      </w:r>
      <w:r w:rsidRPr="004307A1">
        <w:rPr>
          <w:bCs/>
        </w:rPr>
        <w:t>Montero, P.</w:t>
      </w:r>
      <w:r w:rsidRPr="00C92850">
        <w:t xml:space="preserve"> (2022). Structural changes during collagen to gelatin conversion: A review. </w:t>
      </w:r>
      <w:r w:rsidRPr="00C92850">
        <w:rPr>
          <w:i/>
          <w:iCs/>
        </w:rPr>
        <w:t>Food Hydrocolloids</w:t>
      </w:r>
      <w:r w:rsidRPr="00C92850">
        <w:t xml:space="preserve">, </w:t>
      </w:r>
      <w:r w:rsidRPr="004307A1">
        <w:rPr>
          <w:bCs/>
        </w:rPr>
        <w:t>128</w:t>
      </w:r>
      <w:r w:rsidRPr="004307A1">
        <w:t>,</w:t>
      </w:r>
      <w:r w:rsidRPr="00C92850">
        <w:t xml:space="preserve"> 107476. </w:t>
      </w:r>
    </w:p>
    <w:p w:rsidR="0088787D" w:rsidRDefault="0088787D" w:rsidP="006F1862">
      <w:pPr>
        <w:pStyle w:val="NormalWeb"/>
        <w:spacing w:line="360" w:lineRule="auto"/>
        <w:ind w:left="993" w:hanging="993"/>
        <w:jc w:val="both"/>
      </w:pPr>
      <w:r w:rsidRPr="004712FE">
        <w:t>Hoffman, H. (2018). X</w:t>
      </w:r>
      <w:r w:rsidRPr="004712FE">
        <w:noBreakHyphen/>
        <w:t xml:space="preserve">ray diffraction and protein structure in polymeric matrices. </w:t>
      </w:r>
      <w:r w:rsidRPr="004712FE">
        <w:rPr>
          <w:rStyle w:val="Emphasis"/>
        </w:rPr>
        <w:t>Advances in Protein Chemistry and Structural Biology</w:t>
      </w:r>
      <w:r>
        <w:t xml:space="preserve">, 111, 123 - </w:t>
      </w:r>
      <w:r w:rsidRPr="004712FE">
        <w:t>157.</w:t>
      </w:r>
    </w:p>
    <w:p w:rsidR="0088787D" w:rsidRDefault="0088787D" w:rsidP="006F1862">
      <w:pPr>
        <w:pStyle w:val="NormalWeb"/>
        <w:spacing w:line="360" w:lineRule="auto"/>
        <w:ind w:left="993" w:hanging="993"/>
        <w:jc w:val="both"/>
      </w:pPr>
      <w:r>
        <w:t xml:space="preserve">Hoque, M. S., </w:t>
      </w:r>
      <w:proofErr w:type="spellStart"/>
      <w:r>
        <w:t>Benjakul</w:t>
      </w:r>
      <w:proofErr w:type="spellEnd"/>
      <w:r>
        <w:t>, S. and</w:t>
      </w:r>
      <w:r w:rsidRPr="00B4573E">
        <w:t xml:space="preserve"> </w:t>
      </w:r>
      <w:proofErr w:type="spellStart"/>
      <w:r w:rsidRPr="00B4573E">
        <w:t>Prodpran</w:t>
      </w:r>
      <w:proofErr w:type="spellEnd"/>
      <w:r w:rsidRPr="00B4573E">
        <w:t xml:space="preserve">, T. (2020). Properties and characterization of gelatin films from salmon skin. </w:t>
      </w:r>
      <w:r w:rsidRPr="00B4573E">
        <w:rPr>
          <w:i/>
          <w:iCs/>
        </w:rPr>
        <w:t>Current Research in Food Science</w:t>
      </w:r>
      <w:r w:rsidRPr="00B4573E">
        <w:t>, 3, 92–101.</w:t>
      </w:r>
    </w:p>
    <w:p w:rsidR="0088787D" w:rsidRDefault="0088787D" w:rsidP="006F1862">
      <w:pPr>
        <w:pStyle w:val="NormalWeb"/>
        <w:spacing w:line="360" w:lineRule="auto"/>
        <w:ind w:left="993" w:hanging="993"/>
        <w:jc w:val="both"/>
        <w:rPr>
          <w:color w:val="FF0000"/>
        </w:rPr>
      </w:pPr>
      <w:proofErr w:type="spellStart"/>
      <w:r>
        <w:rPr>
          <w:rStyle w:val="Strong"/>
          <w:b w:val="0"/>
        </w:rPr>
        <w:t>Irfanita</w:t>
      </w:r>
      <w:proofErr w:type="spellEnd"/>
      <w:r>
        <w:rPr>
          <w:rStyle w:val="Strong"/>
          <w:b w:val="0"/>
        </w:rPr>
        <w:t>, N., Sari, Y. W. and</w:t>
      </w:r>
      <w:r w:rsidRPr="00931325">
        <w:rPr>
          <w:rStyle w:val="Strong"/>
          <w:b w:val="0"/>
        </w:rPr>
        <w:t xml:space="preserve"> Wardani, A. K. (2022).</w:t>
      </w:r>
      <w:r>
        <w:t xml:space="preserve"> </w:t>
      </w:r>
      <w:r w:rsidRPr="00931325">
        <w:t xml:space="preserve">Nia Irfanita, Yuni Widiastuti Sari, and Agustina Kurnia Wardani. Structural characterization of collagen and gelatin using Fourier transform infrared spectroscopy. </w:t>
      </w:r>
      <w:r w:rsidRPr="00931325">
        <w:rPr>
          <w:rStyle w:val="Emphasis"/>
        </w:rPr>
        <w:t>Food Chemistry</w:t>
      </w:r>
      <w:r w:rsidRPr="00931325">
        <w:t xml:space="preserve">, </w:t>
      </w:r>
      <w:r w:rsidRPr="00931325">
        <w:rPr>
          <w:rStyle w:val="Strong"/>
          <w:b w:val="0"/>
        </w:rPr>
        <w:t>374</w:t>
      </w:r>
      <w:r w:rsidRPr="00931325">
        <w:rPr>
          <w:b/>
        </w:rPr>
        <w:t>,</w:t>
      </w:r>
      <w:r w:rsidRPr="00931325">
        <w:t xml:space="preserve"> 131728. </w:t>
      </w:r>
    </w:p>
    <w:p w:rsidR="0088787D" w:rsidRDefault="0088787D" w:rsidP="006F1862">
      <w:pPr>
        <w:pStyle w:val="NormalWeb"/>
        <w:spacing w:line="360" w:lineRule="auto"/>
        <w:ind w:left="993" w:hanging="993"/>
        <w:jc w:val="both"/>
      </w:pPr>
      <w:r>
        <w:t>Kong, J. and</w:t>
      </w:r>
      <w:r w:rsidRPr="004712FE">
        <w:t xml:space="preserve"> Yu, S. (2007). Fourier transform infrared spectroscopic analysis of protein secondary structures. </w:t>
      </w:r>
      <w:r w:rsidRPr="004712FE">
        <w:rPr>
          <w:rStyle w:val="Emphasis"/>
        </w:rPr>
        <w:t xml:space="preserve">Acta </w:t>
      </w:r>
      <w:proofErr w:type="spellStart"/>
      <w:r w:rsidRPr="004712FE">
        <w:rPr>
          <w:rStyle w:val="Emphasis"/>
        </w:rPr>
        <w:t>Biochimica</w:t>
      </w:r>
      <w:proofErr w:type="spellEnd"/>
      <w:r w:rsidRPr="004712FE">
        <w:rPr>
          <w:rStyle w:val="Emphasis"/>
        </w:rPr>
        <w:t xml:space="preserve"> et </w:t>
      </w:r>
      <w:proofErr w:type="spellStart"/>
      <w:r w:rsidRPr="004712FE">
        <w:rPr>
          <w:rStyle w:val="Emphasis"/>
        </w:rPr>
        <w:t>Biophysica</w:t>
      </w:r>
      <w:proofErr w:type="spellEnd"/>
      <w:r w:rsidRPr="004712FE">
        <w:rPr>
          <w:rStyle w:val="Emphasis"/>
        </w:rPr>
        <w:t xml:space="preserve"> Sinica</w:t>
      </w:r>
      <w:r>
        <w:t>, 39(8), 549 - 559.</w:t>
      </w:r>
    </w:p>
    <w:p w:rsidR="0088787D" w:rsidRDefault="0088787D" w:rsidP="0088787D">
      <w:pPr>
        <w:pStyle w:val="NormalWeb"/>
        <w:spacing w:line="360" w:lineRule="auto"/>
        <w:ind w:left="993" w:hanging="993"/>
        <w:jc w:val="both"/>
      </w:pPr>
      <w:r w:rsidRPr="00C92850">
        <w:t xml:space="preserve">Li, Y., </w:t>
      </w:r>
      <w:r w:rsidRPr="004307A1">
        <w:rPr>
          <w:bCs/>
        </w:rPr>
        <w:t>Zhang, H.</w:t>
      </w:r>
      <w:r w:rsidRPr="004307A1">
        <w:t xml:space="preserve">, </w:t>
      </w:r>
      <w:r w:rsidRPr="004307A1">
        <w:rPr>
          <w:bCs/>
        </w:rPr>
        <w:t>Chen, L.</w:t>
      </w:r>
      <w:r w:rsidRPr="004307A1">
        <w:t xml:space="preserve">, </w:t>
      </w:r>
      <w:r w:rsidRPr="004307A1">
        <w:rPr>
          <w:bCs/>
        </w:rPr>
        <w:t>Wang, X.</w:t>
      </w:r>
      <w:r w:rsidRPr="004307A1">
        <w:t xml:space="preserve">, </w:t>
      </w:r>
      <w:r w:rsidRPr="004307A1">
        <w:rPr>
          <w:bCs/>
        </w:rPr>
        <w:t>Liu, Y.</w:t>
      </w:r>
      <w:r w:rsidRPr="00C92850">
        <w:t xml:space="preserve">, and </w:t>
      </w:r>
      <w:r w:rsidRPr="004307A1">
        <w:rPr>
          <w:bCs/>
        </w:rPr>
        <w:t>Zhao, J.</w:t>
      </w:r>
      <w:r w:rsidRPr="00C92850">
        <w:t xml:space="preserve"> (2026). Enzymatic hydrolysis affected the antioxidant activity and peptide identification of porcine collagen peptides. </w:t>
      </w:r>
      <w:r w:rsidRPr="00C92850">
        <w:rPr>
          <w:i/>
          <w:iCs/>
        </w:rPr>
        <w:t>Food Chemistry</w:t>
      </w:r>
      <w:r w:rsidRPr="0088787D">
        <w:t xml:space="preserve">, </w:t>
      </w:r>
      <w:r w:rsidRPr="0088787D">
        <w:rPr>
          <w:bCs/>
        </w:rPr>
        <w:t>508</w:t>
      </w:r>
      <w:r w:rsidRPr="00C92850">
        <w:t xml:space="preserve">, 148451. </w:t>
      </w:r>
    </w:p>
    <w:p w:rsidR="0088787D" w:rsidRDefault="0088787D" w:rsidP="006F1862">
      <w:pPr>
        <w:pStyle w:val="NormalWeb"/>
        <w:spacing w:line="360" w:lineRule="auto"/>
        <w:ind w:left="993" w:hanging="993"/>
        <w:jc w:val="both"/>
        <w:rPr>
          <w:color w:val="FF0000"/>
        </w:rPr>
      </w:pPr>
      <w:r w:rsidRPr="00931325">
        <w:rPr>
          <w:rStyle w:val="Strong"/>
          <w:b w:val="0"/>
        </w:rPr>
        <w:lastRenderedPageBreak/>
        <w:t>Mad-Ali, S</w:t>
      </w:r>
      <w:r>
        <w:rPr>
          <w:rStyle w:val="Strong"/>
          <w:b w:val="0"/>
        </w:rPr>
        <w:t xml:space="preserve">., </w:t>
      </w:r>
      <w:proofErr w:type="spellStart"/>
      <w:r>
        <w:rPr>
          <w:rStyle w:val="Strong"/>
          <w:b w:val="0"/>
        </w:rPr>
        <w:t>Benjakul</w:t>
      </w:r>
      <w:proofErr w:type="spellEnd"/>
      <w:r>
        <w:rPr>
          <w:rStyle w:val="Strong"/>
          <w:b w:val="0"/>
        </w:rPr>
        <w:t xml:space="preserve">, S., </w:t>
      </w:r>
      <w:proofErr w:type="spellStart"/>
      <w:r>
        <w:rPr>
          <w:rStyle w:val="Strong"/>
          <w:b w:val="0"/>
        </w:rPr>
        <w:t>Prodpran</w:t>
      </w:r>
      <w:proofErr w:type="spellEnd"/>
      <w:r>
        <w:rPr>
          <w:rStyle w:val="Strong"/>
          <w:b w:val="0"/>
        </w:rPr>
        <w:t>, T. and</w:t>
      </w:r>
      <w:r w:rsidRPr="00931325">
        <w:rPr>
          <w:rStyle w:val="Strong"/>
          <w:b w:val="0"/>
        </w:rPr>
        <w:t xml:space="preserve"> Maqsood, S. (2024).</w:t>
      </w:r>
      <w:r>
        <w:t xml:space="preserve"> </w:t>
      </w:r>
      <w:r w:rsidRPr="00931325">
        <w:t xml:space="preserve">Siti Mad-Ali, </w:t>
      </w:r>
      <w:proofErr w:type="spellStart"/>
      <w:r w:rsidRPr="00931325">
        <w:t>Soottawat</w:t>
      </w:r>
      <w:proofErr w:type="spellEnd"/>
      <w:r w:rsidRPr="00931325">
        <w:t xml:space="preserve"> Benjakul, </w:t>
      </w:r>
      <w:proofErr w:type="spellStart"/>
      <w:r w:rsidRPr="00931325">
        <w:t>Thummanoon</w:t>
      </w:r>
      <w:proofErr w:type="spellEnd"/>
      <w:r w:rsidRPr="00931325">
        <w:t xml:space="preserve"> </w:t>
      </w:r>
      <w:proofErr w:type="spellStart"/>
      <w:r w:rsidRPr="00931325">
        <w:t>Prodpran</w:t>
      </w:r>
      <w:proofErr w:type="spellEnd"/>
      <w:r w:rsidRPr="00931325">
        <w:t xml:space="preserve">, and Saeed Maqsood. Effects of pretreatment conditions on physicochemical and structural properties of goat skin gelatin. </w:t>
      </w:r>
      <w:r w:rsidRPr="00931325">
        <w:rPr>
          <w:rStyle w:val="Emphasis"/>
        </w:rPr>
        <w:t>Current Research in Nutrition and Food Science</w:t>
      </w:r>
      <w:r w:rsidRPr="00931325">
        <w:t xml:space="preserve">, </w:t>
      </w:r>
      <w:r w:rsidRPr="00931325">
        <w:rPr>
          <w:rStyle w:val="Strong"/>
          <w:b w:val="0"/>
        </w:rPr>
        <w:t>12</w:t>
      </w:r>
      <w:r>
        <w:t xml:space="preserve">, 204 - </w:t>
      </w:r>
      <w:r w:rsidRPr="00931325">
        <w:t>215.</w:t>
      </w:r>
    </w:p>
    <w:p w:rsidR="0088787D" w:rsidRPr="0088787D" w:rsidRDefault="0088787D" w:rsidP="0088787D">
      <w:pPr>
        <w:pStyle w:val="NormalWeb"/>
        <w:spacing w:line="360" w:lineRule="auto"/>
        <w:ind w:left="993" w:hanging="993"/>
        <w:jc w:val="both"/>
        <w:rPr>
          <w:bCs/>
        </w:rPr>
      </w:pPr>
      <w:r w:rsidRPr="00C92850">
        <w:t>Moon, R</w:t>
      </w:r>
      <w:r>
        <w:t>.</w:t>
      </w:r>
      <w:r w:rsidRPr="00C92850">
        <w:t xml:space="preserve"> J., </w:t>
      </w:r>
      <w:r w:rsidRPr="0088787D">
        <w:rPr>
          <w:bCs/>
        </w:rPr>
        <w:t>Martini, A.,</w:t>
      </w:r>
      <w:r w:rsidRPr="0088787D">
        <w:t xml:space="preserve"> </w:t>
      </w:r>
      <w:r w:rsidRPr="0088787D">
        <w:rPr>
          <w:bCs/>
        </w:rPr>
        <w:t>Nairn, J.,</w:t>
      </w:r>
      <w:r w:rsidRPr="0088787D">
        <w:t xml:space="preserve"> </w:t>
      </w:r>
      <w:r w:rsidRPr="0088787D">
        <w:rPr>
          <w:bCs/>
        </w:rPr>
        <w:t>Simonsen, J.</w:t>
      </w:r>
      <w:r w:rsidRPr="0088787D">
        <w:t xml:space="preserve"> and </w:t>
      </w:r>
      <w:r w:rsidRPr="0088787D">
        <w:rPr>
          <w:bCs/>
        </w:rPr>
        <w:t>Youngblood, J.</w:t>
      </w:r>
      <w:r w:rsidRPr="00C92850">
        <w:t xml:space="preserve"> (2011). Cellulose nanomaterials review: Structure, properties and nanocomposites. </w:t>
      </w:r>
      <w:r w:rsidRPr="00C92850">
        <w:rPr>
          <w:i/>
          <w:iCs/>
        </w:rPr>
        <w:t>Chemical Society Reviews</w:t>
      </w:r>
      <w:r w:rsidRPr="00C92850">
        <w:t xml:space="preserve">, </w:t>
      </w:r>
      <w:r w:rsidRPr="0088787D">
        <w:rPr>
          <w:bCs/>
        </w:rPr>
        <w:t>40</w:t>
      </w:r>
      <w:r w:rsidRPr="00C92850">
        <w:t xml:space="preserve">, 3941–3994. </w:t>
      </w:r>
    </w:p>
    <w:p w:rsidR="0088787D" w:rsidRDefault="0088787D" w:rsidP="006F1862">
      <w:pPr>
        <w:pStyle w:val="NormalWeb"/>
        <w:spacing w:line="360" w:lineRule="auto"/>
        <w:ind w:left="993" w:hanging="993"/>
        <w:jc w:val="both"/>
      </w:pPr>
      <w:proofErr w:type="spellStart"/>
      <w:r w:rsidRPr="004712FE">
        <w:t>Nurilmala</w:t>
      </w:r>
      <w:proofErr w:type="spellEnd"/>
      <w:r w:rsidRPr="004712FE">
        <w:t>, M., Hizbullah, H. H., K</w:t>
      </w:r>
      <w:r>
        <w:t xml:space="preserve">arnia, E., </w:t>
      </w:r>
      <w:proofErr w:type="spellStart"/>
      <w:r>
        <w:t>Kusumaningtyas</w:t>
      </w:r>
      <w:proofErr w:type="spellEnd"/>
      <w:r>
        <w:t>, E. and</w:t>
      </w:r>
      <w:r w:rsidRPr="004712FE">
        <w:t xml:space="preserve"> Ochiai, Y. (2020). Characterization and antioxidant activity of collagen, gelatin, and derived peptides from tuna skin. </w:t>
      </w:r>
      <w:r w:rsidRPr="004712FE">
        <w:rPr>
          <w:rStyle w:val="Emphasis"/>
        </w:rPr>
        <w:t xml:space="preserve">Marine Drugs, </w:t>
      </w:r>
      <w:r w:rsidRPr="00D1444A">
        <w:rPr>
          <w:rStyle w:val="Emphasis"/>
          <w:i w:val="0"/>
        </w:rPr>
        <w:t>18</w:t>
      </w:r>
      <w:r w:rsidRPr="00D1444A">
        <w:t>(2), 98.</w:t>
      </w:r>
    </w:p>
    <w:p w:rsidR="0088787D" w:rsidRPr="004712FE" w:rsidRDefault="0088787D" w:rsidP="006F1862">
      <w:pPr>
        <w:pStyle w:val="NormalWeb"/>
        <w:spacing w:line="360" w:lineRule="auto"/>
        <w:ind w:left="993" w:hanging="993"/>
        <w:jc w:val="both"/>
      </w:pPr>
      <w:r w:rsidRPr="004712FE">
        <w:t>Panjaitan, F. C. A., Shie, S. T., Park, S. H., Sevi</w:t>
      </w:r>
      <w:r>
        <w:t>, T., Ko, W. L., Aluko, R. E. and</w:t>
      </w:r>
      <w:r w:rsidRPr="004712FE">
        <w:t xml:space="preserve"> Chang, Y. W. (2024). </w:t>
      </w:r>
      <w:r w:rsidRPr="004712FE">
        <w:rPr>
          <w:rStyle w:val="Emphasis"/>
          <w:i w:val="0"/>
        </w:rPr>
        <w:t>Bioactive properties of enzymatic gelatin hydrolysates based on in silico, in vitro, and in vivo studies.</w:t>
      </w:r>
      <w:r w:rsidRPr="004712FE">
        <w:rPr>
          <w:i/>
        </w:rPr>
        <w:t xml:space="preserve"> </w:t>
      </w:r>
      <w:r w:rsidRPr="004712FE">
        <w:rPr>
          <w:rStyle w:val="Strong"/>
          <w:b w:val="0"/>
          <w:i/>
        </w:rPr>
        <w:t>Molecules</w:t>
      </w:r>
      <w:r w:rsidRPr="004712FE">
        <w:rPr>
          <w:i/>
        </w:rPr>
        <w:t xml:space="preserve">, </w:t>
      </w:r>
      <w:r w:rsidRPr="004712FE">
        <w:t>29(18), 4402.</w:t>
      </w:r>
    </w:p>
    <w:p w:rsidR="0088787D" w:rsidRPr="004712FE" w:rsidRDefault="0088787D" w:rsidP="006F1862">
      <w:pPr>
        <w:pStyle w:val="NormalWeb"/>
        <w:spacing w:line="360" w:lineRule="auto"/>
        <w:ind w:left="993" w:hanging="993"/>
        <w:jc w:val="both"/>
      </w:pPr>
      <w:r w:rsidRPr="004712FE">
        <w:t>Qiao, J., Wang, L., Wang, L.</w:t>
      </w:r>
      <w:r>
        <w:t>, Li, Z., Huai, Y., Zhang, S. and</w:t>
      </w:r>
      <w:r w:rsidRPr="004712FE">
        <w:t xml:space="preserve"> Yu, Y. (2024). Development and characterization of modified gelatin-based cling films with antimicrobial and antioxidant activities. </w:t>
      </w:r>
      <w:r w:rsidRPr="004712FE">
        <w:rPr>
          <w:i/>
          <w:iCs/>
        </w:rPr>
        <w:t>Antioxidants</w:t>
      </w:r>
      <w:r w:rsidRPr="004712FE">
        <w:t xml:space="preserve">, 13(4), 431. </w:t>
      </w:r>
    </w:p>
    <w:p w:rsidR="0088787D" w:rsidRPr="004712FE" w:rsidRDefault="0088787D" w:rsidP="006F1862">
      <w:pPr>
        <w:pStyle w:val="NormalWeb"/>
        <w:spacing w:line="360" w:lineRule="auto"/>
        <w:ind w:left="993" w:hanging="993"/>
        <w:jc w:val="both"/>
      </w:pPr>
      <w:r>
        <w:t>Qiao, X., Li, J., Wang, H. and</w:t>
      </w:r>
      <w:r w:rsidRPr="004712FE">
        <w:t xml:space="preserve"> Chen, L. (2024). Bioactive gelatin films with antimicrobial and antibiofilm properties: Role of nanomaterials and essential oils. </w:t>
      </w:r>
      <w:r w:rsidRPr="004712FE">
        <w:rPr>
          <w:rStyle w:val="Emphasis"/>
        </w:rPr>
        <w:t>Food Hydrocolloids</w:t>
      </w:r>
      <w:r w:rsidRPr="004712FE">
        <w:t>, 142, 108701.</w:t>
      </w:r>
    </w:p>
    <w:p w:rsidR="0088787D" w:rsidRPr="004712FE" w:rsidRDefault="0088787D" w:rsidP="006F1862">
      <w:pPr>
        <w:pStyle w:val="NormalWeb"/>
        <w:spacing w:line="360" w:lineRule="auto"/>
        <w:ind w:left="993" w:hanging="993"/>
        <w:jc w:val="both"/>
      </w:pPr>
      <w:r w:rsidRPr="004712FE">
        <w:rPr>
          <w:rStyle w:val="Strong"/>
          <w:b w:val="0"/>
        </w:rPr>
        <w:t>Radan, N., G</w:t>
      </w:r>
      <w:r>
        <w:rPr>
          <w:rStyle w:val="Strong"/>
          <w:b w:val="0"/>
        </w:rPr>
        <w:t>hobadi Nejad, Z., Ghasemi, S. and</w:t>
      </w:r>
      <w:r w:rsidRPr="004712FE">
        <w:rPr>
          <w:rStyle w:val="Strong"/>
          <w:b w:val="0"/>
        </w:rPr>
        <w:t xml:space="preserve"> Yaghmaei, S. (2025).</w:t>
      </w:r>
      <w:r w:rsidRPr="004712FE">
        <w:t xml:space="preserve"> Boosting antibacterial efficiency of gelatin/chitosan composite films through synergistic interaction of </w:t>
      </w:r>
      <w:proofErr w:type="spellStart"/>
      <w:r w:rsidRPr="004712FE">
        <w:t>AgNPs</w:t>
      </w:r>
      <w:proofErr w:type="spellEnd"/>
      <w:r w:rsidRPr="004712FE">
        <w:t xml:space="preserve"> and ZIF-8 metal-organic frameworks for food packaging. </w:t>
      </w:r>
      <w:r w:rsidRPr="004712FE">
        <w:rPr>
          <w:rStyle w:val="Emphasis"/>
        </w:rPr>
        <w:t>International Journal of Biological Macromolecules</w:t>
      </w:r>
      <w:r w:rsidRPr="004712FE">
        <w:t xml:space="preserve">, </w:t>
      </w:r>
      <w:r w:rsidRPr="004712FE">
        <w:rPr>
          <w:rStyle w:val="Strong"/>
          <w:b w:val="0"/>
        </w:rPr>
        <w:t>305</w:t>
      </w:r>
      <w:r w:rsidRPr="004712FE">
        <w:t xml:space="preserve">, 141175. </w:t>
      </w:r>
    </w:p>
    <w:p w:rsidR="0088787D" w:rsidRDefault="0088787D" w:rsidP="006F1862">
      <w:pPr>
        <w:pStyle w:val="NormalWeb"/>
        <w:spacing w:line="360" w:lineRule="auto"/>
        <w:ind w:left="993" w:hanging="993"/>
        <w:jc w:val="both"/>
        <w:rPr>
          <w:color w:val="FF0000"/>
        </w:rPr>
      </w:pPr>
      <w:r>
        <w:rPr>
          <w:rStyle w:val="Strong"/>
          <w:b w:val="0"/>
        </w:rPr>
        <w:t>Sadat, A. and</w:t>
      </w:r>
      <w:r w:rsidRPr="00931325">
        <w:rPr>
          <w:rStyle w:val="Strong"/>
          <w:b w:val="0"/>
        </w:rPr>
        <w:t xml:space="preserve"> Joye, I. J. (2020).</w:t>
      </w:r>
      <w:r>
        <w:rPr>
          <w:b/>
        </w:rPr>
        <w:t xml:space="preserve"> </w:t>
      </w:r>
      <w:r w:rsidRPr="00931325">
        <w:t xml:space="preserve">Ali Sadat and Iris J. Joye. Peak fitting applied to Fourier transform infrared and Raman spectroscopic analysis of proteins. </w:t>
      </w:r>
      <w:r w:rsidRPr="00931325">
        <w:rPr>
          <w:rStyle w:val="Emphasis"/>
        </w:rPr>
        <w:t>Food Hydrocolloids</w:t>
      </w:r>
      <w:r w:rsidRPr="00931325">
        <w:t xml:space="preserve">, </w:t>
      </w:r>
      <w:r w:rsidRPr="00F067F1">
        <w:rPr>
          <w:rStyle w:val="Strong"/>
          <w:b w:val="0"/>
        </w:rPr>
        <w:t>100</w:t>
      </w:r>
      <w:r w:rsidRPr="00931325">
        <w:t xml:space="preserve">, 105350. </w:t>
      </w:r>
    </w:p>
    <w:p w:rsidR="0088787D" w:rsidRDefault="0088787D" w:rsidP="006F1862">
      <w:pPr>
        <w:pStyle w:val="NormalWeb"/>
        <w:spacing w:line="360" w:lineRule="auto"/>
        <w:ind w:left="993" w:hanging="993"/>
        <w:jc w:val="both"/>
      </w:pPr>
      <w:r>
        <w:lastRenderedPageBreak/>
        <w:t>Sadat, A. and</w:t>
      </w:r>
      <w:r w:rsidRPr="00B4573E">
        <w:t xml:space="preserve"> Joye, I. J. (2020). Peak fitting applied to Fourier transform infrared and Raman spectroscopic analysis of proteins. </w:t>
      </w:r>
      <w:r w:rsidRPr="00B4573E">
        <w:rPr>
          <w:i/>
          <w:iCs/>
        </w:rPr>
        <w:t>Food Hydrocolloids</w:t>
      </w:r>
      <w:r w:rsidRPr="00B4573E">
        <w:t>, 100, 105350.</w:t>
      </w:r>
    </w:p>
    <w:p w:rsidR="0088787D" w:rsidRDefault="0088787D" w:rsidP="006F1862">
      <w:pPr>
        <w:pStyle w:val="NormalWeb"/>
        <w:spacing w:line="360" w:lineRule="auto"/>
        <w:ind w:left="993" w:hanging="993"/>
        <w:jc w:val="both"/>
      </w:pPr>
      <w:r>
        <w:t>Sharma, S., Batra, S. and</w:t>
      </w:r>
      <w:r w:rsidRPr="006A01E9">
        <w:t xml:space="preserve"> Jain, S. (2021). Gelatin-based biomaterials for biomedical applications: A review. </w:t>
      </w:r>
      <w:r w:rsidRPr="006A01E9">
        <w:rPr>
          <w:i/>
          <w:iCs/>
        </w:rPr>
        <w:t>International Journal of Biological Macromolecules</w:t>
      </w:r>
      <w:r>
        <w:t xml:space="preserve">, 180, 408 - </w:t>
      </w:r>
      <w:r w:rsidRPr="006A01E9">
        <w:t>420.</w:t>
      </w:r>
    </w:p>
    <w:p w:rsidR="0088787D" w:rsidRDefault="0088787D" w:rsidP="006F1862">
      <w:pPr>
        <w:pStyle w:val="NormalWeb"/>
        <w:spacing w:line="360" w:lineRule="auto"/>
        <w:ind w:left="993" w:hanging="993"/>
        <w:jc w:val="both"/>
        <w:rPr>
          <w:b/>
        </w:rPr>
      </w:pPr>
      <w:r w:rsidRPr="00F067F1">
        <w:rPr>
          <w:rStyle w:val="Strong"/>
          <w:b w:val="0"/>
        </w:rPr>
        <w:t>Silva, T. F. S., Assis, O. B. G., Santos, F. S.</w:t>
      </w:r>
      <w:r w:rsidRPr="00F067F1">
        <w:rPr>
          <w:b/>
        </w:rPr>
        <w:t>,</w:t>
      </w:r>
      <w:r w:rsidRPr="00F067F1">
        <w:rPr>
          <w:rStyle w:val="Strong"/>
          <w:b w:val="0"/>
        </w:rPr>
        <w:t xml:space="preserve"> da Silva, R., dos Santos, L. O., Gonçalves, L. A. G., Humberto da Silva, J. B. and Pereira, A. G. B. (2021). </w:t>
      </w:r>
      <w:r w:rsidRPr="00F067F1">
        <w:rPr>
          <w:rStyle w:val="Emphasis"/>
          <w:bCs/>
          <w:i w:val="0"/>
        </w:rPr>
        <w:t>Structure and functional properties of fish gelatin</w:t>
      </w:r>
      <w:r w:rsidRPr="00F067F1">
        <w:rPr>
          <w:rStyle w:val="Strong"/>
          <w:i/>
        </w:rPr>
        <w:t>.</w:t>
      </w:r>
      <w:r w:rsidRPr="00F067F1">
        <w:rPr>
          <w:rStyle w:val="Strong"/>
        </w:rPr>
        <w:t xml:space="preserve"> </w:t>
      </w:r>
      <w:r w:rsidRPr="00F067F1">
        <w:rPr>
          <w:rStyle w:val="Emphasis"/>
          <w:bCs/>
        </w:rPr>
        <w:t>International Journal of Biological Macromolecules</w:t>
      </w:r>
      <w:r>
        <w:rPr>
          <w:rStyle w:val="Strong"/>
          <w:b w:val="0"/>
        </w:rPr>
        <w:t xml:space="preserve">, 182, 1345 - </w:t>
      </w:r>
      <w:r w:rsidRPr="00F067F1">
        <w:rPr>
          <w:rStyle w:val="Strong"/>
          <w:b w:val="0"/>
        </w:rPr>
        <w:t>1355.</w:t>
      </w:r>
    </w:p>
    <w:p w:rsidR="0088787D" w:rsidRDefault="0088787D" w:rsidP="006F1862">
      <w:pPr>
        <w:pStyle w:val="NormalWeb"/>
        <w:spacing w:line="360" w:lineRule="auto"/>
        <w:ind w:left="993" w:hanging="993"/>
        <w:jc w:val="both"/>
      </w:pPr>
      <w:r w:rsidRPr="004712FE">
        <w:t xml:space="preserve">Zhang, X., Liu, Y., Wang, Y., &amp; Sun, J. (2025). Boosting antibacterial and antibiofilm efficiency of gelatin/chitosan composite films through synergistic interaction with </w:t>
      </w:r>
      <w:proofErr w:type="spellStart"/>
      <w:r w:rsidRPr="004712FE">
        <w:t>AgNPs</w:t>
      </w:r>
      <w:proofErr w:type="spellEnd"/>
      <w:r w:rsidRPr="004712FE">
        <w:t xml:space="preserve"> and ZIF-8 MOFs. </w:t>
      </w:r>
      <w:r w:rsidRPr="004712FE">
        <w:rPr>
          <w:rStyle w:val="Emphasis"/>
        </w:rPr>
        <w:t>International Journal of Biological Macromolecules</w:t>
      </w:r>
      <w:r>
        <w:t>, 305, 141175.</w:t>
      </w:r>
    </w:p>
    <w:p w:rsidR="0088787D" w:rsidRPr="00B4573E" w:rsidRDefault="0088787D" w:rsidP="006F1862">
      <w:pPr>
        <w:pStyle w:val="NormalWeb"/>
        <w:spacing w:line="360" w:lineRule="auto"/>
        <w:ind w:left="993" w:hanging="993"/>
        <w:jc w:val="both"/>
        <w:rPr>
          <w:bCs/>
        </w:rPr>
      </w:pPr>
      <w:r w:rsidRPr="00B4573E">
        <w:t>Zhang, Y</w:t>
      </w:r>
      <w:r>
        <w:t>., Li, X., Wang, J., Chen, Z. and</w:t>
      </w:r>
      <w:r w:rsidRPr="00B4573E">
        <w:t xml:space="preserve"> Liu, H. (2022). Structural characterization of gelatin-based biomaterials using spectroscopic and microscopic techniques. </w:t>
      </w:r>
      <w:r w:rsidRPr="00B4573E">
        <w:rPr>
          <w:i/>
          <w:iCs/>
        </w:rPr>
        <w:t>Food Chemistry</w:t>
      </w:r>
      <w:r w:rsidRPr="00B4573E">
        <w:t>, 373, 131456.</w:t>
      </w:r>
    </w:p>
    <w:p w:rsidR="0088787D" w:rsidRPr="00F067F1" w:rsidRDefault="0088787D" w:rsidP="006F1862">
      <w:pPr>
        <w:pStyle w:val="NormalWeb"/>
        <w:spacing w:line="360" w:lineRule="auto"/>
        <w:ind w:left="993" w:hanging="993"/>
        <w:jc w:val="both"/>
        <w:rPr>
          <w:color w:val="FF0000"/>
        </w:rPr>
      </w:pPr>
      <w:r w:rsidRPr="00931325">
        <w:rPr>
          <w:rStyle w:val="Strong"/>
          <w:b w:val="0"/>
        </w:rPr>
        <w:t>Zhang, Y</w:t>
      </w:r>
      <w:r>
        <w:rPr>
          <w:rStyle w:val="Strong"/>
          <w:b w:val="0"/>
        </w:rPr>
        <w:t>., Li, X., Wang, J., Chen, Z. and</w:t>
      </w:r>
      <w:r w:rsidRPr="00931325">
        <w:rPr>
          <w:rStyle w:val="Strong"/>
          <w:b w:val="0"/>
        </w:rPr>
        <w:t xml:space="preserve"> Liu, H. (2022).</w:t>
      </w:r>
      <w:r>
        <w:t xml:space="preserve"> </w:t>
      </w:r>
      <w:r w:rsidRPr="00931325">
        <w:t xml:space="preserve">Yong Zhang, Xiaoming Li, Jian Wang, Zhi Chen, and Hong Liu. Structural characterization of gelatin and gelatin-based biomaterials using spectroscopic and physicochemical methods. </w:t>
      </w:r>
      <w:r w:rsidRPr="00931325">
        <w:rPr>
          <w:rStyle w:val="Emphasis"/>
        </w:rPr>
        <w:t>Food Chemistry</w:t>
      </w:r>
      <w:r w:rsidRPr="00931325">
        <w:t xml:space="preserve">, </w:t>
      </w:r>
      <w:r w:rsidRPr="00931325">
        <w:rPr>
          <w:rStyle w:val="Strong"/>
          <w:b w:val="0"/>
        </w:rPr>
        <w:t>373</w:t>
      </w:r>
      <w:r w:rsidRPr="00931325">
        <w:t xml:space="preserve">, 131456. </w:t>
      </w:r>
    </w:p>
    <w:p w:rsidR="0088787D" w:rsidRPr="006A01E9" w:rsidRDefault="0088787D" w:rsidP="006F1862">
      <w:pPr>
        <w:pStyle w:val="NormalWeb"/>
        <w:spacing w:line="360" w:lineRule="auto"/>
        <w:ind w:left="993" w:hanging="993"/>
        <w:jc w:val="both"/>
        <w:rPr>
          <w:bCs/>
        </w:rPr>
      </w:pPr>
      <w:r w:rsidRPr="006A01E9">
        <w:t xml:space="preserve">Zhang, </w:t>
      </w:r>
      <w:r>
        <w:t>Y., Liu, X., Li, J., Wang, H. and</w:t>
      </w:r>
      <w:r w:rsidRPr="006A01E9">
        <w:t xml:space="preserve"> Chen, Q. (2022). Structural characterization and physicochemical properties of gelatin-based biopolymers and nanocomposites. </w:t>
      </w:r>
      <w:r w:rsidRPr="006A01E9">
        <w:rPr>
          <w:i/>
          <w:iCs/>
        </w:rPr>
        <w:t>Food Hydrocolloids</w:t>
      </w:r>
      <w:r w:rsidRPr="006A01E9">
        <w:t>, 124, 107279</w:t>
      </w:r>
    </w:p>
    <w:p w:rsidR="0088787D" w:rsidRDefault="0088787D" w:rsidP="0088787D">
      <w:pPr>
        <w:pStyle w:val="NormalWeb"/>
        <w:spacing w:line="360" w:lineRule="auto"/>
        <w:ind w:left="993" w:hanging="993"/>
        <w:jc w:val="both"/>
        <w:rPr>
          <w:rStyle w:val="Strong"/>
          <w:b w:val="0"/>
        </w:rPr>
      </w:pPr>
      <w:r w:rsidRPr="00F067F1">
        <w:rPr>
          <w:rStyle w:val="Strong"/>
          <w:b w:val="0"/>
        </w:rPr>
        <w:t>Zhao, J.</w:t>
      </w:r>
      <w:proofErr w:type="gramStart"/>
      <w:r w:rsidRPr="00F067F1">
        <w:rPr>
          <w:rStyle w:val="Strong"/>
          <w:b w:val="0"/>
        </w:rPr>
        <w:t>,  Hongwei, ,</w:t>
      </w:r>
      <w:proofErr w:type="gramEnd"/>
      <w:r w:rsidRPr="00F067F1">
        <w:rPr>
          <w:rStyle w:val="Strong"/>
          <w:b w:val="0"/>
        </w:rPr>
        <w:t xml:space="preserve">L., Ming, W., Li, C., Fei, Z., Yuxuan, L. and Jianhua, S. (2023). </w:t>
      </w:r>
      <w:r w:rsidRPr="00F067F1">
        <w:rPr>
          <w:rStyle w:val="Emphasis"/>
          <w:bCs/>
          <w:i w:val="0"/>
        </w:rPr>
        <w:t>Structural analysis of gelatin composites with nanocrystalline additives</w:t>
      </w:r>
      <w:r w:rsidRPr="00F067F1">
        <w:rPr>
          <w:rStyle w:val="Strong"/>
          <w:b w:val="0"/>
          <w:i/>
        </w:rPr>
        <w:t>.</w:t>
      </w:r>
      <w:r w:rsidRPr="00F067F1">
        <w:rPr>
          <w:rStyle w:val="Strong"/>
          <w:i/>
        </w:rPr>
        <w:t xml:space="preserve"> </w:t>
      </w:r>
      <w:r w:rsidRPr="00F067F1">
        <w:rPr>
          <w:rStyle w:val="Emphasis"/>
          <w:bCs/>
        </w:rPr>
        <w:t>Journal of Materials Science</w:t>
      </w:r>
      <w:r>
        <w:rPr>
          <w:rStyle w:val="Strong"/>
          <w:b w:val="0"/>
        </w:rPr>
        <w:t xml:space="preserve">, 58, 11228 - </w:t>
      </w:r>
      <w:r w:rsidRPr="00F067F1">
        <w:rPr>
          <w:rStyle w:val="Strong"/>
          <w:b w:val="0"/>
        </w:rPr>
        <w:t>11243.</w:t>
      </w:r>
    </w:p>
    <w:p w:rsidR="00B4573E" w:rsidRDefault="00B4573E" w:rsidP="00F067F1">
      <w:pPr>
        <w:pStyle w:val="NormalWeb"/>
        <w:spacing w:line="360" w:lineRule="auto"/>
        <w:ind w:left="993" w:hanging="993"/>
      </w:pPr>
    </w:p>
    <w:p w:rsidR="002209EB" w:rsidRPr="004712FE" w:rsidRDefault="002209EB" w:rsidP="004712FE">
      <w:pPr>
        <w:pStyle w:val="NormalWeb"/>
        <w:spacing w:line="360" w:lineRule="auto"/>
        <w:jc w:val="both"/>
      </w:pPr>
    </w:p>
    <w:p w:rsidR="00CE241A" w:rsidRPr="004712FE" w:rsidRDefault="00CE241A" w:rsidP="004712FE">
      <w:pPr>
        <w:spacing w:line="360" w:lineRule="auto"/>
        <w:rPr>
          <w:rFonts w:ascii="Times New Roman" w:hAnsi="Times New Roman" w:cs="Times New Roman"/>
          <w:sz w:val="24"/>
          <w:szCs w:val="24"/>
        </w:rPr>
      </w:pPr>
    </w:p>
    <w:sectPr w:rsidR="00CE241A" w:rsidRPr="004712FE" w:rsidSect="00A24575">
      <w:pgSz w:w="12240" w:h="15840"/>
      <w:pgMar w:top="1440" w:right="118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619C"/>
    <w:multiLevelType w:val="multilevel"/>
    <w:tmpl w:val="DB12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119E6"/>
    <w:multiLevelType w:val="multilevel"/>
    <w:tmpl w:val="A00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439BB"/>
    <w:multiLevelType w:val="multilevel"/>
    <w:tmpl w:val="DA96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05479"/>
    <w:multiLevelType w:val="multilevel"/>
    <w:tmpl w:val="E092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21114"/>
    <w:multiLevelType w:val="multilevel"/>
    <w:tmpl w:val="ACDE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F597D"/>
    <w:multiLevelType w:val="multilevel"/>
    <w:tmpl w:val="C076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2A38B7"/>
    <w:multiLevelType w:val="multilevel"/>
    <w:tmpl w:val="FA52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B552E"/>
    <w:multiLevelType w:val="multilevel"/>
    <w:tmpl w:val="FBD2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004D6A"/>
    <w:multiLevelType w:val="multilevel"/>
    <w:tmpl w:val="4658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005965">
    <w:abstractNumId w:val="7"/>
  </w:num>
  <w:num w:numId="2" w16cid:durableId="1120799903">
    <w:abstractNumId w:val="2"/>
  </w:num>
  <w:num w:numId="3" w16cid:durableId="1436827781">
    <w:abstractNumId w:val="6"/>
  </w:num>
  <w:num w:numId="4" w16cid:durableId="1088623754">
    <w:abstractNumId w:val="0"/>
  </w:num>
  <w:num w:numId="5" w16cid:durableId="1104424773">
    <w:abstractNumId w:val="4"/>
  </w:num>
  <w:num w:numId="6" w16cid:durableId="239559518">
    <w:abstractNumId w:val="8"/>
  </w:num>
  <w:num w:numId="7" w16cid:durableId="2145346009">
    <w:abstractNumId w:val="3"/>
  </w:num>
  <w:num w:numId="8" w16cid:durableId="1952087792">
    <w:abstractNumId w:val="1"/>
  </w:num>
  <w:num w:numId="9" w16cid:durableId="1896855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3F2"/>
    <w:rsid w:val="000F0DE1"/>
    <w:rsid w:val="00165122"/>
    <w:rsid w:val="002209EB"/>
    <w:rsid w:val="00226A7E"/>
    <w:rsid w:val="0031774F"/>
    <w:rsid w:val="00352D3E"/>
    <w:rsid w:val="003C6D7A"/>
    <w:rsid w:val="004307A1"/>
    <w:rsid w:val="0046605A"/>
    <w:rsid w:val="004712FE"/>
    <w:rsid w:val="00485E2A"/>
    <w:rsid w:val="004D5F42"/>
    <w:rsid w:val="00533BD4"/>
    <w:rsid w:val="005B283A"/>
    <w:rsid w:val="005D2F75"/>
    <w:rsid w:val="006A01E9"/>
    <w:rsid w:val="006A1E1A"/>
    <w:rsid w:val="006B3367"/>
    <w:rsid w:val="006E204D"/>
    <w:rsid w:val="006F1862"/>
    <w:rsid w:val="00825980"/>
    <w:rsid w:val="00886443"/>
    <w:rsid w:val="0088787D"/>
    <w:rsid w:val="008B6083"/>
    <w:rsid w:val="00931325"/>
    <w:rsid w:val="00A24575"/>
    <w:rsid w:val="00A6165D"/>
    <w:rsid w:val="00B17A52"/>
    <w:rsid w:val="00B24C85"/>
    <w:rsid w:val="00B31EC4"/>
    <w:rsid w:val="00B4573E"/>
    <w:rsid w:val="00C23B3F"/>
    <w:rsid w:val="00C523FC"/>
    <w:rsid w:val="00C92850"/>
    <w:rsid w:val="00CE241A"/>
    <w:rsid w:val="00CE4EDE"/>
    <w:rsid w:val="00D1444A"/>
    <w:rsid w:val="00D372F5"/>
    <w:rsid w:val="00DA13F2"/>
    <w:rsid w:val="00DD4FC9"/>
    <w:rsid w:val="00DD646E"/>
    <w:rsid w:val="00E82CA6"/>
    <w:rsid w:val="00EA6A28"/>
    <w:rsid w:val="00EF0495"/>
    <w:rsid w:val="00F028D8"/>
    <w:rsid w:val="00F067F1"/>
    <w:rsid w:val="00FB30B3"/>
    <w:rsid w:val="00FD4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4A2C"/>
  <w15:docId w15:val="{44A3DF94-223F-4ED5-A709-D4F1ACB7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245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660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60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45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24575"/>
    <w:rPr>
      <w:i/>
      <w:iCs/>
    </w:rPr>
  </w:style>
  <w:style w:type="character" w:customStyle="1" w:styleId="Heading1Char">
    <w:name w:val="Heading 1 Char"/>
    <w:basedOn w:val="DefaultParagraphFont"/>
    <w:link w:val="Heading1"/>
    <w:uiPriority w:val="9"/>
    <w:rsid w:val="00A2457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24575"/>
    <w:rPr>
      <w:color w:val="0000FF"/>
      <w:u w:val="single"/>
    </w:rPr>
  </w:style>
  <w:style w:type="character" w:styleId="Strong">
    <w:name w:val="Strong"/>
    <w:basedOn w:val="DefaultParagraphFont"/>
    <w:uiPriority w:val="22"/>
    <w:qFormat/>
    <w:rsid w:val="00A24575"/>
    <w:rPr>
      <w:b/>
      <w:bCs/>
    </w:rPr>
  </w:style>
  <w:style w:type="character" w:customStyle="1" w:styleId="Heading2Char">
    <w:name w:val="Heading 2 Char"/>
    <w:basedOn w:val="DefaultParagraphFont"/>
    <w:link w:val="Heading2"/>
    <w:uiPriority w:val="9"/>
    <w:semiHidden/>
    <w:rsid w:val="004660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605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D646E"/>
    <w:pPr>
      <w:ind w:left="720"/>
      <w:contextualSpacing/>
    </w:pPr>
  </w:style>
  <w:style w:type="paragraph" w:styleId="BalloonText">
    <w:name w:val="Balloon Text"/>
    <w:basedOn w:val="Normal"/>
    <w:link w:val="BalloonTextChar"/>
    <w:uiPriority w:val="99"/>
    <w:semiHidden/>
    <w:unhideWhenUsed/>
    <w:rsid w:val="00317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4850">
      <w:bodyDiv w:val="1"/>
      <w:marLeft w:val="0"/>
      <w:marRight w:val="0"/>
      <w:marTop w:val="0"/>
      <w:marBottom w:val="0"/>
      <w:divBdr>
        <w:top w:val="none" w:sz="0" w:space="0" w:color="auto"/>
        <w:left w:val="none" w:sz="0" w:space="0" w:color="auto"/>
        <w:bottom w:val="none" w:sz="0" w:space="0" w:color="auto"/>
        <w:right w:val="none" w:sz="0" w:space="0" w:color="auto"/>
      </w:divBdr>
    </w:div>
    <w:div w:id="104614621">
      <w:bodyDiv w:val="1"/>
      <w:marLeft w:val="0"/>
      <w:marRight w:val="0"/>
      <w:marTop w:val="0"/>
      <w:marBottom w:val="0"/>
      <w:divBdr>
        <w:top w:val="none" w:sz="0" w:space="0" w:color="auto"/>
        <w:left w:val="none" w:sz="0" w:space="0" w:color="auto"/>
        <w:bottom w:val="none" w:sz="0" w:space="0" w:color="auto"/>
        <w:right w:val="none" w:sz="0" w:space="0" w:color="auto"/>
      </w:divBdr>
    </w:div>
    <w:div w:id="190384918">
      <w:bodyDiv w:val="1"/>
      <w:marLeft w:val="0"/>
      <w:marRight w:val="0"/>
      <w:marTop w:val="0"/>
      <w:marBottom w:val="0"/>
      <w:divBdr>
        <w:top w:val="none" w:sz="0" w:space="0" w:color="auto"/>
        <w:left w:val="none" w:sz="0" w:space="0" w:color="auto"/>
        <w:bottom w:val="none" w:sz="0" w:space="0" w:color="auto"/>
        <w:right w:val="none" w:sz="0" w:space="0" w:color="auto"/>
      </w:divBdr>
    </w:div>
    <w:div w:id="237907338">
      <w:bodyDiv w:val="1"/>
      <w:marLeft w:val="0"/>
      <w:marRight w:val="0"/>
      <w:marTop w:val="0"/>
      <w:marBottom w:val="0"/>
      <w:divBdr>
        <w:top w:val="none" w:sz="0" w:space="0" w:color="auto"/>
        <w:left w:val="none" w:sz="0" w:space="0" w:color="auto"/>
        <w:bottom w:val="none" w:sz="0" w:space="0" w:color="auto"/>
        <w:right w:val="none" w:sz="0" w:space="0" w:color="auto"/>
      </w:divBdr>
    </w:div>
    <w:div w:id="247159100">
      <w:bodyDiv w:val="1"/>
      <w:marLeft w:val="0"/>
      <w:marRight w:val="0"/>
      <w:marTop w:val="0"/>
      <w:marBottom w:val="0"/>
      <w:divBdr>
        <w:top w:val="none" w:sz="0" w:space="0" w:color="auto"/>
        <w:left w:val="none" w:sz="0" w:space="0" w:color="auto"/>
        <w:bottom w:val="none" w:sz="0" w:space="0" w:color="auto"/>
        <w:right w:val="none" w:sz="0" w:space="0" w:color="auto"/>
      </w:divBdr>
    </w:div>
    <w:div w:id="268129247">
      <w:bodyDiv w:val="1"/>
      <w:marLeft w:val="0"/>
      <w:marRight w:val="0"/>
      <w:marTop w:val="0"/>
      <w:marBottom w:val="0"/>
      <w:divBdr>
        <w:top w:val="none" w:sz="0" w:space="0" w:color="auto"/>
        <w:left w:val="none" w:sz="0" w:space="0" w:color="auto"/>
        <w:bottom w:val="none" w:sz="0" w:space="0" w:color="auto"/>
        <w:right w:val="none" w:sz="0" w:space="0" w:color="auto"/>
      </w:divBdr>
    </w:div>
    <w:div w:id="428159582">
      <w:bodyDiv w:val="1"/>
      <w:marLeft w:val="0"/>
      <w:marRight w:val="0"/>
      <w:marTop w:val="0"/>
      <w:marBottom w:val="0"/>
      <w:divBdr>
        <w:top w:val="none" w:sz="0" w:space="0" w:color="auto"/>
        <w:left w:val="none" w:sz="0" w:space="0" w:color="auto"/>
        <w:bottom w:val="none" w:sz="0" w:space="0" w:color="auto"/>
        <w:right w:val="none" w:sz="0" w:space="0" w:color="auto"/>
      </w:divBdr>
    </w:div>
    <w:div w:id="466825344">
      <w:bodyDiv w:val="1"/>
      <w:marLeft w:val="0"/>
      <w:marRight w:val="0"/>
      <w:marTop w:val="0"/>
      <w:marBottom w:val="0"/>
      <w:divBdr>
        <w:top w:val="none" w:sz="0" w:space="0" w:color="auto"/>
        <w:left w:val="none" w:sz="0" w:space="0" w:color="auto"/>
        <w:bottom w:val="none" w:sz="0" w:space="0" w:color="auto"/>
        <w:right w:val="none" w:sz="0" w:space="0" w:color="auto"/>
      </w:divBdr>
    </w:div>
    <w:div w:id="472715610">
      <w:bodyDiv w:val="1"/>
      <w:marLeft w:val="0"/>
      <w:marRight w:val="0"/>
      <w:marTop w:val="0"/>
      <w:marBottom w:val="0"/>
      <w:divBdr>
        <w:top w:val="none" w:sz="0" w:space="0" w:color="auto"/>
        <w:left w:val="none" w:sz="0" w:space="0" w:color="auto"/>
        <w:bottom w:val="none" w:sz="0" w:space="0" w:color="auto"/>
        <w:right w:val="none" w:sz="0" w:space="0" w:color="auto"/>
      </w:divBdr>
    </w:div>
    <w:div w:id="477459316">
      <w:bodyDiv w:val="1"/>
      <w:marLeft w:val="0"/>
      <w:marRight w:val="0"/>
      <w:marTop w:val="0"/>
      <w:marBottom w:val="0"/>
      <w:divBdr>
        <w:top w:val="none" w:sz="0" w:space="0" w:color="auto"/>
        <w:left w:val="none" w:sz="0" w:space="0" w:color="auto"/>
        <w:bottom w:val="none" w:sz="0" w:space="0" w:color="auto"/>
        <w:right w:val="none" w:sz="0" w:space="0" w:color="auto"/>
      </w:divBdr>
    </w:div>
    <w:div w:id="602996764">
      <w:bodyDiv w:val="1"/>
      <w:marLeft w:val="0"/>
      <w:marRight w:val="0"/>
      <w:marTop w:val="0"/>
      <w:marBottom w:val="0"/>
      <w:divBdr>
        <w:top w:val="none" w:sz="0" w:space="0" w:color="auto"/>
        <w:left w:val="none" w:sz="0" w:space="0" w:color="auto"/>
        <w:bottom w:val="none" w:sz="0" w:space="0" w:color="auto"/>
        <w:right w:val="none" w:sz="0" w:space="0" w:color="auto"/>
      </w:divBdr>
    </w:div>
    <w:div w:id="620265232">
      <w:bodyDiv w:val="1"/>
      <w:marLeft w:val="0"/>
      <w:marRight w:val="0"/>
      <w:marTop w:val="0"/>
      <w:marBottom w:val="0"/>
      <w:divBdr>
        <w:top w:val="none" w:sz="0" w:space="0" w:color="auto"/>
        <w:left w:val="none" w:sz="0" w:space="0" w:color="auto"/>
        <w:bottom w:val="none" w:sz="0" w:space="0" w:color="auto"/>
        <w:right w:val="none" w:sz="0" w:space="0" w:color="auto"/>
      </w:divBdr>
    </w:div>
    <w:div w:id="667825875">
      <w:bodyDiv w:val="1"/>
      <w:marLeft w:val="0"/>
      <w:marRight w:val="0"/>
      <w:marTop w:val="0"/>
      <w:marBottom w:val="0"/>
      <w:divBdr>
        <w:top w:val="none" w:sz="0" w:space="0" w:color="auto"/>
        <w:left w:val="none" w:sz="0" w:space="0" w:color="auto"/>
        <w:bottom w:val="none" w:sz="0" w:space="0" w:color="auto"/>
        <w:right w:val="none" w:sz="0" w:space="0" w:color="auto"/>
      </w:divBdr>
    </w:div>
    <w:div w:id="726729916">
      <w:bodyDiv w:val="1"/>
      <w:marLeft w:val="0"/>
      <w:marRight w:val="0"/>
      <w:marTop w:val="0"/>
      <w:marBottom w:val="0"/>
      <w:divBdr>
        <w:top w:val="none" w:sz="0" w:space="0" w:color="auto"/>
        <w:left w:val="none" w:sz="0" w:space="0" w:color="auto"/>
        <w:bottom w:val="none" w:sz="0" w:space="0" w:color="auto"/>
        <w:right w:val="none" w:sz="0" w:space="0" w:color="auto"/>
      </w:divBdr>
    </w:div>
    <w:div w:id="741488129">
      <w:bodyDiv w:val="1"/>
      <w:marLeft w:val="0"/>
      <w:marRight w:val="0"/>
      <w:marTop w:val="0"/>
      <w:marBottom w:val="0"/>
      <w:divBdr>
        <w:top w:val="none" w:sz="0" w:space="0" w:color="auto"/>
        <w:left w:val="none" w:sz="0" w:space="0" w:color="auto"/>
        <w:bottom w:val="none" w:sz="0" w:space="0" w:color="auto"/>
        <w:right w:val="none" w:sz="0" w:space="0" w:color="auto"/>
      </w:divBdr>
    </w:div>
    <w:div w:id="809982242">
      <w:bodyDiv w:val="1"/>
      <w:marLeft w:val="0"/>
      <w:marRight w:val="0"/>
      <w:marTop w:val="0"/>
      <w:marBottom w:val="0"/>
      <w:divBdr>
        <w:top w:val="none" w:sz="0" w:space="0" w:color="auto"/>
        <w:left w:val="none" w:sz="0" w:space="0" w:color="auto"/>
        <w:bottom w:val="none" w:sz="0" w:space="0" w:color="auto"/>
        <w:right w:val="none" w:sz="0" w:space="0" w:color="auto"/>
      </w:divBdr>
    </w:div>
    <w:div w:id="902446090">
      <w:bodyDiv w:val="1"/>
      <w:marLeft w:val="0"/>
      <w:marRight w:val="0"/>
      <w:marTop w:val="0"/>
      <w:marBottom w:val="0"/>
      <w:divBdr>
        <w:top w:val="none" w:sz="0" w:space="0" w:color="auto"/>
        <w:left w:val="none" w:sz="0" w:space="0" w:color="auto"/>
        <w:bottom w:val="none" w:sz="0" w:space="0" w:color="auto"/>
        <w:right w:val="none" w:sz="0" w:space="0" w:color="auto"/>
      </w:divBdr>
    </w:div>
    <w:div w:id="916279566">
      <w:bodyDiv w:val="1"/>
      <w:marLeft w:val="0"/>
      <w:marRight w:val="0"/>
      <w:marTop w:val="0"/>
      <w:marBottom w:val="0"/>
      <w:divBdr>
        <w:top w:val="none" w:sz="0" w:space="0" w:color="auto"/>
        <w:left w:val="none" w:sz="0" w:space="0" w:color="auto"/>
        <w:bottom w:val="none" w:sz="0" w:space="0" w:color="auto"/>
        <w:right w:val="none" w:sz="0" w:space="0" w:color="auto"/>
      </w:divBdr>
    </w:div>
    <w:div w:id="1014500386">
      <w:bodyDiv w:val="1"/>
      <w:marLeft w:val="0"/>
      <w:marRight w:val="0"/>
      <w:marTop w:val="0"/>
      <w:marBottom w:val="0"/>
      <w:divBdr>
        <w:top w:val="none" w:sz="0" w:space="0" w:color="auto"/>
        <w:left w:val="none" w:sz="0" w:space="0" w:color="auto"/>
        <w:bottom w:val="none" w:sz="0" w:space="0" w:color="auto"/>
        <w:right w:val="none" w:sz="0" w:space="0" w:color="auto"/>
      </w:divBdr>
    </w:div>
    <w:div w:id="1077049482">
      <w:bodyDiv w:val="1"/>
      <w:marLeft w:val="0"/>
      <w:marRight w:val="0"/>
      <w:marTop w:val="0"/>
      <w:marBottom w:val="0"/>
      <w:divBdr>
        <w:top w:val="none" w:sz="0" w:space="0" w:color="auto"/>
        <w:left w:val="none" w:sz="0" w:space="0" w:color="auto"/>
        <w:bottom w:val="none" w:sz="0" w:space="0" w:color="auto"/>
        <w:right w:val="none" w:sz="0" w:space="0" w:color="auto"/>
      </w:divBdr>
    </w:div>
    <w:div w:id="1137331164">
      <w:bodyDiv w:val="1"/>
      <w:marLeft w:val="0"/>
      <w:marRight w:val="0"/>
      <w:marTop w:val="0"/>
      <w:marBottom w:val="0"/>
      <w:divBdr>
        <w:top w:val="none" w:sz="0" w:space="0" w:color="auto"/>
        <w:left w:val="none" w:sz="0" w:space="0" w:color="auto"/>
        <w:bottom w:val="none" w:sz="0" w:space="0" w:color="auto"/>
        <w:right w:val="none" w:sz="0" w:space="0" w:color="auto"/>
      </w:divBdr>
    </w:div>
    <w:div w:id="1179656890">
      <w:bodyDiv w:val="1"/>
      <w:marLeft w:val="0"/>
      <w:marRight w:val="0"/>
      <w:marTop w:val="0"/>
      <w:marBottom w:val="0"/>
      <w:divBdr>
        <w:top w:val="none" w:sz="0" w:space="0" w:color="auto"/>
        <w:left w:val="none" w:sz="0" w:space="0" w:color="auto"/>
        <w:bottom w:val="none" w:sz="0" w:space="0" w:color="auto"/>
        <w:right w:val="none" w:sz="0" w:space="0" w:color="auto"/>
      </w:divBdr>
    </w:div>
    <w:div w:id="1180581825">
      <w:bodyDiv w:val="1"/>
      <w:marLeft w:val="0"/>
      <w:marRight w:val="0"/>
      <w:marTop w:val="0"/>
      <w:marBottom w:val="0"/>
      <w:divBdr>
        <w:top w:val="none" w:sz="0" w:space="0" w:color="auto"/>
        <w:left w:val="none" w:sz="0" w:space="0" w:color="auto"/>
        <w:bottom w:val="none" w:sz="0" w:space="0" w:color="auto"/>
        <w:right w:val="none" w:sz="0" w:space="0" w:color="auto"/>
      </w:divBdr>
    </w:div>
    <w:div w:id="1328171236">
      <w:bodyDiv w:val="1"/>
      <w:marLeft w:val="0"/>
      <w:marRight w:val="0"/>
      <w:marTop w:val="0"/>
      <w:marBottom w:val="0"/>
      <w:divBdr>
        <w:top w:val="none" w:sz="0" w:space="0" w:color="auto"/>
        <w:left w:val="none" w:sz="0" w:space="0" w:color="auto"/>
        <w:bottom w:val="none" w:sz="0" w:space="0" w:color="auto"/>
        <w:right w:val="none" w:sz="0" w:space="0" w:color="auto"/>
      </w:divBdr>
    </w:div>
    <w:div w:id="1397390951">
      <w:bodyDiv w:val="1"/>
      <w:marLeft w:val="0"/>
      <w:marRight w:val="0"/>
      <w:marTop w:val="0"/>
      <w:marBottom w:val="0"/>
      <w:divBdr>
        <w:top w:val="none" w:sz="0" w:space="0" w:color="auto"/>
        <w:left w:val="none" w:sz="0" w:space="0" w:color="auto"/>
        <w:bottom w:val="none" w:sz="0" w:space="0" w:color="auto"/>
        <w:right w:val="none" w:sz="0" w:space="0" w:color="auto"/>
      </w:divBdr>
    </w:div>
    <w:div w:id="1416248516">
      <w:bodyDiv w:val="1"/>
      <w:marLeft w:val="0"/>
      <w:marRight w:val="0"/>
      <w:marTop w:val="0"/>
      <w:marBottom w:val="0"/>
      <w:divBdr>
        <w:top w:val="none" w:sz="0" w:space="0" w:color="auto"/>
        <w:left w:val="none" w:sz="0" w:space="0" w:color="auto"/>
        <w:bottom w:val="none" w:sz="0" w:space="0" w:color="auto"/>
        <w:right w:val="none" w:sz="0" w:space="0" w:color="auto"/>
      </w:divBdr>
    </w:div>
    <w:div w:id="1443915776">
      <w:bodyDiv w:val="1"/>
      <w:marLeft w:val="0"/>
      <w:marRight w:val="0"/>
      <w:marTop w:val="0"/>
      <w:marBottom w:val="0"/>
      <w:divBdr>
        <w:top w:val="none" w:sz="0" w:space="0" w:color="auto"/>
        <w:left w:val="none" w:sz="0" w:space="0" w:color="auto"/>
        <w:bottom w:val="none" w:sz="0" w:space="0" w:color="auto"/>
        <w:right w:val="none" w:sz="0" w:space="0" w:color="auto"/>
      </w:divBdr>
    </w:div>
    <w:div w:id="1452239277">
      <w:bodyDiv w:val="1"/>
      <w:marLeft w:val="0"/>
      <w:marRight w:val="0"/>
      <w:marTop w:val="0"/>
      <w:marBottom w:val="0"/>
      <w:divBdr>
        <w:top w:val="none" w:sz="0" w:space="0" w:color="auto"/>
        <w:left w:val="none" w:sz="0" w:space="0" w:color="auto"/>
        <w:bottom w:val="none" w:sz="0" w:space="0" w:color="auto"/>
        <w:right w:val="none" w:sz="0" w:space="0" w:color="auto"/>
      </w:divBdr>
    </w:div>
    <w:div w:id="1457526828">
      <w:bodyDiv w:val="1"/>
      <w:marLeft w:val="0"/>
      <w:marRight w:val="0"/>
      <w:marTop w:val="0"/>
      <w:marBottom w:val="0"/>
      <w:divBdr>
        <w:top w:val="none" w:sz="0" w:space="0" w:color="auto"/>
        <w:left w:val="none" w:sz="0" w:space="0" w:color="auto"/>
        <w:bottom w:val="none" w:sz="0" w:space="0" w:color="auto"/>
        <w:right w:val="none" w:sz="0" w:space="0" w:color="auto"/>
      </w:divBdr>
    </w:div>
    <w:div w:id="1492329696">
      <w:bodyDiv w:val="1"/>
      <w:marLeft w:val="0"/>
      <w:marRight w:val="0"/>
      <w:marTop w:val="0"/>
      <w:marBottom w:val="0"/>
      <w:divBdr>
        <w:top w:val="none" w:sz="0" w:space="0" w:color="auto"/>
        <w:left w:val="none" w:sz="0" w:space="0" w:color="auto"/>
        <w:bottom w:val="none" w:sz="0" w:space="0" w:color="auto"/>
        <w:right w:val="none" w:sz="0" w:space="0" w:color="auto"/>
      </w:divBdr>
    </w:div>
    <w:div w:id="1578590658">
      <w:bodyDiv w:val="1"/>
      <w:marLeft w:val="0"/>
      <w:marRight w:val="0"/>
      <w:marTop w:val="0"/>
      <w:marBottom w:val="0"/>
      <w:divBdr>
        <w:top w:val="none" w:sz="0" w:space="0" w:color="auto"/>
        <w:left w:val="none" w:sz="0" w:space="0" w:color="auto"/>
        <w:bottom w:val="none" w:sz="0" w:space="0" w:color="auto"/>
        <w:right w:val="none" w:sz="0" w:space="0" w:color="auto"/>
      </w:divBdr>
    </w:div>
    <w:div w:id="1689409907">
      <w:bodyDiv w:val="1"/>
      <w:marLeft w:val="0"/>
      <w:marRight w:val="0"/>
      <w:marTop w:val="0"/>
      <w:marBottom w:val="0"/>
      <w:divBdr>
        <w:top w:val="none" w:sz="0" w:space="0" w:color="auto"/>
        <w:left w:val="none" w:sz="0" w:space="0" w:color="auto"/>
        <w:bottom w:val="none" w:sz="0" w:space="0" w:color="auto"/>
        <w:right w:val="none" w:sz="0" w:space="0" w:color="auto"/>
      </w:divBdr>
    </w:div>
    <w:div w:id="1805082788">
      <w:bodyDiv w:val="1"/>
      <w:marLeft w:val="0"/>
      <w:marRight w:val="0"/>
      <w:marTop w:val="0"/>
      <w:marBottom w:val="0"/>
      <w:divBdr>
        <w:top w:val="none" w:sz="0" w:space="0" w:color="auto"/>
        <w:left w:val="none" w:sz="0" w:space="0" w:color="auto"/>
        <w:bottom w:val="none" w:sz="0" w:space="0" w:color="auto"/>
        <w:right w:val="none" w:sz="0" w:space="0" w:color="auto"/>
      </w:divBdr>
    </w:div>
    <w:div w:id="1828932448">
      <w:bodyDiv w:val="1"/>
      <w:marLeft w:val="0"/>
      <w:marRight w:val="0"/>
      <w:marTop w:val="0"/>
      <w:marBottom w:val="0"/>
      <w:divBdr>
        <w:top w:val="none" w:sz="0" w:space="0" w:color="auto"/>
        <w:left w:val="none" w:sz="0" w:space="0" w:color="auto"/>
        <w:bottom w:val="none" w:sz="0" w:space="0" w:color="auto"/>
        <w:right w:val="none" w:sz="0" w:space="0" w:color="auto"/>
      </w:divBdr>
    </w:div>
    <w:div w:id="1858232010">
      <w:bodyDiv w:val="1"/>
      <w:marLeft w:val="0"/>
      <w:marRight w:val="0"/>
      <w:marTop w:val="0"/>
      <w:marBottom w:val="0"/>
      <w:divBdr>
        <w:top w:val="none" w:sz="0" w:space="0" w:color="auto"/>
        <w:left w:val="none" w:sz="0" w:space="0" w:color="auto"/>
        <w:bottom w:val="none" w:sz="0" w:space="0" w:color="auto"/>
        <w:right w:val="none" w:sz="0" w:space="0" w:color="auto"/>
      </w:divBdr>
    </w:div>
    <w:div w:id="1875262603">
      <w:bodyDiv w:val="1"/>
      <w:marLeft w:val="0"/>
      <w:marRight w:val="0"/>
      <w:marTop w:val="0"/>
      <w:marBottom w:val="0"/>
      <w:divBdr>
        <w:top w:val="none" w:sz="0" w:space="0" w:color="auto"/>
        <w:left w:val="none" w:sz="0" w:space="0" w:color="auto"/>
        <w:bottom w:val="none" w:sz="0" w:space="0" w:color="auto"/>
        <w:right w:val="none" w:sz="0" w:space="0" w:color="auto"/>
      </w:divBdr>
    </w:div>
    <w:div w:id="1887449267">
      <w:bodyDiv w:val="1"/>
      <w:marLeft w:val="0"/>
      <w:marRight w:val="0"/>
      <w:marTop w:val="0"/>
      <w:marBottom w:val="0"/>
      <w:divBdr>
        <w:top w:val="none" w:sz="0" w:space="0" w:color="auto"/>
        <w:left w:val="none" w:sz="0" w:space="0" w:color="auto"/>
        <w:bottom w:val="none" w:sz="0" w:space="0" w:color="auto"/>
        <w:right w:val="none" w:sz="0" w:space="0" w:color="auto"/>
      </w:divBdr>
    </w:div>
    <w:div w:id="1956909243">
      <w:bodyDiv w:val="1"/>
      <w:marLeft w:val="0"/>
      <w:marRight w:val="0"/>
      <w:marTop w:val="0"/>
      <w:marBottom w:val="0"/>
      <w:divBdr>
        <w:top w:val="none" w:sz="0" w:space="0" w:color="auto"/>
        <w:left w:val="none" w:sz="0" w:space="0" w:color="auto"/>
        <w:bottom w:val="none" w:sz="0" w:space="0" w:color="auto"/>
        <w:right w:val="none" w:sz="0" w:space="0" w:color="auto"/>
      </w:divBdr>
    </w:div>
    <w:div w:id="1984776287">
      <w:bodyDiv w:val="1"/>
      <w:marLeft w:val="0"/>
      <w:marRight w:val="0"/>
      <w:marTop w:val="0"/>
      <w:marBottom w:val="0"/>
      <w:divBdr>
        <w:top w:val="none" w:sz="0" w:space="0" w:color="auto"/>
        <w:left w:val="none" w:sz="0" w:space="0" w:color="auto"/>
        <w:bottom w:val="none" w:sz="0" w:space="0" w:color="auto"/>
        <w:right w:val="none" w:sz="0" w:space="0" w:color="auto"/>
      </w:divBdr>
    </w:div>
    <w:div w:id="2008092986">
      <w:bodyDiv w:val="1"/>
      <w:marLeft w:val="0"/>
      <w:marRight w:val="0"/>
      <w:marTop w:val="0"/>
      <w:marBottom w:val="0"/>
      <w:divBdr>
        <w:top w:val="none" w:sz="0" w:space="0" w:color="auto"/>
        <w:left w:val="none" w:sz="0" w:space="0" w:color="auto"/>
        <w:bottom w:val="none" w:sz="0" w:space="0" w:color="auto"/>
        <w:right w:val="none" w:sz="0" w:space="0" w:color="auto"/>
      </w:divBdr>
    </w:div>
    <w:div w:id="203850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8.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26</Pages>
  <Words>7154</Words>
  <Characters>40784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TAHIR</dc:creator>
  <cp:lastModifiedBy>Riya Tayal</cp:lastModifiedBy>
  <cp:revision>15</cp:revision>
  <dcterms:created xsi:type="dcterms:W3CDTF">2026-03-11T18:10:00Z</dcterms:created>
  <dcterms:modified xsi:type="dcterms:W3CDTF">2026-03-16T11:46:00Z</dcterms:modified>
</cp:coreProperties>
</file>