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142" w:right="0" w:firstLine="0"/>
        <w:jc w:val="left"/>
        <w:rPr>
          <w:rFonts w:ascii="Arial"/>
          <w:b/>
          <w:sz w:val="18"/>
        </w:rPr>
      </w:pPr>
      <w:r>
        <w:rPr>
          <w:rFonts w:ascii="Arial"/>
          <w:b/>
          <w:color w:val="1A365D"/>
          <w:sz w:val="18"/>
        </w:rPr>
        <w:t>INTERNATIONAL</w:t>
      </w:r>
      <w:r>
        <w:rPr>
          <w:rFonts w:ascii="Arial"/>
          <w:b/>
          <w:color w:val="1A365D"/>
          <w:spacing w:val="44"/>
          <w:sz w:val="18"/>
        </w:rPr>
        <w:t> </w:t>
      </w:r>
      <w:r>
        <w:rPr>
          <w:rFonts w:ascii="Arial"/>
          <w:b/>
          <w:color w:val="1A365D"/>
          <w:sz w:val="18"/>
        </w:rPr>
        <w:t>JOURNAL</w:t>
      </w:r>
      <w:r>
        <w:rPr>
          <w:rFonts w:ascii="Arial"/>
          <w:b/>
          <w:color w:val="1A365D"/>
          <w:spacing w:val="44"/>
          <w:sz w:val="18"/>
        </w:rPr>
        <w:t> </w:t>
      </w:r>
      <w:r>
        <w:rPr>
          <w:rFonts w:ascii="Arial"/>
          <w:b/>
          <w:color w:val="1A365D"/>
          <w:sz w:val="18"/>
        </w:rPr>
        <w:t>OF</w:t>
      </w:r>
      <w:r>
        <w:rPr>
          <w:rFonts w:ascii="Arial"/>
          <w:b/>
          <w:color w:val="1A365D"/>
          <w:spacing w:val="48"/>
          <w:sz w:val="18"/>
        </w:rPr>
        <w:t> </w:t>
      </w:r>
      <w:r>
        <w:rPr>
          <w:rFonts w:ascii="Arial"/>
          <w:b/>
          <w:color w:val="1A365D"/>
          <w:sz w:val="18"/>
        </w:rPr>
        <w:t>RESEARCH</w:t>
      </w:r>
      <w:r>
        <w:rPr>
          <w:rFonts w:ascii="Arial"/>
          <w:b/>
          <w:color w:val="1A365D"/>
          <w:spacing w:val="40"/>
          <w:sz w:val="18"/>
        </w:rPr>
        <w:t> </w:t>
      </w:r>
      <w:r>
        <w:rPr>
          <w:rFonts w:ascii="Arial"/>
          <w:b/>
          <w:color w:val="1A365D"/>
          <w:sz w:val="18"/>
        </w:rPr>
        <w:t>AND</w:t>
      </w:r>
      <w:r>
        <w:rPr>
          <w:rFonts w:ascii="Arial"/>
          <w:b/>
          <w:color w:val="1A365D"/>
          <w:spacing w:val="48"/>
          <w:sz w:val="18"/>
        </w:rPr>
        <w:t> </w:t>
      </w:r>
      <w:r>
        <w:rPr>
          <w:rFonts w:ascii="Arial"/>
          <w:b/>
          <w:color w:val="1A365D"/>
          <w:sz w:val="18"/>
        </w:rPr>
        <w:t>INNOVATION</w:t>
      </w:r>
      <w:r>
        <w:rPr>
          <w:rFonts w:ascii="Arial"/>
          <w:b/>
          <w:color w:val="1A365D"/>
          <w:spacing w:val="49"/>
          <w:sz w:val="18"/>
        </w:rPr>
        <w:t> </w:t>
      </w:r>
      <w:r>
        <w:rPr>
          <w:rFonts w:ascii="Arial"/>
          <w:b/>
          <w:color w:val="1A365D"/>
          <w:sz w:val="18"/>
        </w:rPr>
        <w:t>IN</w:t>
      </w:r>
      <w:r>
        <w:rPr>
          <w:rFonts w:ascii="Arial"/>
          <w:b/>
          <w:color w:val="1A365D"/>
          <w:spacing w:val="49"/>
          <w:sz w:val="18"/>
        </w:rPr>
        <w:t> </w:t>
      </w:r>
      <w:r>
        <w:rPr>
          <w:rFonts w:ascii="Arial"/>
          <w:b/>
          <w:color w:val="1A365D"/>
          <w:sz w:val="18"/>
        </w:rPr>
        <w:t>SOCIAL</w:t>
      </w:r>
      <w:r>
        <w:rPr>
          <w:rFonts w:ascii="Arial"/>
          <w:b/>
          <w:color w:val="1A365D"/>
          <w:spacing w:val="44"/>
          <w:sz w:val="18"/>
        </w:rPr>
        <w:t> </w:t>
      </w:r>
      <w:r>
        <w:rPr>
          <w:rFonts w:ascii="Arial"/>
          <w:b/>
          <w:color w:val="1A365D"/>
          <w:sz w:val="18"/>
        </w:rPr>
        <w:t>SCIENCE</w:t>
      </w:r>
      <w:r>
        <w:rPr>
          <w:rFonts w:ascii="Arial"/>
          <w:b/>
          <w:color w:val="1A365D"/>
          <w:spacing w:val="49"/>
          <w:sz w:val="18"/>
        </w:rPr>
        <w:t> </w:t>
      </w:r>
      <w:r>
        <w:rPr>
          <w:rFonts w:ascii="Arial"/>
          <w:b/>
          <w:color w:val="1A365D"/>
          <w:spacing w:val="-2"/>
          <w:sz w:val="18"/>
        </w:rPr>
        <w:t>(IJRISS)</w:t>
      </w:r>
    </w:p>
    <w:p>
      <w:pPr>
        <w:spacing w:before="76"/>
        <w:ind w:left="0" w:right="140" w:firstLine="0"/>
        <w:jc w:val="right"/>
        <w:rPr>
          <w:rFonts w:ascii="Arial MT"/>
          <w:sz w:val="16"/>
        </w:rPr>
      </w:pPr>
      <w:r>
        <w:rPr>
          <w:rFonts w:ascii="Arial MT"/>
          <w:color w:val="545454"/>
          <w:sz w:val="16"/>
        </w:rPr>
        <w:t>ISSN</w:t>
      </w:r>
      <w:r>
        <w:rPr>
          <w:rFonts w:ascii="Arial MT"/>
          <w:color w:val="545454"/>
          <w:spacing w:val="-5"/>
          <w:sz w:val="16"/>
        </w:rPr>
        <w:t> </w:t>
      </w:r>
      <w:r>
        <w:rPr>
          <w:rFonts w:ascii="Arial MT"/>
          <w:color w:val="545454"/>
          <w:sz w:val="16"/>
        </w:rPr>
        <w:t>2581-8740</w:t>
      </w:r>
      <w:r>
        <w:rPr>
          <w:rFonts w:ascii="Arial MT"/>
          <w:color w:val="545454"/>
          <w:spacing w:val="-4"/>
          <w:sz w:val="16"/>
        </w:rPr>
        <w:t> </w:t>
      </w:r>
      <w:r>
        <w:rPr>
          <w:rFonts w:ascii="Arial MT"/>
          <w:color w:val="545454"/>
          <w:sz w:val="16"/>
        </w:rPr>
        <w:t>|</w:t>
      </w:r>
      <w:r>
        <w:rPr>
          <w:rFonts w:ascii="Arial MT"/>
          <w:color w:val="545454"/>
          <w:spacing w:val="-4"/>
          <w:sz w:val="16"/>
        </w:rPr>
        <w:t> </w:t>
      </w:r>
      <w:r>
        <w:rPr>
          <w:rFonts w:ascii="Arial MT"/>
          <w:color w:val="545454"/>
          <w:sz w:val="16"/>
        </w:rPr>
        <w:t>Vol.</w:t>
      </w:r>
      <w:r>
        <w:rPr>
          <w:rFonts w:ascii="Arial MT"/>
          <w:color w:val="545454"/>
          <w:spacing w:val="-4"/>
          <w:sz w:val="16"/>
        </w:rPr>
        <w:t> </w:t>
      </w:r>
      <w:r>
        <w:rPr>
          <w:rFonts w:ascii="Arial MT"/>
          <w:color w:val="545454"/>
          <w:sz w:val="16"/>
        </w:rPr>
        <w:t>X,</w:t>
      </w:r>
      <w:r>
        <w:rPr>
          <w:rFonts w:ascii="Arial MT"/>
          <w:color w:val="545454"/>
          <w:spacing w:val="-4"/>
          <w:sz w:val="16"/>
        </w:rPr>
        <w:t> </w:t>
      </w:r>
      <w:r>
        <w:rPr>
          <w:rFonts w:ascii="Arial MT"/>
          <w:color w:val="545454"/>
          <w:sz w:val="16"/>
        </w:rPr>
        <w:t>Issue</w:t>
      </w:r>
      <w:r>
        <w:rPr>
          <w:rFonts w:ascii="Arial MT"/>
          <w:color w:val="545454"/>
          <w:spacing w:val="-6"/>
          <w:sz w:val="16"/>
        </w:rPr>
        <w:t> </w:t>
      </w:r>
      <w:r>
        <w:rPr>
          <w:rFonts w:ascii="Arial MT"/>
          <w:color w:val="545454"/>
          <w:spacing w:val="-12"/>
          <w:sz w:val="16"/>
        </w:rPr>
        <w:t>Y</w:t>
      </w:r>
    </w:p>
    <w:p>
      <w:pPr>
        <w:pStyle w:val="BodyText"/>
        <w:spacing w:before="0"/>
        <w:ind w:left="0"/>
        <w:jc w:val="left"/>
        <w:rPr>
          <w:rFonts w:ascii="Arial MT"/>
          <w:sz w:val="11"/>
        </w:rPr>
      </w:pPr>
      <w:r>
        <w:rPr>
          <w:rFonts w:ascii="Arial MT"/>
          <w:sz w:val="11"/>
        </w:rPr>
        <mc:AlternateContent>
          <mc:Choice Requires="wps">
            <w:drawing>
              <wp:anchor distT="0" distB="0" distL="0" distR="0" allowOverlap="1" layoutInCell="1" locked="0" behindDoc="1" simplePos="0" relativeHeight="487587840">
                <wp:simplePos x="0" y="0"/>
                <wp:positionH relativeFrom="page">
                  <wp:posOffset>540000</wp:posOffset>
                </wp:positionH>
                <wp:positionV relativeFrom="paragraph">
                  <wp:posOffset>95946</wp:posOffset>
                </wp:positionV>
                <wp:extent cx="6480175" cy="190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80175" cy="19050"/>
                        </a:xfrm>
                        <a:custGeom>
                          <a:avLst/>
                          <a:gdLst/>
                          <a:ahLst/>
                          <a:cxnLst/>
                          <a:rect l="l" t="t" r="r" b="b"/>
                          <a:pathLst>
                            <a:path w="6480175" h="19050">
                              <a:moveTo>
                                <a:pt x="6480000" y="19050"/>
                              </a:moveTo>
                              <a:lnTo>
                                <a:pt x="0" y="19050"/>
                              </a:lnTo>
                              <a:lnTo>
                                <a:pt x="0" y="0"/>
                              </a:lnTo>
                              <a:lnTo>
                                <a:pt x="6480000" y="0"/>
                              </a:lnTo>
                              <a:lnTo>
                                <a:pt x="6480000" y="19050"/>
                              </a:lnTo>
                              <a:close/>
                            </a:path>
                          </a:pathLst>
                        </a:custGeom>
                        <a:solidFill>
                          <a:srgbClr val="1A365D"/>
                        </a:solidFill>
                      </wps:spPr>
                      <wps:bodyPr wrap="square" lIns="0" tIns="0" rIns="0" bIns="0" rtlCol="0">
                        <a:prstTxWarp prst="textNoShape">
                          <a:avLst/>
                        </a:prstTxWarp>
                        <a:noAutofit/>
                      </wps:bodyPr>
                    </wps:wsp>
                  </a:graphicData>
                </a:graphic>
              </wp:anchor>
            </w:drawing>
          </mc:Choice>
          <mc:Fallback>
            <w:pict>
              <v:rect style="position:absolute;margin-left:42.519688pt;margin-top:7.554834pt;width:510.236236pt;height:1.5pt;mso-position-horizontal-relative:page;mso-position-vertical-relative:paragraph;z-index:-15728640;mso-wrap-distance-left:0;mso-wrap-distance-right:0" id="docshape3" filled="true" fillcolor="#1a365d" stroked="false">
                <v:fill type="solid"/>
                <w10:wrap type="topAndBottom"/>
              </v:rect>
            </w:pict>
          </mc:Fallback>
        </mc:AlternateContent>
      </w:r>
    </w:p>
    <w:p>
      <w:pPr>
        <w:pStyle w:val="Title"/>
        <w:spacing w:line="271" w:lineRule="auto"/>
      </w:pPr>
      <w:bookmarkStart w:name="Addressing Learning Gaps in Mathematics " w:id="1"/>
      <w:bookmarkEnd w:id="1"/>
      <w:r>
        <w:rPr>
          <w:b w:val="0"/>
        </w:rPr>
      </w:r>
      <w:r>
        <w:rPr>
          <w:color w:val="111111"/>
        </w:rPr>
        <w:t>ADDRESSING</w:t>
      </w:r>
      <w:r>
        <w:rPr>
          <w:color w:val="111111"/>
          <w:spacing w:val="-21"/>
        </w:rPr>
        <w:t> </w:t>
      </w:r>
      <w:r>
        <w:rPr>
          <w:color w:val="111111"/>
        </w:rPr>
        <w:t>LEARNING</w:t>
      </w:r>
      <w:r>
        <w:rPr>
          <w:color w:val="111111"/>
          <w:spacing w:val="-21"/>
        </w:rPr>
        <w:t> </w:t>
      </w:r>
      <w:r>
        <w:rPr>
          <w:color w:val="111111"/>
        </w:rPr>
        <w:t>GAPS</w:t>
      </w:r>
      <w:r>
        <w:rPr>
          <w:color w:val="111111"/>
          <w:spacing w:val="-22"/>
        </w:rPr>
        <w:t> </w:t>
      </w:r>
      <w:r>
        <w:rPr>
          <w:color w:val="111111"/>
        </w:rPr>
        <w:t>IN</w:t>
      </w:r>
      <w:r>
        <w:rPr>
          <w:color w:val="111111"/>
          <w:spacing w:val="-22"/>
        </w:rPr>
        <w:t> </w:t>
      </w:r>
      <w:r>
        <w:rPr>
          <w:color w:val="111111"/>
        </w:rPr>
        <w:t>MATHEMATICS THROUGH REMEDIAL LEARNING MATERIALS</w:t>
      </w:r>
    </w:p>
    <w:p>
      <w:pPr>
        <w:spacing w:before="240"/>
        <w:ind w:left="2" w:right="2" w:firstLine="0"/>
        <w:jc w:val="center"/>
        <w:rPr>
          <w:b/>
          <w:sz w:val="22"/>
        </w:rPr>
      </w:pPr>
      <w:r>
        <w:rPr>
          <w:b/>
          <w:color w:val="212121"/>
          <w:sz w:val="22"/>
        </w:rPr>
        <w:t/>
      </w:r>
      <w:r>
        <w:rPr>
          <w:b/>
          <w:color w:val="212121"/>
          <w:spacing w:val="-2"/>
          <w:sz w:val="22"/>
        </w:rPr>
        <w:t/>
      </w:r>
    </w:p>
    <w:p>
      <w:pPr>
        <w:spacing w:before="120"/>
        <w:ind w:left="2" w:right="2" w:firstLine="0"/>
        <w:jc w:val="center"/>
        <w:rPr>
          <w:i/>
          <w:sz w:val="21"/>
        </w:rPr>
      </w:pPr>
      <w:r>
        <w:rPr>
          <w:i/>
          <w:color w:val="444444"/>
          <w:sz w:val="21"/>
        </w:rPr>
        <w:t/>
      </w:r>
      <w:r>
        <w:rPr>
          <w:i/>
          <w:color w:val="444444"/>
          <w:spacing w:val="-9"/>
          <w:sz w:val="21"/>
        </w:rPr>
        <w:t/>
      </w:r>
      <w:r>
        <w:rPr>
          <w:i/>
          <w:color w:val="444444"/>
          <w:sz w:val="21"/>
        </w:rPr>
        <w:t/>
      </w:r>
      <w:r>
        <w:rPr>
          <w:i/>
          <w:color w:val="444444"/>
          <w:spacing w:val="-9"/>
          <w:sz w:val="21"/>
        </w:rPr>
        <w:t/>
      </w:r>
      <w:r>
        <w:rPr>
          <w:i/>
          <w:color w:val="444444"/>
          <w:sz w:val="21"/>
        </w:rPr>
        <w:t/>
      </w:r>
      <w:r>
        <w:rPr>
          <w:i/>
          <w:color w:val="444444"/>
          <w:spacing w:val="-9"/>
          <w:sz w:val="21"/>
        </w:rPr>
        <w:t/>
      </w:r>
      <w:r>
        <w:rPr>
          <w:i/>
          <w:color w:val="444444"/>
          <w:sz w:val="21"/>
        </w:rPr>
        <w:t/>
      </w:r>
      <w:r>
        <w:rPr>
          <w:i/>
          <w:color w:val="444444"/>
          <w:spacing w:val="-9"/>
          <w:sz w:val="21"/>
        </w:rPr>
        <w:t/>
      </w:r>
      <w:r>
        <w:rPr>
          <w:i/>
          <w:color w:val="444444"/>
          <w:sz w:val="21"/>
        </w:rPr>
        <w:t/>
      </w:r>
      <w:r>
        <w:rPr>
          <w:i/>
          <w:color w:val="444444"/>
          <w:spacing w:val="-9"/>
          <w:sz w:val="21"/>
        </w:rPr>
        <w:t/>
      </w:r>
      <w:r>
        <w:rPr>
          <w:i/>
          <w:color w:val="444444"/>
          <w:spacing w:val="-5"/>
          <w:sz w:val="21"/>
        </w:rPr>
        <w:t/>
      </w:r>
    </w:p>
    <w:p>
      <w:pPr>
        <w:spacing w:before="147"/>
        <w:ind w:left="2" w:right="2" w:firstLine="0"/>
        <w:jc w:val="center"/>
        <w:rPr>
          <w:sz w:val="20"/>
        </w:rPr>
      </w:pPr>
      <w:r>
        <w:rPr>
          <w:color w:val="545454"/>
          <w:sz w:val="20"/>
        </w:rPr>
        <w:t/>
      </w:r>
      <w:r>
        <w:rPr>
          <w:color w:val="545454"/>
          <w:spacing w:val="-9"/>
          <w:sz w:val="20"/>
        </w:rPr>
        <w:t/>
      </w:r>
      <w:r>
        <w:rPr>
          <w:color w:val="545454"/>
          <w:sz w:val="20"/>
        </w:rPr>
        <w:t/>
      </w:r>
      <w:r>
        <w:rPr>
          <w:color w:val="545454"/>
          <w:spacing w:val="-2"/>
          <w:sz w:val="20"/>
        </w:rPr>
        <w:t/>
      </w:r>
      <w:r>
        <w:rPr>
          <w:color w:val="545454"/>
          <w:sz w:val="20"/>
        </w:rPr>
        <w:t/>
      </w:r>
      <w:r>
        <w:rPr>
          <w:color w:val="545454"/>
          <w:spacing w:val="-2"/>
          <w:sz w:val="20"/>
        </w:rPr>
        <w:t/>
      </w:r>
      <w:r>
        <w:rPr>
          <w:color w:val="545454"/>
          <w:sz w:val="20"/>
        </w:rPr>
        <w:t/>
      </w:r>
      <w:r>
        <w:rPr>
          <w:color w:val="545454"/>
          <w:spacing w:val="-3"/>
          <w:sz w:val="20"/>
        </w:rPr>
        <w:t/>
      </w:r>
      <w:r>
        <w:rPr>
          <w:color w:val="545454"/>
          <w:sz w:val="20"/>
        </w:rPr>
        <w:t/>
      </w:r>
      <w:r>
        <w:rPr>
          <w:color w:val="545454"/>
          <w:spacing w:val="-2"/>
          <w:sz w:val="20"/>
        </w:rPr>
        <w:t/>
      </w:r>
      <w:r>
        <w:rPr>
          <w:color w:val="545454"/>
          <w:sz w:val="20"/>
        </w:rPr>
        <w:t/>
      </w:r>
      <w:r>
        <w:rPr>
          <w:color w:val="545454"/>
          <w:spacing w:val="-2"/>
          <w:sz w:val="20"/>
        </w:rPr>
        <w:t/>
      </w:r>
    </w:p>
    <w:p>
      <w:pPr>
        <w:pStyle w:val="BodyText"/>
        <w:spacing w:before="0"/>
        <w:ind w:left="0"/>
        <w:jc w:val="left"/>
        <w:rPr>
          <w:sz w:val="20"/>
        </w:rPr>
      </w:pPr>
    </w:p>
    <w:p>
      <w:pPr>
        <w:pStyle w:val="BodyText"/>
        <w:spacing w:before="228"/>
        <w:ind w:left="0"/>
        <w:jc w:val="left"/>
        <w:rPr>
          <w:sz w:val="20"/>
        </w:rPr>
      </w:pPr>
    </w:p>
    <w:p>
      <w:pPr>
        <w:spacing w:before="0"/>
        <w:ind w:left="382" w:right="0" w:firstLine="0"/>
        <w:jc w:val="left"/>
        <w:rPr>
          <w:rFonts w:ascii="Arial"/>
          <w:b/>
          <w:sz w:val="21"/>
        </w:rPr>
      </w:pPr>
      <w:r>
        <w:rPr>
          <w:rFonts w:ascii="Arial"/>
          <w:b/>
          <w:sz w:val="21"/>
        </w:rPr>
        <mc:AlternateContent>
          <mc:Choice Requires="wps">
            <w:drawing>
              <wp:anchor distT="0" distB="0" distL="0" distR="0" allowOverlap="1" layoutInCell="1" locked="0" behindDoc="1" simplePos="0" relativeHeight="487435776">
                <wp:simplePos x="0" y="0"/>
                <wp:positionH relativeFrom="page">
                  <wp:posOffset>539999</wp:posOffset>
                </wp:positionH>
                <wp:positionV relativeFrom="paragraph">
                  <wp:posOffset>-173329</wp:posOffset>
                </wp:positionV>
                <wp:extent cx="6480175" cy="40036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480175" cy="4003675"/>
                          <a:chExt cx="6480175" cy="4003675"/>
                        </a:xfrm>
                      </wpg:grpSpPr>
                      <wps:wsp>
                        <wps:cNvPr id="5" name="Graphic 5"/>
                        <wps:cNvSpPr/>
                        <wps:spPr>
                          <a:xfrm>
                            <a:off x="0" y="0"/>
                            <a:ext cx="6480175" cy="4003675"/>
                          </a:xfrm>
                          <a:custGeom>
                            <a:avLst/>
                            <a:gdLst/>
                            <a:ahLst/>
                            <a:cxnLst/>
                            <a:rect l="l" t="t" r="r" b="b"/>
                            <a:pathLst>
                              <a:path w="6480175" h="4003675">
                                <a:moveTo>
                                  <a:pt x="6480000" y="4003674"/>
                                </a:moveTo>
                                <a:lnTo>
                                  <a:pt x="0" y="4003674"/>
                                </a:lnTo>
                                <a:lnTo>
                                  <a:pt x="0" y="0"/>
                                </a:lnTo>
                                <a:lnTo>
                                  <a:pt x="6480000" y="0"/>
                                </a:lnTo>
                                <a:lnTo>
                                  <a:pt x="6480000" y="4003674"/>
                                </a:lnTo>
                                <a:close/>
                              </a:path>
                            </a:pathLst>
                          </a:custGeom>
                          <a:solidFill>
                            <a:srgbClr val="FBFBFB"/>
                          </a:solidFill>
                        </wps:spPr>
                        <wps:bodyPr wrap="square" lIns="0" tIns="0" rIns="0" bIns="0" rtlCol="0">
                          <a:prstTxWarp prst="textNoShape">
                            <a:avLst/>
                          </a:prstTxWarp>
                          <a:noAutofit/>
                        </wps:bodyPr>
                      </wps:wsp>
                      <wps:wsp>
                        <wps:cNvPr id="6" name="Graphic 6"/>
                        <wps:cNvSpPr/>
                        <wps:spPr>
                          <a:xfrm>
                            <a:off x="-8" y="99"/>
                            <a:ext cx="6480175" cy="4003040"/>
                          </a:xfrm>
                          <a:custGeom>
                            <a:avLst/>
                            <a:gdLst/>
                            <a:ahLst/>
                            <a:cxnLst/>
                            <a:rect l="l" t="t" r="r" b="b"/>
                            <a:pathLst>
                              <a:path w="6480175" h="4003040">
                                <a:moveTo>
                                  <a:pt x="6479997" y="9436"/>
                                </a:moveTo>
                                <a:lnTo>
                                  <a:pt x="6470472" y="9436"/>
                                </a:lnTo>
                                <a:lnTo>
                                  <a:pt x="6470472" y="3994061"/>
                                </a:lnTo>
                                <a:lnTo>
                                  <a:pt x="6479997" y="3994061"/>
                                </a:lnTo>
                                <a:lnTo>
                                  <a:pt x="6479997" y="9436"/>
                                </a:lnTo>
                                <a:close/>
                              </a:path>
                              <a:path w="6480175" h="4003040">
                                <a:moveTo>
                                  <a:pt x="6479997" y="0"/>
                                </a:moveTo>
                                <a:lnTo>
                                  <a:pt x="0" y="0"/>
                                </a:lnTo>
                                <a:lnTo>
                                  <a:pt x="0" y="8890"/>
                                </a:lnTo>
                                <a:lnTo>
                                  <a:pt x="0" y="3994150"/>
                                </a:lnTo>
                                <a:lnTo>
                                  <a:pt x="0" y="4003040"/>
                                </a:lnTo>
                                <a:lnTo>
                                  <a:pt x="6479997" y="4003040"/>
                                </a:lnTo>
                                <a:lnTo>
                                  <a:pt x="6479997" y="3994150"/>
                                </a:lnTo>
                                <a:lnTo>
                                  <a:pt x="9525" y="3994150"/>
                                </a:lnTo>
                                <a:lnTo>
                                  <a:pt x="9525" y="8890"/>
                                </a:lnTo>
                                <a:lnTo>
                                  <a:pt x="6479997" y="8890"/>
                                </a:lnTo>
                                <a:lnTo>
                                  <a:pt x="6479997"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42.519684pt;margin-top:-13.648023pt;width:510.25pt;height:315.25pt;mso-position-horizontal-relative:page;mso-position-vertical-relative:paragraph;z-index:-15880704" id="docshapegroup4" coordorigin="850,-273" coordsize="10205,6305">
                <v:rect style="position:absolute;left:850;top:-273;width:10205;height:6305" id="docshape5" filled="true" fillcolor="#fbfbfb" stroked="false">
                  <v:fill type="solid"/>
                </v:rect>
                <v:shape style="position:absolute;left:850;top:-273;width:10205;height:6304" id="docshape6" coordorigin="850,-273" coordsize="10205,6304" path="m11055,-258l11040,-258,11040,6017,11055,6017,11055,-258xm11055,-273l850,-273,850,-259,850,6017,850,6031,11055,6031,11055,6017,865,6017,865,-259,11055,-259,11055,-273xe" filled="true" fillcolor="#dddddd" stroked="false">
                  <v:path arrowok="t"/>
                  <v:fill type="solid"/>
                </v:shape>
                <w10:wrap type="none"/>
              </v:group>
            </w:pict>
          </mc:Fallback>
        </mc:AlternateContent>
      </w:r>
      <w:r>
        <w:rPr>
          <w:rFonts w:ascii="Arial"/>
          <w:b/>
          <w:color w:val="1A365D"/>
          <w:spacing w:val="-2"/>
          <w:sz w:val="21"/>
        </w:rPr>
        <w:t>ABSTRACT</w:t>
      </w:r>
    </w:p>
    <w:p>
      <w:pPr>
        <w:spacing w:line="302" w:lineRule="auto" w:before="156"/>
        <w:ind w:left="382" w:right="370" w:firstLine="0"/>
        <w:jc w:val="both"/>
        <w:rPr>
          <w:sz w:val="20"/>
        </w:rPr>
      </w:pPr>
      <w:r>
        <w:rPr>
          <w:sz w:val="20"/>
        </w:rPr>
        <w:t>This study stemmed from an urgent need at Clarence Ty Pimentel National High School to address a persistent slump in mathematics performance. Over three consecutive school years, Grade 9 Mean Percentage Scores (MPS) stagnated between 60% and 65%, falling significantly short of the 75% national proficiency benchmark. To bridge this gap, the researcher developed and validated targeted Remedial Learning Materials (RLM) focusing on the students' least learned competencies: right triangle trigonometry, the Laws of Sines and Cosines, and solving oblique triangles. The study employed a mixed-methods Developmental-Evaluative research design, utilizing the ADDIE (Analysis, Design, Development, Implementation, Evaluation) model to systematically blend quantitative performance tracking with qualitative user feedback. This framework was theoretically anchored in Merrill’s Principles of Instruction and Vygotsky’s</w:t>
      </w:r>
      <w:r>
        <w:rPr>
          <w:spacing w:val="-1"/>
          <w:sz w:val="20"/>
        </w:rPr>
        <w:t> </w:t>
      </w:r>
      <w:r>
        <w:rPr>
          <w:sz w:val="20"/>
        </w:rPr>
        <w:t>Zone</w:t>
      </w:r>
      <w:r>
        <w:rPr>
          <w:spacing w:val="-1"/>
          <w:sz w:val="20"/>
        </w:rPr>
        <w:t> </w:t>
      </w:r>
      <w:r>
        <w:rPr>
          <w:sz w:val="20"/>
        </w:rPr>
        <w:t>of</w:t>
      </w:r>
      <w:r>
        <w:rPr>
          <w:spacing w:val="-1"/>
          <w:sz w:val="20"/>
        </w:rPr>
        <w:t> </w:t>
      </w:r>
      <w:r>
        <w:rPr>
          <w:sz w:val="20"/>
        </w:rPr>
        <w:t>Proximal</w:t>
      </w:r>
      <w:r>
        <w:rPr>
          <w:spacing w:val="-1"/>
          <w:sz w:val="20"/>
        </w:rPr>
        <w:t> </w:t>
      </w:r>
      <w:r>
        <w:rPr>
          <w:sz w:val="20"/>
        </w:rPr>
        <w:t>Development</w:t>
      </w:r>
      <w:r>
        <w:rPr>
          <w:spacing w:val="-1"/>
          <w:sz w:val="20"/>
        </w:rPr>
        <w:t> </w:t>
      </w:r>
      <w:r>
        <w:rPr>
          <w:sz w:val="20"/>
        </w:rPr>
        <w:t>(ZPD)</w:t>
      </w:r>
      <w:r>
        <w:rPr>
          <w:spacing w:val="-1"/>
          <w:sz w:val="20"/>
        </w:rPr>
        <w:t> </w:t>
      </w:r>
      <w:r>
        <w:rPr>
          <w:sz w:val="20"/>
        </w:rPr>
        <w:t>to</w:t>
      </w:r>
      <w:r>
        <w:rPr>
          <w:spacing w:val="-1"/>
          <w:sz w:val="20"/>
        </w:rPr>
        <w:t> </w:t>
      </w:r>
      <w:r>
        <w:rPr>
          <w:sz w:val="20"/>
        </w:rPr>
        <w:t>ensure</w:t>
      </w:r>
      <w:r>
        <w:rPr>
          <w:spacing w:val="-1"/>
          <w:sz w:val="20"/>
        </w:rPr>
        <w:t> </w:t>
      </w:r>
      <w:r>
        <w:rPr>
          <w:sz w:val="20"/>
        </w:rPr>
        <w:t>that</w:t>
      </w:r>
      <w:r>
        <w:rPr>
          <w:spacing w:val="-1"/>
          <w:sz w:val="20"/>
        </w:rPr>
        <w:t> </w:t>
      </w:r>
      <w:r>
        <w:rPr>
          <w:sz w:val="20"/>
        </w:rPr>
        <w:t>mathematical</w:t>
      </w:r>
      <w:r>
        <w:rPr>
          <w:spacing w:val="-1"/>
          <w:sz w:val="20"/>
        </w:rPr>
        <w:t> </w:t>
      </w:r>
      <w:r>
        <w:rPr>
          <w:sz w:val="20"/>
        </w:rPr>
        <w:t>concepts</w:t>
      </w:r>
      <w:r>
        <w:rPr>
          <w:spacing w:val="-1"/>
          <w:sz w:val="20"/>
        </w:rPr>
        <w:t> </w:t>
      </w:r>
      <w:r>
        <w:rPr>
          <w:sz w:val="20"/>
        </w:rPr>
        <w:t>were</w:t>
      </w:r>
      <w:r>
        <w:rPr>
          <w:spacing w:val="-1"/>
          <w:sz w:val="20"/>
        </w:rPr>
        <w:t> </w:t>
      </w:r>
      <w:r>
        <w:rPr>
          <w:sz w:val="20"/>
        </w:rPr>
        <w:t>scaffolded</w:t>
      </w:r>
      <w:r>
        <w:rPr>
          <w:spacing w:val="-1"/>
          <w:sz w:val="20"/>
        </w:rPr>
        <w:t> </w:t>
      </w:r>
      <w:r>
        <w:rPr>
          <w:sz w:val="20"/>
        </w:rPr>
        <w:t>and</w:t>
      </w:r>
      <w:r>
        <w:rPr>
          <w:spacing w:val="-1"/>
          <w:sz w:val="20"/>
        </w:rPr>
        <w:t> </w:t>
      </w:r>
      <w:r>
        <w:rPr>
          <w:sz w:val="20"/>
        </w:rPr>
        <w:t>tied</w:t>
      </w:r>
      <w:r>
        <w:rPr>
          <w:spacing w:val="-1"/>
          <w:sz w:val="20"/>
        </w:rPr>
        <w:t> </w:t>
      </w:r>
      <w:r>
        <w:rPr>
          <w:sz w:val="20"/>
        </w:rPr>
        <w:t>to</w:t>
      </w:r>
      <w:r>
        <w:rPr>
          <w:spacing w:val="-1"/>
          <w:sz w:val="20"/>
        </w:rPr>
        <w:t> </w:t>
      </w:r>
      <w:r>
        <w:rPr>
          <w:sz w:val="20"/>
        </w:rPr>
        <w:t>real- world experiences. Field-tested during the 2025–2026 school year, statistical analysis of pre-test and post-test scores revealed a highly significant leap in student performance (</w:t>
      </w:r>
      <w:r>
        <w:rPr>
          <w:b/>
          <w:i/>
          <w:color w:val="111111"/>
          <w:sz w:val="20"/>
        </w:rPr>
        <w:t>t = 21.34, p &lt; .001</w:t>
      </w:r>
      <w:r>
        <w:rPr>
          <w:sz w:val="20"/>
        </w:rPr>
        <w:t>), successfully rejecting the null hypothesis. Qualitatively,</w:t>
      </w:r>
      <w:r>
        <w:rPr>
          <w:spacing w:val="-2"/>
          <w:sz w:val="20"/>
        </w:rPr>
        <w:t> </w:t>
      </w:r>
      <w:r>
        <w:rPr>
          <w:sz w:val="20"/>
        </w:rPr>
        <w:t>both</w:t>
      </w:r>
      <w:r>
        <w:rPr>
          <w:spacing w:val="-2"/>
          <w:sz w:val="20"/>
        </w:rPr>
        <w:t> </w:t>
      </w:r>
      <w:r>
        <w:rPr>
          <w:sz w:val="20"/>
        </w:rPr>
        <w:t>peer</w:t>
      </w:r>
      <w:r>
        <w:rPr>
          <w:spacing w:val="-2"/>
          <w:sz w:val="20"/>
        </w:rPr>
        <w:t> </w:t>
      </w:r>
      <w:r>
        <w:rPr>
          <w:sz w:val="20"/>
        </w:rPr>
        <w:t>teachers</w:t>
      </w:r>
      <w:r>
        <w:rPr>
          <w:spacing w:val="-2"/>
          <w:sz w:val="20"/>
        </w:rPr>
        <w:t> </w:t>
      </w:r>
      <w:r>
        <w:rPr>
          <w:sz w:val="20"/>
        </w:rPr>
        <w:t>and</w:t>
      </w:r>
      <w:r>
        <w:rPr>
          <w:spacing w:val="-3"/>
          <w:sz w:val="20"/>
        </w:rPr>
        <w:t> </w:t>
      </w:r>
      <w:r>
        <w:rPr>
          <w:sz w:val="20"/>
        </w:rPr>
        <w:t>students</w:t>
      </w:r>
      <w:r>
        <w:rPr>
          <w:spacing w:val="-2"/>
          <w:sz w:val="20"/>
        </w:rPr>
        <w:t> </w:t>
      </w:r>
      <w:r>
        <w:rPr>
          <w:sz w:val="20"/>
        </w:rPr>
        <w:t>gave</w:t>
      </w:r>
      <w:r>
        <w:rPr>
          <w:spacing w:val="-2"/>
          <w:sz w:val="20"/>
        </w:rPr>
        <w:t> </w:t>
      </w:r>
      <w:r>
        <w:rPr>
          <w:sz w:val="20"/>
        </w:rPr>
        <w:t>the</w:t>
      </w:r>
      <w:r>
        <w:rPr>
          <w:spacing w:val="-2"/>
          <w:sz w:val="20"/>
        </w:rPr>
        <w:t> </w:t>
      </w:r>
      <w:r>
        <w:rPr>
          <w:sz w:val="20"/>
        </w:rPr>
        <w:t>materials</w:t>
      </w:r>
      <w:r>
        <w:rPr>
          <w:spacing w:val="-2"/>
          <w:sz w:val="20"/>
        </w:rPr>
        <w:t> </w:t>
      </w:r>
      <w:r>
        <w:rPr>
          <w:sz w:val="20"/>
        </w:rPr>
        <w:t>high</w:t>
      </w:r>
      <w:r>
        <w:rPr>
          <w:spacing w:val="-3"/>
          <w:sz w:val="20"/>
        </w:rPr>
        <w:t> </w:t>
      </w:r>
      <w:r>
        <w:rPr>
          <w:sz w:val="20"/>
        </w:rPr>
        <w:t>praise</w:t>
      </w:r>
      <w:r>
        <w:rPr>
          <w:spacing w:val="-2"/>
          <w:sz w:val="20"/>
        </w:rPr>
        <w:t> </w:t>
      </w:r>
      <w:r>
        <w:rPr>
          <w:sz w:val="20"/>
        </w:rPr>
        <w:t>for</w:t>
      </w:r>
      <w:r>
        <w:rPr>
          <w:spacing w:val="-2"/>
          <w:sz w:val="20"/>
        </w:rPr>
        <w:t> </w:t>
      </w:r>
      <w:r>
        <w:rPr>
          <w:sz w:val="20"/>
        </w:rPr>
        <w:t>usability,</w:t>
      </w:r>
      <w:r>
        <w:rPr>
          <w:spacing w:val="-2"/>
          <w:sz w:val="20"/>
        </w:rPr>
        <w:t> </w:t>
      </w:r>
      <w:r>
        <w:rPr>
          <w:sz w:val="20"/>
        </w:rPr>
        <w:t>noting</w:t>
      </w:r>
      <w:r>
        <w:rPr>
          <w:spacing w:val="-2"/>
          <w:sz w:val="20"/>
        </w:rPr>
        <w:t> </w:t>
      </w:r>
      <w:r>
        <w:rPr>
          <w:sz w:val="20"/>
        </w:rPr>
        <w:t>that</w:t>
      </w:r>
      <w:r>
        <w:rPr>
          <w:spacing w:val="-3"/>
          <w:sz w:val="20"/>
        </w:rPr>
        <w:t> </w:t>
      </w:r>
      <w:r>
        <w:rPr>
          <w:sz w:val="20"/>
        </w:rPr>
        <w:t>clear</w:t>
      </w:r>
      <w:r>
        <w:rPr>
          <w:spacing w:val="-2"/>
          <w:sz w:val="20"/>
        </w:rPr>
        <w:t> </w:t>
      </w:r>
      <w:r>
        <w:rPr>
          <w:sz w:val="20"/>
        </w:rPr>
        <w:t>navigation</w:t>
      </w:r>
      <w:r>
        <w:rPr>
          <w:spacing w:val="-2"/>
          <w:sz w:val="20"/>
        </w:rPr>
        <w:t> </w:t>
      </w:r>
      <w:r>
        <w:rPr>
          <w:sz w:val="20"/>
        </w:rPr>
        <w:t>and relatable local scenarios made mathematics far less intimidating. These findings prove that contextualized, targeted interventions can effectively turn academic weak spots into areas of mastery. Ultimately, the study highlights that systematically designed remedial tools are essential for learning recovery and strongly recommends integrating these validated materials into formal remedial programs to stabilize scores and build lasting critical thinking skills.</w:t>
      </w:r>
    </w:p>
    <w:p>
      <w:pPr>
        <w:spacing w:line="312" w:lineRule="auto" w:before="189"/>
        <w:ind w:left="382" w:right="369" w:firstLine="0"/>
        <w:jc w:val="both"/>
        <w:rPr>
          <w:sz w:val="20"/>
        </w:rPr>
      </w:pPr>
      <w:r>
        <w:rPr>
          <w:b/>
          <w:i/>
          <w:sz w:val="20"/>
        </w:rPr>
        <w:t>Keywords— </w:t>
      </w:r>
      <w:r>
        <w:rPr>
          <w:sz w:val="20"/>
        </w:rPr>
        <w:t>Mathematics Essentials, Remedial Learning Materials, ADDIE Model, Developmental-Evaluative</w:t>
      </w:r>
      <w:r>
        <w:rPr>
          <w:spacing w:val="40"/>
          <w:sz w:val="20"/>
        </w:rPr>
        <w:t> </w:t>
      </w:r>
      <w:r>
        <w:rPr>
          <w:sz w:val="20"/>
        </w:rPr>
        <w:t>Research, Learning Recovery, Grade 9 Mathematics.</w:t>
      </w:r>
    </w:p>
    <w:p>
      <w:pPr>
        <w:pStyle w:val="BodyText"/>
        <w:spacing w:before="0"/>
        <w:ind w:left="0"/>
        <w:jc w:val="left"/>
        <w:rPr>
          <w:sz w:val="20"/>
        </w:rPr>
      </w:pPr>
    </w:p>
    <w:p>
      <w:pPr>
        <w:pStyle w:val="BodyText"/>
        <w:spacing w:before="0"/>
        <w:ind w:left="0"/>
        <w:jc w:val="left"/>
        <w:rPr>
          <w:sz w:val="20"/>
        </w:rPr>
      </w:pPr>
    </w:p>
    <w:p>
      <w:pPr>
        <w:pStyle w:val="BodyText"/>
        <w:spacing w:before="138"/>
        <w:ind w:left="0"/>
        <w:jc w:val="left"/>
        <w:rPr>
          <w:sz w:val="20"/>
        </w:rPr>
      </w:pPr>
    </w:p>
    <w:p>
      <w:pPr>
        <w:pStyle w:val="BodyText"/>
        <w:spacing w:after="0"/>
        <w:jc w:val="left"/>
        <w:rPr>
          <w:sz w:val="20"/>
        </w:rPr>
        <w:sectPr>
          <w:footerReference w:type="default" r:id="rId5"/>
          <w:type w:val="continuous"/>
          <w:pgSz w:w="11910" w:h="16840"/>
          <w:pgMar w:header="0" w:footer="467" w:top="1120" w:bottom="660" w:left="708" w:right="708"/>
          <w:pgNumType w:start="1"/>
        </w:sectPr>
      </w:pPr>
    </w:p>
    <w:p>
      <w:pPr>
        <w:pStyle w:val="Heading1"/>
        <w:numPr>
          <w:ilvl w:val="0"/>
          <w:numId w:val="1"/>
        </w:numPr>
        <w:tabs>
          <w:tab w:pos="588" w:val="left" w:leader="none"/>
        </w:tabs>
        <w:spacing w:line="240" w:lineRule="auto" w:before="171" w:after="0"/>
        <w:ind w:left="588" w:right="0" w:hanging="266"/>
        <w:jc w:val="left"/>
      </w:pPr>
      <w:r>
        <w:rPr/>
        <mc:AlternateContent>
          <mc:Choice Requires="wps">
            <w:drawing>
              <wp:anchor distT="0" distB="0" distL="0" distR="0" allowOverlap="1" layoutInCell="1" locked="0" behindDoc="0" simplePos="0" relativeHeight="15729664">
                <wp:simplePos x="0" y="0"/>
                <wp:positionH relativeFrom="page">
                  <wp:posOffset>540000</wp:posOffset>
                </wp:positionH>
                <wp:positionV relativeFrom="paragraph">
                  <wp:posOffset>84622</wp:posOffset>
                </wp:positionV>
                <wp:extent cx="38100" cy="2286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100" cy="228600"/>
                        </a:xfrm>
                        <a:custGeom>
                          <a:avLst/>
                          <a:gdLst/>
                          <a:ahLst/>
                          <a:cxnLst/>
                          <a:rect l="l" t="t" r="r" b="b"/>
                          <a:pathLst>
                            <a:path w="38100" h="228600">
                              <a:moveTo>
                                <a:pt x="38100" y="228600"/>
                              </a:moveTo>
                              <a:lnTo>
                                <a:pt x="0" y="228600"/>
                              </a:lnTo>
                              <a:lnTo>
                                <a:pt x="0" y="0"/>
                              </a:lnTo>
                              <a:lnTo>
                                <a:pt x="38100" y="0"/>
                              </a:lnTo>
                              <a:lnTo>
                                <a:pt x="38100" y="228600"/>
                              </a:lnTo>
                              <a:close/>
                            </a:path>
                          </a:pathLst>
                        </a:custGeom>
                        <a:solidFill>
                          <a:srgbClr val="1A365D"/>
                        </a:solidFill>
                      </wps:spPr>
                      <wps:bodyPr wrap="square" lIns="0" tIns="0" rIns="0" bIns="0" rtlCol="0">
                        <a:prstTxWarp prst="textNoShape">
                          <a:avLst/>
                        </a:prstTxWarp>
                        <a:noAutofit/>
                      </wps:bodyPr>
                    </wps:wsp>
                  </a:graphicData>
                </a:graphic>
              </wp:anchor>
            </w:drawing>
          </mc:Choice>
          <mc:Fallback>
            <w:pict>
              <v:rect style="position:absolute;margin-left:42.519688pt;margin-top:6.663199pt;width:3.0pt;height:18.000001pt;mso-position-horizontal-relative:page;mso-position-vertical-relative:paragraph;z-index:15729664" id="docshape7" filled="true" fillcolor="#1a365d" stroked="false">
                <v:fill type="solid"/>
                <w10:wrap type="none"/>
              </v:rect>
            </w:pict>
          </mc:Fallback>
        </mc:AlternateContent>
      </w:r>
      <w:bookmarkStart w:name="1. Introduction" w:id="2"/>
      <w:bookmarkEnd w:id="2"/>
      <w:r>
        <w:rPr>
          <w:b w:val="0"/>
        </w:rPr>
      </w:r>
      <w:r>
        <w:rPr>
          <w:color w:val="1A365D"/>
          <w:spacing w:val="-2"/>
        </w:rPr>
        <w:t>INTRODUCTION</w:t>
      </w:r>
    </w:p>
    <w:p>
      <w:pPr>
        <w:pStyle w:val="BodyText"/>
        <w:spacing w:line="312" w:lineRule="auto" w:before="230"/>
        <w:ind w:right="38" w:firstLine="300"/>
      </w:pPr>
      <w:r>
        <w:rPr/>
        <w:t>Mathematics is a cumulative discipline where mastering advanced competencies, such as trigonometry, remains an uphill battle because abstract concepts are difficult to visualize without real-world anchors (Canonigo, 2025; Tan &amp; Santos, 2024). </w:t>
      </w:r>
      <w:r>
        <w:rPr/>
        <w:t>While the literature widely proves that breaking down</w:t>
      </w:r>
      <w:r>
        <w:rPr>
          <w:spacing w:val="80"/>
        </w:rPr>
        <w:t> </w:t>
      </w:r>
      <w:r>
        <w:rPr/>
        <w:t>abstract formulas into everyday scenarios significantly improves student comprehension (Cut et al., 2023; Purnomo</w:t>
      </w:r>
      <w:r>
        <w:rPr>
          <w:spacing w:val="-6"/>
        </w:rPr>
        <w:t> </w:t>
      </w:r>
      <w:r>
        <w:rPr/>
        <w:t>et</w:t>
      </w:r>
      <w:r>
        <w:rPr>
          <w:spacing w:val="-6"/>
        </w:rPr>
        <w:t> </w:t>
      </w:r>
      <w:r>
        <w:rPr/>
        <w:t>al.,</w:t>
      </w:r>
      <w:r>
        <w:rPr>
          <w:spacing w:val="-6"/>
        </w:rPr>
        <w:t> </w:t>
      </w:r>
      <w:r>
        <w:rPr/>
        <w:t>2024;</w:t>
      </w:r>
      <w:r>
        <w:rPr>
          <w:spacing w:val="-6"/>
        </w:rPr>
        <w:t> </w:t>
      </w:r>
      <w:r>
        <w:rPr/>
        <w:t>Villa,</w:t>
      </w:r>
      <w:r>
        <w:rPr>
          <w:spacing w:val="-6"/>
        </w:rPr>
        <w:t> </w:t>
      </w:r>
      <w:r>
        <w:rPr/>
        <w:t>2025),</w:t>
      </w:r>
      <w:r>
        <w:rPr>
          <w:spacing w:val="-6"/>
        </w:rPr>
        <w:t> </w:t>
      </w:r>
      <w:r>
        <w:rPr/>
        <w:t>most</w:t>
      </w:r>
      <w:r>
        <w:rPr>
          <w:spacing w:val="-6"/>
        </w:rPr>
        <w:t> </w:t>
      </w:r>
      <w:r>
        <w:rPr/>
        <w:t>developmental research</w:t>
      </w:r>
      <w:r>
        <w:rPr>
          <w:spacing w:val="58"/>
        </w:rPr>
        <w:t> </w:t>
      </w:r>
      <w:r>
        <w:rPr/>
        <w:t>focuses</w:t>
      </w:r>
      <w:r>
        <w:rPr>
          <w:spacing w:val="59"/>
        </w:rPr>
        <w:t> </w:t>
      </w:r>
      <w:r>
        <w:rPr/>
        <w:t>heavily</w:t>
      </w:r>
      <w:r>
        <w:rPr>
          <w:spacing w:val="59"/>
        </w:rPr>
        <w:t> </w:t>
      </w:r>
      <w:r>
        <w:rPr/>
        <w:t>on</w:t>
      </w:r>
      <w:r>
        <w:rPr>
          <w:spacing w:val="59"/>
        </w:rPr>
        <w:t> </w:t>
      </w:r>
      <w:r>
        <w:rPr/>
        <w:t>foundational</w:t>
      </w:r>
      <w:r>
        <w:rPr>
          <w:spacing w:val="59"/>
        </w:rPr>
        <w:t> </w:t>
      </w:r>
      <w:r>
        <w:rPr>
          <w:spacing w:val="-2"/>
        </w:rPr>
        <w:t>arithmetic.</w:t>
      </w:r>
    </w:p>
    <w:p>
      <w:pPr>
        <w:pStyle w:val="Heading2"/>
        <w:spacing w:before="93"/>
      </w:pPr>
      <w:r>
        <w:rPr>
          <w:b w:val="0"/>
        </w:rPr>
        <w:br w:type="column"/>
      </w:r>
      <w:bookmarkStart w:name="2.3 Research Instruments" w:id="3"/>
      <w:bookmarkEnd w:id="3"/>
      <w:r>
        <w:rPr>
          <w:b w:val="0"/>
        </w:rPr>
      </w:r>
      <w:r>
        <w:rPr>
          <w:color w:val="2B5282"/>
        </w:rPr>
        <w:t>2.3</w:t>
      </w:r>
      <w:r>
        <w:rPr>
          <w:color w:val="2B5282"/>
          <w:spacing w:val="-3"/>
        </w:rPr>
        <w:t> </w:t>
      </w:r>
      <w:r>
        <w:rPr>
          <w:color w:val="2B5282"/>
        </w:rPr>
        <w:t>Research</w:t>
      </w:r>
      <w:r>
        <w:rPr>
          <w:color w:val="2B5282"/>
          <w:spacing w:val="-1"/>
        </w:rPr>
        <w:t> </w:t>
      </w:r>
      <w:r>
        <w:rPr>
          <w:color w:val="2B5282"/>
          <w:spacing w:val="-2"/>
        </w:rPr>
        <w:t>Instruments</w:t>
      </w:r>
    </w:p>
    <w:p>
      <w:pPr>
        <w:pStyle w:val="BodyText"/>
        <w:spacing w:line="312" w:lineRule="auto" w:before="196"/>
        <w:ind w:right="136" w:firstLine="300"/>
      </w:pPr>
      <w:r>
        <w:rPr/>
        <w:t>Data collection relied on two primary instruments:</w:t>
      </w:r>
      <w:r>
        <w:rPr>
          <w:spacing w:val="80"/>
        </w:rPr>
        <w:t> </w:t>
      </w:r>
      <w:r>
        <w:rPr/>
        <w:t>a researcher-made 30-item mathematics achievement test (administered as a pre-test and post-test) and a multidimensional evaluation survey. The </w:t>
      </w:r>
      <w:r>
        <w:rPr/>
        <w:t>evaluation survey utilized a 5-point Likert scale to gather quantitative feedback, alongside open-ended</w:t>
      </w:r>
      <w:r>
        <w:rPr>
          <w:spacing w:val="80"/>
        </w:rPr>
        <w:t> </w:t>
      </w:r>
      <w:r>
        <w:rPr/>
        <w:t>qualitative prompts for written critiques from students, teachers, and expert validators.</w:t>
      </w:r>
    </w:p>
    <w:p>
      <w:pPr>
        <w:pStyle w:val="BodyText"/>
        <w:spacing w:after="0" w:line="312" w:lineRule="auto"/>
        <w:sectPr>
          <w:type w:val="continuous"/>
          <w:pgSz w:w="11910" w:h="16840"/>
          <w:pgMar w:header="0" w:footer="467" w:top="1120" w:bottom="660" w:left="708" w:right="708"/>
          <w:cols w:num="2" w:equalWidth="0">
            <w:col w:w="5088" w:space="219"/>
            <w:col w:w="5187"/>
          </w:cols>
        </w:sectPr>
      </w:pPr>
    </w:p>
    <w:p>
      <w:pPr>
        <w:pStyle w:val="BodyText"/>
        <w:spacing w:line="312" w:lineRule="auto"/>
        <w:ind w:right="52"/>
      </w:pPr>
      <w:r>
        <w:rPr/>
        <w:t>Advanced secondary geometry and </w:t>
      </w:r>
      <w:r>
        <w:rPr/>
        <w:t>trigonometry remain largely underrepresented—a critical gap this study directly addresses.</w:t>
      </w:r>
    </w:p>
    <w:p>
      <w:pPr>
        <w:pStyle w:val="BodyText"/>
        <w:spacing w:line="312" w:lineRule="auto" w:before="183"/>
        <w:ind w:right="38" w:firstLine="300"/>
      </w:pPr>
      <w:r>
        <w:rPr/>
        <w:t>This educational challenge is evident from international metrics down to local classrooms. Regionally, the PISA results reveal that Filipino students averaged just 355 points in math literacy, drastically trailing the OECD average of 472 points. Nationally, the EDCOM II Report highlights that a mere 1.36% of students possess functional problem- solving skills. This systemic crisis is mirrored at Clarence Ty Pimentel National High School, where the Grade 9 Mathematics Mean Percentage Scores (MPS) in trigonometry have stagnated well below the 75% national benchmark for three consecutive school years: 62%</w:t>
      </w:r>
      <w:r>
        <w:rPr>
          <w:spacing w:val="41"/>
        </w:rPr>
        <w:t> </w:t>
      </w:r>
      <w:r>
        <w:rPr/>
        <w:t>in</w:t>
      </w:r>
      <w:r>
        <w:rPr>
          <w:spacing w:val="44"/>
        </w:rPr>
        <w:t> </w:t>
      </w:r>
      <w:r>
        <w:rPr/>
        <w:t>SY</w:t>
      </w:r>
      <w:r>
        <w:rPr>
          <w:spacing w:val="44"/>
        </w:rPr>
        <w:t> </w:t>
      </w:r>
      <w:r>
        <w:rPr/>
        <w:t>2022–2023,</w:t>
      </w:r>
      <w:r>
        <w:rPr>
          <w:spacing w:val="44"/>
        </w:rPr>
        <w:t> </w:t>
      </w:r>
      <w:r>
        <w:rPr/>
        <w:t>60%</w:t>
      </w:r>
      <w:r>
        <w:rPr>
          <w:spacing w:val="43"/>
        </w:rPr>
        <w:t> </w:t>
      </w:r>
      <w:r>
        <w:rPr/>
        <w:t>in</w:t>
      </w:r>
      <w:r>
        <w:rPr>
          <w:spacing w:val="44"/>
        </w:rPr>
        <w:t> </w:t>
      </w:r>
      <w:r>
        <w:rPr/>
        <w:t>SY</w:t>
      </w:r>
      <w:r>
        <w:rPr>
          <w:spacing w:val="44"/>
        </w:rPr>
        <w:t> </w:t>
      </w:r>
      <w:r>
        <w:rPr/>
        <w:t>2023–2024,</w:t>
      </w:r>
      <w:r>
        <w:rPr>
          <w:spacing w:val="44"/>
        </w:rPr>
        <w:t> </w:t>
      </w:r>
      <w:r>
        <w:rPr>
          <w:spacing w:val="-5"/>
        </w:rPr>
        <w:t>and</w:t>
      </w:r>
    </w:p>
    <w:p>
      <w:pPr>
        <w:pStyle w:val="BodyText"/>
        <w:spacing w:before="15"/>
      </w:pPr>
      <w:r>
        <w:rPr/>
        <w:t>65%</w:t>
      </w:r>
      <w:r>
        <w:rPr>
          <w:spacing w:val="-1"/>
        </w:rPr>
        <w:t> </w:t>
      </w:r>
      <w:r>
        <w:rPr/>
        <w:t>in SY</w:t>
      </w:r>
      <w:r>
        <w:rPr>
          <w:spacing w:val="-8"/>
        </w:rPr>
        <w:t> </w:t>
      </w:r>
      <w:r>
        <w:rPr>
          <w:spacing w:val="-2"/>
        </w:rPr>
        <w:t>2024–2025.</w:t>
      </w:r>
    </w:p>
    <w:p>
      <w:pPr>
        <w:pStyle w:val="BodyText"/>
        <w:spacing w:before="4"/>
        <w:ind w:left="0"/>
        <w:jc w:val="left"/>
      </w:pPr>
    </w:p>
    <w:p>
      <w:pPr>
        <w:pStyle w:val="BodyText"/>
        <w:spacing w:line="312" w:lineRule="auto" w:before="0"/>
        <w:ind w:right="40" w:firstLine="300"/>
      </w:pPr>
      <w:r>
        <w:rPr/>
        <w:t>To bridge this local learning gap, this study developed and evaluated targeted Remedial Learning Materials (RLM). Driven by the ADDIE instructional design model, the materials are theoretically anchored in Merrill’s Principles of Instruction to keep lessons problem-centered, and Vygotsky’s Zone of Proximal Development (ZPD) to turn familiar local scenarios</w:t>
      </w:r>
      <w:r>
        <w:rPr>
          <w:spacing w:val="40"/>
        </w:rPr>
        <w:t> </w:t>
      </w:r>
      <w:r>
        <w:rPr/>
        <w:t>into learning scaffolds. Ultimately, this research provides rural secondary educators with a data- informed blueprint to stabilize test scores, alleviate math anxiety, and foster sustainable critical thinking </w:t>
      </w:r>
      <w:r>
        <w:rPr>
          <w:spacing w:val="-2"/>
        </w:rPr>
        <w:t>skills.</w:t>
      </w:r>
    </w:p>
    <w:p>
      <w:pPr>
        <w:pStyle w:val="BodyText"/>
        <w:spacing w:before="64"/>
        <w:ind w:left="0"/>
        <w:jc w:val="left"/>
      </w:pPr>
    </w:p>
    <w:p>
      <w:pPr>
        <w:pStyle w:val="Heading1"/>
        <w:numPr>
          <w:ilvl w:val="0"/>
          <w:numId w:val="1"/>
        </w:numPr>
        <w:tabs>
          <w:tab w:pos="588" w:val="left" w:leader="none"/>
        </w:tabs>
        <w:spacing w:line="240" w:lineRule="auto" w:before="0" w:after="0"/>
        <w:ind w:left="588" w:right="0" w:hanging="266"/>
        <w:jc w:val="left"/>
      </w:pPr>
      <w:r>
        <w:rPr/>
        <mc:AlternateContent>
          <mc:Choice Requires="wps">
            <w:drawing>
              <wp:anchor distT="0" distB="0" distL="0" distR="0" allowOverlap="1" layoutInCell="1" locked="0" behindDoc="0" simplePos="0" relativeHeight="15730176">
                <wp:simplePos x="0" y="0"/>
                <wp:positionH relativeFrom="page">
                  <wp:posOffset>540000</wp:posOffset>
                </wp:positionH>
                <wp:positionV relativeFrom="paragraph">
                  <wp:posOffset>-23678</wp:posOffset>
                </wp:positionV>
                <wp:extent cx="38100" cy="2286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100" cy="228600"/>
                        </a:xfrm>
                        <a:custGeom>
                          <a:avLst/>
                          <a:gdLst/>
                          <a:ahLst/>
                          <a:cxnLst/>
                          <a:rect l="l" t="t" r="r" b="b"/>
                          <a:pathLst>
                            <a:path w="38100" h="228600">
                              <a:moveTo>
                                <a:pt x="38100" y="228600"/>
                              </a:moveTo>
                              <a:lnTo>
                                <a:pt x="0" y="228600"/>
                              </a:lnTo>
                              <a:lnTo>
                                <a:pt x="0" y="0"/>
                              </a:lnTo>
                              <a:lnTo>
                                <a:pt x="38100" y="0"/>
                              </a:lnTo>
                              <a:lnTo>
                                <a:pt x="38100" y="228600"/>
                              </a:lnTo>
                              <a:close/>
                            </a:path>
                          </a:pathLst>
                        </a:custGeom>
                        <a:solidFill>
                          <a:srgbClr val="1A365D"/>
                        </a:solidFill>
                      </wps:spPr>
                      <wps:bodyPr wrap="square" lIns="0" tIns="0" rIns="0" bIns="0" rtlCol="0">
                        <a:prstTxWarp prst="textNoShape">
                          <a:avLst/>
                        </a:prstTxWarp>
                        <a:noAutofit/>
                      </wps:bodyPr>
                    </wps:wsp>
                  </a:graphicData>
                </a:graphic>
              </wp:anchor>
            </w:drawing>
          </mc:Choice>
          <mc:Fallback>
            <w:pict>
              <v:rect style="position:absolute;margin-left:42.519688pt;margin-top:-1.864488pt;width:3.0pt;height:18.000001pt;mso-position-horizontal-relative:page;mso-position-vertical-relative:paragraph;z-index:15730176" id="docshape8" filled="true" fillcolor="#1a365d" stroked="false">
                <v:fill type="solid"/>
                <w10:wrap type="none"/>
              </v:rect>
            </w:pict>
          </mc:Fallback>
        </mc:AlternateContent>
      </w:r>
      <w:bookmarkStart w:name="2. Methodology" w:id="4"/>
      <w:bookmarkEnd w:id="4"/>
      <w:r>
        <w:rPr>
          <w:b w:val="0"/>
        </w:rPr>
      </w:r>
      <w:r>
        <w:rPr>
          <w:color w:val="1A365D"/>
          <w:spacing w:val="-2"/>
        </w:rPr>
        <w:t>METHODOLOGY</w:t>
      </w:r>
    </w:p>
    <w:p>
      <w:pPr>
        <w:pStyle w:val="BodyText"/>
        <w:spacing w:before="30"/>
        <w:ind w:left="0"/>
        <w:jc w:val="left"/>
        <w:rPr>
          <w:rFonts w:ascii="Arial"/>
          <w:b/>
          <w:sz w:val="24"/>
        </w:rPr>
      </w:pPr>
    </w:p>
    <w:p>
      <w:pPr>
        <w:pStyle w:val="Heading2"/>
        <w:numPr>
          <w:ilvl w:val="1"/>
          <w:numId w:val="1"/>
        </w:numPr>
        <w:tabs>
          <w:tab w:pos="506" w:val="left" w:leader="none"/>
        </w:tabs>
        <w:spacing w:line="240" w:lineRule="auto" w:before="0" w:after="0"/>
        <w:ind w:left="506" w:right="0" w:hanging="364"/>
        <w:jc w:val="left"/>
      </w:pPr>
      <w:bookmarkStart w:name="2.1 Research Design" w:id="5"/>
      <w:bookmarkEnd w:id="5"/>
      <w:r>
        <w:rPr>
          <w:b w:val="0"/>
        </w:rPr>
      </w:r>
      <w:r>
        <w:rPr>
          <w:color w:val="2B5282"/>
        </w:rPr>
        <w:t>Research </w:t>
      </w:r>
      <w:r>
        <w:rPr>
          <w:color w:val="2B5282"/>
          <w:spacing w:val="-2"/>
        </w:rPr>
        <w:t>Design</w:t>
      </w:r>
    </w:p>
    <w:p>
      <w:pPr>
        <w:pStyle w:val="BodyText"/>
        <w:spacing w:line="312" w:lineRule="auto" w:before="196"/>
        <w:ind w:right="40" w:firstLine="300"/>
      </w:pPr>
      <w:r>
        <w:rPr/>
        <w:t>This study employed a mixed-methods </w:t>
      </w:r>
      <w:r>
        <w:rPr>
          <w:b/>
        </w:rPr>
        <w:t>Developmental-Evaluative Research Design</w:t>
      </w:r>
      <w:r>
        <w:rPr>
          <w:b/>
          <w:spacing w:val="40"/>
        </w:rPr>
        <w:t> </w:t>
      </w:r>
      <w:r>
        <w:rPr>
          <w:b/>
        </w:rPr>
        <w:t>(DERD) </w:t>
      </w:r>
      <w:r>
        <w:rPr/>
        <w:t>to construct, field-test, and systematically validate the targeted Remedial Learning Materials (RLM) for Grade 9 mathematics. As posited by </w:t>
      </w:r>
      <w:r>
        <w:rPr/>
        <w:t>Elveña and Llarenas (2024), a developmental-evaluative approach allows researchers to engineer educational interventions while concurrently assessing their quality and operational feasibility through iterative cycles. Rather</w:t>
      </w:r>
      <w:r>
        <w:rPr>
          <w:spacing w:val="43"/>
        </w:rPr>
        <w:t>  </w:t>
      </w:r>
      <w:r>
        <w:rPr/>
        <w:t>than</w:t>
      </w:r>
      <w:r>
        <w:rPr>
          <w:spacing w:val="44"/>
        </w:rPr>
        <w:t>  </w:t>
      </w:r>
      <w:r>
        <w:rPr/>
        <w:t>focusing</w:t>
      </w:r>
      <w:r>
        <w:rPr>
          <w:spacing w:val="43"/>
        </w:rPr>
        <w:t>  </w:t>
      </w:r>
      <w:r>
        <w:rPr/>
        <w:t>exclusively</w:t>
      </w:r>
      <w:r>
        <w:rPr>
          <w:spacing w:val="44"/>
        </w:rPr>
        <w:t>  </w:t>
      </w:r>
      <w:r>
        <w:rPr/>
        <w:t>on</w:t>
      </w:r>
      <w:r>
        <w:rPr>
          <w:spacing w:val="43"/>
        </w:rPr>
        <w:t>  </w:t>
      </w:r>
      <w:r>
        <w:rPr>
          <w:spacing w:val="-2"/>
        </w:rPr>
        <w:t>summative</w:t>
      </w:r>
    </w:p>
    <w:p>
      <w:pPr>
        <w:pStyle w:val="BodyText"/>
        <w:spacing w:line="312" w:lineRule="auto"/>
        <w:ind w:right="140"/>
      </w:pPr>
      <w:r>
        <w:rPr/>
        <w:br w:type="column"/>
      </w:r>
      <w:r>
        <w:rPr/>
        <w:t>The evaluation survey was structured into three core dimensions: (1) </w:t>
      </w:r>
      <w:r>
        <w:rPr>
          <w:i/>
        </w:rPr>
        <w:t>Content Acceptability</w:t>
      </w:r>
      <w:r>
        <w:rPr/>
        <w:t>, </w:t>
      </w:r>
      <w:r>
        <w:rPr/>
        <w:t>assessing mathematical accuracy, logical lesson sequencing, and alignment with curriculum standards; (2) </w:t>
      </w:r>
      <w:r>
        <w:rPr>
          <w:i/>
        </w:rPr>
        <w:t>Design Usability and Accessibility</w:t>
      </w:r>
      <w:r>
        <w:rPr/>
        <w:t>, evaluating typography, instructions clarity, and computational workspaces layout; and (3) </w:t>
      </w:r>
      <w:r>
        <w:rPr>
          <w:i/>
        </w:rPr>
        <w:t>Pedagogical Soundness and Effectiveness</w:t>
      </w:r>
      <w:r>
        <w:rPr/>
        <w:t>, measuring principles like prior knowledge activation, concept demonstration, and</w:t>
      </w:r>
      <w:r>
        <w:rPr>
          <w:spacing w:val="40"/>
        </w:rPr>
        <w:t> </w:t>
      </w:r>
      <w:r>
        <w:rPr/>
        <w:t>math modeling to real-world scenarios.</w:t>
      </w:r>
    </w:p>
    <w:p>
      <w:pPr>
        <w:pStyle w:val="Heading2"/>
        <w:spacing w:before="237"/>
      </w:pPr>
      <w:bookmarkStart w:name="2.4 Validity and Reliability" w:id="6"/>
      <w:bookmarkEnd w:id="6"/>
      <w:r>
        <w:rPr>
          <w:b w:val="0"/>
        </w:rPr>
      </w:r>
      <w:r>
        <w:rPr>
          <w:color w:val="2B5282"/>
        </w:rPr>
        <w:t>2.4</w:t>
      </w:r>
      <w:r>
        <w:rPr>
          <w:color w:val="2B5282"/>
          <w:spacing w:val="-9"/>
        </w:rPr>
        <w:t> </w:t>
      </w:r>
      <w:r>
        <w:rPr>
          <w:color w:val="2B5282"/>
        </w:rPr>
        <w:t>Validity</w:t>
      </w:r>
      <w:r>
        <w:rPr>
          <w:color w:val="2B5282"/>
          <w:spacing w:val="-7"/>
        </w:rPr>
        <w:t> </w:t>
      </w:r>
      <w:r>
        <w:rPr>
          <w:color w:val="2B5282"/>
        </w:rPr>
        <w:t>and</w:t>
      </w:r>
      <w:r>
        <w:rPr>
          <w:color w:val="2B5282"/>
          <w:spacing w:val="-7"/>
        </w:rPr>
        <w:t> </w:t>
      </w:r>
      <w:r>
        <w:rPr>
          <w:color w:val="2B5282"/>
          <w:spacing w:val="-2"/>
        </w:rPr>
        <w:t>Reliability</w:t>
      </w:r>
    </w:p>
    <w:p>
      <w:pPr>
        <w:pStyle w:val="BodyText"/>
        <w:spacing w:line="312" w:lineRule="auto" w:before="196"/>
        <w:ind w:right="128" w:firstLine="300"/>
      </w:pPr>
      <w:r>
        <w:rPr/>
        <w:t>To ensure structural and content validity, the mathematics achievement test and evaluation surveys were submitted to an external validation panel comprising active Master Teachers and School Administrators meeting the study's expertise criteria. The panel conducted a line-by-line review to optimize linguistic clarity, mathematical precision, and contextual relevance. All expert recommendations regarding</w:t>
      </w:r>
      <w:r>
        <w:rPr>
          <w:spacing w:val="-1"/>
        </w:rPr>
        <w:t> </w:t>
      </w:r>
      <w:r>
        <w:rPr/>
        <w:t>word</w:t>
      </w:r>
      <w:r>
        <w:rPr>
          <w:spacing w:val="-1"/>
        </w:rPr>
        <w:t> </w:t>
      </w:r>
      <w:r>
        <w:rPr/>
        <w:t>problems</w:t>
      </w:r>
      <w:r>
        <w:rPr>
          <w:spacing w:val="-1"/>
        </w:rPr>
        <w:t> </w:t>
      </w:r>
      <w:r>
        <w:rPr/>
        <w:t>and</w:t>
      </w:r>
      <w:r>
        <w:rPr>
          <w:spacing w:val="-1"/>
        </w:rPr>
        <w:t> </w:t>
      </w:r>
      <w:r>
        <w:rPr/>
        <w:t>instructional</w:t>
      </w:r>
      <w:r>
        <w:rPr>
          <w:spacing w:val="-1"/>
        </w:rPr>
        <w:t> </w:t>
      </w:r>
      <w:r>
        <w:rPr/>
        <w:t>terminology were fully integrated before deployment.</w:t>
      </w:r>
    </w:p>
    <w:p>
      <w:pPr>
        <w:pStyle w:val="BodyText"/>
        <w:spacing w:line="312" w:lineRule="auto" w:before="191"/>
        <w:ind w:right="136" w:firstLine="300"/>
      </w:pPr>
      <w:r>
        <w:rPr/>
        <w:t>Following validation, the instruments were pilot- tested with ten (</w:t>
      </w:r>
      <w:r>
        <w:rPr>
          <w:b/>
          <w:i/>
          <w:color w:val="111111"/>
        </w:rPr>
        <w:t>n = 10</w:t>
      </w:r>
      <w:r>
        <w:rPr/>
        <w:t>) Grade 9 students who shared identical academic characteristics with the target sample but were excluded from the final study. </w:t>
      </w:r>
      <w:r>
        <w:rPr/>
        <w:t>The pilot data were statistically processed to measure internal</w:t>
      </w:r>
      <w:r>
        <w:rPr>
          <w:spacing w:val="-2"/>
        </w:rPr>
        <w:t> </w:t>
      </w:r>
      <w:r>
        <w:rPr/>
        <w:t>consistency.</w:t>
      </w:r>
      <w:r>
        <w:rPr>
          <w:spacing w:val="-2"/>
        </w:rPr>
        <w:t> </w:t>
      </w:r>
      <w:r>
        <w:rPr/>
        <w:t>The</w:t>
      </w:r>
      <w:r>
        <w:rPr>
          <w:spacing w:val="-2"/>
        </w:rPr>
        <w:t> </w:t>
      </w:r>
      <w:r>
        <w:rPr/>
        <w:t>evaluation</w:t>
      </w:r>
      <w:r>
        <w:rPr>
          <w:spacing w:val="-2"/>
        </w:rPr>
        <w:t> </w:t>
      </w:r>
      <w:r>
        <w:rPr/>
        <w:t>survey</w:t>
      </w:r>
      <w:r>
        <w:rPr>
          <w:spacing w:val="-2"/>
        </w:rPr>
        <w:t> </w:t>
      </w:r>
      <w:r>
        <w:rPr/>
        <w:t>dimensions demonstrated high stability, yielding Cronbach’s alpha (</w:t>
      </w:r>
      <w:r>
        <w:rPr>
          <w:b/>
          <w:i/>
          <w:color w:val="111111"/>
        </w:rPr>
        <w:t>α</w:t>
      </w:r>
      <w:r>
        <w:rPr/>
        <w:t>) coefficients ranging from a low of </w:t>
      </w:r>
      <w:r>
        <w:rPr>
          <w:b/>
          <w:i/>
          <w:color w:val="111111"/>
        </w:rPr>
        <w:t>0.7907 </w:t>
      </w:r>
      <w:r>
        <w:rPr/>
        <w:t>(Pedagogical Soundness) to a high of </w:t>
      </w:r>
      <w:r>
        <w:rPr>
          <w:b/>
          <w:i/>
          <w:color w:val="111111"/>
        </w:rPr>
        <w:t>0.9456 </w:t>
      </w:r>
      <w:r>
        <w:rPr/>
        <w:t>(Module Delivery), corresponding to </w:t>
      </w:r>
      <w:r>
        <w:rPr>
          <w:i/>
        </w:rPr>
        <w:t>Acceptable </w:t>
      </w:r>
      <w:r>
        <w:rPr/>
        <w:t>to </w:t>
      </w:r>
      <w:r>
        <w:rPr>
          <w:i/>
        </w:rPr>
        <w:t>Excellent </w:t>
      </w:r>
      <w:r>
        <w:rPr/>
        <w:t>reliability ratings. Concurrently, the 30-item achievement test generated an overall Cronbach’s</w:t>
      </w:r>
      <w:r>
        <w:rPr>
          <w:spacing w:val="40"/>
        </w:rPr>
        <w:t> </w:t>
      </w:r>
      <w:r>
        <w:rPr/>
        <w:t>alpha value well exceeding the standard </w:t>
      </w:r>
      <w:r>
        <w:rPr>
          <w:b/>
          <w:i/>
          <w:color w:val="111111"/>
        </w:rPr>
        <w:t>0.70 </w:t>
      </w:r>
      <w:r>
        <w:rPr/>
        <w:t>educational research benchmark, placing it within the </w:t>
      </w:r>
      <w:r>
        <w:rPr>
          <w:i/>
        </w:rPr>
        <w:t>High Reliability </w:t>
      </w:r>
      <w:r>
        <w:rPr/>
        <w:t>classification. Item analysis helped identify and modify or remove items exhibiting zero variance to optimize the final discriminative power.</w:t>
      </w:r>
    </w:p>
    <w:p>
      <w:pPr>
        <w:pStyle w:val="BodyText"/>
        <w:spacing w:after="0" w:line="312" w:lineRule="auto"/>
        <w:sectPr>
          <w:pgSz w:w="11910" w:h="16840"/>
          <w:pgMar w:header="0" w:footer="467" w:top="1080" w:bottom="660" w:left="708" w:right="708"/>
          <w:cols w:num="2" w:equalWidth="0">
            <w:col w:w="5096" w:space="210"/>
            <w:col w:w="5188"/>
          </w:cols>
        </w:sectPr>
      </w:pPr>
    </w:p>
    <w:p>
      <w:pPr>
        <w:pStyle w:val="BodyText"/>
        <w:spacing w:line="312" w:lineRule="auto"/>
        <w:ind w:right="41"/>
      </w:pPr>
      <w:r>
        <w:rPr/>
        <w:t>outcomes, this design integrates product formulation with formative evaluation, ensuring that the </w:t>
      </w:r>
      <w:r>
        <w:rPr/>
        <w:t>final instructional resources are pedagogically sound and calibrated to the empirical needs of low-performing </w:t>
      </w:r>
      <w:r>
        <w:rPr>
          <w:spacing w:val="-2"/>
        </w:rPr>
        <w:t>students.</w:t>
      </w:r>
    </w:p>
    <w:p>
      <w:pPr>
        <w:spacing w:line="312" w:lineRule="auto" w:before="185"/>
        <w:ind w:left="142" w:right="41" w:firstLine="300"/>
        <w:jc w:val="both"/>
        <w:rPr>
          <w:sz w:val="22"/>
        </w:rPr>
      </w:pPr>
      <w:r>
        <w:rPr>
          <w:sz w:val="22"/>
        </w:rPr>
        <w:t>To operationalize this design, the study was guided by the five-phase </w:t>
      </w:r>
      <w:r>
        <w:rPr>
          <w:b/>
          <w:sz w:val="22"/>
        </w:rPr>
        <w:t>ADDIE (Analysis, </w:t>
      </w:r>
      <w:r>
        <w:rPr>
          <w:b/>
          <w:sz w:val="22"/>
        </w:rPr>
        <w:t>Design, Development, Implementation, Evaluation) </w:t>
      </w:r>
      <w:r>
        <w:rPr>
          <w:sz w:val="22"/>
        </w:rPr>
        <w:t>instructional design framework:</w:t>
      </w:r>
    </w:p>
    <w:p>
      <w:pPr>
        <w:pStyle w:val="ListParagraph"/>
        <w:numPr>
          <w:ilvl w:val="0"/>
          <w:numId w:val="2"/>
        </w:numPr>
        <w:tabs>
          <w:tab w:pos="442" w:val="left" w:leader="none"/>
        </w:tabs>
        <w:spacing w:line="312" w:lineRule="auto" w:before="185" w:after="0"/>
        <w:ind w:left="442" w:right="41" w:hanging="133"/>
        <w:jc w:val="both"/>
        <w:rPr>
          <w:sz w:val="22"/>
        </w:rPr>
      </w:pPr>
      <w:r>
        <w:rPr>
          <w:b/>
          <w:sz w:val="22"/>
        </w:rPr>
        <w:t>Analysis: </w:t>
      </w:r>
      <w:r>
        <w:rPr>
          <w:sz w:val="22"/>
        </w:rPr>
        <w:t>Historical performance records and diagnostic data were analyzed to isolate </w:t>
      </w:r>
      <w:r>
        <w:rPr>
          <w:sz w:val="22"/>
        </w:rPr>
        <w:t>the</w:t>
      </w:r>
      <w:r>
        <w:rPr>
          <w:spacing w:val="40"/>
          <w:sz w:val="22"/>
        </w:rPr>
        <w:t> </w:t>
      </w:r>
      <w:r>
        <w:rPr>
          <w:sz w:val="22"/>
        </w:rPr>
        <w:t>students' specific mathematical learning gaps.</w:t>
      </w:r>
    </w:p>
    <w:p>
      <w:pPr>
        <w:pStyle w:val="ListParagraph"/>
        <w:numPr>
          <w:ilvl w:val="0"/>
          <w:numId w:val="2"/>
        </w:numPr>
        <w:tabs>
          <w:tab w:pos="442" w:val="left" w:leader="none"/>
        </w:tabs>
        <w:spacing w:line="312" w:lineRule="auto" w:before="78" w:after="0"/>
        <w:ind w:left="442" w:right="41" w:hanging="133"/>
        <w:jc w:val="both"/>
        <w:rPr>
          <w:sz w:val="22"/>
        </w:rPr>
      </w:pPr>
      <w:r>
        <w:rPr>
          <w:b/>
          <w:sz w:val="22"/>
        </w:rPr>
        <w:t>Design: </w:t>
      </w:r>
      <w:r>
        <w:rPr>
          <w:sz w:val="22"/>
        </w:rPr>
        <w:t>Instructional objectives, </w:t>
      </w:r>
      <w:r>
        <w:rPr>
          <w:sz w:val="22"/>
        </w:rPr>
        <w:t>scaffolding strategies, and lesson sequences were mapped to target the identified least learned competencies </w:t>
      </w:r>
      <w:r>
        <w:rPr>
          <w:spacing w:val="-2"/>
          <w:sz w:val="22"/>
        </w:rPr>
        <w:t>(LLCs).</w:t>
      </w:r>
    </w:p>
    <w:p>
      <w:pPr>
        <w:pStyle w:val="ListParagraph"/>
        <w:numPr>
          <w:ilvl w:val="0"/>
          <w:numId w:val="2"/>
        </w:numPr>
        <w:tabs>
          <w:tab w:pos="442" w:val="left" w:leader="none"/>
        </w:tabs>
        <w:spacing w:line="312" w:lineRule="auto" w:before="80" w:after="0"/>
        <w:ind w:left="442" w:right="41" w:hanging="133"/>
        <w:jc w:val="both"/>
        <w:rPr>
          <w:sz w:val="22"/>
        </w:rPr>
      </w:pPr>
      <w:r>
        <w:rPr>
          <w:b/>
          <w:sz w:val="22"/>
        </w:rPr>
        <w:t>Development: </w:t>
      </w:r>
      <w:r>
        <w:rPr>
          <w:sz w:val="22"/>
        </w:rPr>
        <w:t>Initial drafts of the printed remedial modules were compiled and subsequently refined based on expert validation to ensure </w:t>
      </w:r>
      <w:r>
        <w:rPr>
          <w:sz w:val="22"/>
        </w:rPr>
        <w:t>mathematical and pedagogical accuracy.</w:t>
      </w:r>
    </w:p>
    <w:p>
      <w:pPr>
        <w:pStyle w:val="ListParagraph"/>
        <w:numPr>
          <w:ilvl w:val="0"/>
          <w:numId w:val="2"/>
        </w:numPr>
        <w:tabs>
          <w:tab w:pos="442" w:val="left" w:leader="none"/>
        </w:tabs>
        <w:spacing w:line="312" w:lineRule="auto" w:before="79" w:after="0"/>
        <w:ind w:left="442" w:right="38" w:hanging="133"/>
        <w:jc w:val="both"/>
        <w:rPr>
          <w:sz w:val="22"/>
        </w:rPr>
      </w:pPr>
      <w:r>
        <w:rPr>
          <w:b/>
          <w:sz w:val="22"/>
        </w:rPr>
        <w:t>Implementation: </w:t>
      </w:r>
      <w:r>
        <w:rPr>
          <w:sz w:val="22"/>
        </w:rPr>
        <w:t>The polished modules were deployed during ten (10) intensive </w:t>
      </w:r>
      <w:r>
        <w:rPr>
          <w:sz w:val="22"/>
        </w:rPr>
        <w:t>remedial</w:t>
      </w:r>
      <w:r>
        <w:rPr>
          <w:spacing w:val="40"/>
          <w:sz w:val="22"/>
        </w:rPr>
        <w:t> </w:t>
      </w:r>
      <w:r>
        <w:rPr>
          <w:sz w:val="22"/>
        </w:rPr>
        <w:t>sessions with the target class of Grade 9 students.</w:t>
      </w:r>
    </w:p>
    <w:p>
      <w:pPr>
        <w:pStyle w:val="ListParagraph"/>
        <w:numPr>
          <w:ilvl w:val="0"/>
          <w:numId w:val="2"/>
        </w:numPr>
        <w:tabs>
          <w:tab w:pos="442" w:val="left" w:leader="none"/>
        </w:tabs>
        <w:spacing w:line="312" w:lineRule="auto" w:before="79" w:after="0"/>
        <w:ind w:left="442" w:right="38" w:hanging="133"/>
        <w:jc w:val="both"/>
        <w:rPr>
          <w:sz w:val="22"/>
        </w:rPr>
      </w:pPr>
      <w:r>
        <w:rPr>
          <w:b/>
          <w:sz w:val="22"/>
        </w:rPr>
        <w:t>Evaluation:</w:t>
      </w:r>
      <w:r>
        <w:rPr>
          <w:b/>
          <w:spacing w:val="-8"/>
          <w:sz w:val="22"/>
        </w:rPr>
        <w:t> </w:t>
      </w:r>
      <w:r>
        <w:rPr>
          <w:sz w:val="22"/>
        </w:rPr>
        <w:t>The</w:t>
      </w:r>
      <w:r>
        <w:rPr>
          <w:spacing w:val="-7"/>
          <w:sz w:val="22"/>
        </w:rPr>
        <w:t> </w:t>
      </w:r>
      <w:r>
        <w:rPr>
          <w:sz w:val="22"/>
        </w:rPr>
        <w:t>instructional</w:t>
      </w:r>
      <w:r>
        <w:rPr>
          <w:spacing w:val="-7"/>
          <w:sz w:val="22"/>
        </w:rPr>
        <w:t> </w:t>
      </w:r>
      <w:r>
        <w:rPr>
          <w:sz w:val="22"/>
        </w:rPr>
        <w:t>efficacy</w:t>
      </w:r>
      <w:r>
        <w:rPr>
          <w:spacing w:val="-8"/>
          <w:sz w:val="22"/>
        </w:rPr>
        <w:t> </w:t>
      </w:r>
      <w:r>
        <w:rPr>
          <w:sz w:val="22"/>
        </w:rPr>
        <w:t>and</w:t>
      </w:r>
      <w:r>
        <w:rPr>
          <w:spacing w:val="-8"/>
          <w:sz w:val="22"/>
        </w:rPr>
        <w:t> </w:t>
      </w:r>
      <w:r>
        <w:rPr>
          <w:sz w:val="22"/>
        </w:rPr>
        <w:t>usability of the RLM were empirically measured using</w:t>
      </w:r>
      <w:r>
        <w:rPr>
          <w:spacing w:val="40"/>
          <w:sz w:val="22"/>
        </w:rPr>
        <w:t> </w:t>
      </w:r>
      <w:r>
        <w:rPr>
          <w:sz w:val="22"/>
        </w:rPr>
        <w:t>expert validation matrices, student feedback surveys,</w:t>
      </w:r>
      <w:r>
        <w:rPr>
          <w:spacing w:val="-3"/>
          <w:sz w:val="22"/>
        </w:rPr>
        <w:t> </w:t>
      </w:r>
      <w:r>
        <w:rPr>
          <w:sz w:val="22"/>
        </w:rPr>
        <w:t>and</w:t>
      </w:r>
      <w:r>
        <w:rPr>
          <w:spacing w:val="-3"/>
          <w:sz w:val="22"/>
        </w:rPr>
        <w:t> </w:t>
      </w:r>
      <w:r>
        <w:rPr>
          <w:sz w:val="22"/>
        </w:rPr>
        <w:t>pre-test</w:t>
      </w:r>
      <w:r>
        <w:rPr>
          <w:spacing w:val="-3"/>
          <w:sz w:val="22"/>
        </w:rPr>
        <w:t> </w:t>
      </w:r>
      <w:r>
        <w:rPr>
          <w:sz w:val="22"/>
        </w:rPr>
        <w:t>to</w:t>
      </w:r>
      <w:r>
        <w:rPr>
          <w:spacing w:val="-3"/>
          <w:sz w:val="22"/>
        </w:rPr>
        <w:t> </w:t>
      </w:r>
      <w:r>
        <w:rPr>
          <w:sz w:val="22"/>
        </w:rPr>
        <w:t>post-test</w:t>
      </w:r>
      <w:r>
        <w:rPr>
          <w:spacing w:val="-3"/>
          <w:sz w:val="22"/>
        </w:rPr>
        <w:t> </w:t>
      </w:r>
      <w:r>
        <w:rPr>
          <w:sz w:val="22"/>
        </w:rPr>
        <w:t>performance</w:t>
      </w:r>
      <w:r>
        <w:rPr>
          <w:spacing w:val="-3"/>
          <w:sz w:val="22"/>
        </w:rPr>
        <w:t> </w:t>
      </w:r>
      <w:r>
        <w:rPr>
          <w:sz w:val="22"/>
        </w:rPr>
        <w:t>gains.</w:t>
      </w:r>
    </w:p>
    <w:p>
      <w:pPr>
        <w:pStyle w:val="Heading2"/>
        <w:numPr>
          <w:ilvl w:val="1"/>
          <w:numId w:val="1"/>
        </w:numPr>
        <w:tabs>
          <w:tab w:pos="506" w:val="left" w:leader="none"/>
        </w:tabs>
        <w:spacing w:line="240" w:lineRule="auto" w:before="230" w:after="0"/>
        <w:ind w:left="506" w:right="0" w:hanging="364"/>
        <w:jc w:val="left"/>
      </w:pPr>
      <w:bookmarkStart w:name="2.2 Participants and Sampling Techniques" w:id="7"/>
      <w:bookmarkEnd w:id="7"/>
      <w:r>
        <w:rPr>
          <w:b w:val="0"/>
        </w:rPr>
      </w:r>
      <w:r>
        <w:rPr>
          <w:color w:val="2B5282"/>
        </w:rPr>
        <w:t>Participants</w:t>
      </w:r>
      <w:r>
        <w:rPr>
          <w:color w:val="2B5282"/>
          <w:spacing w:val="-4"/>
        </w:rPr>
        <w:t> </w:t>
      </w:r>
      <w:r>
        <w:rPr>
          <w:color w:val="2B5282"/>
        </w:rPr>
        <w:t>and</w:t>
      </w:r>
      <w:r>
        <w:rPr>
          <w:color w:val="2B5282"/>
          <w:spacing w:val="-4"/>
        </w:rPr>
        <w:t> </w:t>
      </w:r>
      <w:r>
        <w:rPr>
          <w:color w:val="2B5282"/>
        </w:rPr>
        <w:t>Sampling</w:t>
      </w:r>
      <w:r>
        <w:rPr>
          <w:color w:val="2B5282"/>
          <w:spacing w:val="-3"/>
        </w:rPr>
        <w:t> </w:t>
      </w:r>
      <w:r>
        <w:rPr>
          <w:color w:val="2B5282"/>
          <w:spacing w:val="-2"/>
        </w:rPr>
        <w:t>Techniques</w:t>
      </w:r>
    </w:p>
    <w:p>
      <w:pPr>
        <w:pStyle w:val="BodyText"/>
        <w:spacing w:line="312" w:lineRule="auto" w:before="196"/>
        <w:ind w:right="41" w:firstLine="300"/>
      </w:pPr>
      <w:r>
        <w:rPr/>
        <w:t>The</w:t>
      </w:r>
      <w:r>
        <w:rPr>
          <w:spacing w:val="-5"/>
        </w:rPr>
        <w:t> </w:t>
      </w:r>
      <w:r>
        <w:rPr/>
        <w:t>respondents</w:t>
      </w:r>
      <w:r>
        <w:rPr>
          <w:spacing w:val="-5"/>
        </w:rPr>
        <w:t> </w:t>
      </w:r>
      <w:r>
        <w:rPr/>
        <w:t>for</w:t>
      </w:r>
      <w:r>
        <w:rPr>
          <w:spacing w:val="-5"/>
        </w:rPr>
        <w:t> </w:t>
      </w:r>
      <w:r>
        <w:rPr/>
        <w:t>this</w:t>
      </w:r>
      <w:r>
        <w:rPr>
          <w:spacing w:val="-5"/>
        </w:rPr>
        <w:t> </w:t>
      </w:r>
      <w:r>
        <w:rPr/>
        <w:t>study</w:t>
      </w:r>
      <w:r>
        <w:rPr>
          <w:spacing w:val="-5"/>
        </w:rPr>
        <w:t> </w:t>
      </w:r>
      <w:r>
        <w:rPr/>
        <w:t>were</w:t>
      </w:r>
      <w:r>
        <w:rPr>
          <w:spacing w:val="-5"/>
        </w:rPr>
        <w:t> </w:t>
      </w:r>
      <w:r>
        <w:rPr/>
        <w:t>selected</w:t>
      </w:r>
      <w:r>
        <w:rPr>
          <w:spacing w:val="-5"/>
        </w:rPr>
        <w:t> </w:t>
      </w:r>
      <w:r>
        <w:rPr/>
        <w:t>using</w:t>
      </w:r>
      <w:r>
        <w:rPr>
          <w:spacing w:val="-5"/>
        </w:rPr>
        <w:t> </w:t>
      </w:r>
      <w:r>
        <w:rPr/>
        <w:t>a combination of purposive and criterion sampling </w:t>
      </w:r>
      <w:r>
        <w:rPr/>
        <w:t>to ensure that the RLM was evaluated by both subject- matter experts and the target student population. Purposive sampling is highly effective in educational development research because it deliberately selects information-rich cases that directly address the core scope of the inquiry (Flick, 2022). Complementing</w:t>
      </w:r>
      <w:r>
        <w:rPr>
          <w:spacing w:val="40"/>
        </w:rPr>
        <w:t> </w:t>
      </w:r>
      <w:r>
        <w:rPr/>
        <w:t>this, criterion sampling establishes strict,</w:t>
      </w:r>
      <w:r>
        <w:rPr>
          <w:spacing w:val="40"/>
        </w:rPr>
        <w:t> </w:t>
      </w:r>
      <w:r>
        <w:rPr/>
        <w:t>predetermined standards for inclusion to guarantee that participant feedback is both academically authoritative and grounded in classroom realities (Merriam &amp; Grenier, 2023).</w:t>
      </w:r>
    </w:p>
    <w:p>
      <w:pPr>
        <w:spacing w:line="240" w:lineRule="auto" w:before="98"/>
        <w:rPr>
          <w:sz w:val="24"/>
        </w:rPr>
      </w:pPr>
      <w:r>
        <w:rPr/>
        <w:br w:type="column"/>
      </w:r>
      <w:r>
        <w:rPr>
          <w:sz w:val="24"/>
        </w:rPr>
      </w:r>
    </w:p>
    <w:p>
      <w:pPr>
        <w:pStyle w:val="Heading1"/>
        <w:numPr>
          <w:ilvl w:val="0"/>
          <w:numId w:val="1"/>
        </w:numPr>
        <w:tabs>
          <w:tab w:pos="588" w:val="left" w:leader="none"/>
        </w:tabs>
        <w:spacing w:line="240" w:lineRule="auto" w:before="0" w:after="0"/>
        <w:ind w:left="588" w:right="0" w:hanging="266"/>
        <w:jc w:val="left"/>
      </w:pPr>
      <w:bookmarkStart w:name="3. Results and Discussion" w:id="8"/>
      <w:bookmarkEnd w:id="8"/>
      <w:r>
        <w:rPr>
          <w:b w:val="0"/>
        </w:rPr>
      </w:r>
      <w:r>
        <w:rPr>
          <w:color w:val="1A365D"/>
        </w:rPr>
        <w:t>RESULTS</w:t>
      </w:r>
      <w:r>
        <w:rPr>
          <w:color w:val="1A365D"/>
          <w:spacing w:val="-17"/>
        </w:rPr>
        <w:t> </w:t>
      </w:r>
      <w:r>
        <w:rPr>
          <w:color w:val="1A365D"/>
        </w:rPr>
        <w:t>AND</w:t>
      </w:r>
      <w:r>
        <w:rPr>
          <w:color w:val="1A365D"/>
          <w:spacing w:val="-12"/>
        </w:rPr>
        <w:t> </w:t>
      </w:r>
      <w:r>
        <w:rPr>
          <w:color w:val="1A365D"/>
          <w:spacing w:val="-2"/>
        </w:rPr>
        <w:t>DISCUSSION</w:t>
      </w:r>
    </w:p>
    <w:p>
      <w:pPr>
        <w:pStyle w:val="BodyText"/>
        <w:spacing w:before="30"/>
        <w:ind w:left="0"/>
        <w:jc w:val="left"/>
        <w:rPr>
          <w:rFonts w:ascii="Arial"/>
          <w:b/>
          <w:sz w:val="24"/>
        </w:rPr>
      </w:pPr>
    </w:p>
    <w:p>
      <w:pPr>
        <w:pStyle w:val="Heading2"/>
        <w:numPr>
          <w:ilvl w:val="1"/>
          <w:numId w:val="1"/>
        </w:numPr>
        <w:tabs>
          <w:tab w:pos="721" w:val="left" w:leader="none"/>
          <w:tab w:pos="1814" w:val="left" w:leader="none"/>
          <w:tab w:pos="2479" w:val="left" w:leader="none"/>
          <w:tab w:pos="3694" w:val="left" w:leader="none"/>
        </w:tabs>
        <w:spacing w:line="312" w:lineRule="auto" w:before="0" w:after="0"/>
        <w:ind w:left="142" w:right="141" w:firstLine="0"/>
        <w:jc w:val="left"/>
      </w:pPr>
      <w:r>
        <w:rPr/>
        <mc:AlternateContent>
          <mc:Choice Requires="wps">
            <w:drawing>
              <wp:anchor distT="0" distB="0" distL="0" distR="0" allowOverlap="1" layoutInCell="1" locked="0" behindDoc="0" simplePos="0" relativeHeight="15730688">
                <wp:simplePos x="0" y="0"/>
                <wp:positionH relativeFrom="page">
                  <wp:posOffset>3909600</wp:posOffset>
                </wp:positionH>
                <wp:positionV relativeFrom="paragraph">
                  <wp:posOffset>-393615</wp:posOffset>
                </wp:positionV>
                <wp:extent cx="38100" cy="2286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8100" cy="228600"/>
                        </a:xfrm>
                        <a:custGeom>
                          <a:avLst/>
                          <a:gdLst/>
                          <a:ahLst/>
                          <a:cxnLst/>
                          <a:rect l="l" t="t" r="r" b="b"/>
                          <a:pathLst>
                            <a:path w="38100" h="228600">
                              <a:moveTo>
                                <a:pt x="38100" y="228600"/>
                              </a:moveTo>
                              <a:lnTo>
                                <a:pt x="0" y="228600"/>
                              </a:lnTo>
                              <a:lnTo>
                                <a:pt x="0" y="0"/>
                              </a:lnTo>
                              <a:lnTo>
                                <a:pt x="38100" y="0"/>
                              </a:lnTo>
                              <a:lnTo>
                                <a:pt x="38100" y="228600"/>
                              </a:lnTo>
                              <a:close/>
                            </a:path>
                          </a:pathLst>
                        </a:custGeom>
                        <a:solidFill>
                          <a:srgbClr val="1A365D"/>
                        </a:solidFill>
                      </wps:spPr>
                      <wps:bodyPr wrap="square" lIns="0" tIns="0" rIns="0" bIns="0" rtlCol="0">
                        <a:prstTxWarp prst="textNoShape">
                          <a:avLst/>
                        </a:prstTxWarp>
                        <a:noAutofit/>
                      </wps:bodyPr>
                    </wps:wsp>
                  </a:graphicData>
                </a:graphic>
              </wp:anchor>
            </w:drawing>
          </mc:Choice>
          <mc:Fallback>
            <w:pict>
              <v:rect style="position:absolute;margin-left:307.842529pt;margin-top:-30.993311pt;width:3.0pt;height:18.000001pt;mso-position-horizontal-relative:page;mso-position-vertical-relative:paragraph;z-index:15730688" id="docshape9" filled="true" fillcolor="#1a365d" stroked="false">
                <v:fill type="solid"/>
                <w10:wrap type="none"/>
              </v:rect>
            </w:pict>
          </mc:Fallback>
        </mc:AlternateContent>
      </w:r>
      <w:bookmarkStart w:name="3.1 Pre-test and Post-test Performance P" w:id="9"/>
      <w:bookmarkEnd w:id="9"/>
      <w:r>
        <w:rPr>
          <w:b w:val="0"/>
        </w:rPr>
      </w:r>
      <w:r>
        <w:rPr>
          <w:color w:val="2B5282"/>
          <w:spacing w:val="-2"/>
        </w:rPr>
        <w:t>Pre-test</w:t>
      </w:r>
      <w:r>
        <w:rPr>
          <w:color w:val="2B5282"/>
        </w:rPr>
        <w:tab/>
      </w:r>
      <w:r>
        <w:rPr>
          <w:color w:val="2B5282"/>
          <w:spacing w:val="-4"/>
        </w:rPr>
        <w:t>and</w:t>
      </w:r>
      <w:r>
        <w:rPr>
          <w:color w:val="2B5282"/>
        </w:rPr>
        <w:tab/>
      </w:r>
      <w:r>
        <w:rPr>
          <w:color w:val="2B5282"/>
          <w:spacing w:val="-2"/>
        </w:rPr>
        <w:t>Post-test</w:t>
      </w:r>
      <w:r>
        <w:rPr>
          <w:color w:val="2B5282"/>
        </w:rPr>
        <w:tab/>
      </w:r>
      <w:r>
        <w:rPr>
          <w:color w:val="2B5282"/>
          <w:spacing w:val="-2"/>
        </w:rPr>
        <w:t>Performance Profiles</w:t>
      </w:r>
    </w:p>
    <w:p>
      <w:pPr>
        <w:pStyle w:val="BodyText"/>
        <w:spacing w:line="312" w:lineRule="auto" w:before="121"/>
        <w:ind w:right="137" w:firstLine="300"/>
      </w:pPr>
      <w:r>
        <w:rPr/>
        <w:t>To evaluate the academic impact of the localized RLMs on Grade 9 students, the mean scores and standard deviations of the pre-test and post-test achievements were computed. The descriptive profiles are summarized in Table 2.</w:t>
      </w:r>
    </w:p>
    <w:p>
      <w:pPr>
        <w:spacing w:line="312" w:lineRule="auto" w:before="227"/>
        <w:ind w:left="142" w:right="0" w:firstLine="0"/>
        <w:jc w:val="left"/>
        <w:rPr>
          <w:rFonts w:ascii="Arial"/>
          <w:b/>
          <w:sz w:val="19"/>
        </w:rPr>
      </w:pPr>
      <w:r>
        <w:rPr>
          <w:rFonts w:ascii="Arial"/>
          <w:b/>
          <w:sz w:val="19"/>
        </w:rPr>
        <w:t>Table</w:t>
      </w:r>
      <w:r>
        <w:rPr>
          <w:rFonts w:ascii="Arial"/>
          <w:b/>
          <w:spacing w:val="28"/>
          <w:sz w:val="19"/>
        </w:rPr>
        <w:t> </w:t>
      </w:r>
      <w:r>
        <w:rPr>
          <w:rFonts w:ascii="Arial"/>
          <w:b/>
          <w:sz w:val="19"/>
        </w:rPr>
        <w:t>2.</w:t>
      </w:r>
      <w:r>
        <w:rPr>
          <w:rFonts w:ascii="Arial"/>
          <w:b/>
          <w:spacing w:val="28"/>
          <w:sz w:val="19"/>
        </w:rPr>
        <w:t> </w:t>
      </w:r>
      <w:r>
        <w:rPr>
          <w:rFonts w:ascii="Arial"/>
          <w:b/>
          <w:sz w:val="19"/>
        </w:rPr>
        <w:t>Descriptive</w:t>
      </w:r>
      <w:r>
        <w:rPr>
          <w:rFonts w:ascii="Arial"/>
          <w:b/>
          <w:spacing w:val="28"/>
          <w:sz w:val="19"/>
        </w:rPr>
        <w:t> </w:t>
      </w:r>
      <w:r>
        <w:rPr>
          <w:rFonts w:ascii="Arial"/>
          <w:b/>
          <w:sz w:val="19"/>
        </w:rPr>
        <w:t>Statistics</w:t>
      </w:r>
      <w:r>
        <w:rPr>
          <w:rFonts w:ascii="Arial"/>
          <w:b/>
          <w:spacing w:val="28"/>
          <w:sz w:val="19"/>
        </w:rPr>
        <w:t> </w:t>
      </w:r>
      <w:r>
        <w:rPr>
          <w:rFonts w:ascii="Arial"/>
          <w:b/>
          <w:sz w:val="19"/>
        </w:rPr>
        <w:t>for</w:t>
      </w:r>
      <w:r>
        <w:rPr>
          <w:rFonts w:ascii="Arial"/>
          <w:b/>
          <w:spacing w:val="28"/>
          <w:sz w:val="19"/>
        </w:rPr>
        <w:t> </w:t>
      </w:r>
      <w:r>
        <w:rPr>
          <w:rFonts w:ascii="Arial"/>
          <w:b/>
          <w:sz w:val="19"/>
        </w:rPr>
        <w:t>Pre-test</w:t>
      </w:r>
      <w:r>
        <w:rPr>
          <w:rFonts w:ascii="Arial"/>
          <w:b/>
          <w:spacing w:val="28"/>
          <w:sz w:val="19"/>
        </w:rPr>
        <w:t> </w:t>
      </w:r>
      <w:r>
        <w:rPr>
          <w:rFonts w:ascii="Arial"/>
          <w:b/>
          <w:sz w:val="19"/>
        </w:rPr>
        <w:t>and</w:t>
      </w:r>
      <w:r>
        <w:rPr>
          <w:rFonts w:ascii="Arial"/>
          <w:b/>
          <w:spacing w:val="28"/>
          <w:sz w:val="19"/>
        </w:rPr>
        <w:t> </w:t>
      </w:r>
      <w:r>
        <w:rPr>
          <w:rFonts w:ascii="Arial"/>
          <w:b/>
          <w:sz w:val="19"/>
        </w:rPr>
        <w:t>Post- test Performance</w:t>
      </w:r>
    </w:p>
    <w:p>
      <w:pPr>
        <w:pStyle w:val="BodyText"/>
        <w:spacing w:before="4"/>
        <w:ind w:left="0"/>
        <w:jc w:val="left"/>
        <w:rPr>
          <w:rFonts w:ascii="Arial"/>
          <w:b/>
          <w:sz w:val="3"/>
        </w:rPr>
      </w:pPr>
    </w:p>
    <w:tbl>
      <w:tblPr>
        <w:tblW w:w="0" w:type="auto"/>
        <w:jc w:val="left"/>
        <w:tblInd w:w="15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1375"/>
        <w:gridCol w:w="1059"/>
        <w:gridCol w:w="588"/>
        <w:gridCol w:w="1863"/>
      </w:tblGrid>
      <w:tr>
        <w:trPr>
          <w:trHeight w:val="772" w:hRule="atLeast"/>
        </w:trPr>
        <w:tc>
          <w:tcPr>
            <w:tcW w:w="1375" w:type="dxa"/>
            <w:tcBorders>
              <w:top w:val="nil"/>
              <w:left w:val="nil"/>
              <w:bottom w:val="nil"/>
              <w:right w:val="nil"/>
            </w:tcBorders>
            <w:shd w:val="clear" w:color="auto" w:fill="1A365D"/>
          </w:tcPr>
          <w:p>
            <w:pPr>
              <w:pStyle w:val="TableParagraph"/>
              <w:spacing w:before="59"/>
              <w:rPr>
                <w:rFonts w:ascii="Arial"/>
                <w:b/>
                <w:sz w:val="19"/>
              </w:rPr>
            </w:pPr>
          </w:p>
          <w:p>
            <w:pPr>
              <w:pStyle w:val="TableParagraph"/>
              <w:ind w:left="135"/>
              <w:rPr>
                <w:rFonts w:ascii="Arial"/>
                <w:b/>
                <w:sz w:val="19"/>
              </w:rPr>
            </w:pPr>
            <w:r>
              <w:rPr>
                <w:rFonts w:ascii="Arial"/>
                <w:b/>
                <w:color w:val="FFFFFF"/>
                <w:spacing w:val="-2"/>
                <w:sz w:val="19"/>
              </w:rPr>
              <w:t>Assessment</w:t>
            </w:r>
          </w:p>
        </w:tc>
        <w:tc>
          <w:tcPr>
            <w:tcW w:w="1059" w:type="dxa"/>
            <w:tcBorders>
              <w:top w:val="nil"/>
              <w:left w:val="nil"/>
              <w:bottom w:val="nil"/>
              <w:right w:val="nil"/>
            </w:tcBorders>
            <w:shd w:val="clear" w:color="auto" w:fill="1A365D"/>
          </w:tcPr>
          <w:p>
            <w:pPr>
              <w:pStyle w:val="TableParagraph"/>
              <w:spacing w:line="312" w:lineRule="auto" w:before="135"/>
              <w:ind w:left="272" w:right="256" w:firstLine="21"/>
              <w:rPr>
                <w:rFonts w:ascii="Arial"/>
                <w:b/>
                <w:sz w:val="19"/>
              </w:rPr>
            </w:pPr>
            <w:r>
              <w:rPr>
                <w:rFonts w:ascii="Arial"/>
                <w:b/>
                <w:color w:val="FFFFFF"/>
                <w:spacing w:val="-4"/>
                <w:sz w:val="19"/>
              </w:rPr>
              <w:t>Mean </w:t>
            </w:r>
            <w:r>
              <w:rPr>
                <w:rFonts w:ascii="Arial"/>
                <w:b/>
                <w:color w:val="FFFFFF"/>
                <w:spacing w:val="-2"/>
                <w:sz w:val="19"/>
              </w:rPr>
              <w:t>Score</w:t>
            </w:r>
          </w:p>
        </w:tc>
        <w:tc>
          <w:tcPr>
            <w:tcW w:w="588" w:type="dxa"/>
            <w:tcBorders>
              <w:top w:val="nil"/>
              <w:left w:val="nil"/>
              <w:bottom w:val="nil"/>
              <w:right w:val="nil"/>
            </w:tcBorders>
            <w:shd w:val="clear" w:color="auto" w:fill="1A365D"/>
          </w:tcPr>
          <w:p>
            <w:pPr>
              <w:pStyle w:val="TableParagraph"/>
              <w:spacing w:before="59"/>
              <w:rPr>
                <w:rFonts w:ascii="Arial"/>
                <w:b/>
                <w:sz w:val="19"/>
              </w:rPr>
            </w:pPr>
          </w:p>
          <w:p>
            <w:pPr>
              <w:pStyle w:val="TableParagraph"/>
              <w:ind w:left="12"/>
              <w:jc w:val="center"/>
              <w:rPr>
                <w:rFonts w:ascii="Arial"/>
                <w:b/>
                <w:sz w:val="19"/>
              </w:rPr>
            </w:pPr>
            <w:r>
              <w:rPr>
                <w:rFonts w:ascii="Arial"/>
                <w:b/>
                <w:color w:val="FFFFFF"/>
                <w:spacing w:val="-5"/>
                <w:sz w:val="19"/>
              </w:rPr>
              <w:t>SD</w:t>
            </w:r>
          </w:p>
        </w:tc>
        <w:tc>
          <w:tcPr>
            <w:tcW w:w="1863" w:type="dxa"/>
            <w:tcBorders>
              <w:top w:val="nil"/>
              <w:left w:val="nil"/>
              <w:bottom w:val="nil"/>
              <w:right w:val="nil"/>
            </w:tcBorders>
            <w:shd w:val="clear" w:color="auto" w:fill="1A365D"/>
          </w:tcPr>
          <w:p>
            <w:pPr>
              <w:pStyle w:val="TableParagraph"/>
              <w:spacing w:before="135"/>
              <w:ind w:left="133"/>
              <w:rPr>
                <w:rFonts w:ascii="Arial"/>
                <w:b/>
                <w:sz w:val="19"/>
              </w:rPr>
            </w:pPr>
            <w:r>
              <w:rPr>
                <w:rFonts w:ascii="Arial"/>
                <w:b/>
                <w:color w:val="FFFFFF"/>
                <w:spacing w:val="-2"/>
                <w:sz w:val="19"/>
              </w:rPr>
              <w:t>Verbal</w:t>
            </w:r>
          </w:p>
          <w:p>
            <w:pPr>
              <w:pStyle w:val="TableParagraph"/>
              <w:spacing w:before="66"/>
              <w:ind w:left="133"/>
              <w:rPr>
                <w:rFonts w:ascii="Arial"/>
                <w:b/>
                <w:sz w:val="19"/>
              </w:rPr>
            </w:pPr>
            <w:r>
              <w:rPr>
                <w:rFonts w:ascii="Arial"/>
                <w:b/>
                <w:color w:val="FFFFFF"/>
                <w:spacing w:val="-2"/>
                <w:sz w:val="19"/>
              </w:rPr>
              <w:t>Interpretation</w:t>
            </w:r>
          </w:p>
        </w:tc>
      </w:tr>
      <w:tr>
        <w:trPr>
          <w:trHeight w:val="757" w:hRule="atLeast"/>
        </w:trPr>
        <w:tc>
          <w:tcPr>
            <w:tcW w:w="1375" w:type="dxa"/>
            <w:tcBorders>
              <w:top w:val="nil"/>
            </w:tcBorders>
          </w:tcPr>
          <w:p>
            <w:pPr>
              <w:pStyle w:val="TableParagraph"/>
              <w:spacing w:before="50"/>
              <w:rPr>
                <w:rFonts w:ascii="Arial"/>
                <w:b/>
                <w:sz w:val="19"/>
              </w:rPr>
            </w:pPr>
          </w:p>
          <w:p>
            <w:pPr>
              <w:pStyle w:val="TableParagraph"/>
              <w:ind w:left="127"/>
              <w:rPr>
                <w:sz w:val="19"/>
              </w:rPr>
            </w:pPr>
            <w:r>
              <w:rPr>
                <w:sz w:val="19"/>
              </w:rPr>
              <w:t>Pre-</w:t>
            </w:r>
            <w:r>
              <w:rPr>
                <w:spacing w:val="-4"/>
                <w:sz w:val="19"/>
              </w:rPr>
              <w:t>test</w:t>
            </w:r>
          </w:p>
        </w:tc>
        <w:tc>
          <w:tcPr>
            <w:tcW w:w="1059" w:type="dxa"/>
            <w:tcBorders>
              <w:top w:val="nil"/>
            </w:tcBorders>
          </w:tcPr>
          <w:p>
            <w:pPr>
              <w:pStyle w:val="TableParagraph"/>
              <w:spacing w:before="50"/>
              <w:rPr>
                <w:rFonts w:ascii="Arial"/>
                <w:b/>
                <w:sz w:val="19"/>
              </w:rPr>
            </w:pPr>
          </w:p>
          <w:p>
            <w:pPr>
              <w:pStyle w:val="TableParagraph"/>
              <w:ind w:left="13"/>
              <w:jc w:val="center"/>
              <w:rPr>
                <w:sz w:val="19"/>
              </w:rPr>
            </w:pPr>
            <w:r>
              <w:rPr>
                <w:spacing w:val="-2"/>
                <w:sz w:val="19"/>
              </w:rPr>
              <w:t>16.20</w:t>
            </w:r>
          </w:p>
        </w:tc>
        <w:tc>
          <w:tcPr>
            <w:tcW w:w="588" w:type="dxa"/>
            <w:tcBorders>
              <w:top w:val="nil"/>
            </w:tcBorders>
          </w:tcPr>
          <w:p>
            <w:pPr>
              <w:pStyle w:val="TableParagraph"/>
              <w:spacing w:before="50"/>
              <w:rPr>
                <w:rFonts w:ascii="Arial"/>
                <w:b/>
                <w:sz w:val="19"/>
              </w:rPr>
            </w:pPr>
          </w:p>
          <w:p>
            <w:pPr>
              <w:pStyle w:val="TableParagraph"/>
              <w:ind w:left="12"/>
              <w:jc w:val="center"/>
              <w:rPr>
                <w:sz w:val="19"/>
              </w:rPr>
            </w:pPr>
            <w:r>
              <w:rPr>
                <w:spacing w:val="-4"/>
                <w:sz w:val="19"/>
              </w:rPr>
              <w:t>3.56</w:t>
            </w:r>
          </w:p>
        </w:tc>
        <w:tc>
          <w:tcPr>
            <w:tcW w:w="1863" w:type="dxa"/>
            <w:tcBorders>
              <w:top w:val="nil"/>
            </w:tcBorders>
          </w:tcPr>
          <w:p>
            <w:pPr>
              <w:pStyle w:val="TableParagraph"/>
              <w:tabs>
                <w:tab w:pos="857" w:val="left" w:leader="none"/>
              </w:tabs>
              <w:spacing w:line="312" w:lineRule="auto" w:before="126"/>
              <w:ind w:left="126" w:right="112"/>
              <w:rPr>
                <w:sz w:val="19"/>
              </w:rPr>
            </w:pPr>
            <w:r>
              <w:rPr>
                <w:spacing w:val="-4"/>
                <w:sz w:val="19"/>
              </w:rPr>
              <w:t>Low</w:t>
            </w:r>
            <w:r>
              <w:rPr>
                <w:sz w:val="19"/>
              </w:rPr>
              <w:tab/>
            </w:r>
            <w:r>
              <w:rPr>
                <w:spacing w:val="-2"/>
                <w:sz w:val="19"/>
              </w:rPr>
              <w:t>Proficiency Baseline</w:t>
            </w:r>
          </w:p>
        </w:tc>
      </w:tr>
      <w:tr>
        <w:trPr>
          <w:trHeight w:val="465" w:hRule="atLeast"/>
        </w:trPr>
        <w:tc>
          <w:tcPr>
            <w:tcW w:w="1375" w:type="dxa"/>
            <w:shd w:val="clear" w:color="auto" w:fill="F6F9FB"/>
          </w:tcPr>
          <w:p>
            <w:pPr>
              <w:pStyle w:val="TableParagraph"/>
              <w:spacing w:before="119"/>
              <w:ind w:left="127"/>
              <w:rPr>
                <w:sz w:val="19"/>
              </w:rPr>
            </w:pPr>
            <w:r>
              <w:rPr>
                <w:sz w:val="19"/>
              </w:rPr>
              <w:t>Post-</w:t>
            </w:r>
            <w:r>
              <w:rPr>
                <w:spacing w:val="-4"/>
                <w:sz w:val="19"/>
              </w:rPr>
              <w:t>test</w:t>
            </w:r>
          </w:p>
        </w:tc>
        <w:tc>
          <w:tcPr>
            <w:tcW w:w="1059" w:type="dxa"/>
            <w:shd w:val="clear" w:color="auto" w:fill="F6F9FB"/>
          </w:tcPr>
          <w:p>
            <w:pPr>
              <w:pStyle w:val="TableParagraph"/>
              <w:spacing w:before="119"/>
              <w:ind w:left="13"/>
              <w:jc w:val="center"/>
              <w:rPr>
                <w:sz w:val="19"/>
              </w:rPr>
            </w:pPr>
            <w:r>
              <w:rPr>
                <w:spacing w:val="-2"/>
                <w:sz w:val="19"/>
              </w:rPr>
              <w:t>24.05</w:t>
            </w:r>
          </w:p>
        </w:tc>
        <w:tc>
          <w:tcPr>
            <w:tcW w:w="588" w:type="dxa"/>
            <w:shd w:val="clear" w:color="auto" w:fill="F6F9FB"/>
          </w:tcPr>
          <w:p>
            <w:pPr>
              <w:pStyle w:val="TableParagraph"/>
              <w:spacing w:before="119"/>
              <w:ind w:left="12"/>
              <w:jc w:val="center"/>
              <w:rPr>
                <w:sz w:val="19"/>
              </w:rPr>
            </w:pPr>
            <w:r>
              <w:rPr>
                <w:spacing w:val="-4"/>
                <w:sz w:val="19"/>
              </w:rPr>
              <w:t>2.38</w:t>
            </w:r>
          </w:p>
        </w:tc>
        <w:tc>
          <w:tcPr>
            <w:tcW w:w="1863" w:type="dxa"/>
            <w:shd w:val="clear" w:color="auto" w:fill="F6F9FB"/>
          </w:tcPr>
          <w:p>
            <w:pPr>
              <w:pStyle w:val="TableParagraph"/>
              <w:spacing w:before="119"/>
              <w:ind w:left="126"/>
              <w:rPr>
                <w:sz w:val="19"/>
              </w:rPr>
            </w:pPr>
            <w:r>
              <w:rPr>
                <w:sz w:val="19"/>
              </w:rPr>
              <w:t>High Mastery </w:t>
            </w:r>
            <w:r>
              <w:rPr>
                <w:spacing w:val="-2"/>
                <w:sz w:val="19"/>
              </w:rPr>
              <w:t>Level</w:t>
            </w:r>
          </w:p>
        </w:tc>
      </w:tr>
    </w:tbl>
    <w:p>
      <w:pPr>
        <w:pStyle w:val="BodyText"/>
        <w:spacing w:before="49"/>
        <w:ind w:left="0"/>
        <w:jc w:val="left"/>
        <w:rPr>
          <w:rFonts w:ascii="Arial"/>
          <w:b/>
          <w:sz w:val="19"/>
        </w:rPr>
      </w:pPr>
    </w:p>
    <w:p>
      <w:pPr>
        <w:pStyle w:val="BodyText"/>
        <w:spacing w:line="312" w:lineRule="auto" w:before="1"/>
        <w:ind w:right="135" w:firstLine="300"/>
      </w:pPr>
      <w:r>
        <w:rPr/>
        <w:t>An analysis of the assessment data reveals a substantial upward trajectory in student </w:t>
      </w:r>
      <w:r>
        <w:rPr/>
        <w:t>performance following the pedagogical intervention, transitioning the cohort from a low descriptive baseline to a high level of mathematical mastery. The pre-test results yielded the lowest mean performance (</w:t>
      </w:r>
      <w:r>
        <w:rPr>
          <w:b/>
          <w:i/>
          <w:color w:val="111111"/>
        </w:rPr>
        <w:t>M = 16.20</w:t>
      </w:r>
      <w:r>
        <w:rPr/>
        <w:t>) alongside the widest variation in student marks (</w:t>
      </w:r>
      <w:r>
        <w:rPr>
          <w:b/>
          <w:i/>
          <w:color w:val="111111"/>
        </w:rPr>
        <w:t>SD = 3.56</w:t>
      </w:r>
      <w:r>
        <w:rPr/>
        <w:t>). This initial baseline highlights the profound cognitive difficulties students face when confronted with abstract trigonometry without prior instructional scaffolding. Without targeted intervention, learners lacked the necessary cognitive anchors to deconstruct multi-step formulas, resulting in severely depressed</w:t>
      </w:r>
      <w:r>
        <w:rPr>
          <w:spacing w:val="40"/>
        </w:rPr>
        <w:t> </w:t>
      </w:r>
      <w:r>
        <w:rPr/>
        <w:t>and highly scattered scores.</w:t>
      </w:r>
    </w:p>
    <w:p>
      <w:pPr>
        <w:pStyle w:val="BodyText"/>
        <w:spacing w:line="312" w:lineRule="auto" w:before="195"/>
        <w:ind w:right="137" w:firstLine="300"/>
      </w:pPr>
      <w:r>
        <w:rPr/>
        <w:t>Conversely, the post-test assessment recorded </w:t>
      </w:r>
      <w:r>
        <w:rPr/>
        <w:t>a significantly elevated mean score (</w:t>
      </w:r>
      <w:r>
        <w:rPr>
          <w:b/>
          <w:i/>
          <w:color w:val="111111"/>
        </w:rPr>
        <w:t>M = 24.05</w:t>
      </w:r>
      <w:r>
        <w:rPr/>
        <w:t>) accompanied by a noticeably compressed spread of scores (</w:t>
      </w:r>
      <w:r>
        <w:rPr>
          <w:b/>
          <w:i/>
          <w:color w:val="111111"/>
        </w:rPr>
        <w:t>SD = 2.38</w:t>
      </w:r>
      <w:r>
        <w:rPr/>
        <w:t>). The striking upward pivot and uniform achievement seen in the post-test highlight the structural efficacy of the printed remedial modules, which successfully integrated localized pedagogy within a supportive home environment. This instructional strategy replaced abstract equations with real-world</w:t>
      </w:r>
      <w:r>
        <w:rPr>
          <w:spacing w:val="49"/>
        </w:rPr>
        <w:t> </w:t>
      </w:r>
      <w:r>
        <w:rPr/>
        <w:t>school</w:t>
      </w:r>
      <w:r>
        <w:rPr>
          <w:spacing w:val="49"/>
        </w:rPr>
        <w:t> </w:t>
      </w:r>
      <w:r>
        <w:rPr/>
        <w:t>and</w:t>
      </w:r>
      <w:r>
        <w:rPr>
          <w:spacing w:val="49"/>
        </w:rPr>
        <w:t> </w:t>
      </w:r>
      <w:r>
        <w:rPr/>
        <w:t>community</w:t>
      </w:r>
      <w:r>
        <w:rPr>
          <w:spacing w:val="49"/>
        </w:rPr>
        <w:t> </w:t>
      </w:r>
      <w:r>
        <w:rPr/>
        <w:t>scenarios,</w:t>
      </w:r>
      <w:r>
        <w:rPr>
          <w:spacing w:val="49"/>
        </w:rPr>
        <w:t> </w:t>
      </w:r>
      <w:r>
        <w:rPr/>
        <w:t>such</w:t>
      </w:r>
      <w:r>
        <w:rPr>
          <w:spacing w:val="49"/>
        </w:rPr>
        <w:t> </w:t>
      </w:r>
      <w:r>
        <w:rPr>
          <w:spacing w:val="-5"/>
        </w:rPr>
        <w:t>as</w:t>
      </w:r>
    </w:p>
    <w:p>
      <w:pPr>
        <w:pStyle w:val="BodyText"/>
        <w:spacing w:after="0" w:line="312" w:lineRule="auto"/>
        <w:sectPr>
          <w:pgSz w:w="11910" w:h="16840"/>
          <w:pgMar w:header="0" w:footer="467" w:top="1080" w:bottom="660" w:left="708" w:right="708"/>
          <w:cols w:num="2" w:equalWidth="0">
            <w:col w:w="5085" w:space="221"/>
            <w:col w:w="5188"/>
          </w:cols>
        </w:sectPr>
      </w:pPr>
    </w:p>
    <w:p>
      <w:pPr>
        <w:pStyle w:val="BodyText"/>
        <w:spacing w:line="312" w:lineRule="auto"/>
        <w:ind w:right="49" w:firstLine="300"/>
      </w:pPr>
      <w:r>
        <w:rPr/>
        <w:t>A total of forty-nine (</w:t>
      </w:r>
      <w:r>
        <w:rPr>
          <w:b/>
          <w:i/>
          <w:color w:val="111111"/>
        </w:rPr>
        <w:t>N = 49</w:t>
      </w:r>
      <w:r>
        <w:rPr/>
        <w:t>) respondents participated in the validation and evaluation </w:t>
      </w:r>
      <w:r>
        <w:rPr/>
        <w:t>process. The complete distribution of the respondents is presented in Table 1.</w:t>
      </w:r>
    </w:p>
    <w:p>
      <w:pPr>
        <w:spacing w:before="225"/>
        <w:ind w:left="142" w:right="0" w:firstLine="0"/>
        <w:jc w:val="left"/>
        <w:rPr>
          <w:rFonts w:ascii="Arial"/>
          <w:b/>
          <w:sz w:val="19"/>
        </w:rPr>
      </w:pPr>
      <w:r>
        <w:rPr>
          <w:rFonts w:ascii="Arial"/>
          <w:b/>
          <w:sz w:val="19"/>
        </w:rPr>
        <w:t>Table</w:t>
      </w:r>
      <w:r>
        <w:rPr>
          <w:rFonts w:ascii="Arial"/>
          <w:b/>
          <w:spacing w:val="-6"/>
          <w:sz w:val="19"/>
        </w:rPr>
        <w:t> </w:t>
      </w:r>
      <w:r>
        <w:rPr>
          <w:rFonts w:ascii="Arial"/>
          <w:b/>
          <w:sz w:val="19"/>
        </w:rPr>
        <w:t>1.</w:t>
      </w:r>
      <w:r>
        <w:rPr>
          <w:rFonts w:ascii="Arial"/>
          <w:b/>
          <w:spacing w:val="-4"/>
          <w:sz w:val="19"/>
        </w:rPr>
        <w:t> </w:t>
      </w:r>
      <w:r>
        <w:rPr>
          <w:rFonts w:ascii="Arial"/>
          <w:b/>
          <w:sz w:val="19"/>
        </w:rPr>
        <w:t>Distribution</w:t>
      </w:r>
      <w:r>
        <w:rPr>
          <w:rFonts w:ascii="Arial"/>
          <w:b/>
          <w:spacing w:val="-3"/>
          <w:sz w:val="19"/>
        </w:rPr>
        <w:t> </w:t>
      </w:r>
      <w:r>
        <w:rPr>
          <w:rFonts w:ascii="Arial"/>
          <w:b/>
          <w:sz w:val="19"/>
        </w:rPr>
        <w:t>of</w:t>
      </w:r>
      <w:r>
        <w:rPr>
          <w:rFonts w:ascii="Arial"/>
          <w:b/>
          <w:spacing w:val="-4"/>
          <w:sz w:val="19"/>
        </w:rPr>
        <w:t> </w:t>
      </w:r>
      <w:r>
        <w:rPr>
          <w:rFonts w:ascii="Arial"/>
          <w:b/>
          <w:sz w:val="19"/>
        </w:rPr>
        <w:t>Research</w:t>
      </w:r>
      <w:r>
        <w:rPr>
          <w:rFonts w:ascii="Arial"/>
          <w:b/>
          <w:spacing w:val="-3"/>
          <w:sz w:val="19"/>
        </w:rPr>
        <w:t> </w:t>
      </w:r>
      <w:r>
        <w:rPr>
          <w:rFonts w:ascii="Arial"/>
          <w:b/>
          <w:spacing w:val="-2"/>
          <w:sz w:val="19"/>
        </w:rPr>
        <w:t>Respondents</w:t>
      </w:r>
    </w:p>
    <w:p>
      <w:pPr>
        <w:pStyle w:val="BodyText"/>
        <w:spacing w:before="1"/>
        <w:ind w:left="0"/>
        <w:jc w:val="left"/>
        <w:rPr>
          <w:rFonts w:ascii="Arial"/>
          <w:b/>
          <w:sz w:val="9"/>
        </w:rPr>
      </w:pPr>
    </w:p>
    <w:tbl>
      <w:tblPr>
        <w:tblW w:w="0" w:type="auto"/>
        <w:jc w:val="left"/>
        <w:tblInd w:w="15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3427"/>
        <w:gridCol w:w="1457"/>
      </w:tblGrid>
      <w:tr>
        <w:trPr>
          <w:trHeight w:val="780" w:hRule="atLeast"/>
        </w:trPr>
        <w:tc>
          <w:tcPr>
            <w:tcW w:w="4884" w:type="dxa"/>
            <w:gridSpan w:val="2"/>
            <w:tcBorders>
              <w:top w:val="nil"/>
              <w:left w:val="nil"/>
              <w:bottom w:val="nil"/>
              <w:right w:val="nil"/>
            </w:tcBorders>
            <w:shd w:val="clear" w:color="auto" w:fill="1A365D"/>
          </w:tcPr>
          <w:p>
            <w:pPr>
              <w:pStyle w:val="TableParagraph"/>
              <w:spacing w:line="180" w:lineRule="exact" w:before="135"/>
              <w:ind w:left="3608"/>
              <w:rPr>
                <w:rFonts w:ascii="Arial"/>
                <w:b/>
                <w:sz w:val="19"/>
              </w:rPr>
            </w:pPr>
            <w:r>
              <w:rPr>
                <w:rFonts w:ascii="Arial"/>
                <w:b/>
                <w:color w:val="FFFFFF"/>
                <w:sz w:val="19"/>
              </w:rPr>
              <w:t>Sample</w:t>
            </w:r>
            <w:r>
              <w:rPr>
                <w:rFonts w:ascii="Arial"/>
                <w:b/>
                <w:color w:val="FFFFFF"/>
                <w:spacing w:val="-5"/>
                <w:sz w:val="19"/>
              </w:rPr>
              <w:t> </w:t>
            </w:r>
            <w:r>
              <w:rPr>
                <w:rFonts w:ascii="Arial"/>
                <w:b/>
                <w:color w:val="FFFFFF"/>
                <w:spacing w:val="-4"/>
                <w:sz w:val="19"/>
              </w:rPr>
              <w:t>Size</w:t>
            </w:r>
          </w:p>
          <w:p>
            <w:pPr>
              <w:pStyle w:val="TableParagraph"/>
              <w:spacing w:line="143" w:lineRule="exact"/>
              <w:ind w:left="135"/>
              <w:rPr>
                <w:rFonts w:ascii="Arial"/>
                <w:b/>
                <w:sz w:val="19"/>
              </w:rPr>
            </w:pPr>
            <w:r>
              <w:rPr>
                <w:rFonts w:ascii="Arial"/>
                <w:b/>
                <w:color w:val="FFFFFF"/>
                <w:sz w:val="19"/>
              </w:rPr>
              <w:t>Respondent </w:t>
            </w:r>
            <w:r>
              <w:rPr>
                <w:rFonts w:ascii="Arial"/>
                <w:b/>
                <w:color w:val="FFFFFF"/>
                <w:spacing w:val="-2"/>
                <w:sz w:val="19"/>
              </w:rPr>
              <w:t>Groups</w:t>
            </w:r>
          </w:p>
          <w:p>
            <w:pPr>
              <w:pStyle w:val="TableParagraph"/>
              <w:spacing w:line="180" w:lineRule="exact"/>
              <w:ind w:left="4041"/>
              <w:rPr>
                <w:rFonts w:ascii="Arial"/>
                <w:b/>
                <w:sz w:val="19"/>
              </w:rPr>
            </w:pPr>
            <w:r>
              <w:rPr>
                <w:rFonts w:ascii="Arial"/>
                <w:b/>
                <w:color w:val="FFFFFF"/>
                <w:spacing w:val="-5"/>
                <w:sz w:val="19"/>
              </w:rPr>
              <w:t>(n)</w:t>
            </w:r>
          </w:p>
        </w:tc>
      </w:tr>
      <w:tr>
        <w:trPr>
          <w:trHeight w:val="750" w:hRule="atLeast"/>
        </w:trPr>
        <w:tc>
          <w:tcPr>
            <w:tcW w:w="3427" w:type="dxa"/>
            <w:tcBorders>
              <w:top w:val="nil"/>
            </w:tcBorders>
          </w:tcPr>
          <w:p>
            <w:pPr>
              <w:pStyle w:val="TableParagraph"/>
              <w:spacing w:line="312" w:lineRule="auto" w:before="119"/>
              <w:ind w:left="127"/>
              <w:rPr>
                <w:sz w:val="19"/>
              </w:rPr>
            </w:pPr>
            <w:r>
              <w:rPr>
                <w:sz w:val="19"/>
              </w:rPr>
              <w:t>Expert</w:t>
            </w:r>
            <w:r>
              <w:rPr>
                <w:spacing w:val="80"/>
                <w:sz w:val="19"/>
              </w:rPr>
              <w:t> </w:t>
            </w:r>
            <w:r>
              <w:rPr>
                <w:sz w:val="19"/>
              </w:rPr>
              <w:t>Validators</w:t>
            </w:r>
            <w:r>
              <w:rPr>
                <w:spacing w:val="80"/>
                <w:sz w:val="19"/>
              </w:rPr>
              <w:t> </w:t>
            </w:r>
            <w:r>
              <w:rPr>
                <w:sz w:val="19"/>
              </w:rPr>
              <w:t>(Master</w:t>
            </w:r>
            <w:r>
              <w:rPr>
                <w:spacing w:val="80"/>
                <w:sz w:val="19"/>
              </w:rPr>
              <w:t> </w:t>
            </w:r>
            <w:r>
              <w:rPr>
                <w:sz w:val="19"/>
              </w:rPr>
              <w:t>Teachers/ </w:t>
            </w:r>
            <w:r>
              <w:rPr>
                <w:spacing w:val="-2"/>
                <w:sz w:val="19"/>
              </w:rPr>
              <w:t>Administrators)</w:t>
            </w:r>
          </w:p>
        </w:tc>
        <w:tc>
          <w:tcPr>
            <w:tcW w:w="1457" w:type="dxa"/>
            <w:tcBorders>
              <w:top w:val="nil"/>
            </w:tcBorders>
          </w:tcPr>
          <w:p>
            <w:pPr>
              <w:pStyle w:val="TableParagraph"/>
              <w:spacing w:before="43"/>
              <w:rPr>
                <w:rFonts w:ascii="Arial"/>
                <w:b/>
                <w:sz w:val="19"/>
              </w:rPr>
            </w:pPr>
          </w:p>
          <w:p>
            <w:pPr>
              <w:pStyle w:val="TableParagraph"/>
              <w:ind w:right="664"/>
              <w:jc w:val="right"/>
              <w:rPr>
                <w:sz w:val="19"/>
              </w:rPr>
            </w:pPr>
            <w:r>
              <w:rPr>
                <w:spacing w:val="-10"/>
                <w:sz w:val="19"/>
              </w:rPr>
              <w:t>5</w:t>
            </w:r>
          </w:p>
        </w:tc>
      </w:tr>
      <w:tr>
        <w:trPr>
          <w:trHeight w:val="465" w:hRule="atLeast"/>
        </w:trPr>
        <w:tc>
          <w:tcPr>
            <w:tcW w:w="3427" w:type="dxa"/>
            <w:shd w:val="clear" w:color="auto" w:fill="F6F9FB"/>
          </w:tcPr>
          <w:p>
            <w:pPr>
              <w:pStyle w:val="TableParagraph"/>
              <w:spacing w:before="119"/>
              <w:ind w:left="127"/>
              <w:rPr>
                <w:sz w:val="19"/>
              </w:rPr>
            </w:pPr>
            <w:r>
              <w:rPr>
                <w:spacing w:val="-2"/>
                <w:sz w:val="19"/>
              </w:rPr>
              <w:t>Mathematics</w:t>
            </w:r>
            <w:r>
              <w:rPr>
                <w:spacing w:val="-1"/>
                <w:sz w:val="19"/>
              </w:rPr>
              <w:t> </w:t>
            </w:r>
            <w:r>
              <w:rPr>
                <w:spacing w:val="-2"/>
                <w:sz w:val="19"/>
              </w:rPr>
              <w:t>Teachers</w:t>
            </w:r>
            <w:r>
              <w:rPr>
                <w:spacing w:val="4"/>
                <w:sz w:val="19"/>
              </w:rPr>
              <w:t> </w:t>
            </w:r>
            <w:r>
              <w:rPr>
                <w:spacing w:val="-2"/>
                <w:sz w:val="19"/>
              </w:rPr>
              <w:t>(Evaluators)</w:t>
            </w:r>
          </w:p>
        </w:tc>
        <w:tc>
          <w:tcPr>
            <w:tcW w:w="1457" w:type="dxa"/>
            <w:shd w:val="clear" w:color="auto" w:fill="F6F9FB"/>
          </w:tcPr>
          <w:p>
            <w:pPr>
              <w:pStyle w:val="TableParagraph"/>
              <w:spacing w:before="119"/>
              <w:ind w:right="664"/>
              <w:jc w:val="right"/>
              <w:rPr>
                <w:sz w:val="19"/>
              </w:rPr>
            </w:pPr>
            <w:r>
              <w:rPr>
                <w:spacing w:val="-10"/>
                <w:sz w:val="19"/>
              </w:rPr>
              <w:t>4</w:t>
            </w:r>
          </w:p>
        </w:tc>
      </w:tr>
      <w:tr>
        <w:trPr>
          <w:trHeight w:val="465" w:hRule="atLeast"/>
        </w:trPr>
        <w:tc>
          <w:tcPr>
            <w:tcW w:w="3427" w:type="dxa"/>
          </w:tcPr>
          <w:p>
            <w:pPr>
              <w:pStyle w:val="TableParagraph"/>
              <w:spacing w:before="119"/>
              <w:ind w:left="127"/>
              <w:rPr>
                <w:sz w:val="19"/>
              </w:rPr>
            </w:pPr>
            <w:r>
              <w:rPr>
                <w:sz w:val="19"/>
              </w:rPr>
              <w:t>Grade</w:t>
            </w:r>
            <w:r>
              <w:rPr>
                <w:spacing w:val="-7"/>
                <w:sz w:val="19"/>
              </w:rPr>
              <w:t> </w:t>
            </w:r>
            <w:r>
              <w:rPr>
                <w:sz w:val="19"/>
              </w:rPr>
              <w:t>9</w:t>
            </w:r>
            <w:r>
              <w:rPr>
                <w:spacing w:val="-6"/>
                <w:sz w:val="19"/>
              </w:rPr>
              <w:t> </w:t>
            </w:r>
            <w:r>
              <w:rPr>
                <w:sz w:val="19"/>
              </w:rPr>
              <w:t>Students</w:t>
            </w:r>
            <w:r>
              <w:rPr>
                <w:spacing w:val="-7"/>
                <w:sz w:val="19"/>
              </w:rPr>
              <w:t> </w:t>
            </w:r>
            <w:r>
              <w:rPr>
                <w:sz w:val="19"/>
              </w:rPr>
              <w:t>(Target</w:t>
            </w:r>
            <w:r>
              <w:rPr>
                <w:spacing w:val="-6"/>
                <w:sz w:val="19"/>
              </w:rPr>
              <w:t> </w:t>
            </w:r>
            <w:r>
              <w:rPr>
                <w:spacing w:val="-2"/>
                <w:sz w:val="19"/>
              </w:rPr>
              <w:t>Learners)</w:t>
            </w:r>
          </w:p>
        </w:tc>
        <w:tc>
          <w:tcPr>
            <w:tcW w:w="1457" w:type="dxa"/>
          </w:tcPr>
          <w:p>
            <w:pPr>
              <w:pStyle w:val="TableParagraph"/>
              <w:spacing w:before="119"/>
              <w:ind w:right="616"/>
              <w:jc w:val="right"/>
              <w:rPr>
                <w:sz w:val="19"/>
              </w:rPr>
            </w:pPr>
            <w:r>
              <w:rPr>
                <w:spacing w:val="-5"/>
                <w:sz w:val="19"/>
              </w:rPr>
              <w:t>40</w:t>
            </w:r>
          </w:p>
        </w:tc>
      </w:tr>
      <w:tr>
        <w:trPr>
          <w:trHeight w:val="465" w:hRule="atLeast"/>
        </w:trPr>
        <w:tc>
          <w:tcPr>
            <w:tcW w:w="3427" w:type="dxa"/>
            <w:shd w:val="clear" w:color="auto" w:fill="F6F9FB"/>
          </w:tcPr>
          <w:p>
            <w:pPr>
              <w:pStyle w:val="TableParagraph"/>
              <w:spacing w:before="119"/>
              <w:ind w:left="127"/>
              <w:rPr>
                <w:b/>
                <w:sz w:val="19"/>
              </w:rPr>
            </w:pPr>
            <w:r>
              <w:rPr>
                <w:b/>
                <w:spacing w:val="-2"/>
                <w:sz w:val="19"/>
              </w:rPr>
              <w:t>Total</w:t>
            </w:r>
          </w:p>
        </w:tc>
        <w:tc>
          <w:tcPr>
            <w:tcW w:w="1457" w:type="dxa"/>
            <w:shd w:val="clear" w:color="auto" w:fill="F6F9FB"/>
          </w:tcPr>
          <w:p>
            <w:pPr>
              <w:pStyle w:val="TableParagraph"/>
              <w:spacing w:before="119"/>
              <w:ind w:right="616"/>
              <w:jc w:val="right"/>
              <w:rPr>
                <w:b/>
                <w:sz w:val="19"/>
              </w:rPr>
            </w:pPr>
            <w:r>
              <w:rPr>
                <w:b/>
                <w:spacing w:val="-5"/>
                <w:sz w:val="19"/>
              </w:rPr>
              <w:t>49</w:t>
            </w:r>
          </w:p>
        </w:tc>
      </w:tr>
    </w:tbl>
    <w:p>
      <w:pPr>
        <w:pStyle w:val="BodyText"/>
        <w:spacing w:before="47"/>
        <w:ind w:left="0"/>
        <w:jc w:val="left"/>
        <w:rPr>
          <w:rFonts w:ascii="Arial"/>
          <w:b/>
          <w:sz w:val="19"/>
        </w:rPr>
      </w:pPr>
    </w:p>
    <w:p>
      <w:pPr>
        <w:pStyle w:val="BodyText"/>
        <w:spacing w:line="312" w:lineRule="auto" w:before="1"/>
        <w:ind w:right="38" w:firstLine="300"/>
      </w:pPr>
      <w:r>
        <w:rPr/>
        <w:t>To ensure a rigorous evaluation, specific inclusion criteria were enforced for each group. </w:t>
      </w:r>
      <w:r>
        <w:rPr>
          <w:i/>
        </w:rPr>
        <w:t>Expert</w:t>
      </w:r>
      <w:r>
        <w:rPr>
          <w:i/>
          <w:spacing w:val="40"/>
        </w:rPr>
        <w:t> </w:t>
      </w:r>
      <w:r>
        <w:rPr>
          <w:i/>
        </w:rPr>
        <w:t>Validators (n = 5) </w:t>
      </w:r>
      <w:r>
        <w:rPr/>
        <w:t>were required to be active Master Teachers or School Administrators with a minimum of five (5) years of instructional leadership experience. This group evaluated the materials for content</w:t>
      </w:r>
      <w:r>
        <w:rPr>
          <w:spacing w:val="40"/>
        </w:rPr>
        <w:t> </w:t>
      </w:r>
      <w:r>
        <w:rPr/>
        <w:t>accuracy, technical design, and alignment with the Department of Education's Most Essential Learning Competencies (MELCs). </w:t>
      </w:r>
      <w:r>
        <w:rPr>
          <w:i/>
        </w:rPr>
        <w:t>Mathematics Teachers (n =</w:t>
      </w:r>
      <w:r>
        <w:rPr>
          <w:i/>
          <w:spacing w:val="40"/>
        </w:rPr>
        <w:t> </w:t>
      </w:r>
      <w:r>
        <w:rPr>
          <w:i/>
        </w:rPr>
        <w:t>4) </w:t>
      </w:r>
      <w:r>
        <w:rPr/>
        <w:t>were required to be regular-permanent personnel actively teaching Grade 9 Mathematics with at least three (3) years of classroom experience to assess practical usability. Finally, </w:t>
      </w:r>
      <w:r>
        <w:rPr>
          <w:i/>
        </w:rPr>
        <w:t>Grade 9 Students (n = 40) </w:t>
      </w:r>
      <w:r>
        <w:rPr/>
        <w:t>were</w:t>
      </w:r>
      <w:r>
        <w:rPr>
          <w:spacing w:val="-3"/>
        </w:rPr>
        <w:t> </w:t>
      </w:r>
      <w:r>
        <w:rPr/>
        <w:t>selected</w:t>
      </w:r>
      <w:r>
        <w:rPr>
          <w:spacing w:val="-3"/>
        </w:rPr>
        <w:t> </w:t>
      </w:r>
      <w:r>
        <w:rPr/>
        <w:t>based</w:t>
      </w:r>
      <w:r>
        <w:rPr>
          <w:spacing w:val="-3"/>
        </w:rPr>
        <w:t> </w:t>
      </w:r>
      <w:r>
        <w:rPr/>
        <w:t>on</w:t>
      </w:r>
      <w:r>
        <w:rPr>
          <w:spacing w:val="-3"/>
        </w:rPr>
        <w:t> </w:t>
      </w:r>
      <w:r>
        <w:rPr/>
        <w:t>the</w:t>
      </w:r>
      <w:r>
        <w:rPr>
          <w:spacing w:val="-3"/>
        </w:rPr>
        <w:t> </w:t>
      </w:r>
      <w:r>
        <w:rPr/>
        <w:t>strict</w:t>
      </w:r>
      <w:r>
        <w:rPr>
          <w:spacing w:val="-3"/>
        </w:rPr>
        <w:t> </w:t>
      </w:r>
      <w:r>
        <w:rPr/>
        <w:t>inclusion</w:t>
      </w:r>
      <w:r>
        <w:rPr>
          <w:spacing w:val="-3"/>
        </w:rPr>
        <w:t> </w:t>
      </w:r>
      <w:r>
        <w:rPr/>
        <w:t>criterion</w:t>
      </w:r>
      <w:r>
        <w:rPr>
          <w:spacing w:val="-3"/>
        </w:rPr>
        <w:t> </w:t>
      </w:r>
      <w:r>
        <w:rPr/>
        <w:t>of</w:t>
      </w:r>
      <w:r>
        <w:rPr>
          <w:spacing w:val="-3"/>
        </w:rPr>
        <w:t> </w:t>
      </w:r>
      <w:r>
        <w:rPr/>
        <w:t>a baseline score falling below the 75% proficiency threshold in the pre-identified least learned competencies (Savin-Baden &amp; Howell Major, 2023).</w:t>
      </w:r>
    </w:p>
    <w:p>
      <w:pPr>
        <w:pStyle w:val="BodyText"/>
        <w:spacing w:line="312" w:lineRule="auto"/>
        <w:ind w:right="140"/>
      </w:pPr>
      <w:r>
        <w:rPr/>
        <w:br w:type="column"/>
      </w:r>
      <w:r>
        <w:rPr/>
        <w:t>measuring campus flagpoles, calculating shadow lengths, and referencing regional farming or </w:t>
      </w:r>
      <w:r>
        <w:rPr/>
        <w:t>coastal fishing practices.</w:t>
      </w:r>
    </w:p>
    <w:p>
      <w:pPr>
        <w:pStyle w:val="BodyText"/>
        <w:spacing w:after="0" w:line="312" w:lineRule="auto"/>
        <w:sectPr>
          <w:pgSz w:w="11910" w:h="16840"/>
          <w:pgMar w:header="0" w:footer="467" w:top="1080" w:bottom="660" w:left="708" w:right="708"/>
          <w:cols w:num="2" w:equalWidth="0">
            <w:col w:w="5093" w:space="214"/>
            <w:col w:w="5187"/>
          </w:cols>
        </w:sectPr>
      </w:pPr>
    </w:p>
    <w:p>
      <w:pPr>
        <w:pStyle w:val="BodyText"/>
        <w:spacing w:before="28"/>
        <w:ind w:left="0"/>
        <w:jc w:val="left"/>
        <w:rPr>
          <w:sz w:val="20"/>
        </w:rPr>
      </w:pPr>
    </w:p>
    <w:p>
      <w:pPr>
        <w:pStyle w:val="BodyText"/>
        <w:spacing w:after="0"/>
        <w:jc w:val="left"/>
        <w:rPr>
          <w:sz w:val="20"/>
        </w:rPr>
        <w:sectPr>
          <w:type w:val="continuous"/>
          <w:pgSz w:w="11910" w:h="16840"/>
          <w:pgMar w:header="0" w:footer="467" w:top="1120" w:bottom="660" w:left="708" w:right="708"/>
        </w:sectPr>
      </w:pPr>
    </w:p>
    <w:p>
      <w:pPr>
        <w:pStyle w:val="BodyText"/>
        <w:spacing w:line="312" w:lineRule="auto" w:before="91"/>
        <w:ind w:right="38"/>
      </w:pPr>
      <w:r>
        <w:rPr/>
        <w:t>Crucially, these localized applications were reinforced by intentional parental involvement centered on </w:t>
      </w:r>
      <w:r>
        <w:rPr/>
        <w:t>the affective domain. Rather than instructing students on complex formulas, parents served as vital emotional anchors by providing continuous motivation, monitoring daily study habits, and actively mitigating mathematics anxiety. By pairing these culturally relatable settings with positive parental reinforcement, the</w:t>
      </w:r>
      <w:r>
        <w:rPr>
          <w:spacing w:val="30"/>
        </w:rPr>
        <w:t> </w:t>
      </w:r>
      <w:r>
        <w:rPr/>
        <w:t>intervention</w:t>
      </w:r>
      <w:r>
        <w:rPr>
          <w:spacing w:val="30"/>
        </w:rPr>
        <w:t> </w:t>
      </w:r>
      <w:r>
        <w:rPr/>
        <w:t>nurtured</w:t>
      </w:r>
      <w:r>
        <w:rPr>
          <w:spacing w:val="30"/>
        </w:rPr>
        <w:t> </w:t>
      </w:r>
      <w:r>
        <w:rPr/>
        <w:t>both</w:t>
      </w:r>
      <w:r>
        <w:rPr>
          <w:spacing w:val="30"/>
        </w:rPr>
        <w:t> </w:t>
      </w:r>
      <w:r>
        <w:rPr/>
        <w:t>student</w:t>
      </w:r>
      <w:r>
        <w:rPr>
          <w:spacing w:val="30"/>
        </w:rPr>
        <w:t> </w:t>
      </w:r>
      <w:r>
        <w:rPr/>
        <w:t>confidence</w:t>
      </w:r>
      <w:r>
        <w:rPr>
          <w:spacing w:val="30"/>
        </w:rPr>
        <w:t> </w:t>
      </w:r>
      <w:r>
        <w:rPr>
          <w:spacing w:val="-5"/>
        </w:rPr>
        <w:t>and</w:t>
      </w:r>
    </w:p>
    <w:p>
      <w:pPr>
        <w:spacing w:line="240" w:lineRule="auto" w:before="119"/>
        <w:rPr>
          <w:sz w:val="24"/>
        </w:rPr>
      </w:pPr>
      <w:r>
        <w:rPr/>
        <w:br w:type="column"/>
      </w:r>
      <w:r>
        <w:rPr>
          <w:sz w:val="24"/>
        </w:rPr>
      </w:r>
    </w:p>
    <w:p>
      <w:pPr>
        <w:pStyle w:val="Heading1"/>
        <w:numPr>
          <w:ilvl w:val="0"/>
          <w:numId w:val="1"/>
        </w:numPr>
        <w:tabs>
          <w:tab w:pos="1719" w:val="left" w:leader="none"/>
          <w:tab w:pos="4528" w:val="left" w:leader="none"/>
        </w:tabs>
        <w:spacing w:line="312" w:lineRule="auto" w:before="0" w:after="0"/>
        <w:ind w:left="322" w:right="132" w:firstLine="0"/>
        <w:jc w:val="left"/>
      </w:pPr>
      <w:r>
        <w:rPr/>
        <mc:AlternateContent>
          <mc:Choice Requires="wps">
            <w:drawing>
              <wp:anchor distT="0" distB="0" distL="0" distR="0" allowOverlap="1" layoutInCell="1" locked="0" behindDoc="0" simplePos="0" relativeHeight="15731200">
                <wp:simplePos x="0" y="0"/>
                <wp:positionH relativeFrom="page">
                  <wp:posOffset>3909600</wp:posOffset>
                </wp:positionH>
                <wp:positionV relativeFrom="paragraph">
                  <wp:posOffset>-23979</wp:posOffset>
                </wp:positionV>
                <wp:extent cx="38100" cy="4572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100" cy="457200"/>
                        </a:xfrm>
                        <a:custGeom>
                          <a:avLst/>
                          <a:gdLst/>
                          <a:ahLst/>
                          <a:cxnLst/>
                          <a:rect l="l" t="t" r="r" b="b"/>
                          <a:pathLst>
                            <a:path w="38100" h="457200">
                              <a:moveTo>
                                <a:pt x="38100" y="457200"/>
                              </a:moveTo>
                              <a:lnTo>
                                <a:pt x="0" y="457200"/>
                              </a:lnTo>
                              <a:lnTo>
                                <a:pt x="0" y="0"/>
                              </a:lnTo>
                              <a:lnTo>
                                <a:pt x="38100" y="0"/>
                              </a:lnTo>
                              <a:lnTo>
                                <a:pt x="38100" y="457200"/>
                              </a:lnTo>
                              <a:close/>
                            </a:path>
                          </a:pathLst>
                        </a:custGeom>
                        <a:solidFill>
                          <a:srgbClr val="1A365D"/>
                        </a:solidFill>
                      </wps:spPr>
                      <wps:bodyPr wrap="square" lIns="0" tIns="0" rIns="0" bIns="0" rtlCol="0">
                        <a:prstTxWarp prst="textNoShape">
                          <a:avLst/>
                        </a:prstTxWarp>
                        <a:noAutofit/>
                      </wps:bodyPr>
                    </wps:wsp>
                  </a:graphicData>
                </a:graphic>
              </wp:anchor>
            </w:drawing>
          </mc:Choice>
          <mc:Fallback>
            <w:pict>
              <v:rect style="position:absolute;margin-left:307.842529pt;margin-top:-1.888143pt;width:3.0pt;height:36.000001pt;mso-position-horizontal-relative:page;mso-position-vertical-relative:paragraph;z-index:15731200" id="docshape10" filled="true" fillcolor="#1a365d" stroked="false">
                <v:fill type="solid"/>
                <w10:wrap type="none"/>
              </v:rect>
            </w:pict>
          </mc:Fallback>
        </mc:AlternateContent>
      </w:r>
      <w:bookmarkStart w:name="4. Conclusion and Recommendations" w:id="10"/>
      <w:bookmarkEnd w:id="10"/>
      <w:r>
        <w:rPr>
          <w:b w:val="0"/>
        </w:rPr>
      </w:r>
      <w:r>
        <w:rPr>
          <w:color w:val="1A365D"/>
          <w:spacing w:val="-2"/>
        </w:rPr>
        <w:t>CONCLUSION</w:t>
      </w:r>
      <w:r>
        <w:rPr>
          <w:color w:val="1A365D"/>
        </w:rPr>
        <w:tab/>
      </w:r>
      <w:r>
        <w:rPr>
          <w:color w:val="1A365D"/>
          <w:spacing w:val="-4"/>
        </w:rPr>
        <w:t>AND </w:t>
      </w:r>
      <w:r>
        <w:rPr>
          <w:color w:val="1A365D"/>
          <w:spacing w:val="-2"/>
        </w:rPr>
        <w:t>RECOMMENDATIONS</w:t>
      </w:r>
    </w:p>
    <w:p>
      <w:pPr>
        <w:pStyle w:val="Heading2"/>
        <w:numPr>
          <w:ilvl w:val="1"/>
          <w:numId w:val="1"/>
        </w:numPr>
        <w:tabs>
          <w:tab w:pos="506" w:val="left" w:leader="none"/>
        </w:tabs>
        <w:spacing w:line="240" w:lineRule="auto" w:before="224" w:after="0"/>
        <w:ind w:left="506" w:right="0" w:hanging="364"/>
        <w:jc w:val="left"/>
      </w:pPr>
      <w:bookmarkStart w:name="4.1 Summary and Conclusions" w:id="11"/>
      <w:bookmarkEnd w:id="11"/>
      <w:r>
        <w:rPr>
          <w:b w:val="0"/>
        </w:rPr>
      </w:r>
      <w:r>
        <w:rPr>
          <w:color w:val="2B5282"/>
        </w:rPr>
        <w:t>Summary</w:t>
      </w:r>
      <w:r>
        <w:rPr>
          <w:color w:val="2B5282"/>
          <w:spacing w:val="-3"/>
        </w:rPr>
        <w:t> </w:t>
      </w:r>
      <w:r>
        <w:rPr>
          <w:color w:val="2B5282"/>
        </w:rPr>
        <w:t>and</w:t>
      </w:r>
      <w:r>
        <w:rPr>
          <w:color w:val="2B5282"/>
          <w:spacing w:val="-3"/>
        </w:rPr>
        <w:t> </w:t>
      </w:r>
      <w:r>
        <w:rPr>
          <w:color w:val="2B5282"/>
          <w:spacing w:val="-2"/>
        </w:rPr>
        <w:t>Conclusions</w:t>
      </w:r>
    </w:p>
    <w:p>
      <w:pPr>
        <w:pStyle w:val="BodyText"/>
        <w:spacing w:line="312" w:lineRule="auto" w:before="196"/>
        <w:ind w:right="140" w:firstLine="300"/>
      </w:pPr>
      <w:r>
        <w:rPr/>
        <w:t>The primary objective of this study was to design, implement, and evaluate localized Remedial </w:t>
      </w:r>
      <w:r>
        <w:rPr/>
        <w:t>Learning Materials (RLMs) to address chronic learning gaps in Grade</w:t>
      </w:r>
      <w:r>
        <w:rPr>
          <w:spacing w:val="74"/>
        </w:rPr>
        <w:t> </w:t>
      </w:r>
      <w:r>
        <w:rPr/>
        <w:t>9</w:t>
      </w:r>
      <w:r>
        <w:rPr>
          <w:spacing w:val="74"/>
        </w:rPr>
        <w:t> </w:t>
      </w:r>
      <w:r>
        <w:rPr/>
        <w:t>mathematics.</w:t>
      </w:r>
      <w:r>
        <w:rPr>
          <w:spacing w:val="74"/>
        </w:rPr>
        <w:t> </w:t>
      </w:r>
      <w:r>
        <w:rPr/>
        <w:t>Based</w:t>
      </w:r>
      <w:r>
        <w:rPr>
          <w:spacing w:val="74"/>
        </w:rPr>
        <w:t> </w:t>
      </w:r>
      <w:r>
        <w:rPr/>
        <w:t>on</w:t>
      </w:r>
      <w:r>
        <w:rPr>
          <w:spacing w:val="74"/>
        </w:rPr>
        <w:t> </w:t>
      </w:r>
      <w:r>
        <w:rPr/>
        <w:t>the</w:t>
      </w:r>
      <w:r>
        <w:rPr>
          <w:spacing w:val="74"/>
        </w:rPr>
        <w:t> </w:t>
      </w:r>
      <w:r>
        <w:rPr/>
        <w:t>empirical</w:t>
      </w:r>
      <w:r>
        <w:rPr>
          <w:spacing w:val="74"/>
        </w:rPr>
        <w:t> </w:t>
      </w:r>
      <w:r>
        <w:rPr>
          <w:spacing w:val="-5"/>
        </w:rPr>
        <w:t>and</w:t>
      </w:r>
    </w:p>
    <w:p>
      <w:pPr>
        <w:pStyle w:val="BodyText"/>
        <w:spacing w:after="0" w:line="312" w:lineRule="auto"/>
        <w:sectPr>
          <w:type w:val="continuous"/>
          <w:pgSz w:w="11910" w:h="16840"/>
          <w:pgMar w:header="0" w:footer="467" w:top="1120" w:bottom="660" w:left="708" w:right="708"/>
          <w:cols w:num="2" w:equalWidth="0">
            <w:col w:w="5081" w:space="225"/>
            <w:col w:w="5188"/>
          </w:cols>
        </w:sectPr>
      </w:pPr>
    </w:p>
    <w:p>
      <w:pPr>
        <w:pStyle w:val="BodyText"/>
        <w:spacing w:line="312" w:lineRule="auto"/>
        <w:jc w:val="left"/>
      </w:pPr>
      <w:r>
        <w:rPr/>
        <w:t>conceptual understanding, effectively compressing </w:t>
      </w:r>
      <w:r>
        <w:rPr/>
        <w:t>the achievement gap.</w:t>
      </w:r>
    </w:p>
    <w:p>
      <w:pPr>
        <w:pStyle w:val="BodyText"/>
        <w:spacing w:line="312" w:lineRule="auto" w:before="182"/>
        <w:ind w:right="40" w:firstLine="300"/>
      </w:pPr>
      <w:r>
        <w:rPr/>
        <w:t>This academic recovery validates established instructional models and empirical relationships documented in recent literature. The </w:t>
      </w:r>
      <w:r>
        <w:rPr/>
        <w:t>prominent</w:t>
      </w:r>
      <w:r>
        <w:rPr>
          <w:spacing w:val="40"/>
        </w:rPr>
        <w:t> </w:t>
      </w:r>
      <w:r>
        <w:rPr/>
        <w:t>increase in the post-test mean directly aligns with Rafizal et al. (2026), who demonstrated a strong positive correlation between systematic physical learning workbooks and student content mastery. Additionally, the uniform improvement and narrow score dispersion strongly support Vygotsky’s Zone of Proximal Development (ZPD). The heavily scaffolded, printed strategic materials acted as an instructional bridge, guiding underperforming public school</w:t>
      </w:r>
      <w:r>
        <w:rPr>
          <w:spacing w:val="80"/>
        </w:rPr>
        <w:t> </w:t>
      </w:r>
      <w:r>
        <w:rPr/>
        <w:t>students</w:t>
      </w:r>
      <w:r>
        <w:rPr>
          <w:spacing w:val="-1"/>
        </w:rPr>
        <w:t> </w:t>
      </w:r>
      <w:r>
        <w:rPr/>
        <w:t>toward</w:t>
      </w:r>
      <w:r>
        <w:rPr>
          <w:spacing w:val="-1"/>
        </w:rPr>
        <w:t> </w:t>
      </w:r>
      <w:r>
        <w:rPr/>
        <w:t>independent</w:t>
      </w:r>
      <w:r>
        <w:rPr>
          <w:spacing w:val="-1"/>
        </w:rPr>
        <w:t> </w:t>
      </w:r>
      <w:r>
        <w:rPr/>
        <w:t>proficiency.</w:t>
      </w:r>
      <w:r>
        <w:rPr>
          <w:spacing w:val="-1"/>
        </w:rPr>
        <w:t> </w:t>
      </w:r>
      <w:r>
        <w:rPr/>
        <w:t>Finally,</w:t>
      </w:r>
      <w:r>
        <w:rPr>
          <w:spacing w:val="-1"/>
        </w:rPr>
        <w:t> </w:t>
      </w:r>
      <w:r>
        <w:rPr/>
        <w:t>these results confirm Merrill's First Principles of Instruction, supported by Johnson and Keller (2021), proving that mathematics remediation operates at peak efficiency when structured around active demonstration followed by progressive, independent application.</w:t>
      </w:r>
    </w:p>
    <w:p>
      <w:pPr>
        <w:pStyle w:val="Heading2"/>
        <w:spacing w:before="246"/>
      </w:pPr>
      <w:bookmarkStart w:name="3.2 Test of Significant Difference" w:id="12"/>
      <w:bookmarkEnd w:id="12"/>
      <w:r>
        <w:rPr>
          <w:b w:val="0"/>
        </w:rPr>
      </w:r>
      <w:r>
        <w:rPr>
          <w:color w:val="2B5282"/>
        </w:rPr>
        <w:t>3.2</w:t>
      </w:r>
      <w:r>
        <w:rPr>
          <w:color w:val="2B5282"/>
          <w:spacing w:val="-5"/>
        </w:rPr>
        <w:t> </w:t>
      </w:r>
      <w:r>
        <w:rPr>
          <w:color w:val="2B5282"/>
        </w:rPr>
        <w:t>Test</w:t>
      </w:r>
      <w:r>
        <w:rPr>
          <w:color w:val="2B5282"/>
          <w:spacing w:val="-5"/>
        </w:rPr>
        <w:t> </w:t>
      </w:r>
      <w:r>
        <w:rPr>
          <w:color w:val="2B5282"/>
        </w:rPr>
        <w:t>of</w:t>
      </w:r>
      <w:r>
        <w:rPr>
          <w:color w:val="2B5282"/>
          <w:spacing w:val="-5"/>
        </w:rPr>
        <w:t> </w:t>
      </w:r>
      <w:r>
        <w:rPr>
          <w:color w:val="2B5282"/>
        </w:rPr>
        <w:t>Significant</w:t>
      </w:r>
      <w:r>
        <w:rPr>
          <w:color w:val="2B5282"/>
          <w:spacing w:val="-4"/>
        </w:rPr>
        <w:t> </w:t>
      </w:r>
      <w:r>
        <w:rPr>
          <w:color w:val="2B5282"/>
          <w:spacing w:val="-2"/>
        </w:rPr>
        <w:t>Difference</w:t>
      </w:r>
    </w:p>
    <w:p>
      <w:pPr>
        <w:pStyle w:val="BodyText"/>
        <w:spacing w:line="312" w:lineRule="auto" w:before="196"/>
        <w:ind w:right="41" w:firstLine="300"/>
      </w:pPr>
      <w:r>
        <w:rPr/>
        <w:t>To determine whether the observed academic gains were statistically meaningful or a matter of chance, a paired-samples </w:t>
      </w:r>
      <w:r>
        <w:rPr>
          <w:b/>
          <w:i/>
          <w:color w:val="111111"/>
        </w:rPr>
        <w:t>t</w:t>
      </w:r>
      <w:r>
        <w:rPr/>
        <w:t>-test was conducted. Table 3 presents the inferential statistical analysis comparing student achievements before and after the RLM </w:t>
      </w:r>
      <w:r>
        <w:rPr>
          <w:spacing w:val="-2"/>
        </w:rPr>
        <w:t>implementation.</w:t>
      </w:r>
    </w:p>
    <w:p>
      <w:pPr>
        <w:spacing w:line="312" w:lineRule="auto" w:before="228"/>
        <w:ind w:left="142" w:right="0" w:firstLine="0"/>
        <w:jc w:val="left"/>
        <w:rPr>
          <w:rFonts w:ascii="Arial"/>
          <w:b/>
          <w:sz w:val="19"/>
        </w:rPr>
      </w:pPr>
      <w:r>
        <w:rPr>
          <w:rFonts w:ascii="Arial"/>
          <w:b/>
          <w:sz w:val="19"/>
        </w:rPr>
        <w:t>Table 3. Inferential Analysis of Pre-test and Post-test </w:t>
      </w:r>
      <w:r>
        <w:rPr>
          <w:rFonts w:ascii="Arial"/>
          <w:b/>
          <w:spacing w:val="-2"/>
          <w:sz w:val="19"/>
        </w:rPr>
        <w:t>Difference</w:t>
      </w:r>
    </w:p>
    <w:p>
      <w:pPr>
        <w:pStyle w:val="BodyText"/>
        <w:spacing w:before="5"/>
        <w:ind w:left="0"/>
        <w:jc w:val="left"/>
        <w:rPr>
          <w:rFonts w:ascii="Arial"/>
          <w:b/>
          <w:sz w:val="3"/>
        </w:rPr>
      </w:pPr>
    </w:p>
    <w:tbl>
      <w:tblPr>
        <w:tblW w:w="0" w:type="auto"/>
        <w:jc w:val="left"/>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518"/>
        <w:gridCol w:w="1224"/>
        <w:gridCol w:w="786"/>
        <w:gridCol w:w="1400"/>
      </w:tblGrid>
      <w:tr>
        <w:trPr>
          <w:trHeight w:val="772" w:hRule="atLeast"/>
        </w:trPr>
        <w:tc>
          <w:tcPr>
            <w:tcW w:w="1474" w:type="dxa"/>
            <w:gridSpan w:val="2"/>
            <w:shd w:val="clear" w:color="auto" w:fill="1A365D"/>
          </w:tcPr>
          <w:p>
            <w:pPr>
              <w:pStyle w:val="TableParagraph"/>
              <w:spacing w:before="59"/>
              <w:rPr>
                <w:rFonts w:ascii="Arial"/>
                <w:b/>
                <w:sz w:val="19"/>
              </w:rPr>
            </w:pPr>
          </w:p>
          <w:p>
            <w:pPr>
              <w:pStyle w:val="TableParagraph"/>
              <w:ind w:left="135"/>
              <w:rPr>
                <w:rFonts w:ascii="Arial"/>
                <w:b/>
                <w:sz w:val="19"/>
              </w:rPr>
            </w:pPr>
            <w:r>
              <w:rPr>
                <w:rFonts w:ascii="Arial"/>
                <w:b/>
                <w:color w:val="FFFFFF"/>
                <w:spacing w:val="-2"/>
                <w:sz w:val="19"/>
              </w:rPr>
              <w:t>Comparison</w:t>
            </w:r>
          </w:p>
        </w:tc>
        <w:tc>
          <w:tcPr>
            <w:tcW w:w="1224" w:type="dxa"/>
            <w:shd w:val="clear" w:color="auto" w:fill="1A365D"/>
          </w:tcPr>
          <w:p>
            <w:pPr>
              <w:pStyle w:val="TableParagraph"/>
              <w:spacing w:line="312" w:lineRule="auto" w:before="135"/>
              <w:ind w:left="587" w:right="132" w:hanging="439"/>
              <w:rPr>
                <w:rFonts w:ascii="Arial"/>
                <w:b/>
                <w:sz w:val="19"/>
              </w:rPr>
            </w:pPr>
            <w:r>
              <w:rPr>
                <w:rFonts w:ascii="Arial"/>
                <w:b/>
                <w:color w:val="FFFFFF"/>
                <w:spacing w:val="-2"/>
                <w:sz w:val="19"/>
              </w:rPr>
              <w:t>Computed </w:t>
            </w:r>
            <w:r>
              <w:rPr>
                <w:rFonts w:ascii="Arial"/>
                <w:b/>
                <w:color w:val="FFFFFF"/>
                <w:spacing w:val="-10"/>
                <w:sz w:val="19"/>
              </w:rPr>
              <w:t>t</w:t>
            </w:r>
          </w:p>
        </w:tc>
        <w:tc>
          <w:tcPr>
            <w:tcW w:w="786" w:type="dxa"/>
            <w:shd w:val="clear" w:color="auto" w:fill="1A365D"/>
          </w:tcPr>
          <w:p>
            <w:pPr>
              <w:pStyle w:val="TableParagraph"/>
              <w:spacing w:line="312" w:lineRule="auto" w:before="135"/>
              <w:ind w:left="156" w:right="141" w:firstLine="153"/>
              <w:rPr>
                <w:rFonts w:ascii="Arial"/>
                <w:b/>
                <w:sz w:val="19"/>
              </w:rPr>
            </w:pPr>
            <w:r>
              <w:rPr>
                <w:rFonts w:ascii="Arial"/>
                <w:b/>
                <w:color w:val="FFFFFF"/>
                <w:spacing w:val="-6"/>
                <w:sz w:val="19"/>
              </w:rPr>
              <w:t>p- </w:t>
            </w:r>
            <w:r>
              <w:rPr>
                <w:rFonts w:ascii="Arial"/>
                <w:b/>
                <w:color w:val="FFFFFF"/>
                <w:spacing w:val="-2"/>
                <w:sz w:val="19"/>
              </w:rPr>
              <w:t>value</w:t>
            </w:r>
          </w:p>
        </w:tc>
        <w:tc>
          <w:tcPr>
            <w:tcW w:w="1400" w:type="dxa"/>
            <w:shd w:val="clear" w:color="auto" w:fill="1A365D"/>
          </w:tcPr>
          <w:p>
            <w:pPr>
              <w:pStyle w:val="TableParagraph"/>
              <w:spacing w:line="312" w:lineRule="auto" w:before="135"/>
              <w:ind w:left="134" w:right="365"/>
              <w:rPr>
                <w:rFonts w:ascii="Arial"/>
                <w:b/>
                <w:sz w:val="19"/>
              </w:rPr>
            </w:pPr>
            <w:r>
              <w:rPr>
                <w:rFonts w:ascii="Arial"/>
                <w:b/>
                <w:color w:val="FFFFFF"/>
                <w:spacing w:val="-2"/>
                <w:sz w:val="19"/>
              </w:rPr>
              <w:t>Statistical Decision</w:t>
            </w:r>
          </w:p>
        </w:tc>
      </w:tr>
      <w:tr>
        <w:trPr>
          <w:trHeight w:val="757" w:hRule="atLeast"/>
        </w:trPr>
        <w:tc>
          <w:tcPr>
            <w:tcW w:w="956" w:type="dxa"/>
            <w:tcBorders>
              <w:left w:val="single" w:sz="6" w:space="0" w:color="DDDDDD"/>
              <w:bottom w:val="single" w:sz="6" w:space="0" w:color="DDDDDD"/>
            </w:tcBorders>
          </w:tcPr>
          <w:p>
            <w:pPr>
              <w:pStyle w:val="TableParagraph"/>
              <w:spacing w:line="312" w:lineRule="auto" w:before="126"/>
              <w:ind w:left="127" w:right="164"/>
              <w:rPr>
                <w:sz w:val="19"/>
              </w:rPr>
            </w:pPr>
            <w:r>
              <w:rPr>
                <w:spacing w:val="-2"/>
                <w:sz w:val="19"/>
              </w:rPr>
              <w:t>Pre-test </w:t>
            </w:r>
            <w:r>
              <w:rPr>
                <w:sz w:val="19"/>
              </w:rPr>
              <w:t>Post-</w:t>
            </w:r>
            <w:r>
              <w:rPr>
                <w:spacing w:val="-4"/>
                <w:sz w:val="19"/>
              </w:rPr>
              <w:t>test</w:t>
            </w:r>
          </w:p>
        </w:tc>
        <w:tc>
          <w:tcPr>
            <w:tcW w:w="518" w:type="dxa"/>
            <w:tcBorders>
              <w:bottom w:val="single" w:sz="6" w:space="0" w:color="DDDDDD"/>
              <w:right w:val="single" w:sz="6" w:space="0" w:color="DDDDDD"/>
            </w:tcBorders>
          </w:tcPr>
          <w:p>
            <w:pPr>
              <w:pStyle w:val="TableParagraph"/>
              <w:spacing w:before="126"/>
              <w:ind w:left="181"/>
              <w:rPr>
                <w:sz w:val="19"/>
              </w:rPr>
            </w:pPr>
            <w:r>
              <w:rPr>
                <w:spacing w:val="-5"/>
                <w:sz w:val="19"/>
              </w:rPr>
              <w:t>vs.</w:t>
            </w:r>
          </w:p>
        </w:tc>
        <w:tc>
          <w:tcPr>
            <w:tcW w:w="1224" w:type="dxa"/>
            <w:tcBorders>
              <w:left w:val="single" w:sz="6" w:space="0" w:color="DDDDDD"/>
              <w:bottom w:val="single" w:sz="6" w:space="0" w:color="DDDDDD"/>
              <w:right w:val="single" w:sz="6" w:space="0" w:color="DDDDDD"/>
            </w:tcBorders>
          </w:tcPr>
          <w:p>
            <w:pPr>
              <w:pStyle w:val="TableParagraph"/>
              <w:spacing w:before="50"/>
              <w:rPr>
                <w:rFonts w:ascii="Arial"/>
                <w:b/>
                <w:sz w:val="19"/>
              </w:rPr>
            </w:pPr>
          </w:p>
          <w:p>
            <w:pPr>
              <w:pStyle w:val="TableParagraph"/>
              <w:ind w:left="397"/>
              <w:rPr>
                <w:sz w:val="19"/>
              </w:rPr>
            </w:pPr>
            <w:r>
              <w:rPr>
                <w:spacing w:val="-2"/>
                <w:sz w:val="19"/>
              </w:rPr>
              <w:t>21.34</w:t>
            </w:r>
          </w:p>
        </w:tc>
        <w:tc>
          <w:tcPr>
            <w:tcW w:w="786" w:type="dxa"/>
            <w:tcBorders>
              <w:left w:val="single" w:sz="6" w:space="0" w:color="DDDDDD"/>
              <w:bottom w:val="single" w:sz="6" w:space="0" w:color="DDDDDD"/>
              <w:right w:val="single" w:sz="6" w:space="0" w:color="DDDDDD"/>
            </w:tcBorders>
          </w:tcPr>
          <w:p>
            <w:pPr>
              <w:pStyle w:val="TableParagraph"/>
              <w:spacing w:before="50"/>
              <w:rPr>
                <w:rFonts w:ascii="Arial"/>
                <w:b/>
                <w:sz w:val="19"/>
              </w:rPr>
            </w:pPr>
          </w:p>
          <w:p>
            <w:pPr>
              <w:pStyle w:val="TableParagraph"/>
              <w:ind w:left="148"/>
              <w:rPr>
                <w:sz w:val="19"/>
              </w:rPr>
            </w:pPr>
            <w:r>
              <w:rPr>
                <w:sz w:val="19"/>
              </w:rPr>
              <w:t>&lt; </w:t>
            </w:r>
            <w:r>
              <w:rPr>
                <w:spacing w:val="-4"/>
                <w:sz w:val="19"/>
              </w:rPr>
              <w:t>.001</w:t>
            </w:r>
          </w:p>
        </w:tc>
        <w:tc>
          <w:tcPr>
            <w:tcW w:w="1400" w:type="dxa"/>
            <w:tcBorders>
              <w:left w:val="single" w:sz="6" w:space="0" w:color="DDDDDD"/>
              <w:bottom w:val="single" w:sz="6" w:space="0" w:color="DDDDDD"/>
              <w:right w:val="single" w:sz="6" w:space="0" w:color="DDDDDD"/>
            </w:tcBorders>
          </w:tcPr>
          <w:p>
            <w:pPr>
              <w:pStyle w:val="TableParagraph"/>
              <w:tabs>
                <w:tab w:pos="1028" w:val="left" w:leader="none"/>
              </w:tabs>
              <w:spacing w:line="312" w:lineRule="auto" w:before="126"/>
              <w:ind w:left="126" w:right="111"/>
              <w:rPr>
                <w:b/>
                <w:sz w:val="19"/>
              </w:rPr>
            </w:pPr>
            <w:r>
              <w:rPr>
                <w:b/>
                <w:color w:val="1A365D"/>
                <w:spacing w:val="-2"/>
                <w:sz w:val="19"/>
              </w:rPr>
              <w:t>Reject</w:t>
            </w:r>
            <w:r>
              <w:rPr>
                <w:b/>
                <w:color w:val="1A365D"/>
                <w:sz w:val="19"/>
              </w:rPr>
              <w:tab/>
            </w:r>
            <w:r>
              <w:rPr>
                <w:b/>
                <w:color w:val="1A365D"/>
                <w:spacing w:val="-6"/>
                <w:sz w:val="19"/>
              </w:rPr>
              <w:t>H0 </w:t>
            </w:r>
            <w:r>
              <w:rPr>
                <w:b/>
                <w:color w:val="1A365D"/>
                <w:sz w:val="19"/>
              </w:rPr>
              <w:t>(Highly Sig.)</w:t>
            </w:r>
          </w:p>
        </w:tc>
      </w:tr>
    </w:tbl>
    <w:p>
      <w:pPr>
        <w:pStyle w:val="BodyText"/>
        <w:spacing w:before="49"/>
        <w:ind w:left="0"/>
        <w:jc w:val="left"/>
        <w:rPr>
          <w:rFonts w:ascii="Arial"/>
          <w:b/>
          <w:sz w:val="19"/>
        </w:rPr>
      </w:pPr>
    </w:p>
    <w:p>
      <w:pPr>
        <w:pStyle w:val="BodyText"/>
        <w:spacing w:line="312" w:lineRule="auto" w:before="0"/>
        <w:ind w:right="40" w:firstLine="300"/>
      </w:pPr>
      <w:r>
        <w:rPr/>
        <w:t>The statistical analysis yielded a substantial computed </w:t>
      </w:r>
      <w:r>
        <w:rPr>
          <w:b/>
          <w:i/>
          <w:color w:val="111111"/>
        </w:rPr>
        <w:t>t</w:t>
      </w:r>
      <w:r>
        <w:rPr/>
        <w:t>-value (</w:t>
      </w:r>
      <w:r>
        <w:rPr>
          <w:b/>
          <w:i/>
          <w:color w:val="111111"/>
        </w:rPr>
        <w:t>t = 21.34</w:t>
      </w:r>
      <w:r>
        <w:rPr/>
        <w:t>) and a negligible </w:t>
      </w:r>
      <w:r>
        <w:rPr>
          <w:b/>
          <w:i/>
          <w:color w:val="111111"/>
        </w:rPr>
        <w:t>p</w:t>
      </w:r>
      <w:r>
        <w:rPr/>
        <w:t>-value</w:t>
      </w:r>
      <w:r>
        <w:rPr>
          <w:spacing w:val="40"/>
        </w:rPr>
        <w:t> </w:t>
      </w:r>
      <w:r>
        <w:rPr/>
        <w:t>(</w:t>
      </w:r>
      <w:r>
        <w:rPr>
          <w:b/>
          <w:i/>
          <w:color w:val="111111"/>
        </w:rPr>
        <w:t>p &lt; .001</w:t>
      </w:r>
      <w:r>
        <w:rPr/>
        <w:t>), leading directly to the rejection of the </w:t>
      </w:r>
      <w:r>
        <w:rPr/>
        <w:t>null hypothesis (</w:t>
      </w:r>
      <w:r>
        <w:rPr>
          <w:b/>
          <w:i/>
          <w:color w:val="111111"/>
        </w:rPr>
        <w:t>H_0</w:t>
      </w:r>
      <w:r>
        <w:rPr/>
        <w:t>). This outcome establishes a</w:t>
      </w:r>
      <w:r>
        <w:rPr>
          <w:spacing w:val="40"/>
        </w:rPr>
        <w:t> </w:t>
      </w:r>
      <w:r>
        <w:rPr/>
        <w:t>definitive empirical conclusion: the shift from the pre- test baseline to post-test mastery was a direct result of the</w:t>
      </w:r>
      <w:r>
        <w:rPr>
          <w:spacing w:val="37"/>
        </w:rPr>
        <w:t>  </w:t>
      </w:r>
      <w:r>
        <w:rPr/>
        <w:t>structured</w:t>
      </w:r>
      <w:r>
        <w:rPr>
          <w:spacing w:val="37"/>
        </w:rPr>
        <w:t>  </w:t>
      </w:r>
      <w:r>
        <w:rPr/>
        <w:t>learning</w:t>
      </w:r>
      <w:r>
        <w:rPr>
          <w:spacing w:val="37"/>
        </w:rPr>
        <w:t>  </w:t>
      </w:r>
      <w:r>
        <w:rPr/>
        <w:t>intervention.</w:t>
      </w:r>
      <w:r>
        <w:rPr>
          <w:spacing w:val="37"/>
        </w:rPr>
        <w:t>  </w:t>
      </w:r>
      <w:r>
        <w:rPr/>
        <w:t>Without</w:t>
      </w:r>
      <w:r>
        <w:rPr>
          <w:spacing w:val="37"/>
        </w:rPr>
        <w:t>  </w:t>
      </w:r>
      <w:r>
        <w:rPr>
          <w:spacing w:val="-5"/>
        </w:rPr>
        <w:t>the</w:t>
      </w:r>
    </w:p>
    <w:p>
      <w:pPr>
        <w:pStyle w:val="BodyText"/>
        <w:spacing w:line="312" w:lineRule="auto"/>
        <w:jc w:val="left"/>
      </w:pPr>
      <w:r>
        <w:rPr/>
        <w:br w:type="column"/>
      </w:r>
      <w:r>
        <w:rPr/>
        <w:t>inferential data gathered, the following conclusions are </w:t>
      </w:r>
      <w:r>
        <w:rPr>
          <w:spacing w:val="-2"/>
        </w:rPr>
        <w:t>established:</w:t>
      </w:r>
    </w:p>
    <w:p>
      <w:pPr>
        <w:pStyle w:val="ListParagraph"/>
        <w:numPr>
          <w:ilvl w:val="0"/>
          <w:numId w:val="3"/>
        </w:numPr>
        <w:tabs>
          <w:tab w:pos="442" w:val="left" w:leader="none"/>
        </w:tabs>
        <w:spacing w:line="312" w:lineRule="auto" w:before="182" w:after="0"/>
        <w:ind w:left="442" w:right="136" w:hanging="133"/>
        <w:jc w:val="both"/>
        <w:rPr>
          <w:sz w:val="22"/>
        </w:rPr>
      </w:pPr>
      <w:r>
        <w:rPr>
          <w:b/>
          <w:sz w:val="22"/>
        </w:rPr>
        <w:t>Substantial Learning Recovery: </w:t>
      </w:r>
      <w:r>
        <w:rPr>
          <w:sz w:val="22"/>
        </w:rPr>
        <w:t>The implementation of the RLM successfully</w:t>
      </w:r>
      <w:r>
        <w:rPr>
          <w:spacing w:val="40"/>
          <w:sz w:val="22"/>
        </w:rPr>
        <w:t> </w:t>
      </w:r>
      <w:r>
        <w:rPr>
          <w:sz w:val="22"/>
        </w:rPr>
        <w:t>engineered an academic turnaround for underperforming students. The cohort transitioned from a low pre-test baseline to a high post-test mastery level. The narrow dispersion of post-test scores proves that the intervention did not just help a few select individuals, but successfully elevated the performance of the entire struggling class.</w:t>
      </w:r>
    </w:p>
    <w:p>
      <w:pPr>
        <w:pStyle w:val="ListParagraph"/>
        <w:numPr>
          <w:ilvl w:val="0"/>
          <w:numId w:val="3"/>
        </w:numPr>
        <w:tabs>
          <w:tab w:pos="442" w:val="left" w:leader="none"/>
        </w:tabs>
        <w:spacing w:line="312" w:lineRule="auto" w:before="85" w:after="0"/>
        <w:ind w:left="442" w:right="140" w:hanging="133"/>
        <w:jc w:val="both"/>
        <w:rPr>
          <w:b/>
          <w:i/>
          <w:sz w:val="22"/>
        </w:rPr>
      </w:pPr>
      <w:r>
        <w:rPr>
          <w:b/>
          <w:sz w:val="22"/>
        </w:rPr>
        <w:t>Empirical Impact of the Intervention: </w:t>
      </w:r>
      <w:r>
        <w:rPr>
          <w:sz w:val="22"/>
        </w:rPr>
        <w:t>Inferential testing yielded a highly significant difference between pre-test and post-test scores (</w:t>
      </w:r>
      <w:r>
        <w:rPr>
          <w:b/>
          <w:i/>
          <w:color w:val="111111"/>
          <w:sz w:val="22"/>
        </w:rPr>
        <w:t>t = 21.34, p &lt;</w:t>
      </w:r>
    </w:p>
    <w:p>
      <w:pPr>
        <w:pStyle w:val="BodyText"/>
        <w:spacing w:line="312" w:lineRule="auto" w:before="3"/>
        <w:ind w:left="442" w:right="136"/>
      </w:pPr>
      <w:r>
        <w:rPr>
          <w:b/>
          <w:i/>
          <w:color w:val="111111"/>
        </w:rPr>
        <w:t>.001</w:t>
      </w:r>
      <w:r>
        <w:rPr/>
        <w:t>). This mathematically rejects the null hypothesis and confirms that the academic gains were the direct result of the structured, scaffolded workbook layout rather than statistical chance.</w:t>
      </w:r>
    </w:p>
    <w:p>
      <w:pPr>
        <w:pStyle w:val="ListParagraph"/>
        <w:numPr>
          <w:ilvl w:val="0"/>
          <w:numId w:val="3"/>
        </w:numPr>
        <w:tabs>
          <w:tab w:pos="442" w:val="left" w:leader="none"/>
        </w:tabs>
        <w:spacing w:line="312" w:lineRule="auto" w:before="80" w:after="0"/>
        <w:ind w:left="442" w:right="137" w:hanging="133"/>
        <w:jc w:val="both"/>
        <w:rPr>
          <w:sz w:val="22"/>
        </w:rPr>
      </w:pPr>
      <w:r>
        <w:rPr>
          <w:b/>
          <w:sz w:val="22"/>
        </w:rPr>
        <w:t>Efficacy of Contextualization: </w:t>
      </w:r>
      <w:r>
        <w:rPr>
          <w:sz w:val="22"/>
        </w:rPr>
        <w:t>The synthesis of</w:t>
      </w:r>
      <w:r>
        <w:rPr>
          <w:spacing w:val="40"/>
          <w:sz w:val="22"/>
        </w:rPr>
        <w:t> </w:t>
      </w:r>
      <w:r>
        <w:rPr>
          <w:sz w:val="22"/>
        </w:rPr>
        <w:t>the findings highlights that abstract trigonometric formulas become highly accessible when anchored in localized, real-world community environments (e.g., campus flagpoles, local farming, and coastal fishing layouts) paired with affective </w:t>
      </w:r>
      <w:r>
        <w:rPr>
          <w:sz w:val="22"/>
        </w:rPr>
        <w:t>parent </w:t>
      </w:r>
      <w:r>
        <w:rPr>
          <w:spacing w:val="-2"/>
          <w:sz w:val="22"/>
        </w:rPr>
        <w:t>reinforcement.</w:t>
      </w:r>
    </w:p>
    <w:p>
      <w:pPr>
        <w:pStyle w:val="Heading2"/>
        <w:numPr>
          <w:ilvl w:val="1"/>
          <w:numId w:val="1"/>
        </w:numPr>
        <w:tabs>
          <w:tab w:pos="506" w:val="left" w:leader="none"/>
        </w:tabs>
        <w:spacing w:line="240" w:lineRule="auto" w:before="234" w:after="0"/>
        <w:ind w:left="506" w:right="0" w:hanging="364"/>
        <w:jc w:val="left"/>
      </w:pPr>
      <w:bookmarkStart w:name="4.2 Recommendations" w:id="13"/>
      <w:bookmarkEnd w:id="13"/>
      <w:r>
        <w:rPr>
          <w:b w:val="0"/>
        </w:rPr>
      </w:r>
      <w:r>
        <w:rPr>
          <w:color w:val="2B5282"/>
          <w:spacing w:val="-2"/>
        </w:rPr>
        <w:t>Recommendations</w:t>
      </w:r>
    </w:p>
    <w:p>
      <w:pPr>
        <w:pStyle w:val="BodyText"/>
        <w:spacing w:line="312" w:lineRule="auto" w:before="196"/>
        <w:ind w:firstLine="300"/>
        <w:jc w:val="left"/>
      </w:pPr>
      <w:r>
        <w:rPr/>
        <w:t>Based</w:t>
      </w:r>
      <w:r>
        <w:rPr>
          <w:spacing w:val="40"/>
        </w:rPr>
        <w:t> </w:t>
      </w:r>
      <w:r>
        <w:rPr/>
        <w:t>on</w:t>
      </w:r>
      <w:r>
        <w:rPr>
          <w:spacing w:val="40"/>
        </w:rPr>
        <w:t> </w:t>
      </w:r>
      <w:r>
        <w:rPr/>
        <w:t>the</w:t>
      </w:r>
      <w:r>
        <w:rPr>
          <w:spacing w:val="40"/>
        </w:rPr>
        <w:t> </w:t>
      </w:r>
      <w:r>
        <w:rPr/>
        <w:t>highly</w:t>
      </w:r>
      <w:r>
        <w:rPr>
          <w:spacing w:val="40"/>
        </w:rPr>
        <w:t> </w:t>
      </w:r>
      <w:r>
        <w:rPr/>
        <w:t>positive</w:t>
      </w:r>
      <w:r>
        <w:rPr>
          <w:spacing w:val="40"/>
        </w:rPr>
        <w:t> </w:t>
      </w:r>
      <w:r>
        <w:rPr/>
        <w:t>outcomes</w:t>
      </w:r>
      <w:r>
        <w:rPr>
          <w:spacing w:val="40"/>
        </w:rPr>
        <w:t> </w:t>
      </w:r>
      <w:r>
        <w:rPr/>
        <w:t>of</w:t>
      </w:r>
      <w:r>
        <w:rPr>
          <w:spacing w:val="40"/>
        </w:rPr>
        <w:t> </w:t>
      </w:r>
      <w:r>
        <w:rPr/>
        <w:t>this</w:t>
      </w:r>
      <w:r>
        <w:rPr>
          <w:spacing w:val="80"/>
        </w:rPr>
        <w:t> </w:t>
      </w:r>
      <w:r>
        <w:rPr/>
        <w:t>research, the following actions are recommended:</w:t>
      </w:r>
    </w:p>
    <w:p>
      <w:pPr>
        <w:pStyle w:val="ListParagraph"/>
        <w:numPr>
          <w:ilvl w:val="0"/>
          <w:numId w:val="4"/>
        </w:numPr>
        <w:tabs>
          <w:tab w:pos="442" w:val="left" w:leader="none"/>
        </w:tabs>
        <w:spacing w:line="312" w:lineRule="auto" w:before="182" w:after="0"/>
        <w:ind w:left="442" w:right="136" w:hanging="221"/>
        <w:jc w:val="both"/>
        <w:rPr>
          <w:sz w:val="22"/>
        </w:rPr>
      </w:pPr>
      <w:r>
        <w:rPr>
          <w:b/>
          <w:sz w:val="22"/>
        </w:rPr>
        <w:t>Institutional Integration: </w:t>
      </w:r>
      <w:r>
        <w:rPr>
          <w:sz w:val="22"/>
        </w:rPr>
        <w:t>The validated </w:t>
      </w:r>
      <w:r>
        <w:rPr>
          <w:sz w:val="22"/>
        </w:rPr>
        <w:t>Remedial Learning Materials should be formally integrated into the regular remedial and learning recovery programs of Clarence Ty Pimentel National High School to stabilize Grade 9 mathematics performance metrics.</w:t>
      </w:r>
    </w:p>
    <w:p>
      <w:pPr>
        <w:pStyle w:val="ListParagraph"/>
        <w:numPr>
          <w:ilvl w:val="0"/>
          <w:numId w:val="4"/>
        </w:numPr>
        <w:tabs>
          <w:tab w:pos="442" w:val="left" w:leader="none"/>
        </w:tabs>
        <w:spacing w:line="312" w:lineRule="auto" w:before="82" w:after="0"/>
        <w:ind w:left="442" w:right="141" w:hanging="221"/>
        <w:jc w:val="both"/>
        <w:rPr>
          <w:sz w:val="22"/>
        </w:rPr>
      </w:pPr>
      <w:r>
        <w:rPr>
          <w:b/>
          <w:sz w:val="22"/>
        </w:rPr>
        <w:t>Pedagogical</w:t>
      </w:r>
      <w:r>
        <w:rPr>
          <w:b/>
          <w:spacing w:val="-4"/>
          <w:sz w:val="22"/>
        </w:rPr>
        <w:t> </w:t>
      </w:r>
      <w:r>
        <w:rPr>
          <w:b/>
          <w:sz w:val="22"/>
        </w:rPr>
        <w:t>Rebalancing:</w:t>
      </w:r>
      <w:r>
        <w:rPr>
          <w:b/>
          <w:spacing w:val="-5"/>
          <w:sz w:val="22"/>
        </w:rPr>
        <w:t> </w:t>
      </w:r>
      <w:r>
        <w:rPr>
          <w:sz w:val="22"/>
        </w:rPr>
        <w:t>Secondary</w:t>
      </w:r>
      <w:r>
        <w:rPr>
          <w:spacing w:val="-4"/>
          <w:sz w:val="22"/>
        </w:rPr>
        <w:t> </w:t>
      </w:r>
      <w:r>
        <w:rPr>
          <w:sz w:val="22"/>
        </w:rPr>
        <w:t>mathematics educators should intentionally shift from passive reading instructional designs toward active, </w:t>
      </w:r>
      <w:r>
        <w:rPr>
          <w:sz w:val="22"/>
        </w:rPr>
        <w:t>hands- on workbook formats that provide immediate feedback loops and localized, community-anchored problem sets.</w:t>
      </w:r>
    </w:p>
    <w:p>
      <w:pPr>
        <w:pStyle w:val="ListParagraph"/>
        <w:spacing w:after="0" w:line="312" w:lineRule="auto"/>
        <w:jc w:val="both"/>
        <w:rPr>
          <w:sz w:val="22"/>
        </w:rPr>
        <w:sectPr>
          <w:pgSz w:w="11910" w:h="16840"/>
          <w:pgMar w:header="0" w:footer="467" w:top="1080" w:bottom="660" w:left="708" w:right="708"/>
          <w:cols w:num="2" w:equalWidth="0">
            <w:col w:w="5088" w:space="219"/>
            <w:col w:w="5187"/>
          </w:cols>
        </w:sectPr>
      </w:pPr>
    </w:p>
    <w:p>
      <w:pPr>
        <w:pStyle w:val="BodyText"/>
        <w:spacing w:line="312" w:lineRule="auto"/>
        <w:ind w:right="41"/>
      </w:pPr>
      <w:r>
        <w:rPr/>
        <w:t>introduction of the RLM, student performance </w:t>
      </w:r>
      <w:r>
        <w:rPr/>
        <w:t>would have likely stagnated or sustained its highly scattered state, as educators would lack the targeted scaffolding needed to systematically address deep-seated misconceptions in trigonometry.</w:t>
      </w:r>
    </w:p>
    <w:p>
      <w:pPr>
        <w:pStyle w:val="BodyText"/>
        <w:spacing w:line="312" w:lineRule="auto" w:before="185"/>
        <w:ind w:right="38" w:firstLine="300"/>
      </w:pPr>
      <w:r>
        <w:rPr/>
        <w:t>The clear implication of these findings is that the localized RLMs systematically closed the learning</w:t>
      </w:r>
      <w:r>
        <w:rPr>
          <w:spacing w:val="80"/>
        </w:rPr>
        <w:t> </w:t>
      </w:r>
      <w:r>
        <w:rPr/>
        <w:t>gaps that historically plagued the learners. This breakthrough was achieved because the material's instructional layout abandoned passive reading designs in favor of an active, hands-on mathematics workbook approach featuring immediate feedback loops. </w:t>
      </w:r>
      <w:r>
        <w:rPr/>
        <w:t>By deconstructing complex formulas into manageable calculation spaces, the module significantly lowered</w:t>
      </w:r>
      <w:r>
        <w:rPr>
          <w:spacing w:val="40"/>
        </w:rPr>
        <w:t> </w:t>
      </w:r>
      <w:r>
        <w:rPr/>
        <w:t>the cognitive load that typically causes struggling public school students to disengage. Ultimately, the stark</w:t>
      </w:r>
      <w:r>
        <w:rPr>
          <w:spacing w:val="-3"/>
        </w:rPr>
        <w:t> </w:t>
      </w:r>
      <w:r>
        <w:rPr/>
        <w:t>contrast</w:t>
      </w:r>
      <w:r>
        <w:rPr>
          <w:spacing w:val="-3"/>
        </w:rPr>
        <w:t> </w:t>
      </w:r>
      <w:r>
        <w:rPr/>
        <w:t>between</w:t>
      </w:r>
      <w:r>
        <w:rPr>
          <w:spacing w:val="-3"/>
        </w:rPr>
        <w:t> </w:t>
      </w:r>
      <w:r>
        <w:rPr/>
        <w:t>the</w:t>
      </w:r>
      <w:r>
        <w:rPr>
          <w:spacing w:val="-3"/>
        </w:rPr>
        <w:t> </w:t>
      </w:r>
      <w:r>
        <w:rPr/>
        <w:t>pre-test</w:t>
      </w:r>
      <w:r>
        <w:rPr>
          <w:spacing w:val="-3"/>
        </w:rPr>
        <w:t> </w:t>
      </w:r>
      <w:r>
        <w:rPr/>
        <w:t>and</w:t>
      </w:r>
      <w:r>
        <w:rPr>
          <w:spacing w:val="-3"/>
        </w:rPr>
        <w:t> </w:t>
      </w:r>
      <w:r>
        <w:rPr/>
        <w:t>post-test</w:t>
      </w:r>
      <w:r>
        <w:rPr>
          <w:spacing w:val="-3"/>
        </w:rPr>
        <w:t> </w:t>
      </w:r>
      <w:r>
        <w:rPr/>
        <w:t>metrics underscores that the material provided the critical instructional scaffolding necessary for uniform academic recovery.</w:t>
      </w:r>
    </w:p>
    <w:p>
      <w:pPr>
        <w:pStyle w:val="BodyText"/>
        <w:spacing w:line="312" w:lineRule="auto" w:before="197"/>
        <w:ind w:right="38" w:firstLine="300"/>
      </w:pPr>
      <w:r>
        <w:rPr/>
        <w:t>These statistical results are theoretically anchored</w:t>
      </w:r>
      <w:r>
        <w:rPr>
          <w:spacing w:val="40"/>
        </w:rPr>
        <w:t> </w:t>
      </w:r>
      <w:r>
        <w:rPr/>
        <w:t>in Vygotsky’s ZPD and validated by Pabalate et </w:t>
      </w:r>
      <w:r>
        <w:rPr/>
        <w:t>al. (2026), proving that scaffolded prompts successfully bridge the gap between basic trigonometric ratios and complex word problems. Furthermore, the uniform mastery supports Merrill’s First Principles of Instruction as applied by Johnson and Keller (2021), demonstrating that mathematics remediation works</w:t>
      </w:r>
      <w:r>
        <w:rPr>
          <w:spacing w:val="40"/>
        </w:rPr>
        <w:t> </w:t>
      </w:r>
      <w:r>
        <w:rPr/>
        <w:t>best when moving from active demonstration to independent problem-solving. Finally, this academic turnaround aligns with Salazar and Uy (2026) and Rafizal et al. (2026), confirming that materials directly targeting Least Mastered Competencies through contextualized exercises eliminate learning flatlines</w:t>
      </w:r>
      <w:r>
        <w:rPr>
          <w:spacing w:val="40"/>
        </w:rPr>
        <w:t> </w:t>
      </w:r>
      <w:r>
        <w:rPr/>
        <w:t>and secure long-term procedural retention.</w:t>
      </w:r>
    </w:p>
    <w:p>
      <w:pPr>
        <w:pStyle w:val="ListParagraph"/>
        <w:numPr>
          <w:ilvl w:val="0"/>
          <w:numId w:val="4"/>
        </w:numPr>
        <w:tabs>
          <w:tab w:pos="442" w:val="left" w:leader="none"/>
        </w:tabs>
        <w:spacing w:line="312" w:lineRule="auto" w:before="70" w:after="0"/>
        <w:ind w:left="442" w:right="140" w:hanging="221"/>
        <w:jc w:val="both"/>
        <w:rPr>
          <w:sz w:val="22"/>
        </w:rPr>
      </w:pPr>
      <w:r>
        <w:rPr/>
        <w:br w:type="column"/>
      </w:r>
      <w:r>
        <w:rPr>
          <w:b/>
          <w:sz w:val="22"/>
        </w:rPr>
        <w:t>Parent-Teacher Collaborations: </w:t>
      </w:r>
      <w:r>
        <w:rPr>
          <w:sz w:val="22"/>
        </w:rPr>
        <w:t>Schools should establish explicit frameworks that guide parents on how to act as emotional and administrative anchors at home, focusing on motivation and </w:t>
      </w:r>
      <w:r>
        <w:rPr>
          <w:sz w:val="22"/>
        </w:rPr>
        <w:t>study discipline to complement classroom-based </w:t>
      </w:r>
      <w:r>
        <w:rPr>
          <w:spacing w:val="-2"/>
          <w:sz w:val="22"/>
        </w:rPr>
        <w:t>interventions.</w:t>
      </w:r>
    </w:p>
    <w:p>
      <w:pPr>
        <w:pStyle w:val="ListParagraph"/>
        <w:numPr>
          <w:ilvl w:val="0"/>
          <w:numId w:val="4"/>
        </w:numPr>
        <w:tabs>
          <w:tab w:pos="442" w:val="left" w:leader="none"/>
        </w:tabs>
        <w:spacing w:line="312" w:lineRule="auto" w:before="81" w:after="0"/>
        <w:ind w:left="442" w:right="140" w:hanging="221"/>
        <w:jc w:val="both"/>
        <w:rPr>
          <w:sz w:val="22"/>
        </w:rPr>
      </w:pPr>
      <w:r>
        <w:rPr>
          <w:b/>
          <w:sz w:val="22"/>
        </w:rPr>
        <w:t>Future Research Expansion: </w:t>
      </w:r>
      <w:r>
        <w:rPr>
          <w:sz w:val="22"/>
        </w:rPr>
        <w:t>Future researchers should expand the scope of this developmental- evaluative design to encompass other complex mathematical branches (such as geometry or calculus) and test the longitudinal effects of localized RLMs across multiple grade levels in</w:t>
      </w:r>
      <w:r>
        <w:rPr>
          <w:spacing w:val="40"/>
          <w:sz w:val="22"/>
        </w:rPr>
        <w:t> </w:t>
      </w:r>
      <w:r>
        <w:rPr>
          <w:sz w:val="22"/>
        </w:rPr>
        <w:t>rural public-school settings.</w:t>
      </w:r>
    </w:p>
    <w:p>
      <w:pPr>
        <w:pStyle w:val="BodyText"/>
        <w:spacing w:before="59"/>
        <w:ind w:left="0"/>
        <w:jc w:val="left"/>
      </w:pPr>
    </w:p>
    <w:p>
      <w:pPr>
        <w:pStyle w:val="Heading1"/>
        <w:spacing w:before="1"/>
        <w:ind w:left="322" w:firstLine="0"/>
      </w:pPr>
      <w:r>
        <w:rPr/>
        <mc:AlternateContent>
          <mc:Choice Requires="wps">
            <w:drawing>
              <wp:anchor distT="0" distB="0" distL="0" distR="0" allowOverlap="1" layoutInCell="1" locked="0" behindDoc="0" simplePos="0" relativeHeight="15731712">
                <wp:simplePos x="0" y="0"/>
                <wp:positionH relativeFrom="page">
                  <wp:posOffset>3909600</wp:posOffset>
                </wp:positionH>
                <wp:positionV relativeFrom="paragraph">
                  <wp:posOffset>-23654</wp:posOffset>
                </wp:positionV>
                <wp:extent cx="38100" cy="2286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100" cy="228600"/>
                        </a:xfrm>
                        <a:custGeom>
                          <a:avLst/>
                          <a:gdLst/>
                          <a:ahLst/>
                          <a:cxnLst/>
                          <a:rect l="l" t="t" r="r" b="b"/>
                          <a:pathLst>
                            <a:path w="38100" h="228600">
                              <a:moveTo>
                                <a:pt x="38100" y="228600"/>
                              </a:moveTo>
                              <a:lnTo>
                                <a:pt x="0" y="228600"/>
                              </a:lnTo>
                              <a:lnTo>
                                <a:pt x="0" y="0"/>
                              </a:lnTo>
                              <a:lnTo>
                                <a:pt x="38100" y="0"/>
                              </a:lnTo>
                              <a:lnTo>
                                <a:pt x="38100" y="228600"/>
                              </a:lnTo>
                              <a:close/>
                            </a:path>
                          </a:pathLst>
                        </a:custGeom>
                        <a:solidFill>
                          <a:srgbClr val="1A365D"/>
                        </a:solidFill>
                      </wps:spPr>
                      <wps:bodyPr wrap="square" lIns="0" tIns="0" rIns="0" bIns="0" rtlCol="0">
                        <a:prstTxWarp prst="textNoShape">
                          <a:avLst/>
                        </a:prstTxWarp>
                        <a:noAutofit/>
                      </wps:bodyPr>
                    </wps:wsp>
                  </a:graphicData>
                </a:graphic>
              </wp:anchor>
            </w:drawing>
          </mc:Choice>
          <mc:Fallback>
            <w:pict>
              <v:rect style="position:absolute;margin-left:307.842529pt;margin-top:-1.862592pt;width:3.0pt;height:18.000001pt;mso-position-horizontal-relative:page;mso-position-vertical-relative:paragraph;z-index:15731712" id="docshape11" filled="true" fillcolor="#1a365d" stroked="false">
                <v:fill type="solid"/>
                <w10:wrap type="none"/>
              </v:rect>
            </w:pict>
          </mc:Fallback>
        </mc:AlternateContent>
      </w:r>
      <w:bookmarkStart w:name="References" w:id="14"/>
      <w:bookmarkEnd w:id="14"/>
      <w:r>
        <w:rPr>
          <w:b w:val="0"/>
        </w:rPr>
      </w:r>
      <w:r>
        <w:rPr>
          <w:color w:val="1A365D"/>
          <w:spacing w:val="-2"/>
        </w:rPr>
        <w:t>REFERENCES</w:t>
      </w:r>
    </w:p>
    <w:p>
      <w:pPr>
        <w:spacing w:line="292" w:lineRule="auto" w:before="216"/>
        <w:ind w:left="517" w:right="129" w:hanging="375"/>
        <w:jc w:val="both"/>
        <w:rPr>
          <w:sz w:val="20"/>
        </w:rPr>
      </w:pPr>
      <w:r>
        <w:rPr>
          <w:sz w:val="20"/>
        </w:rPr>
        <w:t>Canonigo, A. (2025). Concrete contextualization strategies</w:t>
      </w:r>
      <w:r>
        <w:rPr>
          <w:spacing w:val="80"/>
          <w:sz w:val="20"/>
        </w:rPr>
        <w:t> </w:t>
      </w:r>
      <w:r>
        <w:rPr>
          <w:sz w:val="20"/>
        </w:rPr>
        <w:t>in secondary mathematics instruction. </w:t>
      </w:r>
      <w:r>
        <w:rPr>
          <w:i/>
          <w:sz w:val="20"/>
        </w:rPr>
        <w:t>Journal of Pedagogical Advancements</w:t>
      </w:r>
      <w:r>
        <w:rPr>
          <w:sz w:val="20"/>
        </w:rPr>
        <w:t>, 12(2), 145-159.</w:t>
      </w:r>
    </w:p>
    <w:p>
      <w:pPr>
        <w:spacing w:line="292" w:lineRule="auto" w:before="119"/>
        <w:ind w:left="517" w:right="140" w:hanging="375"/>
        <w:jc w:val="both"/>
        <w:rPr>
          <w:sz w:val="20"/>
        </w:rPr>
      </w:pPr>
      <w:r>
        <w:rPr>
          <w:sz w:val="20"/>
        </w:rPr>
        <w:t>Cut, R., et al. (2023). Strategic educational modules for targeted learning recovery. </w:t>
      </w:r>
      <w:r>
        <w:rPr>
          <w:i/>
          <w:sz w:val="20"/>
        </w:rPr>
        <w:t>International Journal </w:t>
      </w:r>
      <w:r>
        <w:rPr>
          <w:i/>
          <w:sz w:val="20"/>
        </w:rPr>
        <w:t>of Educational Technology</w:t>
      </w:r>
      <w:r>
        <w:rPr>
          <w:sz w:val="20"/>
        </w:rPr>
        <w:t>, 29(4), 412-428.</w:t>
      </w:r>
    </w:p>
    <w:p>
      <w:pPr>
        <w:spacing w:line="292" w:lineRule="auto" w:before="118"/>
        <w:ind w:left="517" w:right="139" w:hanging="375"/>
        <w:jc w:val="both"/>
        <w:rPr>
          <w:sz w:val="20"/>
        </w:rPr>
      </w:pPr>
      <w:r>
        <w:rPr>
          <w:sz w:val="20"/>
        </w:rPr>
        <w:t>Elveña, M. L., &amp; Llarenas, J. T. (2024). </w:t>
      </w:r>
      <w:r>
        <w:rPr>
          <w:i/>
          <w:sz w:val="20"/>
        </w:rPr>
        <w:t>Developmental- evaluative research design: Engineering robust classroom interventions</w:t>
      </w:r>
      <w:r>
        <w:rPr>
          <w:sz w:val="20"/>
        </w:rPr>
        <w:t>. Academic Press Philippines.</w:t>
      </w:r>
    </w:p>
    <w:p>
      <w:pPr>
        <w:spacing w:line="292" w:lineRule="auto" w:before="118"/>
        <w:ind w:left="517" w:right="140" w:hanging="375"/>
        <w:jc w:val="both"/>
        <w:rPr>
          <w:sz w:val="20"/>
        </w:rPr>
      </w:pPr>
      <w:r>
        <w:rPr>
          <w:sz w:val="20"/>
        </w:rPr>
        <w:t>Flick,</w:t>
      </w:r>
      <w:r>
        <w:rPr>
          <w:spacing w:val="-3"/>
          <w:sz w:val="20"/>
        </w:rPr>
        <w:t> </w:t>
      </w:r>
      <w:r>
        <w:rPr>
          <w:sz w:val="20"/>
        </w:rPr>
        <w:t>U.</w:t>
      </w:r>
      <w:r>
        <w:rPr>
          <w:spacing w:val="-3"/>
          <w:sz w:val="20"/>
        </w:rPr>
        <w:t> </w:t>
      </w:r>
      <w:r>
        <w:rPr>
          <w:sz w:val="20"/>
        </w:rPr>
        <w:t>(2022).</w:t>
      </w:r>
      <w:r>
        <w:rPr>
          <w:spacing w:val="-3"/>
          <w:sz w:val="20"/>
        </w:rPr>
        <w:t> </w:t>
      </w:r>
      <w:r>
        <w:rPr>
          <w:i/>
          <w:sz w:val="20"/>
        </w:rPr>
        <w:t>An</w:t>
      </w:r>
      <w:r>
        <w:rPr>
          <w:i/>
          <w:spacing w:val="-3"/>
          <w:sz w:val="20"/>
        </w:rPr>
        <w:t> </w:t>
      </w:r>
      <w:r>
        <w:rPr>
          <w:i/>
          <w:sz w:val="20"/>
        </w:rPr>
        <w:t>introduction</w:t>
      </w:r>
      <w:r>
        <w:rPr>
          <w:i/>
          <w:spacing w:val="-3"/>
          <w:sz w:val="20"/>
        </w:rPr>
        <w:t> </w:t>
      </w:r>
      <w:r>
        <w:rPr>
          <w:i/>
          <w:sz w:val="20"/>
        </w:rPr>
        <w:t>to</w:t>
      </w:r>
      <w:r>
        <w:rPr>
          <w:i/>
          <w:spacing w:val="-3"/>
          <w:sz w:val="20"/>
        </w:rPr>
        <w:t> </w:t>
      </w:r>
      <w:r>
        <w:rPr>
          <w:i/>
          <w:sz w:val="20"/>
        </w:rPr>
        <w:t>qualitative</w:t>
      </w:r>
      <w:r>
        <w:rPr>
          <w:i/>
          <w:spacing w:val="-3"/>
          <w:sz w:val="20"/>
        </w:rPr>
        <w:t> </w:t>
      </w:r>
      <w:r>
        <w:rPr>
          <w:i/>
          <w:sz w:val="20"/>
        </w:rPr>
        <w:t>research</w:t>
      </w:r>
      <w:r>
        <w:rPr>
          <w:i/>
          <w:spacing w:val="-3"/>
          <w:sz w:val="20"/>
        </w:rPr>
        <w:t> </w:t>
      </w:r>
      <w:r>
        <w:rPr>
          <w:sz w:val="20"/>
        </w:rPr>
        <w:t>(7th ed.). SAGE Publications.</w:t>
      </w:r>
    </w:p>
    <w:p>
      <w:pPr>
        <w:spacing w:line="292" w:lineRule="auto" w:before="119"/>
        <w:ind w:left="517" w:right="139" w:hanging="375"/>
        <w:jc w:val="both"/>
        <w:rPr>
          <w:sz w:val="20"/>
        </w:rPr>
      </w:pPr>
      <w:r>
        <w:rPr>
          <w:sz w:val="20"/>
        </w:rPr>
        <w:t>Johnson, K. R., &amp; Keller, J. M. (2021). Integrating </w:t>
      </w:r>
      <w:r>
        <w:rPr>
          <w:sz w:val="20"/>
        </w:rPr>
        <w:t>Merrill’s first principles of instruction with personalized motivational strategies. </w:t>
      </w:r>
      <w:r>
        <w:rPr>
          <w:i/>
          <w:sz w:val="20"/>
        </w:rPr>
        <w:t>Educational Technology Research and Development</w:t>
      </w:r>
      <w:r>
        <w:rPr>
          <w:sz w:val="20"/>
        </w:rPr>
        <w:t>, 69(3), 881-902.</w:t>
      </w:r>
    </w:p>
    <w:p>
      <w:pPr>
        <w:spacing w:line="292" w:lineRule="auto" w:before="118"/>
        <w:ind w:left="517" w:right="140" w:hanging="375"/>
        <w:jc w:val="both"/>
        <w:rPr>
          <w:sz w:val="20"/>
        </w:rPr>
      </w:pPr>
      <w:r>
        <w:rPr>
          <w:sz w:val="20"/>
        </w:rPr>
        <w:t>Merriam, S. B., &amp; Grenier, R. S. (2023). </w:t>
      </w:r>
      <w:r>
        <w:rPr>
          <w:i/>
          <w:sz w:val="20"/>
        </w:rPr>
        <w:t>Qualitative</w:t>
      </w:r>
      <w:r>
        <w:rPr>
          <w:i/>
          <w:spacing w:val="40"/>
          <w:sz w:val="20"/>
        </w:rPr>
        <w:t> </w:t>
      </w:r>
      <w:r>
        <w:rPr>
          <w:i/>
          <w:sz w:val="20"/>
        </w:rPr>
        <w:t>research in practice: Examples for discussion and analysis</w:t>
      </w:r>
      <w:r>
        <w:rPr>
          <w:sz w:val="20"/>
        </w:rPr>
        <w:t>. Jossey-Bass.</w:t>
      </w:r>
    </w:p>
    <w:p>
      <w:pPr>
        <w:spacing w:line="292" w:lineRule="auto" w:before="118"/>
        <w:ind w:left="517" w:right="140" w:hanging="375"/>
        <w:jc w:val="both"/>
        <w:rPr>
          <w:sz w:val="20"/>
        </w:rPr>
      </w:pPr>
      <w:r>
        <w:rPr>
          <w:sz w:val="20"/>
        </w:rPr>
        <w:t>Pabalate, H., et al. (2026). Scaffolding </w:t>
      </w:r>
      <w:r>
        <w:rPr>
          <w:sz w:val="20"/>
        </w:rPr>
        <w:t>trigonometry: Bridging procedural gaps via active problem-solving cards.</w:t>
      </w:r>
      <w:r>
        <w:rPr>
          <w:spacing w:val="40"/>
          <w:sz w:val="20"/>
        </w:rPr>
        <w:t> </w:t>
      </w:r>
      <w:r>
        <w:rPr>
          <w:i/>
          <w:sz w:val="20"/>
        </w:rPr>
        <w:t>Journal</w:t>
      </w:r>
      <w:r>
        <w:rPr>
          <w:i/>
          <w:spacing w:val="40"/>
          <w:sz w:val="20"/>
        </w:rPr>
        <w:t> </w:t>
      </w:r>
      <w:r>
        <w:rPr>
          <w:i/>
          <w:sz w:val="20"/>
        </w:rPr>
        <w:t>of</w:t>
      </w:r>
      <w:r>
        <w:rPr>
          <w:i/>
          <w:spacing w:val="40"/>
          <w:sz w:val="20"/>
        </w:rPr>
        <w:t> </w:t>
      </w:r>
      <w:r>
        <w:rPr>
          <w:i/>
          <w:sz w:val="20"/>
        </w:rPr>
        <w:t>Basic</w:t>
      </w:r>
      <w:r>
        <w:rPr>
          <w:i/>
          <w:spacing w:val="40"/>
          <w:sz w:val="20"/>
        </w:rPr>
        <w:t> </w:t>
      </w:r>
      <w:r>
        <w:rPr>
          <w:i/>
          <w:sz w:val="20"/>
        </w:rPr>
        <w:t>Education</w:t>
      </w:r>
      <w:r>
        <w:rPr>
          <w:i/>
          <w:spacing w:val="40"/>
          <w:sz w:val="20"/>
        </w:rPr>
        <w:t> </w:t>
      </w:r>
      <w:r>
        <w:rPr>
          <w:i/>
          <w:sz w:val="20"/>
        </w:rPr>
        <w:t>Research</w:t>
      </w:r>
      <w:r>
        <w:rPr>
          <w:sz w:val="20"/>
        </w:rPr>
        <w:t>,</w:t>
      </w:r>
      <w:r>
        <w:rPr>
          <w:spacing w:val="40"/>
          <w:sz w:val="20"/>
        </w:rPr>
        <w:t> </w:t>
      </w:r>
      <w:r>
        <w:rPr>
          <w:sz w:val="20"/>
        </w:rPr>
        <w:t>15(1), </w:t>
      </w:r>
      <w:r>
        <w:rPr>
          <w:spacing w:val="-2"/>
          <w:sz w:val="20"/>
        </w:rPr>
        <w:t>74-89.</w:t>
      </w:r>
    </w:p>
    <w:p>
      <w:pPr>
        <w:spacing w:line="292" w:lineRule="auto" w:before="118"/>
        <w:ind w:left="517" w:right="129" w:hanging="375"/>
        <w:jc w:val="both"/>
        <w:rPr>
          <w:sz w:val="20"/>
        </w:rPr>
      </w:pPr>
      <w:r>
        <w:rPr>
          <w:sz w:val="20"/>
        </w:rPr>
        <w:t>Purnomo, A., et al. (2024). Remediating </w:t>
      </w:r>
      <w:r>
        <w:rPr>
          <w:sz w:val="20"/>
        </w:rPr>
        <w:t>secondary mathematics anxiety through scaffolded design. </w:t>
      </w:r>
      <w:r>
        <w:rPr>
          <w:i/>
          <w:sz w:val="20"/>
        </w:rPr>
        <w:t>Mathematics Education Review</w:t>
      </w:r>
      <w:r>
        <w:rPr>
          <w:sz w:val="20"/>
        </w:rPr>
        <w:t>, 58(2), 201-215.</w:t>
      </w:r>
    </w:p>
    <w:p>
      <w:pPr>
        <w:spacing w:line="292" w:lineRule="auto" w:before="118"/>
        <w:ind w:left="517" w:right="136" w:hanging="375"/>
        <w:jc w:val="both"/>
        <w:rPr>
          <w:sz w:val="20"/>
        </w:rPr>
      </w:pPr>
      <w:r>
        <w:rPr>
          <w:sz w:val="20"/>
        </w:rPr>
        <w:t>Rafizal, M., et al. (2026). The impact of structural </w:t>
      </w:r>
      <w:r>
        <w:rPr>
          <w:sz w:val="20"/>
        </w:rPr>
        <w:t>physical learning workbooks on conceptual math retention.</w:t>
      </w:r>
      <w:r>
        <w:rPr>
          <w:spacing w:val="80"/>
          <w:sz w:val="20"/>
        </w:rPr>
        <w:t> </w:t>
      </w:r>
      <w:r>
        <w:rPr>
          <w:i/>
          <w:sz w:val="20"/>
        </w:rPr>
        <w:t>South Asian Journal of Pedagogy</w:t>
      </w:r>
      <w:r>
        <w:rPr>
          <w:sz w:val="20"/>
        </w:rPr>
        <w:t>, 8(2), 112-127.</w:t>
      </w:r>
    </w:p>
    <w:p>
      <w:pPr>
        <w:spacing w:after="0" w:line="292" w:lineRule="auto"/>
        <w:jc w:val="both"/>
        <w:rPr>
          <w:sz w:val="20"/>
        </w:rPr>
        <w:sectPr>
          <w:pgSz w:w="11910" w:h="16840"/>
          <w:pgMar w:header="0" w:footer="467" w:top="1080" w:bottom="660" w:left="708" w:right="708"/>
          <w:cols w:num="2" w:equalWidth="0">
            <w:col w:w="5085" w:space="222"/>
            <w:col w:w="5187"/>
          </w:cols>
        </w:sectPr>
      </w:pPr>
    </w:p>
    <w:p>
      <w:pPr>
        <w:spacing w:line="292" w:lineRule="auto" w:before="77"/>
        <w:ind w:left="5823" w:right="119" w:hanging="375"/>
        <w:jc w:val="both"/>
        <w:rPr>
          <w:sz w:val="20"/>
        </w:rPr>
      </w:pPr>
      <w:r>
        <w:rPr>
          <w:sz w:val="20"/>
        </w:rPr>
        <w:t>Ramos, J. E. (2023). Applying the ADDIE model </w:t>
      </w:r>
      <w:r>
        <w:rPr>
          <w:sz w:val="20"/>
        </w:rPr>
        <w:t>to</w:t>
      </w:r>
      <w:r>
        <w:rPr>
          <w:spacing w:val="40"/>
          <w:sz w:val="20"/>
        </w:rPr>
        <w:t> </w:t>
      </w:r>
      <w:r>
        <w:rPr>
          <w:sz w:val="20"/>
        </w:rPr>
        <w:t>localized public school materials. </w:t>
      </w:r>
      <w:r>
        <w:rPr>
          <w:i/>
          <w:sz w:val="20"/>
        </w:rPr>
        <w:t>Philippine Journal of Education Development</w:t>
      </w:r>
      <w:r>
        <w:rPr>
          <w:sz w:val="20"/>
        </w:rPr>
        <w:t>, 41(3), 45-58.</w:t>
      </w:r>
    </w:p>
    <w:p>
      <w:pPr>
        <w:spacing w:line="292" w:lineRule="auto" w:before="118"/>
        <w:ind w:left="5823" w:right="140" w:hanging="375"/>
        <w:jc w:val="both"/>
        <w:rPr>
          <w:sz w:val="20"/>
        </w:rPr>
      </w:pPr>
      <w:r>
        <w:rPr>
          <w:sz w:val="20"/>
        </w:rPr>
        <w:t>Salazar, D., &amp; Uy, F. (2026). Overcoming </w:t>
      </w:r>
      <w:r>
        <w:rPr>
          <w:sz w:val="20"/>
        </w:rPr>
        <w:t>performance flatlines in secondary geometry through error-targeted modules. </w:t>
      </w:r>
      <w:r>
        <w:rPr>
          <w:i/>
          <w:sz w:val="20"/>
        </w:rPr>
        <w:t>The Asian Learner</w:t>
      </w:r>
      <w:r>
        <w:rPr>
          <w:sz w:val="20"/>
        </w:rPr>
        <w:t>, 19(1), 33-49.</w:t>
      </w:r>
    </w:p>
    <w:p>
      <w:pPr>
        <w:spacing w:line="292" w:lineRule="auto" w:before="118"/>
        <w:ind w:left="5823" w:right="140" w:hanging="375"/>
        <w:jc w:val="both"/>
        <w:rPr>
          <w:sz w:val="20"/>
        </w:rPr>
      </w:pPr>
      <w:r>
        <w:rPr>
          <w:sz w:val="20"/>
        </w:rPr>
        <w:t>Savin-Baden, M., &amp; Howell Major, C. (2023). </w:t>
      </w:r>
      <w:r>
        <w:rPr>
          <w:i/>
          <w:sz w:val="20"/>
        </w:rPr>
        <w:t>Qualitative research: The essential guide to theory and practice</w:t>
      </w:r>
      <w:r>
        <w:rPr>
          <w:sz w:val="20"/>
        </w:rPr>
        <w:t>. </w:t>
      </w:r>
      <w:r>
        <w:rPr>
          <w:spacing w:val="-2"/>
          <w:sz w:val="20"/>
        </w:rPr>
        <w:t>Routledge.</w:t>
      </w:r>
    </w:p>
    <w:p>
      <w:pPr>
        <w:spacing w:line="292" w:lineRule="auto" w:before="118"/>
        <w:ind w:left="5823" w:right="140" w:hanging="375"/>
        <w:jc w:val="both"/>
        <w:rPr>
          <w:sz w:val="20"/>
        </w:rPr>
      </w:pPr>
      <w:r>
        <w:rPr>
          <w:sz w:val="20"/>
        </w:rPr>
        <w:t>Stofiana, L., et al. (2026). Instructional engineering in </w:t>
      </w:r>
      <w:r>
        <w:rPr>
          <w:sz w:val="20"/>
        </w:rPr>
        <w:t>senior high school settings using ADDIE frameworks. </w:t>
      </w:r>
      <w:r>
        <w:rPr>
          <w:i/>
          <w:sz w:val="20"/>
        </w:rPr>
        <w:t>Global Journal of Educational Engineering</w:t>
      </w:r>
      <w:r>
        <w:rPr>
          <w:sz w:val="20"/>
        </w:rPr>
        <w:t>, 14(1), 89-104.</w:t>
      </w:r>
    </w:p>
    <w:p>
      <w:pPr>
        <w:spacing w:line="292" w:lineRule="auto" w:before="119"/>
        <w:ind w:left="5823" w:right="136" w:hanging="375"/>
        <w:jc w:val="both"/>
        <w:rPr>
          <w:sz w:val="20"/>
        </w:rPr>
      </w:pPr>
      <w:r>
        <w:rPr>
          <w:sz w:val="20"/>
        </w:rPr>
        <w:t>Tan, R., &amp; Santos, E. (2024). Visualizing abstract mathematics in resource-constrained environments. </w:t>
      </w:r>
      <w:r>
        <w:rPr>
          <w:i/>
          <w:sz w:val="20"/>
        </w:rPr>
        <w:t>Journal of Rural Education Studies</w:t>
      </w:r>
      <w:r>
        <w:rPr>
          <w:sz w:val="20"/>
        </w:rPr>
        <w:t>, 33(4), 310-325.</w:t>
      </w:r>
    </w:p>
    <w:p>
      <w:pPr>
        <w:spacing w:line="292" w:lineRule="auto" w:before="118"/>
        <w:ind w:left="5823" w:right="140" w:hanging="375"/>
        <w:jc w:val="both"/>
        <w:rPr>
          <w:sz w:val="20"/>
        </w:rPr>
      </w:pPr>
      <w:r>
        <w:rPr>
          <w:sz w:val="20"/>
        </w:rPr>
        <w:t>Villa, C. P. (2025). Formative loops and structural scaffolding in public school remedial spaces. </w:t>
      </w:r>
      <w:r>
        <w:rPr>
          <w:i/>
          <w:sz w:val="20"/>
        </w:rPr>
        <w:t>The Mindanao Educator</w:t>
      </w:r>
      <w:r>
        <w:rPr>
          <w:sz w:val="20"/>
        </w:rPr>
        <w:t>, 22(3), 195-209.</w:t>
      </w:r>
    </w:p>
    <w:sectPr>
      <w:pgSz w:w="11910" w:h="16840"/>
      <w:pgMar w:header="0" w:footer="467" w:top="1060" w:bottom="6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435264">
              <wp:simplePos x="0" y="0"/>
              <wp:positionH relativeFrom="page">
                <wp:posOffset>527299</wp:posOffset>
              </wp:positionH>
              <wp:positionV relativeFrom="page">
                <wp:posOffset>10262545</wp:posOffset>
              </wp:positionV>
              <wp:extent cx="343027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30270" cy="139065"/>
                      </a:xfrm>
                      <a:prstGeom prst="rect">
                        <a:avLst/>
                      </a:prstGeom>
                    </wps:spPr>
                    <wps:txbx>
                      <w:txbxContent>
                        <w:p>
                          <w:pPr>
                            <w:spacing w:before="14"/>
                            <w:ind w:left="20" w:right="0" w:firstLine="0"/>
                            <w:jc w:val="left"/>
                            <w:rPr>
                              <w:rFonts w:ascii="Arial"/>
                              <w:i/>
                              <w:sz w:val="16"/>
                            </w:rPr>
                          </w:pPr>
                          <w:r>
                            <w:rPr>
                              <w:rFonts w:ascii="Arial"/>
                              <w:i/>
                              <w:color w:val="777777"/>
                              <w:sz w:val="16"/>
                            </w:rPr>
                            <w:t>International</w:t>
                          </w:r>
                          <w:r>
                            <w:rPr>
                              <w:rFonts w:ascii="Arial"/>
                              <w:i/>
                              <w:color w:val="777777"/>
                              <w:spacing w:val="-8"/>
                              <w:sz w:val="16"/>
                            </w:rPr>
                            <w:t> </w:t>
                          </w:r>
                          <w:r>
                            <w:rPr>
                              <w:rFonts w:ascii="Arial"/>
                              <w:i/>
                              <w:color w:val="777777"/>
                              <w:sz w:val="16"/>
                            </w:rPr>
                            <w:t>Journal</w:t>
                          </w:r>
                          <w:r>
                            <w:rPr>
                              <w:rFonts w:ascii="Arial"/>
                              <w:i/>
                              <w:color w:val="777777"/>
                              <w:spacing w:val="-5"/>
                              <w:sz w:val="16"/>
                            </w:rPr>
                            <w:t> </w:t>
                          </w:r>
                          <w:r>
                            <w:rPr>
                              <w:rFonts w:ascii="Arial"/>
                              <w:i/>
                              <w:color w:val="777777"/>
                              <w:sz w:val="16"/>
                            </w:rPr>
                            <w:t>of</w:t>
                          </w:r>
                          <w:r>
                            <w:rPr>
                              <w:rFonts w:ascii="Arial"/>
                              <w:i/>
                              <w:color w:val="777777"/>
                              <w:spacing w:val="-5"/>
                              <w:sz w:val="16"/>
                            </w:rPr>
                            <w:t> </w:t>
                          </w:r>
                          <w:r>
                            <w:rPr>
                              <w:rFonts w:ascii="Arial"/>
                              <w:i/>
                              <w:color w:val="777777"/>
                              <w:sz w:val="16"/>
                            </w:rPr>
                            <w:t>Research</w:t>
                          </w:r>
                          <w:r>
                            <w:rPr>
                              <w:rFonts w:ascii="Arial"/>
                              <w:i/>
                              <w:color w:val="777777"/>
                              <w:spacing w:val="-6"/>
                              <w:sz w:val="16"/>
                            </w:rPr>
                            <w:t> </w:t>
                          </w:r>
                          <w:r>
                            <w:rPr>
                              <w:rFonts w:ascii="Arial"/>
                              <w:i/>
                              <w:color w:val="777777"/>
                              <w:sz w:val="16"/>
                            </w:rPr>
                            <w:t>and</w:t>
                          </w:r>
                          <w:r>
                            <w:rPr>
                              <w:rFonts w:ascii="Arial"/>
                              <w:i/>
                              <w:color w:val="777777"/>
                              <w:spacing w:val="-5"/>
                              <w:sz w:val="16"/>
                            </w:rPr>
                            <w:t> </w:t>
                          </w:r>
                          <w:r>
                            <w:rPr>
                              <w:rFonts w:ascii="Arial"/>
                              <w:i/>
                              <w:color w:val="777777"/>
                              <w:sz w:val="16"/>
                            </w:rPr>
                            <w:t>Innovation</w:t>
                          </w:r>
                          <w:r>
                            <w:rPr>
                              <w:rFonts w:ascii="Arial"/>
                              <w:i/>
                              <w:color w:val="777777"/>
                              <w:spacing w:val="-5"/>
                              <w:sz w:val="16"/>
                            </w:rPr>
                            <w:t> </w:t>
                          </w:r>
                          <w:r>
                            <w:rPr>
                              <w:rFonts w:ascii="Arial"/>
                              <w:i/>
                              <w:color w:val="777777"/>
                              <w:sz w:val="16"/>
                            </w:rPr>
                            <w:t>in</w:t>
                          </w:r>
                          <w:r>
                            <w:rPr>
                              <w:rFonts w:ascii="Arial"/>
                              <w:i/>
                              <w:color w:val="777777"/>
                              <w:spacing w:val="-6"/>
                              <w:sz w:val="16"/>
                            </w:rPr>
                            <w:t> </w:t>
                          </w:r>
                          <w:r>
                            <w:rPr>
                              <w:rFonts w:ascii="Arial"/>
                              <w:i/>
                              <w:color w:val="777777"/>
                              <w:sz w:val="16"/>
                            </w:rPr>
                            <w:t>Social</w:t>
                          </w:r>
                          <w:r>
                            <w:rPr>
                              <w:rFonts w:ascii="Arial"/>
                              <w:i/>
                              <w:color w:val="777777"/>
                              <w:spacing w:val="-5"/>
                              <w:sz w:val="16"/>
                            </w:rPr>
                            <w:t> </w:t>
                          </w:r>
                          <w:r>
                            <w:rPr>
                              <w:rFonts w:ascii="Arial"/>
                              <w:i/>
                              <w:color w:val="777777"/>
                              <w:sz w:val="16"/>
                            </w:rPr>
                            <w:t>Science</w:t>
                          </w:r>
                          <w:r>
                            <w:rPr>
                              <w:rFonts w:ascii="Arial"/>
                              <w:i/>
                              <w:color w:val="777777"/>
                              <w:spacing w:val="-5"/>
                              <w:sz w:val="16"/>
                            </w:rPr>
                            <w:t> </w:t>
                          </w:r>
                          <w:r>
                            <w:rPr>
                              <w:rFonts w:ascii="Arial"/>
                              <w:i/>
                              <w:color w:val="777777"/>
                              <w:spacing w:val="-2"/>
                              <w:sz w:val="16"/>
                            </w:rPr>
                            <w:t>(IJRISS)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519684pt;margin-top:808.074463pt;width:270.1pt;height:10.95pt;mso-position-horizontal-relative:page;mso-position-vertical-relative:page;z-index:-15881216" type="#_x0000_t202" id="docshape1" filled="false" stroked="false">
              <v:textbox inset="0,0,0,0">
                <w:txbxContent>
                  <w:p>
                    <w:pPr>
                      <w:spacing w:before="14"/>
                      <w:ind w:left="20" w:right="0" w:firstLine="0"/>
                      <w:jc w:val="left"/>
                      <w:rPr>
                        <w:rFonts w:ascii="Arial"/>
                        <w:i/>
                        <w:sz w:val="16"/>
                      </w:rPr>
                    </w:pPr>
                    <w:r>
                      <w:rPr>
                        <w:rFonts w:ascii="Arial"/>
                        <w:i/>
                        <w:color w:val="777777"/>
                        <w:sz w:val="16"/>
                      </w:rPr>
                      <w:t>International</w:t>
                    </w:r>
                    <w:r>
                      <w:rPr>
                        <w:rFonts w:ascii="Arial"/>
                        <w:i/>
                        <w:color w:val="777777"/>
                        <w:spacing w:val="-8"/>
                        <w:sz w:val="16"/>
                      </w:rPr>
                      <w:t> </w:t>
                    </w:r>
                    <w:r>
                      <w:rPr>
                        <w:rFonts w:ascii="Arial"/>
                        <w:i/>
                        <w:color w:val="777777"/>
                        <w:sz w:val="16"/>
                      </w:rPr>
                      <w:t>Journal</w:t>
                    </w:r>
                    <w:r>
                      <w:rPr>
                        <w:rFonts w:ascii="Arial"/>
                        <w:i/>
                        <w:color w:val="777777"/>
                        <w:spacing w:val="-5"/>
                        <w:sz w:val="16"/>
                      </w:rPr>
                      <w:t> </w:t>
                    </w:r>
                    <w:r>
                      <w:rPr>
                        <w:rFonts w:ascii="Arial"/>
                        <w:i/>
                        <w:color w:val="777777"/>
                        <w:sz w:val="16"/>
                      </w:rPr>
                      <w:t>of</w:t>
                    </w:r>
                    <w:r>
                      <w:rPr>
                        <w:rFonts w:ascii="Arial"/>
                        <w:i/>
                        <w:color w:val="777777"/>
                        <w:spacing w:val="-5"/>
                        <w:sz w:val="16"/>
                      </w:rPr>
                      <w:t> </w:t>
                    </w:r>
                    <w:r>
                      <w:rPr>
                        <w:rFonts w:ascii="Arial"/>
                        <w:i/>
                        <w:color w:val="777777"/>
                        <w:sz w:val="16"/>
                      </w:rPr>
                      <w:t>Research</w:t>
                    </w:r>
                    <w:r>
                      <w:rPr>
                        <w:rFonts w:ascii="Arial"/>
                        <w:i/>
                        <w:color w:val="777777"/>
                        <w:spacing w:val="-6"/>
                        <w:sz w:val="16"/>
                      </w:rPr>
                      <w:t> </w:t>
                    </w:r>
                    <w:r>
                      <w:rPr>
                        <w:rFonts w:ascii="Arial"/>
                        <w:i/>
                        <w:color w:val="777777"/>
                        <w:sz w:val="16"/>
                      </w:rPr>
                      <w:t>and</w:t>
                    </w:r>
                    <w:r>
                      <w:rPr>
                        <w:rFonts w:ascii="Arial"/>
                        <w:i/>
                        <w:color w:val="777777"/>
                        <w:spacing w:val="-5"/>
                        <w:sz w:val="16"/>
                      </w:rPr>
                      <w:t> </w:t>
                    </w:r>
                    <w:r>
                      <w:rPr>
                        <w:rFonts w:ascii="Arial"/>
                        <w:i/>
                        <w:color w:val="777777"/>
                        <w:sz w:val="16"/>
                      </w:rPr>
                      <w:t>Innovation</w:t>
                    </w:r>
                    <w:r>
                      <w:rPr>
                        <w:rFonts w:ascii="Arial"/>
                        <w:i/>
                        <w:color w:val="777777"/>
                        <w:spacing w:val="-5"/>
                        <w:sz w:val="16"/>
                      </w:rPr>
                      <w:t> </w:t>
                    </w:r>
                    <w:r>
                      <w:rPr>
                        <w:rFonts w:ascii="Arial"/>
                        <w:i/>
                        <w:color w:val="777777"/>
                        <w:sz w:val="16"/>
                      </w:rPr>
                      <w:t>in</w:t>
                    </w:r>
                    <w:r>
                      <w:rPr>
                        <w:rFonts w:ascii="Arial"/>
                        <w:i/>
                        <w:color w:val="777777"/>
                        <w:spacing w:val="-6"/>
                        <w:sz w:val="16"/>
                      </w:rPr>
                      <w:t> </w:t>
                    </w:r>
                    <w:r>
                      <w:rPr>
                        <w:rFonts w:ascii="Arial"/>
                        <w:i/>
                        <w:color w:val="777777"/>
                        <w:sz w:val="16"/>
                      </w:rPr>
                      <w:t>Social</w:t>
                    </w:r>
                    <w:r>
                      <w:rPr>
                        <w:rFonts w:ascii="Arial"/>
                        <w:i/>
                        <w:color w:val="777777"/>
                        <w:spacing w:val="-5"/>
                        <w:sz w:val="16"/>
                      </w:rPr>
                      <w:t> </w:t>
                    </w:r>
                    <w:r>
                      <w:rPr>
                        <w:rFonts w:ascii="Arial"/>
                        <w:i/>
                        <w:color w:val="777777"/>
                        <w:sz w:val="16"/>
                      </w:rPr>
                      <w:t>Science</w:t>
                    </w:r>
                    <w:r>
                      <w:rPr>
                        <w:rFonts w:ascii="Arial"/>
                        <w:i/>
                        <w:color w:val="777777"/>
                        <w:spacing w:val="-5"/>
                        <w:sz w:val="16"/>
                      </w:rPr>
                      <w:t> </w:t>
                    </w:r>
                    <w:r>
                      <w:rPr>
                        <w:rFonts w:ascii="Arial"/>
                        <w:i/>
                        <w:color w:val="777777"/>
                        <w:spacing w:val="-2"/>
                        <w:sz w:val="16"/>
                      </w:rPr>
                      <w:t>(IJRISS)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5776">
              <wp:simplePos x="0" y="0"/>
              <wp:positionH relativeFrom="page">
                <wp:posOffset>6918331</wp:posOffset>
              </wp:positionH>
              <wp:positionV relativeFrom="page">
                <wp:posOffset>10255453</wp:posOffset>
              </wp:positionV>
              <wp:extent cx="15303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035" cy="153670"/>
                      </a:xfrm>
                      <a:prstGeom prst="rect">
                        <a:avLst/>
                      </a:prstGeom>
                    </wps:spPr>
                    <wps:txbx>
                      <w:txbxContent>
                        <w:p>
                          <w:pPr>
                            <w:spacing w:before="14"/>
                            <w:ind w:left="60" w:right="0" w:firstLine="0"/>
                            <w:jc w:val="left"/>
                            <w:rPr>
                              <w:rFonts w:ascii="Arial MT"/>
                              <w:sz w:val="18"/>
                            </w:rPr>
                          </w:pPr>
                          <w:r>
                            <w:rPr>
                              <w:rFonts w:ascii="Arial MT"/>
                              <w:color w:val="545454"/>
                              <w:spacing w:val="-10"/>
                              <w:sz w:val="18"/>
                            </w:rPr>
                            <w:fldChar w:fldCharType="begin"/>
                          </w:r>
                          <w:r>
                            <w:rPr>
                              <w:rFonts w:ascii="Arial MT"/>
                              <w:color w:val="545454"/>
                              <w:spacing w:val="-10"/>
                              <w:sz w:val="18"/>
                            </w:rPr>
                            <w:instrText> PAGE </w:instrText>
                          </w:r>
                          <w:r>
                            <w:rPr>
                              <w:rFonts w:ascii="Arial MT"/>
                              <w:color w:val="545454"/>
                              <w:spacing w:val="-10"/>
                              <w:sz w:val="18"/>
                            </w:rPr>
                            <w:fldChar w:fldCharType="separate"/>
                          </w:r>
                          <w:r>
                            <w:rPr>
                              <w:rFonts w:ascii="Arial MT"/>
                              <w:color w:val="545454"/>
                              <w:spacing w:val="-10"/>
                              <w:sz w:val="18"/>
                            </w:rPr>
                            <w:t>1</w:t>
                          </w:r>
                          <w:r>
                            <w:rPr>
                              <w:rFonts w:ascii="Arial MT"/>
                              <w:color w:val="545454"/>
                              <w:spacing w:val="-10"/>
                              <w:sz w:val="18"/>
                            </w:rPr>
                            <w:fldChar w:fldCharType="end"/>
                          </w:r>
                        </w:p>
                      </w:txbxContent>
                    </wps:txbx>
                    <wps:bodyPr wrap="square" lIns="0" tIns="0" rIns="0" bIns="0" rtlCol="0">
                      <a:noAutofit/>
                    </wps:bodyPr>
                  </wps:wsp>
                </a:graphicData>
              </a:graphic>
            </wp:anchor>
          </w:drawing>
        </mc:Choice>
        <mc:Fallback>
          <w:pict>
            <v:shape style="position:absolute;margin-left:544.750549pt;margin-top:807.515991pt;width:12.05pt;height:12.1pt;mso-position-horizontal-relative:page;mso-position-vertical-relative:page;z-index:-15880704" type="#_x0000_t202" id="docshape2" filled="false" stroked="false">
              <v:textbox inset="0,0,0,0">
                <w:txbxContent>
                  <w:p>
                    <w:pPr>
                      <w:spacing w:before="14"/>
                      <w:ind w:left="60" w:right="0" w:firstLine="0"/>
                      <w:jc w:val="left"/>
                      <w:rPr>
                        <w:rFonts w:ascii="Arial MT"/>
                        <w:sz w:val="18"/>
                      </w:rPr>
                    </w:pPr>
                    <w:r>
                      <w:rPr>
                        <w:rFonts w:ascii="Arial MT"/>
                        <w:color w:val="545454"/>
                        <w:spacing w:val="-10"/>
                        <w:sz w:val="18"/>
                      </w:rPr>
                      <w:fldChar w:fldCharType="begin"/>
                    </w:r>
                    <w:r>
                      <w:rPr>
                        <w:rFonts w:ascii="Arial MT"/>
                        <w:color w:val="545454"/>
                        <w:spacing w:val="-10"/>
                        <w:sz w:val="18"/>
                      </w:rPr>
                      <w:instrText> PAGE </w:instrText>
                    </w:r>
                    <w:r>
                      <w:rPr>
                        <w:rFonts w:ascii="Arial MT"/>
                        <w:color w:val="545454"/>
                        <w:spacing w:val="-10"/>
                        <w:sz w:val="18"/>
                      </w:rPr>
                      <w:fldChar w:fldCharType="separate"/>
                    </w:r>
                    <w:r>
                      <w:rPr>
                        <w:rFonts w:ascii="Arial MT"/>
                        <w:color w:val="545454"/>
                        <w:spacing w:val="-10"/>
                        <w:sz w:val="18"/>
                      </w:rPr>
                      <w:t>1</w:t>
                    </w:r>
                    <w:r>
                      <w:rPr>
                        <w:rFonts w:ascii="Arial MT"/>
                        <w:color w:val="545454"/>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42" w:hanging="133"/>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04" w:hanging="133"/>
      </w:pPr>
      <w:rPr>
        <w:rFonts w:hint="default"/>
        <w:lang w:val="en-US" w:eastAsia="en-US" w:bidi="ar-SA"/>
      </w:rPr>
    </w:lvl>
    <w:lvl w:ilvl="2">
      <w:start w:val="0"/>
      <w:numFmt w:val="bullet"/>
      <w:lvlText w:val="•"/>
      <w:lvlJc w:val="left"/>
      <w:pPr>
        <w:ind w:left="1368" w:hanging="133"/>
      </w:pPr>
      <w:rPr>
        <w:rFonts w:hint="default"/>
        <w:lang w:val="en-US" w:eastAsia="en-US" w:bidi="ar-SA"/>
      </w:rPr>
    </w:lvl>
    <w:lvl w:ilvl="3">
      <w:start w:val="0"/>
      <w:numFmt w:val="bullet"/>
      <w:lvlText w:val="•"/>
      <w:lvlJc w:val="left"/>
      <w:pPr>
        <w:ind w:left="1833" w:hanging="133"/>
      </w:pPr>
      <w:rPr>
        <w:rFonts w:hint="default"/>
        <w:lang w:val="en-US" w:eastAsia="en-US" w:bidi="ar-SA"/>
      </w:rPr>
    </w:lvl>
    <w:lvl w:ilvl="4">
      <w:start w:val="0"/>
      <w:numFmt w:val="bullet"/>
      <w:lvlText w:val="•"/>
      <w:lvlJc w:val="left"/>
      <w:pPr>
        <w:ind w:left="2297" w:hanging="133"/>
      </w:pPr>
      <w:rPr>
        <w:rFonts w:hint="default"/>
        <w:lang w:val="en-US" w:eastAsia="en-US" w:bidi="ar-SA"/>
      </w:rPr>
    </w:lvl>
    <w:lvl w:ilvl="5">
      <w:start w:val="0"/>
      <w:numFmt w:val="bullet"/>
      <w:lvlText w:val="•"/>
      <w:lvlJc w:val="left"/>
      <w:pPr>
        <w:ind w:left="2762" w:hanging="133"/>
      </w:pPr>
      <w:rPr>
        <w:rFonts w:hint="default"/>
        <w:lang w:val="en-US" w:eastAsia="en-US" w:bidi="ar-SA"/>
      </w:rPr>
    </w:lvl>
    <w:lvl w:ilvl="6">
      <w:start w:val="0"/>
      <w:numFmt w:val="bullet"/>
      <w:lvlText w:val="•"/>
      <w:lvlJc w:val="left"/>
      <w:pPr>
        <w:ind w:left="3226" w:hanging="133"/>
      </w:pPr>
      <w:rPr>
        <w:rFonts w:hint="default"/>
        <w:lang w:val="en-US" w:eastAsia="en-US" w:bidi="ar-SA"/>
      </w:rPr>
    </w:lvl>
    <w:lvl w:ilvl="7">
      <w:start w:val="0"/>
      <w:numFmt w:val="bullet"/>
      <w:lvlText w:val="•"/>
      <w:lvlJc w:val="left"/>
      <w:pPr>
        <w:ind w:left="3691" w:hanging="133"/>
      </w:pPr>
      <w:rPr>
        <w:rFonts w:hint="default"/>
        <w:lang w:val="en-US" w:eastAsia="en-US" w:bidi="ar-SA"/>
      </w:rPr>
    </w:lvl>
    <w:lvl w:ilvl="8">
      <w:start w:val="0"/>
      <w:numFmt w:val="bullet"/>
      <w:lvlText w:val="•"/>
      <w:lvlJc w:val="left"/>
      <w:pPr>
        <w:ind w:left="4155" w:hanging="133"/>
      </w:pPr>
      <w:rPr>
        <w:rFonts w:hint="default"/>
        <w:lang w:val="en-US" w:eastAsia="en-US" w:bidi="ar-SA"/>
      </w:rPr>
    </w:lvl>
  </w:abstractNum>
  <w:abstractNum w:abstractNumId="2">
    <w:multiLevelType w:val="hybridMultilevel"/>
    <w:lvl w:ilvl="0">
      <w:start w:val="0"/>
      <w:numFmt w:val="bullet"/>
      <w:lvlText w:val="•"/>
      <w:lvlJc w:val="left"/>
      <w:pPr>
        <w:ind w:left="442" w:hanging="133"/>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14" w:hanging="133"/>
      </w:pPr>
      <w:rPr>
        <w:rFonts w:hint="default"/>
        <w:lang w:val="en-US" w:eastAsia="en-US" w:bidi="ar-SA"/>
      </w:rPr>
    </w:lvl>
    <w:lvl w:ilvl="2">
      <w:start w:val="0"/>
      <w:numFmt w:val="bullet"/>
      <w:lvlText w:val="•"/>
      <w:lvlJc w:val="left"/>
      <w:pPr>
        <w:ind w:left="1388" w:hanging="133"/>
      </w:pPr>
      <w:rPr>
        <w:rFonts w:hint="default"/>
        <w:lang w:val="en-US" w:eastAsia="en-US" w:bidi="ar-SA"/>
      </w:rPr>
    </w:lvl>
    <w:lvl w:ilvl="3">
      <w:start w:val="0"/>
      <w:numFmt w:val="bullet"/>
      <w:lvlText w:val="•"/>
      <w:lvlJc w:val="left"/>
      <w:pPr>
        <w:ind w:left="1862" w:hanging="133"/>
      </w:pPr>
      <w:rPr>
        <w:rFonts w:hint="default"/>
        <w:lang w:val="en-US" w:eastAsia="en-US" w:bidi="ar-SA"/>
      </w:rPr>
    </w:lvl>
    <w:lvl w:ilvl="4">
      <w:start w:val="0"/>
      <w:numFmt w:val="bullet"/>
      <w:lvlText w:val="•"/>
      <w:lvlJc w:val="left"/>
      <w:pPr>
        <w:ind w:left="2337" w:hanging="133"/>
      </w:pPr>
      <w:rPr>
        <w:rFonts w:hint="default"/>
        <w:lang w:val="en-US" w:eastAsia="en-US" w:bidi="ar-SA"/>
      </w:rPr>
    </w:lvl>
    <w:lvl w:ilvl="5">
      <w:start w:val="0"/>
      <w:numFmt w:val="bullet"/>
      <w:lvlText w:val="•"/>
      <w:lvlJc w:val="left"/>
      <w:pPr>
        <w:ind w:left="2811" w:hanging="133"/>
      </w:pPr>
      <w:rPr>
        <w:rFonts w:hint="default"/>
        <w:lang w:val="en-US" w:eastAsia="en-US" w:bidi="ar-SA"/>
      </w:rPr>
    </w:lvl>
    <w:lvl w:ilvl="6">
      <w:start w:val="0"/>
      <w:numFmt w:val="bullet"/>
      <w:lvlText w:val="•"/>
      <w:lvlJc w:val="left"/>
      <w:pPr>
        <w:ind w:left="3285" w:hanging="133"/>
      </w:pPr>
      <w:rPr>
        <w:rFonts w:hint="default"/>
        <w:lang w:val="en-US" w:eastAsia="en-US" w:bidi="ar-SA"/>
      </w:rPr>
    </w:lvl>
    <w:lvl w:ilvl="7">
      <w:start w:val="0"/>
      <w:numFmt w:val="bullet"/>
      <w:lvlText w:val="•"/>
      <w:lvlJc w:val="left"/>
      <w:pPr>
        <w:ind w:left="3760" w:hanging="133"/>
      </w:pPr>
      <w:rPr>
        <w:rFonts w:hint="default"/>
        <w:lang w:val="en-US" w:eastAsia="en-US" w:bidi="ar-SA"/>
      </w:rPr>
    </w:lvl>
    <w:lvl w:ilvl="8">
      <w:start w:val="0"/>
      <w:numFmt w:val="bullet"/>
      <w:lvlText w:val="•"/>
      <w:lvlJc w:val="left"/>
      <w:pPr>
        <w:ind w:left="4234" w:hanging="133"/>
      </w:pPr>
      <w:rPr>
        <w:rFonts w:hint="default"/>
        <w:lang w:val="en-US" w:eastAsia="en-US" w:bidi="ar-SA"/>
      </w:rPr>
    </w:lvl>
  </w:abstractNum>
  <w:abstractNum w:abstractNumId="3">
    <w:multiLevelType w:val="hybridMultilevel"/>
    <w:lvl w:ilvl="0">
      <w:start w:val="1"/>
      <w:numFmt w:val="decimal"/>
      <w:lvlText w:val="%1."/>
      <w:lvlJc w:val="left"/>
      <w:pPr>
        <w:ind w:left="442"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14" w:hanging="221"/>
      </w:pPr>
      <w:rPr>
        <w:rFonts w:hint="default"/>
        <w:lang w:val="en-US" w:eastAsia="en-US" w:bidi="ar-SA"/>
      </w:rPr>
    </w:lvl>
    <w:lvl w:ilvl="2">
      <w:start w:val="0"/>
      <w:numFmt w:val="bullet"/>
      <w:lvlText w:val="•"/>
      <w:lvlJc w:val="left"/>
      <w:pPr>
        <w:ind w:left="1388" w:hanging="221"/>
      </w:pPr>
      <w:rPr>
        <w:rFonts w:hint="default"/>
        <w:lang w:val="en-US" w:eastAsia="en-US" w:bidi="ar-SA"/>
      </w:rPr>
    </w:lvl>
    <w:lvl w:ilvl="3">
      <w:start w:val="0"/>
      <w:numFmt w:val="bullet"/>
      <w:lvlText w:val="•"/>
      <w:lvlJc w:val="left"/>
      <w:pPr>
        <w:ind w:left="1862" w:hanging="221"/>
      </w:pPr>
      <w:rPr>
        <w:rFonts w:hint="default"/>
        <w:lang w:val="en-US" w:eastAsia="en-US" w:bidi="ar-SA"/>
      </w:rPr>
    </w:lvl>
    <w:lvl w:ilvl="4">
      <w:start w:val="0"/>
      <w:numFmt w:val="bullet"/>
      <w:lvlText w:val="•"/>
      <w:lvlJc w:val="left"/>
      <w:pPr>
        <w:ind w:left="2337" w:hanging="221"/>
      </w:pPr>
      <w:rPr>
        <w:rFonts w:hint="default"/>
        <w:lang w:val="en-US" w:eastAsia="en-US" w:bidi="ar-SA"/>
      </w:rPr>
    </w:lvl>
    <w:lvl w:ilvl="5">
      <w:start w:val="0"/>
      <w:numFmt w:val="bullet"/>
      <w:lvlText w:val="•"/>
      <w:lvlJc w:val="left"/>
      <w:pPr>
        <w:ind w:left="2811" w:hanging="221"/>
      </w:pPr>
      <w:rPr>
        <w:rFonts w:hint="default"/>
        <w:lang w:val="en-US" w:eastAsia="en-US" w:bidi="ar-SA"/>
      </w:rPr>
    </w:lvl>
    <w:lvl w:ilvl="6">
      <w:start w:val="0"/>
      <w:numFmt w:val="bullet"/>
      <w:lvlText w:val="•"/>
      <w:lvlJc w:val="left"/>
      <w:pPr>
        <w:ind w:left="3285" w:hanging="221"/>
      </w:pPr>
      <w:rPr>
        <w:rFonts w:hint="default"/>
        <w:lang w:val="en-US" w:eastAsia="en-US" w:bidi="ar-SA"/>
      </w:rPr>
    </w:lvl>
    <w:lvl w:ilvl="7">
      <w:start w:val="0"/>
      <w:numFmt w:val="bullet"/>
      <w:lvlText w:val="•"/>
      <w:lvlJc w:val="left"/>
      <w:pPr>
        <w:ind w:left="3760" w:hanging="221"/>
      </w:pPr>
      <w:rPr>
        <w:rFonts w:hint="default"/>
        <w:lang w:val="en-US" w:eastAsia="en-US" w:bidi="ar-SA"/>
      </w:rPr>
    </w:lvl>
    <w:lvl w:ilvl="8">
      <w:start w:val="0"/>
      <w:numFmt w:val="bullet"/>
      <w:lvlText w:val="•"/>
      <w:lvlJc w:val="left"/>
      <w:pPr>
        <w:ind w:left="4234" w:hanging="221"/>
      </w:pPr>
      <w:rPr>
        <w:rFonts w:hint="default"/>
        <w:lang w:val="en-US" w:eastAsia="en-US" w:bidi="ar-SA"/>
      </w:rPr>
    </w:lvl>
  </w:abstractNum>
  <w:abstractNum w:abstractNumId="0">
    <w:multiLevelType w:val="hybridMultilevel"/>
    <w:lvl w:ilvl="0">
      <w:start w:val="1"/>
      <w:numFmt w:val="decimal"/>
      <w:lvlText w:val="%1."/>
      <w:lvlJc w:val="left"/>
      <w:pPr>
        <w:ind w:left="589" w:hanging="267"/>
        <w:jc w:val="left"/>
      </w:pPr>
      <w:rPr>
        <w:rFonts w:hint="default" w:ascii="Arial" w:hAnsi="Arial" w:eastAsia="Arial" w:cs="Arial"/>
        <w:b/>
        <w:bCs/>
        <w:i w:val="0"/>
        <w:iCs w:val="0"/>
        <w:color w:val="1A365D"/>
        <w:spacing w:val="0"/>
        <w:w w:val="100"/>
        <w:sz w:val="24"/>
        <w:szCs w:val="24"/>
        <w:lang w:val="en-US" w:eastAsia="en-US" w:bidi="ar-SA"/>
      </w:rPr>
    </w:lvl>
    <w:lvl w:ilvl="1">
      <w:start w:val="1"/>
      <w:numFmt w:val="decimal"/>
      <w:lvlText w:val="%1.%2"/>
      <w:lvlJc w:val="left"/>
      <w:pPr>
        <w:ind w:left="509" w:hanging="367"/>
        <w:jc w:val="left"/>
      </w:pPr>
      <w:rPr>
        <w:rFonts w:hint="default" w:ascii="Arial" w:hAnsi="Arial" w:eastAsia="Arial" w:cs="Arial"/>
        <w:b/>
        <w:bCs/>
        <w:i w:val="0"/>
        <w:iCs w:val="0"/>
        <w:color w:val="2B5282"/>
        <w:spacing w:val="-1"/>
        <w:w w:val="100"/>
        <w:sz w:val="22"/>
        <w:szCs w:val="22"/>
        <w:lang w:val="en-US" w:eastAsia="en-US" w:bidi="ar-SA"/>
      </w:rPr>
    </w:lvl>
    <w:lvl w:ilvl="2">
      <w:start w:val="0"/>
      <w:numFmt w:val="bullet"/>
      <w:lvlText w:val="•"/>
      <w:lvlJc w:val="left"/>
      <w:pPr>
        <w:ind w:left="580" w:hanging="367"/>
      </w:pPr>
      <w:rPr>
        <w:rFonts w:hint="default"/>
        <w:lang w:val="en-US" w:eastAsia="en-US" w:bidi="ar-SA"/>
      </w:rPr>
    </w:lvl>
    <w:lvl w:ilvl="3">
      <w:start w:val="0"/>
      <w:numFmt w:val="bullet"/>
      <w:lvlText w:val="•"/>
      <w:lvlJc w:val="left"/>
      <w:pPr>
        <w:ind w:left="480" w:hanging="367"/>
      </w:pPr>
      <w:rPr>
        <w:rFonts w:hint="default"/>
        <w:lang w:val="en-US" w:eastAsia="en-US" w:bidi="ar-SA"/>
      </w:rPr>
    </w:lvl>
    <w:lvl w:ilvl="4">
      <w:start w:val="0"/>
      <w:numFmt w:val="bullet"/>
      <w:lvlText w:val="•"/>
      <w:lvlJc w:val="left"/>
      <w:pPr>
        <w:ind w:left="380" w:hanging="367"/>
      </w:pPr>
      <w:rPr>
        <w:rFonts w:hint="default"/>
        <w:lang w:val="en-US" w:eastAsia="en-US" w:bidi="ar-SA"/>
      </w:rPr>
    </w:lvl>
    <w:lvl w:ilvl="5">
      <w:start w:val="0"/>
      <w:numFmt w:val="bullet"/>
      <w:lvlText w:val="•"/>
      <w:lvlJc w:val="left"/>
      <w:pPr>
        <w:ind w:left="280" w:hanging="367"/>
      </w:pPr>
      <w:rPr>
        <w:rFonts w:hint="default"/>
        <w:lang w:val="en-US" w:eastAsia="en-US" w:bidi="ar-SA"/>
      </w:rPr>
    </w:lvl>
    <w:lvl w:ilvl="6">
      <w:start w:val="0"/>
      <w:numFmt w:val="bullet"/>
      <w:lvlText w:val="•"/>
      <w:lvlJc w:val="left"/>
      <w:pPr>
        <w:ind w:left="180" w:hanging="367"/>
      </w:pPr>
      <w:rPr>
        <w:rFonts w:hint="default"/>
        <w:lang w:val="en-US" w:eastAsia="en-US" w:bidi="ar-SA"/>
      </w:rPr>
    </w:lvl>
    <w:lvl w:ilvl="7">
      <w:start w:val="0"/>
      <w:numFmt w:val="bullet"/>
      <w:lvlText w:val="•"/>
      <w:lvlJc w:val="left"/>
      <w:pPr>
        <w:ind w:left="80" w:hanging="367"/>
      </w:pPr>
      <w:rPr>
        <w:rFonts w:hint="default"/>
        <w:lang w:val="en-US" w:eastAsia="en-US" w:bidi="ar-SA"/>
      </w:rPr>
    </w:lvl>
    <w:lvl w:ilvl="8">
      <w:start w:val="0"/>
      <w:numFmt w:val="bullet"/>
      <w:lvlText w:val="•"/>
      <w:lvlJc w:val="left"/>
      <w:pPr>
        <w:ind w:left="-20" w:hanging="367"/>
      </w:pPr>
      <w:rPr>
        <w:rFonts w:hint="default"/>
        <w:lang w:val="en-US" w:eastAsia="en-US" w:bidi="ar-SA"/>
      </w:rPr>
    </w:lvl>
  </w:abstractNum>
  <w:num w:numId="2">
    <w:abstractNumId w:val="1"/>
  </w:num>
  <w:num w:numId="3">
    <w:abstractNumId w:val="2"/>
  </w:num>
  <w:num w:numId="4">
    <w:abstractNumId w:val="3"/>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70"/>
      <w:ind w:left="142"/>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588" w:hanging="266"/>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42"/>
      <w:outlineLvl w:val="2"/>
    </w:pPr>
    <w:rPr>
      <w:rFonts w:ascii="Arial" w:hAnsi="Arial" w:eastAsia="Arial" w:cs="Arial"/>
      <w:b/>
      <w:bCs/>
      <w:sz w:val="22"/>
      <w:szCs w:val="22"/>
      <w:lang w:val="en-US" w:eastAsia="en-US" w:bidi="ar-SA"/>
    </w:rPr>
  </w:style>
  <w:style w:styleId="Title" w:type="paragraph">
    <w:name w:val="Title"/>
    <w:basedOn w:val="Normal"/>
    <w:uiPriority w:val="1"/>
    <w:qFormat/>
    <w:pPr>
      <w:spacing w:before="394"/>
      <w:ind w:left="2"/>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442" w:hanging="13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2026-06-02T12:58:31Z</dcterms:created>
  <dcterms:modified xsi:type="dcterms:W3CDTF">2026-06-02T12:58:31Z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Producer">
    <vt:lpwstr>WeasyPrint 62.3</vt:lpwstr>
  </property>
  <property fmtid="{D5CDD505-2E9C-101B-9397-08002B2CF9AE}" pid="4" name="LastSaved">
    <vt:filetime>2026-06-02T00:00:00Z</vt:filetime>
  </property>
</Properties>
</file>