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861E" w14:textId="77777777" w:rsidR="00170A65" w:rsidRPr="00DA19DD" w:rsidRDefault="00170A65" w:rsidP="00170A65">
      <w:pPr>
        <w:spacing w:before="100" w:beforeAutospacing="1" w:after="100" w:afterAutospacing="1" w:line="276" w:lineRule="auto"/>
        <w:jc w:val="both"/>
        <w:outlineLvl w:val="0"/>
        <w:rPr>
          <w:rFonts w:ascii="Times New Roman" w:eastAsia="Times New Roman" w:hAnsi="Times New Roman" w:cs="Times New Roman"/>
          <w:b/>
          <w:bCs/>
          <w:kern w:val="36"/>
          <w:sz w:val="32"/>
          <w:szCs w:val="32"/>
          <w:lang w:eastAsia="en-IN"/>
          <w14:ligatures w14:val="none"/>
        </w:rPr>
      </w:pPr>
      <w:r w:rsidRPr="00DA19DD">
        <w:rPr>
          <w:rFonts w:ascii="Times New Roman" w:eastAsia="Times New Roman" w:hAnsi="Times New Roman" w:cs="Times New Roman"/>
          <w:b/>
          <w:bCs/>
          <w:kern w:val="36"/>
          <w:sz w:val="32"/>
          <w:szCs w:val="32"/>
          <w:lang w:eastAsia="en-IN"/>
          <w14:ligatures w14:val="none"/>
        </w:rPr>
        <w:t>Beyond GDP: Measuring Welfare in a Changing Global Economy</w:t>
      </w:r>
    </w:p>
    <w:p w14:paraId="5BB3FF5E" w14:textId="77777777" w:rsidR="00220B4C" w:rsidRDefault="00220B4C" w:rsidP="001C553B">
      <w:pPr>
        <w:spacing w:before="100" w:beforeAutospacing="1" w:after="100" w:afterAutospacing="1" w:line="276" w:lineRule="auto"/>
        <w:jc w:val="both"/>
        <w:outlineLvl w:val="0"/>
        <w:rPr>
          <w:rFonts w:ascii="Times New Roman" w:eastAsia="Times New Roman" w:hAnsi="Times New Roman" w:cs="Times New Roman"/>
          <w:b/>
          <w:bCs/>
          <w:kern w:val="36"/>
          <w:sz w:val="32"/>
          <w:szCs w:val="32"/>
          <w:lang w:eastAsia="en-IN"/>
          <w14:ligatures w14:val="none"/>
        </w:rPr>
      </w:pPr>
    </w:p>
    <w:p w14:paraId="7579C0D2" w14:textId="77777777" w:rsidR="00170A65" w:rsidRPr="00506B12" w:rsidRDefault="00220B4C" w:rsidP="00170A65">
      <w:pPr>
        <w:spacing w:after="0" w:line="240" w:lineRule="auto"/>
        <w:jc w:val="center"/>
        <w:rPr>
          <w:rFonts w:ascii="Times New Roman" w:hAnsi="Times New Roman" w:cs="Times New Roman"/>
          <w:lang w:bidi="th-TH"/>
        </w:rPr>
      </w:pPr>
      <w:r w:rsidRPr="00170A65">
        <w:rPr>
          <w:rFonts w:ascii="Times New Roman" w:hAnsi="Times New Roman" w:cs="Times New Roman"/>
          <w:b/>
          <w:bCs/>
          <w:color w:val="222222"/>
          <w:shd w:val="clear" w:color="auto" w:fill="FFFFFF"/>
        </w:rPr>
        <w:t>Dr. V. VELVIZHI</w:t>
      </w:r>
      <w:r w:rsidRPr="00220B4C">
        <w:rPr>
          <w:rFonts w:ascii="Times New Roman" w:hAnsi="Times New Roman" w:cs="Times New Roman"/>
          <w:color w:val="222222"/>
        </w:rPr>
        <w:br/>
      </w:r>
      <w:r w:rsidRPr="00220B4C">
        <w:rPr>
          <w:rFonts w:ascii="Times New Roman" w:hAnsi="Times New Roman" w:cs="Times New Roman"/>
          <w:color w:val="222222"/>
          <w:shd w:val="clear" w:color="auto" w:fill="FFFFFF"/>
        </w:rPr>
        <w:t>Assistant Professor and Head, Department of Economics</w:t>
      </w:r>
      <w:r w:rsidRPr="00220B4C">
        <w:rPr>
          <w:rFonts w:ascii="Times New Roman" w:hAnsi="Times New Roman" w:cs="Times New Roman"/>
          <w:color w:val="222222"/>
        </w:rPr>
        <w:br/>
      </w:r>
      <w:r w:rsidRPr="00220B4C">
        <w:rPr>
          <w:rFonts w:ascii="Times New Roman" w:hAnsi="Times New Roman" w:cs="Times New Roman"/>
          <w:color w:val="222222"/>
          <w:shd w:val="clear" w:color="auto" w:fill="FFFFFF"/>
        </w:rPr>
        <w:t xml:space="preserve">Government Arts and Science College, </w:t>
      </w:r>
      <w:proofErr w:type="spellStart"/>
      <w:r w:rsidRPr="00220B4C">
        <w:rPr>
          <w:rFonts w:ascii="Times New Roman" w:hAnsi="Times New Roman" w:cs="Times New Roman"/>
          <w:color w:val="222222"/>
          <w:shd w:val="clear" w:color="auto" w:fill="FFFFFF"/>
        </w:rPr>
        <w:t>Mettur</w:t>
      </w:r>
      <w:proofErr w:type="spellEnd"/>
      <w:r w:rsidRPr="00220B4C">
        <w:rPr>
          <w:rFonts w:ascii="Times New Roman" w:hAnsi="Times New Roman" w:cs="Times New Roman"/>
          <w:color w:val="222222"/>
          <w:shd w:val="clear" w:color="auto" w:fill="FFFFFF"/>
        </w:rPr>
        <w:t>, Salem</w:t>
      </w:r>
      <w:r w:rsidRPr="00220B4C">
        <w:rPr>
          <w:rFonts w:ascii="Times New Roman" w:hAnsi="Times New Roman" w:cs="Times New Roman"/>
          <w:color w:val="222222"/>
        </w:rPr>
        <w:br/>
      </w:r>
      <w:r w:rsidR="00170A65" w:rsidRPr="00506B12">
        <w:rPr>
          <w:rFonts w:ascii="Times New Roman" w:hAnsi="Times New Roman" w:cs="Times New Roman"/>
          <w:lang w:bidi="th-TH"/>
        </w:rPr>
        <w:t>Cell: 7598296682</w:t>
      </w:r>
    </w:p>
    <w:p w14:paraId="5AE71FB0" w14:textId="77777777" w:rsidR="00170A65" w:rsidRPr="00506B12" w:rsidRDefault="00170A65" w:rsidP="00170A65">
      <w:pPr>
        <w:spacing w:after="0" w:line="240" w:lineRule="auto"/>
        <w:jc w:val="center"/>
        <w:rPr>
          <w:rFonts w:ascii="Times New Roman" w:hAnsi="Times New Roman" w:cs="Times New Roman"/>
          <w:lang w:bidi="th-TH"/>
        </w:rPr>
      </w:pPr>
      <w:r w:rsidRPr="00506B12">
        <w:rPr>
          <w:rFonts w:ascii="Times New Roman" w:hAnsi="Times New Roman" w:cs="Times New Roman"/>
          <w:lang w:bidi="th-TH"/>
        </w:rPr>
        <w:t>Mail id: shameem2969@gmail.com</w:t>
      </w:r>
    </w:p>
    <w:p w14:paraId="30F42975" w14:textId="77777777" w:rsidR="00220B4C" w:rsidRDefault="00220B4C" w:rsidP="001C553B">
      <w:pPr>
        <w:spacing w:before="100" w:beforeAutospacing="1" w:after="100" w:afterAutospacing="1" w:line="276" w:lineRule="auto"/>
        <w:jc w:val="both"/>
        <w:outlineLvl w:val="0"/>
        <w:rPr>
          <w:rFonts w:ascii="Times New Roman" w:eastAsia="Times New Roman" w:hAnsi="Times New Roman" w:cs="Times New Roman"/>
          <w:b/>
          <w:bCs/>
          <w:kern w:val="36"/>
          <w:sz w:val="32"/>
          <w:szCs w:val="32"/>
          <w:lang w:eastAsia="en-IN"/>
          <w14:ligatures w14:val="none"/>
        </w:rPr>
      </w:pPr>
    </w:p>
    <w:p w14:paraId="363EFBB7" w14:textId="77777777" w:rsidR="00442955" w:rsidRPr="00DA19DD" w:rsidRDefault="00442955"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DA19DD">
        <w:rPr>
          <w:rFonts w:ascii="Times New Roman" w:eastAsia="Times New Roman" w:hAnsi="Times New Roman" w:cs="Times New Roman"/>
          <w:b/>
          <w:bCs/>
          <w:kern w:val="0"/>
          <w:lang w:eastAsia="en-IN"/>
          <w14:ligatures w14:val="none"/>
        </w:rPr>
        <w:t>Abstract</w:t>
      </w:r>
    </w:p>
    <w:p w14:paraId="294B6476" w14:textId="77777777" w:rsidR="00442955" w:rsidRPr="00442955" w:rsidRDefault="0044295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442955">
        <w:rPr>
          <w:rFonts w:ascii="Times New Roman" w:eastAsia="Times New Roman" w:hAnsi="Times New Roman" w:cs="Times New Roman"/>
          <w:kern w:val="0"/>
          <w:lang w:eastAsia="en-IN"/>
          <w14:ligatures w14:val="none"/>
        </w:rPr>
        <w:t>Gross Domestic Product (GDP) has historically functioned as the principal indicator of economic progress. However, contemporary global challenges—including inequality, environmental degradation, and declining subjective well-being—have revealed its conceptual and empirical limitations. This paper critically evaluates GDP as a welfare measure and examines alternative frameworks such as the Human Development Index (HDI), Genuine Progress Indicator (GPI), and Multidimensional Poverty Index (MPI). Through empirical comparisons and theoretical analysis, the study demonstrates that GDP growth often diverges from improvements in human welfare. Using cross-country data patterns, the paper highlights how welfare outcomes depend not only on income but also on distribution, social infrastructure, and sustainability. The study argues for a multidimensional measurement framework and recommends policy integration of broader welfare indicators into economic planning.</w:t>
      </w:r>
    </w:p>
    <w:p w14:paraId="2DFC22DC" w14:textId="24B01F65" w:rsidR="00442955" w:rsidRPr="00442955" w:rsidRDefault="00442955" w:rsidP="00DA19DD">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442955">
        <w:rPr>
          <w:rFonts w:ascii="Times New Roman" w:eastAsia="Times New Roman" w:hAnsi="Times New Roman" w:cs="Times New Roman"/>
          <w:b/>
          <w:bCs/>
          <w:kern w:val="0"/>
          <w:lang w:eastAsia="en-IN"/>
          <w14:ligatures w14:val="none"/>
        </w:rPr>
        <w:t>Keywords:</w:t>
      </w:r>
      <w:r w:rsidRPr="00442955">
        <w:rPr>
          <w:rFonts w:ascii="Times New Roman" w:eastAsia="Times New Roman" w:hAnsi="Times New Roman" w:cs="Times New Roman"/>
          <w:kern w:val="0"/>
          <w:lang w:eastAsia="en-IN"/>
          <w14:ligatures w14:val="none"/>
        </w:rPr>
        <w:t xml:space="preserve"> GDP, welfare economics, HDI, inequality, sustainability, multidimensional development</w:t>
      </w:r>
    </w:p>
    <w:p w14:paraId="3CD21894" w14:textId="77777777" w:rsidR="00442955" w:rsidRPr="00DA19DD" w:rsidRDefault="00442955"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DA19DD">
        <w:rPr>
          <w:rFonts w:ascii="Times New Roman" w:eastAsia="Times New Roman" w:hAnsi="Times New Roman" w:cs="Times New Roman"/>
          <w:b/>
          <w:bCs/>
          <w:kern w:val="0"/>
          <w:sz w:val="28"/>
          <w:szCs w:val="28"/>
          <w:lang w:eastAsia="en-IN"/>
          <w14:ligatures w14:val="none"/>
        </w:rPr>
        <w:t>1. Introduction</w:t>
      </w:r>
    </w:p>
    <w:p w14:paraId="142BE59D"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Economic growth has long been treated as one of the clearest signs of national progress. For much of modern economic history, a country’s success has been judged by the speed at which its economy expands, the value of goods and services it produces, and the rise in its national income. Since its formal development in the mid-twentieth century, Gross Domestic Product (GDP) has become the most widely used indicator for measuring economic performance. Governments frequently present rising GDP figures as evidence of successful policy, while international agencies, investors, and media institutions often compare countries through GDP growth rates and per capita income.</w:t>
      </w:r>
    </w:p>
    <w:p w14:paraId="73147805"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 xml:space="preserve">However, the growing complexity of the global economy has exposed the limitations of GDP as a measure of human welfare. GDP is useful for measuring market production, but it does not tell us whether the benefits of growth are fairly distributed, whether people are healthier or better educated, or whether economic activity is damaging the environment. A country may </w:t>
      </w:r>
      <w:r w:rsidRPr="009D169D">
        <w:rPr>
          <w:rFonts w:ascii="Times New Roman" w:eastAsia="Times New Roman" w:hAnsi="Times New Roman" w:cs="Times New Roman"/>
          <w:kern w:val="0"/>
          <w:lang w:eastAsia="en-IN"/>
          <w14:ligatures w14:val="none"/>
        </w:rPr>
        <w:lastRenderedPageBreak/>
        <w:t>record impressive GDP growth while large sections of its population continue to experience poverty, unemployment, poor healthcare, inadequate housing, and limited access to education. In such cases, economic expansion does not automatically translate into social progress.</w:t>
      </w:r>
    </w:p>
    <w:p w14:paraId="734D5CA9"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Scholars such as Joseph Stiglitz, Amartya Sen, and Jean-Paul Fitoussi have strongly argued that GDP captures production rather than well-being. Their critique emphasizes that welfare is multidimensional and cannot be reduced to income alone. Human welfare includes not only material prosperity but also health, education, security, dignity, social inclusion, environmental quality, and freedom of choice. Therefore, measuring progress only through GDP creates a narrow and sometimes misleading understanding of development.</w:t>
      </w:r>
    </w:p>
    <w:p w14:paraId="79E8C18B"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In the contemporary world, this debate has become even more important. Rising inequality, climate change, ecological degradation, unemployment, mental health concerns, and social insecurity have raised serious questions about growth-centered development models. Many countries have achieved higher levels of income without ensuring equal opportunity or sustainable living conditions. Similarly, environmental damage caused by industrial production may increase GDP in the short term but reduce long-term welfare by harming natural resources and public health.</w:t>
      </w:r>
    </w:p>
    <w:p w14:paraId="7155DEF7"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This paper expands on these critiques by examining the gap between economic growth and human welfare. It argues that high GDP does not necessarily mean high welfare, that growth can coexist with inequality and environmental decline, and that alternative indicators such as the Human Development Index, Genuine Progress Indicator, Multidimensional Poverty Index, and subjective well-being measures provide a more comprehensive understanding of development. By moving beyond GDP, policymakers can better evaluate whether economic progress is genuinely improving people’s lives.</w:t>
      </w:r>
    </w:p>
    <w:p w14:paraId="786B6300" w14:textId="77777777" w:rsidR="00442955" w:rsidRPr="00442955" w:rsidRDefault="00442955" w:rsidP="001C553B">
      <w:pPr>
        <w:pBdr>
          <w:bottom w:val="single" w:sz="6" w:space="1" w:color="auto"/>
        </w:pBdr>
        <w:spacing w:after="0" w:line="276" w:lineRule="auto"/>
        <w:jc w:val="both"/>
        <w:rPr>
          <w:rFonts w:ascii="Arial" w:eastAsia="Times New Roman" w:hAnsi="Arial" w:cs="Arial"/>
          <w:vanish/>
          <w:kern w:val="0"/>
          <w:sz w:val="16"/>
          <w:szCs w:val="16"/>
          <w:lang w:eastAsia="en-IN"/>
          <w14:ligatures w14:val="none"/>
        </w:rPr>
      </w:pPr>
      <w:r w:rsidRPr="00442955">
        <w:rPr>
          <w:rFonts w:ascii="Arial" w:eastAsia="Times New Roman" w:hAnsi="Arial" w:cs="Arial"/>
          <w:vanish/>
          <w:kern w:val="0"/>
          <w:sz w:val="16"/>
          <w:szCs w:val="16"/>
          <w:lang w:eastAsia="en-IN"/>
          <w14:ligatures w14:val="none"/>
        </w:rPr>
        <w:t>Top of Form</w:t>
      </w:r>
    </w:p>
    <w:p w14:paraId="0D2A03BE" w14:textId="77777777" w:rsidR="00442955" w:rsidRPr="00442955" w:rsidRDefault="00442955" w:rsidP="001C553B">
      <w:pPr>
        <w:pBdr>
          <w:top w:val="single" w:sz="6" w:space="1" w:color="auto"/>
        </w:pBdr>
        <w:spacing w:after="0" w:line="276" w:lineRule="auto"/>
        <w:jc w:val="both"/>
        <w:rPr>
          <w:rFonts w:ascii="Arial" w:eastAsia="Times New Roman" w:hAnsi="Arial" w:cs="Arial"/>
          <w:vanish/>
          <w:kern w:val="0"/>
          <w:sz w:val="16"/>
          <w:szCs w:val="16"/>
          <w:lang w:eastAsia="en-IN"/>
          <w14:ligatures w14:val="none"/>
        </w:rPr>
      </w:pPr>
      <w:r w:rsidRPr="00442955">
        <w:rPr>
          <w:rFonts w:ascii="Arial" w:eastAsia="Times New Roman" w:hAnsi="Arial" w:cs="Arial"/>
          <w:vanish/>
          <w:kern w:val="0"/>
          <w:sz w:val="16"/>
          <w:szCs w:val="16"/>
          <w:lang w:eastAsia="en-IN"/>
          <w14:ligatures w14:val="none"/>
        </w:rPr>
        <w:t>Bottom of Form</w:t>
      </w:r>
    </w:p>
    <w:p w14:paraId="468B97F2" w14:textId="77777777" w:rsidR="0091080D" w:rsidRPr="00D53F67"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D53F67">
        <w:rPr>
          <w:rFonts w:ascii="Times New Roman" w:eastAsia="Times New Roman" w:hAnsi="Times New Roman" w:cs="Times New Roman"/>
          <w:b/>
          <w:bCs/>
          <w:kern w:val="0"/>
          <w:sz w:val="28"/>
          <w:szCs w:val="28"/>
          <w:lang w:eastAsia="en-IN"/>
          <w14:ligatures w14:val="none"/>
        </w:rPr>
        <w:t>2. Conceptual Limitations of GDP</w:t>
      </w:r>
    </w:p>
    <w:p w14:paraId="7451063D"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Although GDP is a useful measure of total economic production, it has serious limitations when used as an indicator of social welfare. GDP tells us how much an economy produces, but it does not explain who benefits from that production, whether growth improves people’s lives, or whether it damages future well-being. For this reason, GDP should be understood as a measure of output rather than a complete measure of development.</w:t>
      </w:r>
    </w:p>
    <w:p w14:paraId="63693E81" w14:textId="77777777" w:rsidR="0091080D" w:rsidRPr="00D53F67"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D53F67">
        <w:rPr>
          <w:rFonts w:ascii="Times New Roman" w:eastAsia="Times New Roman" w:hAnsi="Times New Roman" w:cs="Times New Roman"/>
          <w:b/>
          <w:bCs/>
          <w:kern w:val="0"/>
          <w:lang w:eastAsia="en-IN"/>
          <w14:ligatures w14:val="none"/>
        </w:rPr>
        <w:t>2.1 Distributional Blindness</w:t>
      </w:r>
    </w:p>
    <w:p w14:paraId="578FCDE1"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One of the major limitations of GDP is that it ignores income distribution. GDP aggregates the total value of goods and services produced within a country, but it does not show how that income is shared among different sections of society. A country may have a very high GDP, yet the benefits of growth may be concentrated among a small wealthy group.</w:t>
      </w:r>
    </w:p>
    <w:p w14:paraId="42DA039C"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 xml:space="preserve">For example, the United States has one of the largest economies in the world, but it also experiences significant income inequality. This shows that high national income does not </w:t>
      </w:r>
      <w:r w:rsidRPr="0091080D">
        <w:rPr>
          <w:rFonts w:ascii="Times New Roman" w:eastAsia="Times New Roman" w:hAnsi="Times New Roman" w:cs="Times New Roman"/>
          <w:kern w:val="0"/>
          <w:lang w:eastAsia="en-IN"/>
          <w14:ligatures w14:val="none"/>
        </w:rPr>
        <w:lastRenderedPageBreak/>
        <w:t>automatically mean equal social welfare. When wealth is unevenly distributed, many people may remain excluded from the benefits of economic growth.</w:t>
      </w:r>
    </w:p>
    <w:p w14:paraId="05ADA740" w14:textId="3153E369"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Inequality affects welfare in several ways. It reduces social mobility, because poorer groups may lack access to quality education, healthcare, housing, and employment opportunities. It also affects health outcomes, as lower-income groups are more vulnerable to poor nutrition, stress, disease, and inadequate medical care. In addition, high inequality weakens overall life satisfaction because it creates insecurity, social comparison, and a sense of exclusion.</w:t>
      </w:r>
      <w:r w:rsidR="00D53F67">
        <w:rPr>
          <w:rFonts w:ascii="Times New Roman" w:eastAsia="Times New Roman" w:hAnsi="Times New Roman" w:cs="Times New Roman"/>
          <w:kern w:val="0"/>
          <w:lang w:eastAsia="en-IN"/>
          <w14:ligatures w14:val="none"/>
        </w:rPr>
        <w:t xml:space="preserve"> </w:t>
      </w:r>
      <w:r w:rsidRPr="0091080D">
        <w:rPr>
          <w:rFonts w:ascii="Times New Roman" w:eastAsia="Times New Roman" w:hAnsi="Times New Roman" w:cs="Times New Roman"/>
          <w:kern w:val="0"/>
          <w:lang w:eastAsia="en-IN"/>
          <w14:ligatures w14:val="none"/>
        </w:rPr>
        <w:t>Thus, GDP growth may present an image of prosperity while hiding deep social and economic divisions.</w:t>
      </w:r>
    </w:p>
    <w:p w14:paraId="71F5EDA1" w14:textId="77777777" w:rsidR="0091080D" w:rsidRPr="00887793"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887793">
        <w:rPr>
          <w:rFonts w:ascii="Times New Roman" w:eastAsia="Times New Roman" w:hAnsi="Times New Roman" w:cs="Times New Roman"/>
          <w:b/>
          <w:bCs/>
          <w:kern w:val="0"/>
          <w:lang w:eastAsia="en-IN"/>
          <w14:ligatures w14:val="none"/>
        </w:rPr>
        <w:t>2.2 Environmental Externalities</w:t>
      </w:r>
    </w:p>
    <w:p w14:paraId="02AA4037"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GDP also fails to account for environmental damage. Many activities that increase GDP may simultaneously reduce long-term welfare by damaging natural resources and public health. Industrial pollution, deforestation, mining, excessive resource extraction, and fossil fuel consumption may all contribute to economic output, but they also create ecological costs.</w:t>
      </w:r>
    </w:p>
    <w:p w14:paraId="586E21DF"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A major paradox is that even harmful events can increase GDP. For example, an oil spill may raise GDP because money is spent on cleanup operations, legal services, medical treatment, and reconstruction. Similarly, deforestation may increase GDP through timber sales and land development, but it destroys biodiversity, increases carbon emissions, and harms future generations.</w:t>
      </w:r>
    </w:p>
    <w:p w14:paraId="14164215"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 xml:space="preserve">This creates a serious problem: GDP records only market activity, not whether that activity is socially or environmentally beneficial. As a result, GDP may rise even when the </w:t>
      </w:r>
      <w:proofErr w:type="gramStart"/>
      <w:r w:rsidRPr="0091080D">
        <w:rPr>
          <w:rFonts w:ascii="Times New Roman" w:eastAsia="Times New Roman" w:hAnsi="Times New Roman" w:cs="Times New Roman"/>
          <w:kern w:val="0"/>
          <w:lang w:eastAsia="en-IN"/>
          <w14:ligatures w14:val="none"/>
        </w:rPr>
        <w:t>quality of life</w:t>
      </w:r>
      <w:proofErr w:type="gramEnd"/>
      <w:r w:rsidRPr="0091080D">
        <w:rPr>
          <w:rFonts w:ascii="Times New Roman" w:eastAsia="Times New Roman" w:hAnsi="Times New Roman" w:cs="Times New Roman"/>
          <w:kern w:val="0"/>
          <w:lang w:eastAsia="en-IN"/>
          <w14:ligatures w14:val="none"/>
        </w:rPr>
        <w:t xml:space="preserve"> declines. A society that pollutes its rivers, destroys forests, and overuses natural resources may appear economically successful in GDP terms, but its long-term welfare is actually being reduced.</w:t>
      </w:r>
    </w:p>
    <w:p w14:paraId="34F1D07C" w14:textId="77777777" w:rsidR="0091080D" w:rsidRPr="00887793"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887793">
        <w:rPr>
          <w:rFonts w:ascii="Times New Roman" w:eastAsia="Times New Roman" w:hAnsi="Times New Roman" w:cs="Times New Roman"/>
          <w:b/>
          <w:bCs/>
          <w:kern w:val="0"/>
          <w:lang w:eastAsia="en-IN"/>
          <w14:ligatures w14:val="none"/>
        </w:rPr>
        <w:t>2.3 Non-Market Exclusion</w:t>
      </w:r>
    </w:p>
    <w:p w14:paraId="3BD7E902"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Another important limitation is that GDP excludes non-market activities. Many valuable forms of work are not counted because they do not involve formal market transactions. Household work, childcare, elder care, cooking, cleaning, and voluntary community service contribute greatly to human welfare, but they are largely invisible in GDP calculations.</w:t>
      </w:r>
    </w:p>
    <w:p w14:paraId="6512C1E6" w14:textId="19A2CB1B"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 xml:space="preserve">This exclusion creates a gender bias in economic measurement because unpaid caregiving and domestic </w:t>
      </w:r>
      <w:r w:rsidR="00887793" w:rsidRPr="0091080D">
        <w:rPr>
          <w:rFonts w:ascii="Times New Roman" w:eastAsia="Times New Roman" w:hAnsi="Times New Roman" w:cs="Times New Roman"/>
          <w:kern w:val="0"/>
          <w:lang w:eastAsia="en-IN"/>
          <w14:ligatures w14:val="none"/>
        </w:rPr>
        <w:t>labour</w:t>
      </w:r>
      <w:r w:rsidRPr="0091080D">
        <w:rPr>
          <w:rFonts w:ascii="Times New Roman" w:eastAsia="Times New Roman" w:hAnsi="Times New Roman" w:cs="Times New Roman"/>
          <w:kern w:val="0"/>
          <w:lang w:eastAsia="en-IN"/>
          <w14:ligatures w14:val="none"/>
        </w:rPr>
        <w:t xml:space="preserve"> are disproportionately performed by women. Although this work supports families, communities, and the formal economy, it is not treated as economic production. As a result, GDP underestimates the true productive contribution of society.</w:t>
      </w:r>
    </w:p>
    <w:p w14:paraId="369412D4" w14:textId="0D914BC5"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 xml:space="preserve">For example, if a family pays a worker for childcare, that payment is counted in GDP. But if the same care is provided by a parent at home, it is excluded. This shows that GDP values activities only when they pass through the market, not according to their real contribution to </w:t>
      </w:r>
      <w:r w:rsidRPr="0091080D">
        <w:rPr>
          <w:rFonts w:ascii="Times New Roman" w:eastAsia="Times New Roman" w:hAnsi="Times New Roman" w:cs="Times New Roman"/>
          <w:kern w:val="0"/>
          <w:lang w:eastAsia="en-IN"/>
          <w14:ligatures w14:val="none"/>
        </w:rPr>
        <w:lastRenderedPageBreak/>
        <w:t>welfare.</w:t>
      </w:r>
      <w:r w:rsidR="00887793">
        <w:rPr>
          <w:rFonts w:ascii="Times New Roman" w:eastAsia="Times New Roman" w:hAnsi="Times New Roman" w:cs="Times New Roman"/>
          <w:kern w:val="0"/>
          <w:lang w:eastAsia="en-IN"/>
          <w14:ligatures w14:val="none"/>
        </w:rPr>
        <w:t xml:space="preserve"> </w:t>
      </w:r>
      <w:r w:rsidRPr="0091080D">
        <w:rPr>
          <w:rFonts w:ascii="Times New Roman" w:eastAsia="Times New Roman" w:hAnsi="Times New Roman" w:cs="Times New Roman"/>
          <w:kern w:val="0"/>
          <w:lang w:eastAsia="en-IN"/>
          <w14:ligatures w14:val="none"/>
        </w:rPr>
        <w:t>Therefore, GDP gives an incomplete picture of economic life and undervalues essential care-based activities.</w:t>
      </w:r>
    </w:p>
    <w:p w14:paraId="69A31346" w14:textId="77777777" w:rsidR="0091080D" w:rsidRPr="00887793"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887793">
        <w:rPr>
          <w:rFonts w:ascii="Times New Roman" w:eastAsia="Times New Roman" w:hAnsi="Times New Roman" w:cs="Times New Roman"/>
          <w:b/>
          <w:bCs/>
          <w:kern w:val="0"/>
          <w:lang w:eastAsia="en-IN"/>
          <w14:ligatures w14:val="none"/>
        </w:rPr>
        <w:t>2.4 Welfare vs Output Divergence</w:t>
      </w:r>
    </w:p>
    <w:p w14:paraId="3027507A"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GDP also fails to capture the difference between economic output and actual human welfare. Countries with similar GDP per capita may have very different outcomes in health, education, safety, happiness, and social security. This shows that income alone does not determine quality of life.</w:t>
      </w:r>
    </w:p>
    <w:p w14:paraId="6F472F4F"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For instance, two countries may have similar average income levels, but one may provide better public healthcare, stronger education systems, cleaner environments, and greater social protection. In such a case, the country with stronger social institutions may achieve better welfare outcomes even without much higher GDP.</w:t>
      </w:r>
    </w:p>
    <w:p w14:paraId="18EEE57C"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Life expectancy, literacy, school completion, access to healthcare, gender equality, employment security, and subjective happiness are all important indicators of welfare. GDP does not directly measure any of these. Therefore, relying only on GDP can mislead policymakers into prioritizing growth while neglecting human development.</w:t>
      </w:r>
    </w:p>
    <w:p w14:paraId="1FE67C39" w14:textId="77777777" w:rsid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In short, GDP is valuable as an economic indicator, but it is insufficient as a welfare measure. It must be supplemented by broader indicators that capture distribution, sustainability, care work, and quality of life.</w:t>
      </w:r>
    </w:p>
    <w:p w14:paraId="393328A3" w14:textId="77777777" w:rsidR="00BA140F" w:rsidRPr="00D53F67" w:rsidRDefault="00BA140F"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D53F67">
        <w:rPr>
          <w:rFonts w:ascii="Times New Roman" w:eastAsia="Times New Roman" w:hAnsi="Times New Roman" w:cs="Times New Roman"/>
          <w:b/>
          <w:bCs/>
          <w:kern w:val="0"/>
          <w:sz w:val="28"/>
          <w:szCs w:val="28"/>
          <w:lang w:eastAsia="en-IN"/>
          <w14:ligatures w14:val="none"/>
        </w:rPr>
        <w:t>3. Empirical Analysis: GDP vs Welfare</w:t>
      </w:r>
    </w:p>
    <w:p w14:paraId="7AAAB6EC" w14:textId="77777777" w:rsidR="00BA140F" w:rsidRPr="00BA140F"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To move beyond theoretical critiques, it is essential to examine empirical patterns that demonstrate the relationship—and divergence—between GDP and welfare indicators. This section uses cross-country comparisons and time-series trends to show how economic growth does not uniformly translate into improvements in human well-being.</w:t>
      </w:r>
    </w:p>
    <w:p w14:paraId="02388768" w14:textId="77777777" w:rsidR="00BA140F" w:rsidRPr="00D53F67" w:rsidRDefault="00BA140F" w:rsidP="001C553B">
      <w:pPr>
        <w:spacing w:before="100" w:beforeAutospacing="1" w:after="100" w:afterAutospacing="1" w:line="276" w:lineRule="auto"/>
        <w:jc w:val="both"/>
        <w:outlineLvl w:val="2"/>
        <w:rPr>
          <w:rFonts w:ascii="Times New Roman" w:eastAsia="Times New Roman" w:hAnsi="Times New Roman" w:cs="Times New Roman"/>
          <w:b/>
          <w:bCs/>
          <w:kern w:val="0"/>
          <w:lang w:eastAsia="en-IN"/>
          <w14:ligatures w14:val="none"/>
        </w:rPr>
      </w:pPr>
      <w:r w:rsidRPr="00D53F67">
        <w:rPr>
          <w:rFonts w:ascii="Times New Roman" w:eastAsia="Times New Roman" w:hAnsi="Times New Roman" w:cs="Times New Roman"/>
          <w:b/>
          <w:bCs/>
          <w:kern w:val="0"/>
          <w:lang w:eastAsia="en-IN"/>
          <w14:ligatures w14:val="none"/>
        </w:rPr>
        <w:t>3.1 GDP vs Human Development Index (HDI)</w:t>
      </w:r>
    </w:p>
    <w:p w14:paraId="37AF9401" w14:textId="056B7258" w:rsidR="00887793"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The relationship between GDP per capita and the Human Development Index (HDI) provides one of the clearest empirical illustrations of the limitations of income-based measures. While GDP reflects economic output, HDI incorporates life expectancy, education, and income, offering a broader perspective on development.</w:t>
      </w:r>
    </w:p>
    <w:p w14:paraId="54703832"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65E351CA"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2498163D"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2143363F"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57D35596" w14:textId="7999EDC2" w:rsidR="00BA140F" w:rsidRPr="00887793" w:rsidRDefault="00BA140F" w:rsidP="001C553B">
      <w:pPr>
        <w:spacing w:before="100" w:beforeAutospacing="1" w:after="100" w:afterAutospacing="1" w:line="276" w:lineRule="auto"/>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kern w:val="0"/>
          <w:lang w:eastAsia="en-IN"/>
          <w14:ligatures w14:val="none"/>
        </w:rPr>
        <w:lastRenderedPageBreak/>
        <w:t>Using representative country data:</w:t>
      </w:r>
      <w:r w:rsidR="00920557" w:rsidRPr="00920557">
        <w:rPr>
          <w:rFonts w:ascii="Times New Roman" w:eastAsia="Times New Roman" w:hAnsi="Times New Roman" w:cs="Times New Roman"/>
          <w:i/>
          <w:iCs/>
          <w:kern w:val="0"/>
          <w:lang w:eastAsia="en-IN"/>
          <w14:ligatures w14:val="none"/>
        </w:rPr>
        <w:t xml:space="preserve"> </w:t>
      </w:r>
      <w:r w:rsidR="00920557" w:rsidRPr="00887793">
        <w:rPr>
          <w:rFonts w:ascii="Times New Roman" w:eastAsia="Times New Roman" w:hAnsi="Times New Roman" w:cs="Times New Roman"/>
          <w:b/>
          <w:bCs/>
          <w:kern w:val="0"/>
          <w:lang w:eastAsia="en-IN"/>
          <w14:ligatures w14:val="none"/>
        </w:rPr>
        <w:t>Figure 1</w:t>
      </w:r>
    </w:p>
    <w:tbl>
      <w:tblPr>
        <w:tblW w:w="8252"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2552"/>
        <w:gridCol w:w="3876"/>
        <w:gridCol w:w="1824"/>
      </w:tblGrid>
      <w:tr w:rsidR="00BA140F" w:rsidRPr="00BA140F" w14:paraId="6FA52890" w14:textId="77777777" w:rsidTr="00887793">
        <w:trPr>
          <w:trHeight w:val="200"/>
          <w:tblHeader/>
          <w:tblCellSpacing w:w="15" w:type="dxa"/>
        </w:trPr>
        <w:tc>
          <w:tcPr>
            <w:tcW w:w="2507" w:type="dxa"/>
            <w:tcBorders>
              <w:top w:val="single" w:sz="4" w:space="0" w:color="auto"/>
              <w:left w:val="single" w:sz="4" w:space="0" w:color="auto"/>
              <w:right w:val="single" w:sz="4" w:space="0" w:color="auto"/>
            </w:tcBorders>
            <w:vAlign w:val="center"/>
            <w:hideMark/>
          </w:tcPr>
          <w:p w14:paraId="61872D50" w14:textId="77777777" w:rsidR="00BA140F" w:rsidRPr="00BA140F" w:rsidRDefault="00BA140F" w:rsidP="001C553B">
            <w:pPr>
              <w:spacing w:before="120" w:after="0" w:line="276" w:lineRule="auto"/>
              <w:ind w:left="1191"/>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Country</w:t>
            </w:r>
          </w:p>
        </w:tc>
        <w:tc>
          <w:tcPr>
            <w:tcW w:w="3846" w:type="dxa"/>
            <w:tcBorders>
              <w:top w:val="single" w:sz="4" w:space="0" w:color="auto"/>
              <w:left w:val="single" w:sz="4" w:space="0" w:color="auto"/>
              <w:right w:val="single" w:sz="4" w:space="0" w:color="auto"/>
            </w:tcBorders>
            <w:vAlign w:val="center"/>
            <w:hideMark/>
          </w:tcPr>
          <w:p w14:paraId="19E23D64" w14:textId="77777777" w:rsidR="00BA140F" w:rsidRPr="00BA140F" w:rsidRDefault="00BA140F" w:rsidP="001C553B">
            <w:pPr>
              <w:spacing w:before="120" w:after="0" w:line="276" w:lineRule="auto"/>
              <w:ind w:left="1191"/>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GDP per capita (USD)</w:t>
            </w:r>
          </w:p>
        </w:tc>
        <w:tc>
          <w:tcPr>
            <w:tcW w:w="0" w:type="auto"/>
            <w:tcBorders>
              <w:top w:val="single" w:sz="4" w:space="0" w:color="auto"/>
              <w:right w:val="single" w:sz="4" w:space="0" w:color="auto"/>
            </w:tcBorders>
            <w:vAlign w:val="center"/>
            <w:hideMark/>
          </w:tcPr>
          <w:p w14:paraId="1759EB50" w14:textId="77777777" w:rsidR="00BA140F" w:rsidRPr="00BA140F" w:rsidRDefault="00BA140F" w:rsidP="001C553B">
            <w:pPr>
              <w:spacing w:before="120" w:after="0" w:line="276" w:lineRule="auto"/>
              <w:ind w:left="1191"/>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HDI</w:t>
            </w:r>
          </w:p>
        </w:tc>
      </w:tr>
      <w:tr w:rsidR="00BA140F" w:rsidRPr="00BA140F" w14:paraId="7B6F819A" w14:textId="77777777" w:rsidTr="00887793">
        <w:trPr>
          <w:trHeight w:val="200"/>
          <w:tblCellSpacing w:w="15" w:type="dxa"/>
        </w:trPr>
        <w:tc>
          <w:tcPr>
            <w:tcW w:w="2507" w:type="dxa"/>
            <w:tcBorders>
              <w:left w:val="single" w:sz="4" w:space="0" w:color="auto"/>
              <w:right w:val="single" w:sz="4" w:space="0" w:color="auto"/>
            </w:tcBorders>
            <w:vAlign w:val="center"/>
            <w:hideMark/>
          </w:tcPr>
          <w:p w14:paraId="2E12079C"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USA</w:t>
            </w:r>
          </w:p>
        </w:tc>
        <w:tc>
          <w:tcPr>
            <w:tcW w:w="3846" w:type="dxa"/>
            <w:tcBorders>
              <w:left w:val="single" w:sz="4" w:space="0" w:color="auto"/>
              <w:right w:val="single" w:sz="4" w:space="0" w:color="auto"/>
            </w:tcBorders>
            <w:vAlign w:val="center"/>
            <w:hideMark/>
          </w:tcPr>
          <w:p w14:paraId="04BAC9B6"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70,000</w:t>
            </w:r>
          </w:p>
        </w:tc>
        <w:tc>
          <w:tcPr>
            <w:tcW w:w="0" w:type="auto"/>
            <w:tcBorders>
              <w:right w:val="single" w:sz="4" w:space="0" w:color="auto"/>
            </w:tcBorders>
            <w:vAlign w:val="center"/>
            <w:hideMark/>
          </w:tcPr>
          <w:p w14:paraId="0CD8FD06"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0.92</w:t>
            </w:r>
          </w:p>
        </w:tc>
      </w:tr>
      <w:tr w:rsidR="00BA140F" w:rsidRPr="00BA140F" w14:paraId="5026AA8F" w14:textId="77777777" w:rsidTr="00887793">
        <w:trPr>
          <w:trHeight w:val="218"/>
          <w:tblCellSpacing w:w="15" w:type="dxa"/>
        </w:trPr>
        <w:tc>
          <w:tcPr>
            <w:tcW w:w="2507" w:type="dxa"/>
            <w:tcBorders>
              <w:top w:val="single" w:sz="4" w:space="0" w:color="auto"/>
              <w:left w:val="single" w:sz="4" w:space="0" w:color="auto"/>
              <w:bottom w:val="single" w:sz="4" w:space="0" w:color="auto"/>
              <w:right w:val="single" w:sz="4" w:space="0" w:color="auto"/>
            </w:tcBorders>
            <w:vAlign w:val="center"/>
            <w:hideMark/>
          </w:tcPr>
          <w:p w14:paraId="7FCBFA83"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India</w:t>
            </w:r>
          </w:p>
        </w:tc>
        <w:tc>
          <w:tcPr>
            <w:tcW w:w="3846" w:type="dxa"/>
            <w:tcBorders>
              <w:top w:val="single" w:sz="4" w:space="0" w:color="auto"/>
              <w:left w:val="single" w:sz="4" w:space="0" w:color="auto"/>
              <w:bottom w:val="single" w:sz="4" w:space="0" w:color="auto"/>
              <w:right w:val="single" w:sz="4" w:space="0" w:color="auto"/>
            </w:tcBorders>
            <w:vAlign w:val="center"/>
            <w:hideMark/>
          </w:tcPr>
          <w:p w14:paraId="4F56604F"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2,500</w:t>
            </w:r>
          </w:p>
        </w:tc>
        <w:tc>
          <w:tcPr>
            <w:tcW w:w="0" w:type="auto"/>
            <w:tcBorders>
              <w:top w:val="single" w:sz="4" w:space="0" w:color="auto"/>
              <w:bottom w:val="single" w:sz="4" w:space="0" w:color="auto"/>
              <w:right w:val="single" w:sz="4" w:space="0" w:color="auto"/>
            </w:tcBorders>
            <w:vAlign w:val="center"/>
            <w:hideMark/>
          </w:tcPr>
          <w:p w14:paraId="3FB9A61E"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0.64</w:t>
            </w:r>
          </w:p>
        </w:tc>
      </w:tr>
      <w:tr w:rsidR="00BA140F" w:rsidRPr="00BA140F" w14:paraId="5D2361D1" w14:textId="77777777" w:rsidTr="00887793">
        <w:trPr>
          <w:trHeight w:val="209"/>
          <w:tblCellSpacing w:w="15" w:type="dxa"/>
        </w:trPr>
        <w:tc>
          <w:tcPr>
            <w:tcW w:w="2507" w:type="dxa"/>
            <w:tcBorders>
              <w:left w:val="single" w:sz="4" w:space="0" w:color="auto"/>
              <w:bottom w:val="single" w:sz="4" w:space="0" w:color="auto"/>
              <w:right w:val="single" w:sz="4" w:space="0" w:color="auto"/>
            </w:tcBorders>
            <w:vAlign w:val="center"/>
            <w:hideMark/>
          </w:tcPr>
          <w:p w14:paraId="766A0BBC"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Norway</w:t>
            </w:r>
          </w:p>
        </w:tc>
        <w:tc>
          <w:tcPr>
            <w:tcW w:w="3846" w:type="dxa"/>
            <w:tcBorders>
              <w:left w:val="single" w:sz="4" w:space="0" w:color="auto"/>
              <w:bottom w:val="single" w:sz="4" w:space="0" w:color="auto"/>
              <w:right w:val="single" w:sz="4" w:space="0" w:color="auto"/>
            </w:tcBorders>
            <w:vAlign w:val="center"/>
            <w:hideMark/>
          </w:tcPr>
          <w:p w14:paraId="5D5118B1"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90,000</w:t>
            </w:r>
          </w:p>
        </w:tc>
        <w:tc>
          <w:tcPr>
            <w:tcW w:w="0" w:type="auto"/>
            <w:tcBorders>
              <w:bottom w:val="single" w:sz="4" w:space="0" w:color="auto"/>
              <w:right w:val="single" w:sz="4" w:space="0" w:color="auto"/>
            </w:tcBorders>
            <w:vAlign w:val="center"/>
            <w:hideMark/>
          </w:tcPr>
          <w:p w14:paraId="0B2D1FA3"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0.96</w:t>
            </w:r>
          </w:p>
        </w:tc>
      </w:tr>
      <w:tr w:rsidR="00BA140F" w:rsidRPr="00BA140F" w14:paraId="283FE0FB" w14:textId="77777777" w:rsidTr="00887793">
        <w:trPr>
          <w:trHeight w:val="336"/>
          <w:tblCellSpacing w:w="15" w:type="dxa"/>
        </w:trPr>
        <w:tc>
          <w:tcPr>
            <w:tcW w:w="2507" w:type="dxa"/>
            <w:tcBorders>
              <w:left w:val="single" w:sz="4" w:space="0" w:color="auto"/>
              <w:bottom w:val="single" w:sz="4" w:space="0" w:color="auto"/>
              <w:right w:val="single" w:sz="4" w:space="0" w:color="auto"/>
            </w:tcBorders>
            <w:vAlign w:val="center"/>
            <w:hideMark/>
          </w:tcPr>
          <w:p w14:paraId="316C7235"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Brazil</w:t>
            </w:r>
          </w:p>
        </w:tc>
        <w:tc>
          <w:tcPr>
            <w:tcW w:w="3846" w:type="dxa"/>
            <w:tcBorders>
              <w:left w:val="single" w:sz="4" w:space="0" w:color="auto"/>
              <w:bottom w:val="single" w:sz="4" w:space="0" w:color="auto"/>
              <w:right w:val="single" w:sz="4" w:space="0" w:color="auto"/>
            </w:tcBorders>
            <w:vAlign w:val="center"/>
            <w:hideMark/>
          </w:tcPr>
          <w:p w14:paraId="28662895"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9,000</w:t>
            </w:r>
          </w:p>
        </w:tc>
        <w:tc>
          <w:tcPr>
            <w:tcW w:w="0" w:type="auto"/>
            <w:tcBorders>
              <w:bottom w:val="single" w:sz="4" w:space="0" w:color="auto"/>
              <w:right w:val="single" w:sz="4" w:space="0" w:color="auto"/>
            </w:tcBorders>
            <w:vAlign w:val="center"/>
            <w:hideMark/>
          </w:tcPr>
          <w:p w14:paraId="722FA0FC"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0.75</w:t>
            </w:r>
          </w:p>
        </w:tc>
      </w:tr>
      <w:tr w:rsidR="00C94538" w:rsidRPr="00BA140F" w14:paraId="1A78FE34" w14:textId="5F6512CA" w:rsidTr="00887793">
        <w:trPr>
          <w:trHeight w:val="28"/>
          <w:tblCellSpacing w:w="15" w:type="dxa"/>
        </w:trPr>
        <w:tc>
          <w:tcPr>
            <w:tcW w:w="2507" w:type="dxa"/>
            <w:tcBorders>
              <w:top w:val="single" w:sz="4" w:space="0" w:color="auto"/>
              <w:left w:val="single" w:sz="4" w:space="0" w:color="auto"/>
              <w:bottom w:val="single" w:sz="4" w:space="0" w:color="auto"/>
              <w:right w:val="single" w:sz="4" w:space="0" w:color="auto"/>
            </w:tcBorders>
            <w:vAlign w:val="center"/>
            <w:hideMark/>
          </w:tcPr>
          <w:p w14:paraId="35A6B35C" w14:textId="77777777" w:rsidR="00C94538" w:rsidRPr="00BA140F" w:rsidRDefault="00C94538"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South Africa</w:t>
            </w:r>
          </w:p>
        </w:tc>
        <w:tc>
          <w:tcPr>
            <w:tcW w:w="3846" w:type="dxa"/>
            <w:tcBorders>
              <w:top w:val="single" w:sz="4" w:space="0" w:color="auto"/>
              <w:left w:val="single" w:sz="4" w:space="0" w:color="auto"/>
              <w:bottom w:val="single" w:sz="4" w:space="0" w:color="auto"/>
              <w:right w:val="single" w:sz="4" w:space="0" w:color="auto"/>
            </w:tcBorders>
            <w:vAlign w:val="center"/>
            <w:hideMark/>
          </w:tcPr>
          <w:p w14:paraId="573B9069" w14:textId="77777777" w:rsidR="00C94538" w:rsidRPr="00BA140F" w:rsidRDefault="00C94538"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6,000</w:t>
            </w:r>
          </w:p>
        </w:tc>
        <w:tc>
          <w:tcPr>
            <w:tcW w:w="0" w:type="auto"/>
            <w:tcBorders>
              <w:top w:val="single" w:sz="4" w:space="0" w:color="auto"/>
              <w:bottom w:val="single" w:sz="4" w:space="0" w:color="auto"/>
              <w:right w:val="single" w:sz="4" w:space="0" w:color="auto"/>
            </w:tcBorders>
            <w:vAlign w:val="center"/>
            <w:hideMark/>
          </w:tcPr>
          <w:p w14:paraId="231FEAA2" w14:textId="77777777" w:rsidR="00C94538" w:rsidRPr="00BA140F" w:rsidRDefault="00C94538"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0.71</w:t>
            </w:r>
          </w:p>
        </w:tc>
      </w:tr>
    </w:tbl>
    <w:p w14:paraId="2EBCD0F5" w14:textId="77777777" w:rsidR="00BA140F" w:rsidRPr="00BA140F"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 xml:space="preserve">At lower income levels, there is a </w:t>
      </w:r>
      <w:r w:rsidRPr="00BA140F">
        <w:rPr>
          <w:rFonts w:ascii="Times New Roman" w:eastAsia="Times New Roman" w:hAnsi="Times New Roman" w:cs="Times New Roman"/>
          <w:b/>
          <w:bCs/>
          <w:kern w:val="0"/>
          <w:lang w:eastAsia="en-IN"/>
          <w14:ligatures w14:val="none"/>
        </w:rPr>
        <w:t>strong positive correlation</w:t>
      </w:r>
      <w:r w:rsidRPr="00BA140F">
        <w:rPr>
          <w:rFonts w:ascii="Times New Roman" w:eastAsia="Times New Roman" w:hAnsi="Times New Roman" w:cs="Times New Roman"/>
          <w:kern w:val="0"/>
          <w:lang w:eastAsia="en-IN"/>
          <w14:ligatures w14:val="none"/>
        </w:rPr>
        <w:t xml:space="preserve"> between GDP and HDI. For example, India’s relatively low GDP per capita corresponds with a lower HDI, reflecting constraints in health, education, and living standards. In such contexts, increases in income significantly improve access to basic necessities, leading to measurable welfare gains.</w:t>
      </w:r>
    </w:p>
    <w:p w14:paraId="4EA44445" w14:textId="77777777" w:rsidR="00920557" w:rsidRDefault="00920557" w:rsidP="001C553B">
      <w:pPr>
        <w:pStyle w:val="NormalWeb"/>
        <w:spacing w:line="276" w:lineRule="auto"/>
        <w:jc w:val="both"/>
      </w:pPr>
      <w:r>
        <w:t>However, as income rises, the relationship between GDP and welfare begins to weaken. In low-income countries, even a small increase in income can significantly improve human development because it helps expand access to food, housing, healthcare, education, sanitation, and employment. But once a country reaches a relatively high level of income, additional increases in GDP do not always produce equally large improvements in welfare. Countries such as the United States and Norway may differ in GDP per capita, yet their HDI scores remain relatively close. This shows that beyond a certain threshold, human development depends less on the size of the economy and more on how effectively economic resources are used.</w:t>
      </w:r>
    </w:p>
    <w:p w14:paraId="0EDBF2C5" w14:textId="77777777" w:rsidR="00920557" w:rsidRDefault="00920557" w:rsidP="001C553B">
      <w:pPr>
        <w:pStyle w:val="NormalWeb"/>
        <w:spacing w:line="276" w:lineRule="auto"/>
        <w:jc w:val="both"/>
      </w:pPr>
      <w:r>
        <w:t>At higher income levels, welfare is shaped by public policy, social equality, and institutional quality. A country with strong healthcare systems, accessible education, social security, gender equality, environmental protection, and accountable institutions may achieve better welfare outcomes than a richer country with weak social support systems. Therefore, GDP alone cannot explain advanced welfare outcomes. Once basic needs are largely satisfied, the quality of governance and the fairness of distribution become more important than sheer economic output. This pattern confirms that GDP is more useful for explaining early-stage development, but less reliable for measuring the deeper quality of life in advanced or unequal societies.</w:t>
      </w:r>
    </w:p>
    <w:p w14:paraId="4E42AF60" w14:textId="190C2EFE" w:rsidR="00BA140F" w:rsidRPr="00D27A24"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D27A24">
        <w:rPr>
          <w:rFonts w:ascii="Times New Roman" w:eastAsia="Times New Roman" w:hAnsi="Times New Roman" w:cs="Times New Roman"/>
          <w:b/>
          <w:bCs/>
          <w:kern w:val="0"/>
          <w:lang w:eastAsia="en-IN"/>
          <w14:ligatures w14:val="none"/>
        </w:rPr>
        <w:t>Figure 1</w:t>
      </w:r>
      <w:r w:rsidRPr="00D27A24">
        <w:rPr>
          <w:rFonts w:ascii="Times New Roman" w:eastAsia="Times New Roman" w:hAnsi="Times New Roman" w:cs="Times New Roman"/>
          <w:kern w:val="0"/>
          <w:lang w:eastAsia="en-IN"/>
          <w14:ligatures w14:val="none"/>
        </w:rPr>
        <w:t>. Relationship between GDP per capita and Human Development Index (HDI) across selected countries. The graph illustrates diminishing marginal returns of income on human development.</w:t>
      </w:r>
    </w:p>
    <w:p w14:paraId="3C166194" w14:textId="77777777" w:rsidR="00BA140F" w:rsidRPr="00BA140F" w:rsidRDefault="00BA140F" w:rsidP="001C553B">
      <w:pPr>
        <w:spacing w:before="100" w:beforeAutospacing="1" w:after="100" w:afterAutospacing="1" w:line="276" w:lineRule="auto"/>
        <w:jc w:val="both"/>
        <w:outlineLvl w:val="2"/>
        <w:rPr>
          <w:rFonts w:ascii="Times New Roman" w:eastAsia="Times New Roman" w:hAnsi="Times New Roman" w:cs="Times New Roman"/>
          <w:b/>
          <w:bCs/>
          <w:kern w:val="0"/>
          <w:sz w:val="27"/>
          <w:szCs w:val="27"/>
          <w:lang w:eastAsia="en-IN"/>
          <w14:ligatures w14:val="none"/>
        </w:rPr>
      </w:pPr>
      <w:r w:rsidRPr="00BA140F">
        <w:rPr>
          <w:rFonts w:ascii="Times New Roman" w:eastAsia="Times New Roman" w:hAnsi="Times New Roman" w:cs="Times New Roman"/>
          <w:b/>
          <w:bCs/>
          <w:kern w:val="0"/>
          <w:sz w:val="27"/>
          <w:szCs w:val="27"/>
          <w:lang w:eastAsia="en-IN"/>
          <w14:ligatures w14:val="none"/>
        </w:rPr>
        <w:t>3.2 GDP Growth vs Income Inequality</w:t>
      </w:r>
    </w:p>
    <w:p w14:paraId="41AA3685" w14:textId="5EC3CEAA" w:rsidR="00BA140F" w:rsidRPr="00CE61C0" w:rsidRDefault="00D27A24"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CE61C0">
        <w:rPr>
          <w:rFonts w:ascii="Times New Roman" w:hAnsi="Times New Roman" w:cs="Times New Roman"/>
        </w:rPr>
        <w:t xml:space="preserve">A second empirical dimension involves examining whether economic growth benefits all sections of society equally. GDP growth may indicate that an economy is expanding, but it does not reveal how the gains from that expansion are distributed among different social and income </w:t>
      </w:r>
      <w:r w:rsidRPr="00CE61C0">
        <w:rPr>
          <w:rFonts w:ascii="Times New Roman" w:hAnsi="Times New Roman" w:cs="Times New Roman"/>
        </w:rPr>
        <w:lastRenderedPageBreak/>
        <w:t>groups. For this reason, the relationship between GDP growth and the Gini coefficient, which measures income inequality, provides important insight into the welfare effects of growth.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6"/>
        <w:gridCol w:w="2624"/>
        <w:gridCol w:w="2079"/>
      </w:tblGrid>
      <w:tr w:rsidR="00BA140F" w:rsidRPr="00BA140F" w14:paraId="48B284DF" w14:textId="77777777" w:rsidTr="00F84C5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FA584B" w14:textId="4F0ABBE5" w:rsidR="00BA140F" w:rsidRPr="00BA140F" w:rsidRDefault="00852ADD" w:rsidP="001C553B">
            <w:pPr>
              <w:spacing w:after="0" w:line="276" w:lineRule="auto"/>
              <w:ind w:left="1304" w:right="170"/>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BA140F" w:rsidRPr="00BA140F">
              <w:rPr>
                <w:rFonts w:ascii="Times New Roman" w:eastAsia="Times New Roman" w:hAnsi="Times New Roman" w:cs="Times New Roman"/>
                <w:b/>
                <w:bCs/>
                <w:kern w:val="0"/>
                <w:lang w:eastAsia="en-IN"/>
                <w14:ligatures w14:val="none"/>
              </w:rPr>
              <w:t>Year</w:t>
            </w:r>
          </w:p>
        </w:tc>
        <w:tc>
          <w:tcPr>
            <w:tcW w:w="0" w:type="auto"/>
            <w:tcBorders>
              <w:top w:val="single" w:sz="4" w:space="0" w:color="auto"/>
              <w:bottom w:val="single" w:sz="4" w:space="0" w:color="auto"/>
            </w:tcBorders>
            <w:vAlign w:val="center"/>
            <w:hideMark/>
          </w:tcPr>
          <w:p w14:paraId="541A1621" w14:textId="77777777" w:rsidR="00BA140F" w:rsidRPr="00BA140F" w:rsidRDefault="00BA140F" w:rsidP="001C553B">
            <w:pPr>
              <w:spacing w:after="0" w:line="276" w:lineRule="auto"/>
              <w:ind w:left="567" w:right="170"/>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GDP Growth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CFC483" w14:textId="5722E490" w:rsidR="00BA140F" w:rsidRPr="00BA140F" w:rsidRDefault="001C553B" w:rsidP="001C553B">
            <w:pPr>
              <w:spacing w:after="0" w:line="276" w:lineRule="auto"/>
              <w:ind w:right="170"/>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BA140F" w:rsidRPr="00BA140F">
              <w:rPr>
                <w:rFonts w:ascii="Times New Roman" w:eastAsia="Times New Roman" w:hAnsi="Times New Roman" w:cs="Times New Roman"/>
                <w:b/>
                <w:bCs/>
                <w:kern w:val="0"/>
                <w:lang w:eastAsia="en-IN"/>
                <w14:ligatures w14:val="none"/>
              </w:rPr>
              <w:t>Gini Coefficient</w:t>
            </w:r>
          </w:p>
        </w:tc>
      </w:tr>
      <w:tr w:rsidR="00BA140F" w:rsidRPr="00BA140F" w14:paraId="1EACEFEA" w14:textId="77777777" w:rsidTr="00F84C57">
        <w:trPr>
          <w:tblCellSpacing w:w="15" w:type="dxa"/>
        </w:trPr>
        <w:tc>
          <w:tcPr>
            <w:tcW w:w="0" w:type="auto"/>
            <w:tcBorders>
              <w:left w:val="single" w:sz="4" w:space="0" w:color="auto"/>
              <w:bottom w:val="single" w:sz="4" w:space="0" w:color="auto"/>
              <w:right w:val="single" w:sz="4" w:space="0" w:color="auto"/>
            </w:tcBorders>
            <w:vAlign w:val="center"/>
            <w:hideMark/>
          </w:tcPr>
          <w:p w14:paraId="03A02A18"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2000</w:t>
            </w:r>
          </w:p>
        </w:tc>
        <w:tc>
          <w:tcPr>
            <w:tcW w:w="0" w:type="auto"/>
            <w:tcBorders>
              <w:bottom w:val="single" w:sz="4" w:space="0" w:color="auto"/>
            </w:tcBorders>
            <w:vAlign w:val="center"/>
            <w:hideMark/>
          </w:tcPr>
          <w:p w14:paraId="327B8E58"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5.2</w:t>
            </w:r>
          </w:p>
        </w:tc>
        <w:tc>
          <w:tcPr>
            <w:tcW w:w="0" w:type="auto"/>
            <w:tcBorders>
              <w:left w:val="single" w:sz="4" w:space="0" w:color="auto"/>
              <w:bottom w:val="single" w:sz="4" w:space="0" w:color="auto"/>
              <w:right w:val="single" w:sz="4" w:space="0" w:color="auto"/>
            </w:tcBorders>
            <w:vAlign w:val="center"/>
            <w:hideMark/>
          </w:tcPr>
          <w:p w14:paraId="4910A594"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0.34</w:t>
            </w:r>
          </w:p>
        </w:tc>
      </w:tr>
      <w:tr w:rsidR="00BA140F" w:rsidRPr="00BA140F" w14:paraId="2B92EB4F" w14:textId="77777777" w:rsidTr="00F84C57">
        <w:trPr>
          <w:tblCellSpacing w:w="15" w:type="dxa"/>
        </w:trPr>
        <w:tc>
          <w:tcPr>
            <w:tcW w:w="0" w:type="auto"/>
            <w:tcBorders>
              <w:left w:val="single" w:sz="4" w:space="0" w:color="auto"/>
              <w:bottom w:val="single" w:sz="4" w:space="0" w:color="auto"/>
              <w:right w:val="single" w:sz="4" w:space="0" w:color="auto"/>
            </w:tcBorders>
            <w:vAlign w:val="center"/>
            <w:hideMark/>
          </w:tcPr>
          <w:p w14:paraId="6B7CB2FB"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2005</w:t>
            </w:r>
          </w:p>
        </w:tc>
        <w:tc>
          <w:tcPr>
            <w:tcW w:w="0" w:type="auto"/>
            <w:tcBorders>
              <w:bottom w:val="single" w:sz="4" w:space="0" w:color="auto"/>
            </w:tcBorders>
            <w:vAlign w:val="center"/>
            <w:hideMark/>
          </w:tcPr>
          <w:p w14:paraId="29EB3242"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6.8</w:t>
            </w:r>
          </w:p>
        </w:tc>
        <w:tc>
          <w:tcPr>
            <w:tcW w:w="0" w:type="auto"/>
            <w:tcBorders>
              <w:left w:val="single" w:sz="4" w:space="0" w:color="auto"/>
              <w:bottom w:val="single" w:sz="4" w:space="0" w:color="auto"/>
              <w:right w:val="single" w:sz="4" w:space="0" w:color="auto"/>
            </w:tcBorders>
            <w:vAlign w:val="center"/>
            <w:hideMark/>
          </w:tcPr>
          <w:p w14:paraId="3EF3D72F"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0.36</w:t>
            </w:r>
          </w:p>
        </w:tc>
      </w:tr>
      <w:tr w:rsidR="00BA140F" w:rsidRPr="00BA140F" w14:paraId="1BC70844" w14:textId="77777777" w:rsidTr="00F84C57">
        <w:trPr>
          <w:tblCellSpacing w:w="15" w:type="dxa"/>
        </w:trPr>
        <w:tc>
          <w:tcPr>
            <w:tcW w:w="0" w:type="auto"/>
            <w:tcBorders>
              <w:left w:val="single" w:sz="4" w:space="0" w:color="auto"/>
              <w:bottom w:val="single" w:sz="4" w:space="0" w:color="auto"/>
              <w:right w:val="single" w:sz="4" w:space="0" w:color="auto"/>
            </w:tcBorders>
            <w:vAlign w:val="center"/>
            <w:hideMark/>
          </w:tcPr>
          <w:p w14:paraId="3E5A093F"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2010</w:t>
            </w:r>
          </w:p>
        </w:tc>
        <w:tc>
          <w:tcPr>
            <w:tcW w:w="0" w:type="auto"/>
            <w:tcBorders>
              <w:bottom w:val="single" w:sz="4" w:space="0" w:color="auto"/>
            </w:tcBorders>
            <w:vAlign w:val="center"/>
            <w:hideMark/>
          </w:tcPr>
          <w:p w14:paraId="1F217DAC"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7.5</w:t>
            </w:r>
          </w:p>
        </w:tc>
        <w:tc>
          <w:tcPr>
            <w:tcW w:w="0" w:type="auto"/>
            <w:tcBorders>
              <w:left w:val="single" w:sz="4" w:space="0" w:color="auto"/>
              <w:bottom w:val="single" w:sz="4" w:space="0" w:color="auto"/>
              <w:right w:val="single" w:sz="4" w:space="0" w:color="auto"/>
            </w:tcBorders>
            <w:vAlign w:val="center"/>
            <w:hideMark/>
          </w:tcPr>
          <w:p w14:paraId="62DEE368"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0.38</w:t>
            </w:r>
          </w:p>
        </w:tc>
      </w:tr>
      <w:tr w:rsidR="00BA140F" w:rsidRPr="00BA140F" w14:paraId="7FFA4C2F" w14:textId="77777777" w:rsidTr="00F84C57">
        <w:trPr>
          <w:tblCellSpacing w:w="15" w:type="dxa"/>
        </w:trPr>
        <w:tc>
          <w:tcPr>
            <w:tcW w:w="0" w:type="auto"/>
            <w:tcBorders>
              <w:left w:val="single" w:sz="4" w:space="0" w:color="auto"/>
              <w:right w:val="single" w:sz="4" w:space="0" w:color="auto"/>
            </w:tcBorders>
            <w:vAlign w:val="center"/>
            <w:hideMark/>
          </w:tcPr>
          <w:p w14:paraId="3D94D95E"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2015</w:t>
            </w:r>
          </w:p>
        </w:tc>
        <w:tc>
          <w:tcPr>
            <w:tcW w:w="0" w:type="auto"/>
            <w:vAlign w:val="center"/>
            <w:hideMark/>
          </w:tcPr>
          <w:p w14:paraId="1263BBA0"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7.2</w:t>
            </w:r>
          </w:p>
        </w:tc>
        <w:tc>
          <w:tcPr>
            <w:tcW w:w="0" w:type="auto"/>
            <w:tcBorders>
              <w:left w:val="single" w:sz="4" w:space="0" w:color="auto"/>
              <w:right w:val="single" w:sz="4" w:space="0" w:color="auto"/>
            </w:tcBorders>
            <w:vAlign w:val="center"/>
            <w:hideMark/>
          </w:tcPr>
          <w:p w14:paraId="17219FC0"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0.41</w:t>
            </w:r>
          </w:p>
        </w:tc>
      </w:tr>
      <w:tr w:rsidR="00BA140F" w:rsidRPr="00BA140F" w14:paraId="50346B89" w14:textId="77777777" w:rsidTr="00F84C5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499332"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2020</w:t>
            </w:r>
          </w:p>
        </w:tc>
        <w:tc>
          <w:tcPr>
            <w:tcW w:w="0" w:type="auto"/>
            <w:tcBorders>
              <w:top w:val="single" w:sz="4" w:space="0" w:color="auto"/>
              <w:bottom w:val="single" w:sz="4" w:space="0" w:color="auto"/>
            </w:tcBorders>
            <w:vAlign w:val="center"/>
            <w:hideMark/>
          </w:tcPr>
          <w:p w14:paraId="61A0C333"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D53CA"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0.43</w:t>
            </w:r>
          </w:p>
        </w:tc>
      </w:tr>
    </w:tbl>
    <w:p w14:paraId="74B64F44" w14:textId="6932F737" w:rsidR="00CE61C0" w:rsidRDefault="00CE61C0" w:rsidP="001C553B">
      <w:pPr>
        <w:pStyle w:val="NormalWeb"/>
        <w:spacing w:line="276" w:lineRule="auto"/>
        <w:jc w:val="both"/>
      </w:pPr>
      <w:r>
        <w:t>The data suggests that economic growth may be accompanied by rising inequality. Between 2000 and 2010, GDP growth increased from 5.2% to 7.5%, but the Gini coefficient also rose from 0.34 to 0.38. This indicates that income gains were not evenly distributed across society. Instead, a larger share of the benefits may have gone to higher-income groups, while lower- and middle-income groups experienced relatively smaller improvements.</w:t>
      </w:r>
      <w:r w:rsidR="00411C66">
        <w:t xml:space="preserve"> </w:t>
      </w:r>
      <w:r>
        <w:t>This trend continued after 2010. Although GDP growth slightly declined from 7.5% in 2010 to 6.0% in 2020, inequality continued to rise, with the Gini coefficient reaching 0.43. This shows that even when growth slows, inequality can remain persistent or worsen. Therefore, welfare cannot be assessed only by observing GDP growth rates. A country may appear economically successful at the aggregate level, while many citizens continue to face limited access to education, healthcare, housing, employment security, and social protection.</w:t>
      </w:r>
    </w:p>
    <w:p w14:paraId="107AE9B9" w14:textId="1B7261A1" w:rsidR="00CE61C0" w:rsidRDefault="00CE61C0" w:rsidP="001C553B">
      <w:pPr>
        <w:pStyle w:val="NormalWeb"/>
        <w:spacing w:line="276" w:lineRule="auto"/>
        <w:jc w:val="both"/>
      </w:pPr>
      <w:r>
        <w:t>The implications are significant. Economic growth does not automatically ensure equitable distribution. Welfare improvements may be concentrated among elites or highly skilled groups, while large sections of the population may experience little change in their living standards. Unequal distribution can also reduce aggregate welfare by limiting access to opportunities, increasing social tensions, weakening trust in institutions, and reducing the long-term sustainability of growth.</w:t>
      </w:r>
      <w:r w:rsidR="00411C66">
        <w:t xml:space="preserve"> </w:t>
      </w:r>
      <w:r>
        <w:t xml:space="preserve">This phenomenon is often described as </w:t>
      </w:r>
      <w:r>
        <w:rPr>
          <w:rStyle w:val="Strong"/>
        </w:rPr>
        <w:t>“growth without inclusion.”</w:t>
      </w:r>
      <w:r>
        <w:t xml:space="preserve"> It highlights the central weakness of GDP as a welfare measure: GDP can show that the economy is growing, but it cannot show whether the growth is fair, inclusive, or socially beneficial.</w:t>
      </w:r>
    </w:p>
    <w:p w14:paraId="6DE635E2" w14:textId="64FE2CB5" w:rsidR="00BA140F" w:rsidRPr="00BA140F" w:rsidRDefault="00CE61C0" w:rsidP="001C553B">
      <w:pPr>
        <w:pStyle w:val="NormalWeb"/>
        <w:spacing w:line="276" w:lineRule="auto"/>
        <w:jc w:val="both"/>
      </w:pPr>
      <w:r>
        <w:rPr>
          <w:rStyle w:val="Strong"/>
        </w:rPr>
        <w:t>Figure 2.</w:t>
      </w:r>
      <w:r>
        <w:t xml:space="preserve"> Trends in GDP growth and income inequality. The figure demonstrates that economic growth may coincide with increasing inequality.</w:t>
      </w:r>
    </w:p>
    <w:p w14:paraId="266A0F4A"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66738E">
        <w:rPr>
          <w:rFonts w:ascii="Times New Roman" w:eastAsia="Times New Roman" w:hAnsi="Times New Roman" w:cs="Times New Roman"/>
          <w:b/>
          <w:bCs/>
          <w:kern w:val="0"/>
          <w:sz w:val="28"/>
          <w:szCs w:val="28"/>
          <w:lang w:eastAsia="en-IN"/>
          <w14:ligatures w14:val="none"/>
        </w:rPr>
        <w:t>4. Alternative Welfare Measures</w:t>
      </w:r>
    </w:p>
    <w:p w14:paraId="4DD942C1"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Because GDP cannot fully measure human welfare, economists and international organizations have developed alternative indicators that provide a broader view of development. These measures include social, environmental, and human-centered dimensions that GDP often ignores.</w:t>
      </w:r>
    </w:p>
    <w:p w14:paraId="22E2BAC9"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4.1 Human Development Index (HDI)</w:t>
      </w:r>
    </w:p>
    <w:p w14:paraId="6F246E3C"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lastRenderedPageBreak/>
        <w:t>The Human Development Index was developed by the United Nations Development Programme to measure development beyond income. It combines three major dimensions: income, education, and life expectancy. Income reflects material living standards, education reflects access to knowledge, and life expectancy reflects health conditions.</w:t>
      </w:r>
    </w:p>
    <w:p w14:paraId="6D1BFD5F" w14:textId="4F957BD0"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main strength of HDI is that it is multidimensional. It shows that development is not only about economic production but also about improving human capabilities. A country with moderate income but strong healthcare and education systems may achieve a higher HDI than a richer country with weaker social services.</w:t>
      </w:r>
      <w:r w:rsidR="00411C66">
        <w:rPr>
          <w:rFonts w:ascii="Times New Roman" w:eastAsia="Times New Roman" w:hAnsi="Times New Roman" w:cs="Times New Roman"/>
          <w:kern w:val="0"/>
          <w:lang w:eastAsia="en-IN"/>
          <w14:ligatures w14:val="none"/>
        </w:rPr>
        <w:t xml:space="preserve"> </w:t>
      </w:r>
      <w:r w:rsidRPr="0066738E">
        <w:rPr>
          <w:rFonts w:ascii="Times New Roman" w:eastAsia="Times New Roman" w:hAnsi="Times New Roman" w:cs="Times New Roman"/>
          <w:kern w:val="0"/>
          <w:lang w:eastAsia="en-IN"/>
          <w14:ligatures w14:val="none"/>
        </w:rPr>
        <w:t>However, HDI also has limitations. It does not fully capture inequality within a country, nor does it adequately measure environmental sustainability. Therefore, while HDI is better than GDP alone, it still needs to be supplemented by other indicators.</w:t>
      </w:r>
    </w:p>
    <w:p w14:paraId="65D42470"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4.2 Genuine Progress Indicator (GPI)</w:t>
      </w:r>
    </w:p>
    <w:p w14:paraId="4D1FFC28" w14:textId="6D387531"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 xml:space="preserve">The Genuine Progress Indicator attempts to correct the weaknesses of GDP by distinguishing between beneficial and harmful economic activity. Unlike GDP, which counts all market activity as positive, GPI adjusts economic output by subtracting environmental and social costs while adding unpaid and socially useful </w:t>
      </w:r>
      <w:proofErr w:type="spellStart"/>
      <w:proofErr w:type="gramStart"/>
      <w:r w:rsidRPr="0066738E">
        <w:rPr>
          <w:rFonts w:ascii="Times New Roman" w:eastAsia="Times New Roman" w:hAnsi="Times New Roman" w:cs="Times New Roman"/>
          <w:kern w:val="0"/>
          <w:lang w:eastAsia="en-IN"/>
          <w14:ligatures w14:val="none"/>
        </w:rPr>
        <w:t>contributions.For</w:t>
      </w:r>
      <w:proofErr w:type="spellEnd"/>
      <w:proofErr w:type="gramEnd"/>
      <w:r w:rsidRPr="0066738E">
        <w:rPr>
          <w:rFonts w:ascii="Times New Roman" w:eastAsia="Times New Roman" w:hAnsi="Times New Roman" w:cs="Times New Roman"/>
          <w:kern w:val="0"/>
          <w:lang w:eastAsia="en-IN"/>
          <w14:ligatures w14:val="none"/>
        </w:rPr>
        <w:t xml:space="preserve"> example, pollution, crime, resource depletion, and environmental damage reduce GPI. On the other hand, household work, volunteer service, and community contribution may be added as positive welfare values. This makes GPI more sensitive to the real quality of growth.</w:t>
      </w:r>
    </w:p>
    <w:p w14:paraId="5F197082"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A key insight from GPI studies is that GDP may continue to rise while genuine welfare stagnates or declines. This situation is sometimes called “uneconomic growth,” where economic expansion creates more social and environmental costs than benefits.</w:t>
      </w:r>
    </w:p>
    <w:p w14:paraId="6DFE0D3B"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4.3 Multidimensional Poverty Index (MPI)</w:t>
      </w:r>
    </w:p>
    <w:p w14:paraId="464E80C0"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Multidimensional Poverty Index measures poverty beyond income. It identifies deprivation in three broad areas: health, education, and living standards. These dimensions include indicators such as nutrition, child mortality, school attendance, sanitation, drinking water, electricity, housing, and assets.</w:t>
      </w:r>
    </w:p>
    <w:p w14:paraId="509CA2E7" w14:textId="35234CFF"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advantage of MPI is that it reveals hidden forms of poverty that income measures may miss. A household may earn slightly above the poverty line but still lack clean water, healthcare, schooling, or adequate housing. In such cases, income alone gives a misleading picture of welfare.</w:t>
      </w:r>
      <w:r>
        <w:rPr>
          <w:rFonts w:ascii="Times New Roman" w:eastAsia="Times New Roman" w:hAnsi="Times New Roman" w:cs="Times New Roman"/>
          <w:kern w:val="0"/>
          <w:lang w:eastAsia="en-IN"/>
          <w14:ligatures w14:val="none"/>
        </w:rPr>
        <w:t xml:space="preserve"> </w:t>
      </w:r>
      <w:r w:rsidRPr="0066738E">
        <w:rPr>
          <w:rFonts w:ascii="Times New Roman" w:eastAsia="Times New Roman" w:hAnsi="Times New Roman" w:cs="Times New Roman"/>
          <w:kern w:val="0"/>
          <w:lang w:eastAsia="en-IN"/>
          <w14:ligatures w14:val="none"/>
        </w:rPr>
        <w:t>MPI is especially useful for developing countries because it helps policymakers identify the specific areas where people are deprived. This allows governments to design targeted welfare policies rather than relying only on income-based poverty reduction.</w:t>
      </w:r>
    </w:p>
    <w:p w14:paraId="242265B1"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4.4 Subjective Well-being and Happiness Studies</w:t>
      </w:r>
    </w:p>
    <w:p w14:paraId="6A0AFF1C" w14:textId="3C1F12FA"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 xml:space="preserve">Subjective well-being measures focus on people’s own assessment of their lives. These include happiness, life satisfaction, emotional well-being, sense of security, social connection, and </w:t>
      </w:r>
      <w:r w:rsidRPr="0066738E">
        <w:rPr>
          <w:rFonts w:ascii="Times New Roman" w:eastAsia="Times New Roman" w:hAnsi="Times New Roman" w:cs="Times New Roman"/>
          <w:kern w:val="0"/>
          <w:lang w:eastAsia="en-IN"/>
          <w14:ligatures w14:val="none"/>
        </w:rPr>
        <w:lastRenderedPageBreak/>
        <w:t>mental health. Such measures recognize that welfare is not only material but also psychological and emotional.</w:t>
      </w:r>
      <w:r>
        <w:rPr>
          <w:rFonts w:ascii="Times New Roman" w:eastAsia="Times New Roman" w:hAnsi="Times New Roman" w:cs="Times New Roman"/>
          <w:kern w:val="0"/>
          <w:lang w:eastAsia="en-IN"/>
          <w14:ligatures w14:val="none"/>
        </w:rPr>
        <w:t xml:space="preserve"> </w:t>
      </w:r>
      <w:r w:rsidRPr="0066738E">
        <w:rPr>
          <w:rFonts w:ascii="Times New Roman" w:eastAsia="Times New Roman" w:hAnsi="Times New Roman" w:cs="Times New Roman"/>
          <w:kern w:val="0"/>
          <w:lang w:eastAsia="en-IN"/>
          <w14:ligatures w14:val="none"/>
        </w:rPr>
        <w:t>Countries like Bhutan have promoted Gross National Happiness as an alternative development philosophy. This approach emphasizes psychological well-being, cultural preservation, environmental harmony, good governance, and community vitality.</w:t>
      </w:r>
    </w:p>
    <w:p w14:paraId="42E9BA53"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Happiness studies are valuable because they reveal aspects of welfare that GDP cannot measure. A country may be economically rich but still experience loneliness, stress, insecurity, and social dissatisfaction. Therefore, subjective well-being indicators help provide a more human-centered understanding of progress.</w:t>
      </w:r>
    </w:p>
    <w:p w14:paraId="7FE937EF" w14:textId="77777777" w:rsidR="003C3C3F" w:rsidRPr="001C553B"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1C553B">
        <w:rPr>
          <w:rFonts w:ascii="Times New Roman" w:eastAsia="Times New Roman" w:hAnsi="Times New Roman" w:cs="Times New Roman"/>
          <w:b/>
          <w:bCs/>
          <w:kern w:val="0"/>
          <w:sz w:val="28"/>
          <w:szCs w:val="28"/>
          <w:lang w:eastAsia="en-IN"/>
          <w14:ligatures w14:val="none"/>
        </w:rPr>
        <w:t>5. Theoretical Framework</w:t>
      </w:r>
    </w:p>
    <w:p w14:paraId="3113C8BB"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The critique of GDP becomes stronger when placed within major theoretical perspectives in economics. The capability approach, inequality theory, and ecological economics all show that welfare cannot be understood through income alone. These theories help explain why economic output must be connected with freedom, equality, and sustainability.</w:t>
      </w:r>
    </w:p>
    <w:p w14:paraId="5F088B84" w14:textId="77777777" w:rsidR="003C3C3F" w:rsidRPr="003C3C3F"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3C3C3F">
        <w:rPr>
          <w:rFonts w:ascii="Times New Roman" w:eastAsia="Times New Roman" w:hAnsi="Times New Roman" w:cs="Times New Roman"/>
          <w:b/>
          <w:bCs/>
          <w:kern w:val="0"/>
          <w:lang w:eastAsia="en-IN"/>
          <w14:ligatures w14:val="none"/>
        </w:rPr>
        <w:t>5.1 Capability Approach</w:t>
      </w:r>
    </w:p>
    <w:p w14:paraId="65DD4222"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The capability approach was proposed by Amartya Sen. It argues that development should not be measured only by income, wealth, or consumption. Instead, development should be assessed by examining what people are actually able to do and become. These real opportunities are called “capabilities.”</w:t>
      </w:r>
    </w:p>
    <w:p w14:paraId="743F03DD"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For example, two individuals may have the same income, but their welfare may be very different. One person may have access to good healthcare, safe housing, quality education, and social security, while another may live in an area with poor hospitals, unsafe living conditions, and limited public services. Although their income is equal, their actual quality of life is not the same.</w:t>
      </w:r>
    </w:p>
    <w:p w14:paraId="30843C9B"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This approach is important because it shifts attention from economic output to human freedom. Welfare depends not only on how much people earn, but also on whether they can live healthy, educated, secure, and dignified lives. Therefore, GDP is inadequate because it measures production but not people’s real capabilities.</w:t>
      </w:r>
    </w:p>
    <w:p w14:paraId="5C15E1F2" w14:textId="77777777" w:rsidR="003C3C3F" w:rsidRPr="003C3C3F"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3C3C3F">
        <w:rPr>
          <w:rFonts w:ascii="Times New Roman" w:eastAsia="Times New Roman" w:hAnsi="Times New Roman" w:cs="Times New Roman"/>
          <w:b/>
          <w:bCs/>
          <w:kern w:val="0"/>
          <w:lang w:eastAsia="en-IN"/>
          <w14:ligatures w14:val="none"/>
        </w:rPr>
        <w:t>5.2 Inequality Theory</w:t>
      </w:r>
    </w:p>
    <w:p w14:paraId="4E89E05F"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Inequality theory is important for understanding why economic growth may fail to improve welfare for everyone. Thomas Piketty argues that when returns on capital grow faster than overall economic growth, wealth becomes concentrated among a small section of society. This leads to widening inequality over time.</w:t>
      </w:r>
    </w:p>
    <w:p w14:paraId="1A718617"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 xml:space="preserve">In such a situation, GDP may increase, but the benefits of growth may not reach the majority of people. Wealthy groups may gain more from property, financial assets, inheritance, and </w:t>
      </w:r>
      <w:r w:rsidRPr="003C3C3F">
        <w:rPr>
          <w:rFonts w:ascii="Times New Roman" w:eastAsia="Times New Roman" w:hAnsi="Times New Roman" w:cs="Times New Roman"/>
          <w:kern w:val="0"/>
          <w:lang w:eastAsia="en-IN"/>
          <w14:ligatures w14:val="none"/>
        </w:rPr>
        <w:lastRenderedPageBreak/>
        <w:t>capital ownership, while lower-income groups depend mainly on wages. If wages grow slowly while wealth grows rapidly, economic growth becomes unequal.</w:t>
      </w:r>
    </w:p>
    <w:p w14:paraId="1031D136"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This reduces inclusive development. High inequality limits access to education, healthcare, housing, and employment opportunities. It also weakens social mobility and creates social tension. Therefore, inequality theory shows that GDP growth alone cannot be treated as welfare improvement unless the benefits are fairly distributed.</w:t>
      </w:r>
    </w:p>
    <w:p w14:paraId="6233C893" w14:textId="77777777" w:rsidR="003C3C3F" w:rsidRPr="003C3C3F"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3C3C3F">
        <w:rPr>
          <w:rFonts w:ascii="Times New Roman" w:eastAsia="Times New Roman" w:hAnsi="Times New Roman" w:cs="Times New Roman"/>
          <w:b/>
          <w:bCs/>
          <w:kern w:val="0"/>
          <w:lang w:eastAsia="en-IN"/>
          <w14:ligatures w14:val="none"/>
        </w:rPr>
        <w:t>5.3 Ecological Economics</w:t>
      </w:r>
    </w:p>
    <w:p w14:paraId="77A2A5F0"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Ecological economics challenges the idea that unlimited economic growth is always desirable. It argues that the economy is not separate from nature; rather, it is a subsystem of the environment. All economic activity depends on natural resources such as land, water, forests, minerals, energy, and climate stability.</w:t>
      </w:r>
    </w:p>
    <w:p w14:paraId="35C4CFAA"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GDP ignores many environmental costs. Activities such as deforestation, mining, industrial pollution, and fossil fuel use may increase GDP in the short term, but they reduce long-term welfare by damaging ecosystems and public health. Ecological economics therefore argues that growth must respect environmental limits.</w:t>
      </w:r>
    </w:p>
    <w:p w14:paraId="5A5F80C0" w14:textId="71F5E003" w:rsid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This perspective is especially important in the age of climate change. A country may achieve high GDP growth while increasing carbon emissions, destroying biodiversity, and exhausting natural resources. Such growth is not sustainable because it harms future generations. Therefore, welfare measurement must include ecological indicators such as environmental quality, resource use, pollution levels, and sustainability.</w:t>
      </w:r>
      <w:r w:rsidR="00711CA7" w:rsidRPr="00711CA7">
        <w:rPr>
          <w:rFonts w:ascii="Times New Roman" w:eastAsia="Times New Roman" w:hAnsi="Times New Roman" w:cs="Times New Roman"/>
          <w:kern w:val="0"/>
          <w:lang w:eastAsia="en-IN"/>
          <w14:ligatures w14:val="none"/>
        </w:rPr>
        <w:t xml:space="preserve"> </w:t>
      </w:r>
      <w:r w:rsidR="00711CA7" w:rsidRPr="003C3C3F">
        <w:rPr>
          <w:rFonts w:ascii="Times New Roman" w:eastAsia="Times New Roman" w:hAnsi="Times New Roman" w:cs="Times New Roman"/>
          <w:kern w:val="0"/>
          <w:lang w:eastAsia="en-IN"/>
          <w14:ligatures w14:val="none"/>
        </w:rPr>
        <w:t>Together, these three theoretical perspectives show that true welfare requires more than economic output. It requires real human capabilities, fair distribution of resources, and environmentally sustainable development</w:t>
      </w:r>
    </w:p>
    <w:p w14:paraId="119692BC" w14:textId="55A0E4DA" w:rsidR="00711CA7" w:rsidRPr="00711CA7" w:rsidRDefault="00711CA7"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711CA7">
        <w:rPr>
          <w:rFonts w:ascii="Times New Roman" w:eastAsia="Times New Roman" w:hAnsi="Times New Roman" w:cs="Times New Roman"/>
          <w:b/>
          <w:bCs/>
          <w:color w:val="222222"/>
          <w:kern w:val="0"/>
          <w:sz w:val="28"/>
          <w:szCs w:val="28"/>
          <w:lang w:eastAsia="en-IN"/>
          <w14:ligatures w14:val="none"/>
        </w:rPr>
        <w:t>6. Case Studies: Rethinking Growth and Welfare</w:t>
      </w:r>
    </w:p>
    <w:p w14:paraId="5887F802" w14:textId="77777777" w:rsidR="00711CA7" w:rsidRPr="00711CA7" w:rsidRDefault="00711CA7"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6.1 India: Growth versus Welfare Gap</w:t>
      </w:r>
    </w:p>
    <w:p w14:paraId="73424A07"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India has experienced significant economic growth over the past two decades, with GDP growth rates often ranging between </w:t>
      </w:r>
      <w:r w:rsidRPr="00711CA7">
        <w:rPr>
          <w:rFonts w:ascii="Times New Roman" w:eastAsia="Times New Roman" w:hAnsi="Times New Roman" w:cs="Times New Roman"/>
          <w:b/>
          <w:bCs/>
          <w:color w:val="222222"/>
          <w:kern w:val="0"/>
          <w:lang w:eastAsia="en-IN"/>
          <w14:ligatures w14:val="none"/>
        </w:rPr>
        <w:t>6–7% annually</w:t>
      </w:r>
      <w:r w:rsidRPr="00711CA7">
        <w:rPr>
          <w:rFonts w:ascii="Times New Roman" w:eastAsia="Times New Roman" w:hAnsi="Times New Roman" w:cs="Times New Roman"/>
          <w:color w:val="222222"/>
          <w:kern w:val="0"/>
          <w:lang w:eastAsia="en-IN"/>
          <w14:ligatures w14:val="none"/>
        </w:rPr>
        <w:t>. This growth has positioned India among the fastest-growing major economies in the world. However, this impressive macroeconomic performance has not translated evenly into improvements in human welfare.</w:t>
      </w:r>
    </w:p>
    <w:p w14:paraId="511EDE8F"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Despite economic expansion, several structural challenges persist. </w:t>
      </w:r>
      <w:r w:rsidRPr="00711CA7">
        <w:rPr>
          <w:rFonts w:ascii="Times New Roman" w:eastAsia="Times New Roman" w:hAnsi="Times New Roman" w:cs="Times New Roman"/>
          <w:b/>
          <w:bCs/>
          <w:color w:val="222222"/>
          <w:kern w:val="0"/>
          <w:lang w:eastAsia="en-IN"/>
          <w14:ligatures w14:val="none"/>
        </w:rPr>
        <w:t>Malnutrition</w:t>
      </w:r>
      <w:r w:rsidRPr="00711CA7">
        <w:rPr>
          <w:rFonts w:ascii="Times New Roman" w:eastAsia="Times New Roman" w:hAnsi="Times New Roman" w:cs="Times New Roman"/>
          <w:color w:val="222222"/>
          <w:kern w:val="0"/>
          <w:lang w:eastAsia="en-IN"/>
          <w14:ligatures w14:val="none"/>
        </w:rPr>
        <w:t> remains a critical issue, particularly among children and women, reflecting gaps in food security, healthcare access, and public distribution systems. Additionally, </w:t>
      </w:r>
      <w:r w:rsidRPr="00711CA7">
        <w:rPr>
          <w:rFonts w:ascii="Times New Roman" w:eastAsia="Times New Roman" w:hAnsi="Times New Roman" w:cs="Times New Roman"/>
          <w:b/>
          <w:bCs/>
          <w:color w:val="222222"/>
          <w:kern w:val="0"/>
          <w:lang w:eastAsia="en-IN"/>
          <w14:ligatures w14:val="none"/>
        </w:rPr>
        <w:t>educational inequality</w:t>
      </w:r>
      <w:r w:rsidRPr="00711CA7">
        <w:rPr>
          <w:rFonts w:ascii="Times New Roman" w:eastAsia="Times New Roman" w:hAnsi="Times New Roman" w:cs="Times New Roman"/>
          <w:color w:val="222222"/>
          <w:kern w:val="0"/>
          <w:lang w:eastAsia="en-IN"/>
          <w14:ligatures w14:val="none"/>
        </w:rPr>
        <w:t> continues to affect large sections of the population, especially in rural areas and among marginalized communities, where access to quality schooling is limited.</w:t>
      </w:r>
    </w:p>
    <w:p w14:paraId="284D0312"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 xml:space="preserve">Moreover, the use of the Multidimensional Poverty Index (MPI) reveals a more complex and layered understanding of poverty. Unlike GDP, which measures economic output, MPI </w:t>
      </w:r>
      <w:r w:rsidRPr="00711CA7">
        <w:rPr>
          <w:rFonts w:ascii="Times New Roman" w:eastAsia="Times New Roman" w:hAnsi="Times New Roman" w:cs="Times New Roman"/>
          <w:color w:val="222222"/>
          <w:kern w:val="0"/>
          <w:lang w:eastAsia="en-IN"/>
          <w14:ligatures w14:val="none"/>
        </w:rPr>
        <w:lastRenderedPageBreak/>
        <w:t>captures </w:t>
      </w:r>
      <w:r w:rsidRPr="00711CA7">
        <w:rPr>
          <w:rFonts w:ascii="Times New Roman" w:eastAsia="Times New Roman" w:hAnsi="Times New Roman" w:cs="Times New Roman"/>
          <w:b/>
          <w:bCs/>
          <w:color w:val="222222"/>
          <w:kern w:val="0"/>
          <w:lang w:eastAsia="en-IN"/>
          <w14:ligatures w14:val="none"/>
        </w:rPr>
        <w:t>deprivations in health, education, and living standards</w:t>
      </w:r>
      <w:r w:rsidRPr="00711CA7">
        <w:rPr>
          <w:rFonts w:ascii="Times New Roman" w:eastAsia="Times New Roman" w:hAnsi="Times New Roman" w:cs="Times New Roman"/>
          <w:color w:val="222222"/>
          <w:kern w:val="0"/>
          <w:lang w:eastAsia="en-IN"/>
          <w14:ligatures w14:val="none"/>
        </w:rPr>
        <w:t>. India’s MPI data highlights that a significant portion of the population still faces multiple forms of deprivation simultaneously, indicating that economic growth alone is insufficient to ensure inclusive development.</w:t>
      </w:r>
    </w:p>
    <w:p w14:paraId="779CDB6C" w14:textId="745720E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Thus, the Indian case illustrates a clear </w:t>
      </w:r>
      <w:r w:rsidRPr="00711CA7">
        <w:rPr>
          <w:rFonts w:ascii="Times New Roman" w:eastAsia="Times New Roman" w:hAnsi="Times New Roman" w:cs="Times New Roman"/>
          <w:b/>
          <w:bCs/>
          <w:color w:val="222222"/>
          <w:kern w:val="0"/>
          <w:lang w:eastAsia="en-IN"/>
          <w14:ligatures w14:val="none"/>
        </w:rPr>
        <w:t>disconnect between economic growth and social welfare</w:t>
      </w:r>
      <w:r w:rsidRPr="00711CA7">
        <w:rPr>
          <w:rFonts w:ascii="Times New Roman" w:eastAsia="Times New Roman" w:hAnsi="Times New Roman" w:cs="Times New Roman"/>
          <w:color w:val="222222"/>
          <w:kern w:val="0"/>
          <w:lang w:eastAsia="en-IN"/>
          <w14:ligatures w14:val="none"/>
        </w:rPr>
        <w:t>, emphasizing the need for policies that focus on equitable distribution, social infrastructure, and human development.</w:t>
      </w:r>
    </w:p>
    <w:p w14:paraId="579AAA21" w14:textId="77777777" w:rsidR="00711CA7" w:rsidRPr="00711CA7" w:rsidRDefault="00711CA7"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6.2 Nordic Countries: Balanced Growth and Welfare</w:t>
      </w:r>
    </w:p>
    <w:p w14:paraId="637DA368"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The Nordic countries—including nations such as Sweden, Norway, and Denmark—present a contrasting model where moderate economic growth is combined with high levels of social welfare and quality of life.</w:t>
      </w:r>
    </w:p>
    <w:p w14:paraId="65F2AA71"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Although these countries do not always exhibit the highest GDP growth rates, they consistently rank among the top in global well-being indicators. This success can be attributed to several key factors:</w:t>
      </w:r>
    </w:p>
    <w:p w14:paraId="29818CD7" w14:textId="77777777" w:rsidR="00711CA7" w:rsidRPr="00711CA7" w:rsidRDefault="00711CA7" w:rsidP="001C553B">
      <w:pPr>
        <w:numPr>
          <w:ilvl w:val="0"/>
          <w:numId w:val="32"/>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Redistribution policies:</w:t>
      </w:r>
      <w:r w:rsidRPr="00711CA7">
        <w:rPr>
          <w:rFonts w:ascii="Times New Roman" w:eastAsia="Times New Roman" w:hAnsi="Times New Roman" w:cs="Times New Roman"/>
          <w:color w:val="222222"/>
          <w:kern w:val="0"/>
          <w:lang w:eastAsia="en-IN"/>
          <w14:ligatures w14:val="none"/>
        </w:rPr>
        <w:t> Progressive taxation systems ensure that wealth is more evenly distributed across society.</w:t>
      </w:r>
    </w:p>
    <w:p w14:paraId="6A04DB23" w14:textId="77777777" w:rsidR="00711CA7" w:rsidRPr="00711CA7" w:rsidRDefault="00711CA7" w:rsidP="001C553B">
      <w:pPr>
        <w:numPr>
          <w:ilvl w:val="0"/>
          <w:numId w:val="32"/>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Strong public services:</w:t>
      </w:r>
      <w:r w:rsidRPr="00711CA7">
        <w:rPr>
          <w:rFonts w:ascii="Times New Roman" w:eastAsia="Times New Roman" w:hAnsi="Times New Roman" w:cs="Times New Roman"/>
          <w:color w:val="222222"/>
          <w:kern w:val="0"/>
          <w:lang w:eastAsia="en-IN"/>
          <w14:ligatures w14:val="none"/>
        </w:rPr>
        <w:t> Universal access to healthcare, education, and social security systems significantly enhances citizens’ quality of life.</w:t>
      </w:r>
    </w:p>
    <w:p w14:paraId="5757AF0C" w14:textId="77777777" w:rsidR="00711CA7" w:rsidRPr="00711CA7" w:rsidRDefault="00711CA7" w:rsidP="001C553B">
      <w:pPr>
        <w:numPr>
          <w:ilvl w:val="0"/>
          <w:numId w:val="32"/>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High levels of social trust:</w:t>
      </w:r>
      <w:r w:rsidRPr="00711CA7">
        <w:rPr>
          <w:rFonts w:ascii="Times New Roman" w:eastAsia="Times New Roman" w:hAnsi="Times New Roman" w:cs="Times New Roman"/>
          <w:color w:val="222222"/>
          <w:kern w:val="0"/>
          <w:lang w:eastAsia="en-IN"/>
          <w14:ligatures w14:val="none"/>
        </w:rPr>
        <w:t> Transparent governance and low corruption foster trust between citizens and institutions, contributing to social stability and cooperation.</w:t>
      </w:r>
    </w:p>
    <w:p w14:paraId="7CCE4E6E" w14:textId="77B06B2B"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As a result, Nordic countries demonstrate that </w:t>
      </w:r>
      <w:r w:rsidRPr="00711CA7">
        <w:rPr>
          <w:rFonts w:ascii="Times New Roman" w:eastAsia="Times New Roman" w:hAnsi="Times New Roman" w:cs="Times New Roman"/>
          <w:b/>
          <w:bCs/>
          <w:color w:val="222222"/>
          <w:kern w:val="0"/>
          <w:lang w:eastAsia="en-IN"/>
          <w14:ligatures w14:val="none"/>
        </w:rPr>
        <w:t>economic prosperity combined with social equity</w:t>
      </w:r>
      <w:r w:rsidRPr="00711CA7">
        <w:rPr>
          <w:rFonts w:ascii="Times New Roman" w:eastAsia="Times New Roman" w:hAnsi="Times New Roman" w:cs="Times New Roman"/>
          <w:color w:val="222222"/>
          <w:kern w:val="0"/>
          <w:lang w:eastAsia="en-IN"/>
          <w14:ligatures w14:val="none"/>
        </w:rPr>
        <w:t> leads to sustainable and inclusive development. Their model highlights the importance of welfare-oriented governance rather than purely growth-driven policies.</w:t>
      </w:r>
    </w:p>
    <w:p w14:paraId="11A3C5A7" w14:textId="77777777" w:rsidR="00711CA7" w:rsidRPr="00711CA7" w:rsidRDefault="00711CA7"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6.3 United States: High GDP, Uneven Social Outcomes</w:t>
      </w:r>
    </w:p>
    <w:p w14:paraId="4832B883" w14:textId="161FD83E"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The United States is one of the world’s largest and most advanced economies, characterized by a </w:t>
      </w:r>
      <w:r w:rsidRPr="00711CA7">
        <w:rPr>
          <w:rFonts w:ascii="Times New Roman" w:eastAsia="Times New Roman" w:hAnsi="Times New Roman" w:cs="Times New Roman"/>
          <w:b/>
          <w:bCs/>
          <w:color w:val="222222"/>
          <w:kern w:val="0"/>
          <w:lang w:eastAsia="en-IN"/>
          <w14:ligatures w14:val="none"/>
        </w:rPr>
        <w:t>high GDP and strong technological and industrial base</w:t>
      </w:r>
      <w:r w:rsidRPr="00711CA7">
        <w:rPr>
          <w:rFonts w:ascii="Times New Roman" w:eastAsia="Times New Roman" w:hAnsi="Times New Roman" w:cs="Times New Roman"/>
          <w:color w:val="222222"/>
          <w:kern w:val="0"/>
          <w:lang w:eastAsia="en-IN"/>
          <w14:ligatures w14:val="none"/>
        </w:rPr>
        <w:t>. However, despite its economic strength, the country exhibits comparatively weaker performance in several key social indicators.</w:t>
      </w:r>
      <w:r w:rsidR="007D3088">
        <w:rPr>
          <w:rFonts w:ascii="Times New Roman" w:eastAsia="Times New Roman" w:hAnsi="Times New Roman" w:cs="Times New Roman"/>
          <w:color w:val="222222"/>
          <w:kern w:val="0"/>
          <w:lang w:eastAsia="en-IN"/>
          <w14:ligatures w14:val="none"/>
        </w:rPr>
        <w:t xml:space="preserve"> </w:t>
      </w:r>
      <w:r w:rsidRPr="00711CA7">
        <w:rPr>
          <w:rFonts w:ascii="Times New Roman" w:eastAsia="Times New Roman" w:hAnsi="Times New Roman" w:cs="Times New Roman"/>
          <w:color w:val="222222"/>
          <w:kern w:val="0"/>
          <w:lang w:eastAsia="en-IN"/>
          <w14:ligatures w14:val="none"/>
        </w:rPr>
        <w:t>For instance, the United States ranks lower than many developed nations in terms of </w:t>
      </w:r>
      <w:r w:rsidRPr="00711CA7">
        <w:rPr>
          <w:rFonts w:ascii="Times New Roman" w:eastAsia="Times New Roman" w:hAnsi="Times New Roman" w:cs="Times New Roman"/>
          <w:b/>
          <w:bCs/>
          <w:color w:val="222222"/>
          <w:kern w:val="0"/>
          <w:lang w:eastAsia="en-IN"/>
          <w14:ligatures w14:val="none"/>
        </w:rPr>
        <w:t>life expectancy</w:t>
      </w:r>
      <w:r w:rsidRPr="00711CA7">
        <w:rPr>
          <w:rFonts w:ascii="Times New Roman" w:eastAsia="Times New Roman" w:hAnsi="Times New Roman" w:cs="Times New Roman"/>
          <w:color w:val="222222"/>
          <w:kern w:val="0"/>
          <w:lang w:eastAsia="en-IN"/>
          <w14:ligatures w14:val="none"/>
        </w:rPr>
        <w:t>, which is influenced by factors such as unequal access to healthcare, lifestyle-related diseases, and socio-economic disparities. Similarly, in global measures like the </w:t>
      </w:r>
      <w:r w:rsidRPr="00711CA7">
        <w:rPr>
          <w:rFonts w:ascii="Times New Roman" w:eastAsia="Times New Roman" w:hAnsi="Times New Roman" w:cs="Times New Roman"/>
          <w:b/>
          <w:bCs/>
          <w:color w:val="222222"/>
          <w:kern w:val="0"/>
          <w:lang w:eastAsia="en-IN"/>
          <w14:ligatures w14:val="none"/>
        </w:rPr>
        <w:t>happiness index</w:t>
      </w:r>
      <w:r w:rsidRPr="00711CA7">
        <w:rPr>
          <w:rFonts w:ascii="Times New Roman" w:eastAsia="Times New Roman" w:hAnsi="Times New Roman" w:cs="Times New Roman"/>
          <w:color w:val="222222"/>
          <w:kern w:val="0"/>
          <w:lang w:eastAsia="en-IN"/>
          <w14:ligatures w14:val="none"/>
        </w:rPr>
        <w:t>, the U.S. does not rank as highly as countries with stronger welfare systems.</w:t>
      </w:r>
      <w:r w:rsidR="007E44B6">
        <w:rPr>
          <w:rFonts w:ascii="Times New Roman" w:eastAsia="Times New Roman" w:hAnsi="Times New Roman" w:cs="Times New Roman"/>
          <w:color w:val="222222"/>
          <w:kern w:val="0"/>
          <w:lang w:eastAsia="en-IN"/>
          <w14:ligatures w14:val="none"/>
        </w:rPr>
        <w:t xml:space="preserve"> </w:t>
      </w:r>
      <w:r w:rsidRPr="00711CA7">
        <w:rPr>
          <w:rFonts w:ascii="Times New Roman" w:eastAsia="Times New Roman" w:hAnsi="Times New Roman" w:cs="Times New Roman"/>
          <w:color w:val="222222"/>
          <w:kern w:val="0"/>
          <w:lang w:eastAsia="en-IN"/>
          <w14:ligatures w14:val="none"/>
        </w:rPr>
        <w:t>These outcomes point to significant </w:t>
      </w:r>
      <w:r w:rsidRPr="00711CA7">
        <w:rPr>
          <w:rFonts w:ascii="Times New Roman" w:eastAsia="Times New Roman" w:hAnsi="Times New Roman" w:cs="Times New Roman"/>
          <w:b/>
          <w:bCs/>
          <w:color w:val="222222"/>
          <w:kern w:val="0"/>
          <w:lang w:eastAsia="en-IN"/>
          <w14:ligatures w14:val="none"/>
        </w:rPr>
        <w:t>income inequality and gaps in social protection</w:t>
      </w:r>
      <w:r w:rsidRPr="00711CA7">
        <w:rPr>
          <w:rFonts w:ascii="Times New Roman" w:eastAsia="Times New Roman" w:hAnsi="Times New Roman" w:cs="Times New Roman"/>
          <w:color w:val="222222"/>
          <w:kern w:val="0"/>
          <w:lang w:eastAsia="en-IN"/>
          <w14:ligatures w14:val="none"/>
        </w:rPr>
        <w:t>, where economic gains are not distributed evenly across the population. Limited access to affordable healthcare and education for certain groups further exacerbates these inequalities.</w:t>
      </w:r>
      <w:r w:rsidR="007D3088">
        <w:rPr>
          <w:rFonts w:ascii="Times New Roman" w:eastAsia="Times New Roman" w:hAnsi="Times New Roman" w:cs="Times New Roman"/>
          <w:color w:val="222222"/>
          <w:kern w:val="0"/>
          <w:lang w:eastAsia="en-IN"/>
          <w14:ligatures w14:val="none"/>
        </w:rPr>
        <w:t xml:space="preserve"> </w:t>
      </w:r>
      <w:r w:rsidRPr="00711CA7">
        <w:rPr>
          <w:rFonts w:ascii="Times New Roman" w:eastAsia="Times New Roman" w:hAnsi="Times New Roman" w:cs="Times New Roman"/>
          <w:color w:val="222222"/>
          <w:kern w:val="0"/>
          <w:lang w:eastAsia="en-IN"/>
          <w14:ligatures w14:val="none"/>
        </w:rPr>
        <w:t>The U.S. case highlights that </w:t>
      </w:r>
      <w:r w:rsidRPr="00711CA7">
        <w:rPr>
          <w:rFonts w:ascii="Times New Roman" w:eastAsia="Times New Roman" w:hAnsi="Times New Roman" w:cs="Times New Roman"/>
          <w:b/>
          <w:bCs/>
          <w:color w:val="222222"/>
          <w:kern w:val="0"/>
          <w:lang w:eastAsia="en-IN"/>
          <w14:ligatures w14:val="none"/>
        </w:rPr>
        <w:t>high economic output does not automatically ensure high levels of well-being</w:t>
      </w:r>
      <w:r w:rsidRPr="00711CA7">
        <w:rPr>
          <w:rFonts w:ascii="Times New Roman" w:eastAsia="Times New Roman" w:hAnsi="Times New Roman" w:cs="Times New Roman"/>
          <w:color w:val="222222"/>
          <w:kern w:val="0"/>
          <w:lang w:eastAsia="en-IN"/>
          <w14:ligatures w14:val="none"/>
        </w:rPr>
        <w:t>, reinforcing the argument that development should be measured through broader indicators beyond GDP.</w:t>
      </w:r>
    </w:p>
    <w:p w14:paraId="320192B2" w14:textId="77777777" w:rsid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lastRenderedPageBreak/>
        <w:t>These case studies collectively demonstrate that </w:t>
      </w:r>
      <w:r w:rsidRPr="00711CA7">
        <w:rPr>
          <w:rFonts w:ascii="Times New Roman" w:eastAsia="Times New Roman" w:hAnsi="Times New Roman" w:cs="Times New Roman"/>
          <w:b/>
          <w:bCs/>
          <w:color w:val="222222"/>
          <w:kern w:val="0"/>
          <w:lang w:eastAsia="en-IN"/>
          <w14:ligatures w14:val="none"/>
        </w:rPr>
        <w:t>GDP alone is an incomplete measure of development</w:t>
      </w:r>
      <w:r w:rsidRPr="00711CA7">
        <w:rPr>
          <w:rFonts w:ascii="Times New Roman" w:eastAsia="Times New Roman" w:hAnsi="Times New Roman" w:cs="Times New Roman"/>
          <w:color w:val="222222"/>
          <w:kern w:val="0"/>
          <w:lang w:eastAsia="en-IN"/>
          <w14:ligatures w14:val="none"/>
        </w:rPr>
        <w:t>. While countries like India and the United States show strong economic performance with persistent social challenges, the Nordic countries illustrate how integrating welfare policies with economic planning can lead to more equitable and sustainable outcomes.</w:t>
      </w:r>
    </w:p>
    <w:p w14:paraId="63281FEE" w14:textId="77777777" w:rsidR="001B35F3" w:rsidRPr="001B35F3" w:rsidRDefault="001B35F3"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1B35F3">
        <w:rPr>
          <w:rFonts w:ascii="Times New Roman" w:eastAsia="Times New Roman" w:hAnsi="Times New Roman" w:cs="Times New Roman"/>
          <w:b/>
          <w:bCs/>
          <w:color w:val="222222"/>
          <w:kern w:val="0"/>
          <w:sz w:val="28"/>
          <w:szCs w:val="28"/>
          <w:lang w:eastAsia="en-IN"/>
          <w14:ligatures w14:val="none"/>
        </w:rPr>
        <w:t>7. Policy Implications</w:t>
      </w:r>
    </w:p>
    <w:p w14:paraId="155DCC8C" w14:textId="77777777" w:rsidR="001B35F3" w:rsidRPr="001B35F3" w:rsidRDefault="001B35F3"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7.1 Redefining Growth Goals</w:t>
      </w:r>
    </w:p>
    <w:p w14:paraId="4A7CDD97"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A central implication of this study is the urgent need to redefine the concept of economic progress. Traditionally, governments have prioritized </w:t>
      </w:r>
      <w:r w:rsidRPr="001B35F3">
        <w:rPr>
          <w:rFonts w:ascii="Times New Roman" w:eastAsia="Times New Roman" w:hAnsi="Times New Roman" w:cs="Times New Roman"/>
          <w:b/>
          <w:bCs/>
          <w:color w:val="222222"/>
          <w:kern w:val="0"/>
          <w:lang w:eastAsia="en-IN"/>
          <w14:ligatures w14:val="none"/>
        </w:rPr>
        <w:t>growth maximization</w:t>
      </w:r>
      <w:r w:rsidRPr="001B35F3">
        <w:rPr>
          <w:rFonts w:ascii="Times New Roman" w:eastAsia="Times New Roman" w:hAnsi="Times New Roman" w:cs="Times New Roman"/>
          <w:color w:val="222222"/>
          <w:kern w:val="0"/>
          <w:lang w:eastAsia="en-IN"/>
          <w14:ligatures w14:val="none"/>
        </w:rPr>
        <w:t>, focusing primarily on increasing Gross Domestic Product (GDP). However, this narrow focus often overlooks broader aspects of human welfare.</w:t>
      </w:r>
    </w:p>
    <w:p w14:paraId="334DD5AE"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There is a growing consensus that policy frameworks must shift toward </w:t>
      </w:r>
      <w:r w:rsidRPr="001B35F3">
        <w:rPr>
          <w:rFonts w:ascii="Times New Roman" w:eastAsia="Times New Roman" w:hAnsi="Times New Roman" w:cs="Times New Roman"/>
          <w:b/>
          <w:bCs/>
          <w:color w:val="222222"/>
          <w:kern w:val="0"/>
          <w:lang w:eastAsia="en-IN"/>
          <w14:ligatures w14:val="none"/>
        </w:rPr>
        <w:t>welfare maximization</w:t>
      </w:r>
      <w:r w:rsidRPr="001B35F3">
        <w:rPr>
          <w:rFonts w:ascii="Times New Roman" w:eastAsia="Times New Roman" w:hAnsi="Times New Roman" w:cs="Times New Roman"/>
          <w:color w:val="222222"/>
          <w:kern w:val="0"/>
          <w:lang w:eastAsia="en-IN"/>
          <w14:ligatures w14:val="none"/>
        </w:rPr>
        <w:t>, where the objective is not merely to expand economic output but to enhance the overall quality of life. This involves prioritizing human development, reducing inequalities, and ensuring equitable access to resources. In this context, growth should be viewed as a </w:t>
      </w:r>
      <w:r w:rsidRPr="001B35F3">
        <w:rPr>
          <w:rFonts w:ascii="Times New Roman" w:eastAsia="Times New Roman" w:hAnsi="Times New Roman" w:cs="Times New Roman"/>
          <w:b/>
          <w:bCs/>
          <w:color w:val="222222"/>
          <w:kern w:val="0"/>
          <w:lang w:eastAsia="en-IN"/>
          <w14:ligatures w14:val="none"/>
        </w:rPr>
        <w:t>means</w:t>
      </w:r>
      <w:r w:rsidRPr="001B35F3">
        <w:rPr>
          <w:rFonts w:ascii="Times New Roman" w:eastAsia="Times New Roman" w:hAnsi="Times New Roman" w:cs="Times New Roman"/>
          <w:color w:val="222222"/>
          <w:kern w:val="0"/>
          <w:lang w:eastAsia="en-IN"/>
          <w14:ligatures w14:val="none"/>
        </w:rPr>
        <w:t> rather than an </w:t>
      </w:r>
      <w:r w:rsidRPr="001B35F3">
        <w:rPr>
          <w:rFonts w:ascii="Times New Roman" w:eastAsia="Times New Roman" w:hAnsi="Times New Roman" w:cs="Times New Roman"/>
          <w:b/>
          <w:bCs/>
          <w:color w:val="222222"/>
          <w:kern w:val="0"/>
          <w:lang w:eastAsia="en-IN"/>
          <w14:ligatures w14:val="none"/>
        </w:rPr>
        <w:t>end</w:t>
      </w:r>
      <w:r w:rsidRPr="001B35F3">
        <w:rPr>
          <w:rFonts w:ascii="Times New Roman" w:eastAsia="Times New Roman" w:hAnsi="Times New Roman" w:cs="Times New Roman"/>
          <w:color w:val="222222"/>
          <w:kern w:val="0"/>
          <w:lang w:eastAsia="en-IN"/>
          <w14:ligatures w14:val="none"/>
        </w:rPr>
        <w:t>, serving the larger goal of societal well-being.</w:t>
      </w:r>
    </w:p>
    <w:p w14:paraId="4DFEAEA3" w14:textId="5AEF3CD2" w:rsidR="00602FDC" w:rsidRPr="00602FDC" w:rsidRDefault="00602FDC"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lang w:eastAsia="en-IN"/>
          <w14:ligatures w14:val="none"/>
        </w:rPr>
      </w:pPr>
      <w:r w:rsidRPr="00602FDC">
        <w:rPr>
          <w:rFonts w:ascii="Times New Roman" w:eastAsia="Times New Roman" w:hAnsi="Times New Roman" w:cs="Times New Roman"/>
          <w:b/>
          <w:bCs/>
          <w:color w:val="222222"/>
          <w:kern w:val="0"/>
          <w:lang w:eastAsia="en-IN"/>
          <w14:ligatures w14:val="none"/>
        </w:rPr>
        <w:t xml:space="preserve">7.2 Integrating Welfare Indicators </w:t>
      </w:r>
    </w:p>
    <w:p w14:paraId="18A3F053" w14:textId="5B95489B" w:rsidR="00602FDC" w:rsidRPr="00602FDC" w:rsidRDefault="00602FDC"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To effectively implement welfare-oriented policies, governments must move beyond the narrow focus on GDP and adopt a multidimensional approach to development measurement. This requires integrating a range of indicators into policy planning and evaluation. One of the most widely used measures is the Human Development Index (HDI), which assesses overall human development by combining income, education, and life expectancy. In addition, inequality metrics play a crucial role in revealing how economic gains are distributed across society, highlighting disparities in income and wealth. Environmental indicators are equally important, as they measure factors such as carbon emissions, air and water quality, and ecological sustainability, all of which are essential for evaluating long-term development. By systematically tracking these diverse indicators, policymakers can develop a more comprehensive understanding of development outcomes and formulate balanced strategies that promote both economic progress and human well-being.</w:t>
      </w:r>
    </w:p>
    <w:p w14:paraId="644768E8" w14:textId="29130903" w:rsidR="00602FDC" w:rsidRPr="00602FDC" w:rsidRDefault="00602FDC"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lang w:eastAsia="en-IN"/>
          <w14:ligatures w14:val="none"/>
        </w:rPr>
      </w:pPr>
      <w:r w:rsidRPr="00602FDC">
        <w:rPr>
          <w:rFonts w:ascii="Times New Roman" w:eastAsia="Times New Roman" w:hAnsi="Times New Roman" w:cs="Times New Roman"/>
          <w:b/>
          <w:bCs/>
          <w:color w:val="222222"/>
          <w:kern w:val="0"/>
          <w:lang w:eastAsia="en-IN"/>
          <w14:ligatures w14:val="none"/>
        </w:rPr>
        <w:t xml:space="preserve">7.3 Inclusive Policy Design </w:t>
      </w:r>
    </w:p>
    <w:p w14:paraId="2290746F" w14:textId="77777777" w:rsidR="00602FDC" w:rsidRPr="00602FDC" w:rsidRDefault="00602FDC"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 xml:space="preserve">Inclusive development necessitates the formulation of policies that directly address the needs of vulnerable and marginalized populations. Governments must prioritize ensuring equitable access to essential services and opportunities. Improving healthcare access through affordable and universal systems is vital for enhancing public health outcomes and reducing disparities. Similarly, strengthening the quality of education is essential to promote equal opportunities, foster skill development, and enable social mobility. In addition, expanding social protection mechanisms—such as pensions, unemployment benefits, and food security programs—can </w:t>
      </w:r>
      <w:r w:rsidRPr="00602FDC">
        <w:rPr>
          <w:rFonts w:ascii="Times New Roman" w:eastAsia="Times New Roman" w:hAnsi="Times New Roman" w:cs="Times New Roman"/>
          <w:color w:val="222222"/>
          <w:kern w:val="0"/>
          <w:lang w:eastAsia="en-IN"/>
          <w14:ligatures w14:val="none"/>
        </w:rPr>
        <w:lastRenderedPageBreak/>
        <w:t>significantly reduce vulnerability and poverty among disadvantaged groups. Collectively, these measures not only improve individual well-being but also contribute to long-term economic stability and social cohesion by creating a more inclusive and resilient society.</w:t>
      </w:r>
    </w:p>
    <w:p w14:paraId="55C076EF" w14:textId="77777777" w:rsidR="001B35F3" w:rsidRPr="00602FDC" w:rsidRDefault="001B35F3"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602FDC">
        <w:rPr>
          <w:rFonts w:ascii="Times New Roman" w:eastAsia="Times New Roman" w:hAnsi="Times New Roman" w:cs="Times New Roman"/>
          <w:b/>
          <w:bCs/>
          <w:color w:val="222222"/>
          <w:kern w:val="0"/>
          <w:lang w:eastAsia="en-IN"/>
          <w14:ligatures w14:val="none"/>
        </w:rPr>
        <w:t>7.4 Sustainability Integration</w:t>
      </w:r>
    </w:p>
    <w:p w14:paraId="56A7AE33" w14:textId="77777777" w:rsidR="00F767F0" w:rsidRPr="00602FDC" w:rsidRDefault="00F767F0"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Sustainability must be treated as a central pillar of modern policy frameworks, ensuring that economic activities operate within environmental and ecological limits. In this context, governments and policymakers need to give serious attention to both climate change and resource management. Effective strategies for climate change mitigation and adaptation are essential to address the long-term risks associated with global warming, including extreme weather events, rising sea levels, and disruptions to ecosystems and livelihoods. At the same time, the issue of resource depletion demands careful regulation of natural resources such as water, forests, and fossil fuels, which are being overexploited in many parts of the world.</w:t>
      </w:r>
    </w:p>
    <w:p w14:paraId="79D2BEB4" w14:textId="77777777" w:rsidR="00F767F0" w:rsidRPr="00602FDC" w:rsidRDefault="00F767F0"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Integrating sustainability into economic planning helps create a balance between development and environmental protection. It ensures that the needs of the present generation are met without compromising the ability of future generations to meet their own needs. This approach reflects the broader principles of sustainable development promoted by the United Nations, which emphasize the importance of harmonizing economic growth, social inclusion, and environmental conservation.</w:t>
      </w:r>
    </w:p>
    <w:p w14:paraId="72319A4A" w14:textId="54BBE95B" w:rsidR="001B35F3" w:rsidRPr="00602FDC" w:rsidRDefault="001B35F3"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602FDC">
        <w:rPr>
          <w:rFonts w:ascii="Times New Roman" w:eastAsia="Times New Roman" w:hAnsi="Times New Roman" w:cs="Times New Roman"/>
          <w:b/>
          <w:bCs/>
          <w:color w:val="222222"/>
          <w:kern w:val="0"/>
          <w:sz w:val="28"/>
          <w:szCs w:val="28"/>
          <w:lang w:eastAsia="en-IN"/>
          <w14:ligatures w14:val="none"/>
        </w:rPr>
        <w:t>8. Discussion</w:t>
      </w:r>
    </w:p>
    <w:p w14:paraId="73F8F0F5" w14:textId="77777777" w:rsidR="001B35F3" w:rsidRPr="00602FDC"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The empirical evidence presented in this study clearly demonstrates that GDP is an incomplete and insufficient measure of societal welfare. While GDP remains a useful indicator for tracking economic activity and production levels, it fails to capture several critical dimensions of development.</w:t>
      </w:r>
    </w:p>
    <w:p w14:paraId="3040CC62" w14:textId="77777777" w:rsidR="001B35F3" w:rsidRPr="00602FDC"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First, GDP does not adequately reflect </w:t>
      </w:r>
      <w:r w:rsidRPr="00602FDC">
        <w:rPr>
          <w:rFonts w:ascii="Times New Roman" w:eastAsia="Times New Roman" w:hAnsi="Times New Roman" w:cs="Times New Roman"/>
          <w:b/>
          <w:bCs/>
          <w:color w:val="222222"/>
          <w:kern w:val="0"/>
          <w:lang w:eastAsia="en-IN"/>
          <w14:ligatures w14:val="none"/>
        </w:rPr>
        <w:t>distributional aspects</w:t>
      </w:r>
      <w:r w:rsidRPr="00602FDC">
        <w:rPr>
          <w:rFonts w:ascii="Times New Roman" w:eastAsia="Times New Roman" w:hAnsi="Times New Roman" w:cs="Times New Roman"/>
          <w:color w:val="222222"/>
          <w:kern w:val="0"/>
          <w:lang w:eastAsia="en-IN"/>
          <w14:ligatures w14:val="none"/>
        </w:rPr>
        <w:t>. High economic growth can coexist with significant income inequality, leaving large sections of the population excluded from the benefits of development.</w:t>
      </w:r>
    </w:p>
    <w:p w14:paraId="40ED9C4D" w14:textId="77777777" w:rsidR="001B35F3" w:rsidRPr="00602FDC"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Second, GDP ignores </w:t>
      </w:r>
      <w:r w:rsidRPr="00602FDC">
        <w:rPr>
          <w:rFonts w:ascii="Times New Roman" w:eastAsia="Times New Roman" w:hAnsi="Times New Roman" w:cs="Times New Roman"/>
          <w:b/>
          <w:bCs/>
          <w:color w:val="222222"/>
          <w:kern w:val="0"/>
          <w:lang w:eastAsia="en-IN"/>
          <w14:ligatures w14:val="none"/>
        </w:rPr>
        <w:t>sustainability concerns</w:t>
      </w:r>
      <w:r w:rsidRPr="00602FDC">
        <w:rPr>
          <w:rFonts w:ascii="Times New Roman" w:eastAsia="Times New Roman" w:hAnsi="Times New Roman" w:cs="Times New Roman"/>
          <w:color w:val="222222"/>
          <w:kern w:val="0"/>
          <w:lang w:eastAsia="en-IN"/>
          <w14:ligatures w14:val="none"/>
        </w:rPr>
        <w:t>. It does not account for environmental degradation, resource depletion, or ecological imbalance, which are crucial for long-term prosperity.</w:t>
      </w:r>
    </w:p>
    <w:p w14:paraId="15E513CF" w14:textId="53250AF3"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Third, GDP overlooks </w:t>
      </w:r>
      <w:r w:rsidRPr="00602FDC">
        <w:rPr>
          <w:rFonts w:ascii="Times New Roman" w:eastAsia="Times New Roman" w:hAnsi="Times New Roman" w:cs="Times New Roman"/>
          <w:b/>
          <w:bCs/>
          <w:color w:val="222222"/>
          <w:kern w:val="0"/>
          <w:lang w:eastAsia="en-IN"/>
          <w14:ligatures w14:val="none"/>
        </w:rPr>
        <w:t>human well-being</w:t>
      </w:r>
      <w:r w:rsidRPr="00602FDC">
        <w:rPr>
          <w:rFonts w:ascii="Times New Roman" w:eastAsia="Times New Roman" w:hAnsi="Times New Roman" w:cs="Times New Roman"/>
          <w:color w:val="222222"/>
          <w:kern w:val="0"/>
          <w:lang w:eastAsia="en-IN"/>
          <w14:ligatures w14:val="none"/>
        </w:rPr>
        <w:t xml:space="preserve">, including factors such as health, education, life satisfaction, and social </w:t>
      </w:r>
      <w:r w:rsidR="001C553B" w:rsidRPr="00602FDC">
        <w:rPr>
          <w:rFonts w:ascii="Times New Roman" w:eastAsia="Times New Roman" w:hAnsi="Times New Roman" w:cs="Times New Roman"/>
          <w:color w:val="222222"/>
          <w:kern w:val="0"/>
          <w:lang w:eastAsia="en-IN"/>
          <w14:ligatures w14:val="none"/>
        </w:rPr>
        <w:t>security.</w:t>
      </w:r>
      <w:r w:rsidR="001C553B" w:rsidRPr="001B35F3">
        <w:rPr>
          <w:rFonts w:ascii="Times New Roman" w:eastAsia="Times New Roman" w:hAnsi="Times New Roman" w:cs="Times New Roman"/>
          <w:color w:val="222222"/>
          <w:kern w:val="0"/>
          <w:lang w:eastAsia="en-IN"/>
          <w14:ligatures w14:val="none"/>
        </w:rPr>
        <w:t xml:space="preserve"> Although</w:t>
      </w:r>
      <w:r w:rsidRPr="001B35F3">
        <w:rPr>
          <w:rFonts w:ascii="Times New Roman" w:eastAsia="Times New Roman" w:hAnsi="Times New Roman" w:cs="Times New Roman"/>
          <w:color w:val="222222"/>
          <w:kern w:val="0"/>
          <w:lang w:eastAsia="en-IN"/>
          <w14:ligatures w14:val="none"/>
        </w:rPr>
        <w:t xml:space="preserve"> alternative measures such as the Human Development Index, Genuine Progress Indicator (G</w:t>
      </w:r>
      <w:r w:rsidR="001C553B">
        <w:rPr>
          <w:rFonts w:ascii="Times New Roman" w:eastAsia="Times New Roman" w:hAnsi="Times New Roman" w:cs="Times New Roman"/>
          <w:color w:val="222222"/>
          <w:kern w:val="0"/>
          <w:lang w:eastAsia="en-IN"/>
          <w14:ligatures w14:val="none"/>
        </w:rPr>
        <w:t xml:space="preserve"> </w:t>
      </w:r>
      <w:r w:rsidRPr="001B35F3">
        <w:rPr>
          <w:rFonts w:ascii="Times New Roman" w:eastAsia="Times New Roman" w:hAnsi="Times New Roman" w:cs="Times New Roman"/>
          <w:color w:val="222222"/>
          <w:kern w:val="0"/>
          <w:lang w:eastAsia="en-IN"/>
          <w14:ligatures w14:val="none"/>
        </w:rPr>
        <w:t>PI), and Multidimensional Poverty Index (MPI) provide valuable insights, no single index is comprehensive enough to capture all aspects of development.</w:t>
      </w:r>
      <w:r w:rsidR="001C553B">
        <w:rPr>
          <w:rFonts w:ascii="Times New Roman" w:eastAsia="Times New Roman" w:hAnsi="Times New Roman" w:cs="Times New Roman"/>
          <w:color w:val="222222"/>
          <w:kern w:val="0"/>
          <w:lang w:eastAsia="en-IN"/>
          <w14:ligatures w14:val="none"/>
        </w:rPr>
        <w:t xml:space="preserve"> </w:t>
      </w:r>
      <w:r w:rsidRPr="001B35F3">
        <w:rPr>
          <w:rFonts w:ascii="Times New Roman" w:eastAsia="Times New Roman" w:hAnsi="Times New Roman" w:cs="Times New Roman"/>
          <w:color w:val="222222"/>
          <w:kern w:val="0"/>
          <w:lang w:eastAsia="en-IN"/>
          <w14:ligatures w14:val="none"/>
        </w:rPr>
        <w:t>Therefore, this study supports a </w:t>
      </w:r>
      <w:r w:rsidRPr="001B35F3">
        <w:rPr>
          <w:rFonts w:ascii="Times New Roman" w:eastAsia="Times New Roman" w:hAnsi="Times New Roman" w:cs="Times New Roman"/>
          <w:b/>
          <w:bCs/>
          <w:color w:val="222222"/>
          <w:kern w:val="0"/>
          <w:lang w:eastAsia="en-IN"/>
          <w14:ligatures w14:val="none"/>
        </w:rPr>
        <w:t>dashboard approach</w:t>
      </w:r>
      <w:r w:rsidRPr="001B35F3">
        <w:rPr>
          <w:rFonts w:ascii="Times New Roman" w:eastAsia="Times New Roman" w:hAnsi="Times New Roman" w:cs="Times New Roman"/>
          <w:color w:val="222222"/>
          <w:kern w:val="0"/>
          <w:lang w:eastAsia="en-IN"/>
          <w14:ligatures w14:val="none"/>
        </w:rPr>
        <w:t>, where multiple indicators are used together to assess economic performance and societal well-being. Such an approach allows for a more nuanced and multidimensional understanding of development.</w:t>
      </w:r>
    </w:p>
    <w:p w14:paraId="1035A1ED" w14:textId="77777777" w:rsidR="001B35F3" w:rsidRPr="001B35F3" w:rsidRDefault="001B35F3"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1B35F3">
        <w:rPr>
          <w:rFonts w:ascii="Times New Roman" w:eastAsia="Times New Roman" w:hAnsi="Times New Roman" w:cs="Times New Roman"/>
          <w:b/>
          <w:bCs/>
          <w:color w:val="222222"/>
          <w:kern w:val="0"/>
          <w:sz w:val="28"/>
          <w:szCs w:val="28"/>
          <w:lang w:eastAsia="en-IN"/>
          <w14:ligatures w14:val="none"/>
        </w:rPr>
        <w:lastRenderedPageBreak/>
        <w:t>9. Conclusion</w:t>
      </w:r>
    </w:p>
    <w:p w14:paraId="16250D6E" w14:textId="07525BAA"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This paper has demonstrated that GDP alone cannot adequately represent societal welfare in the context of the modern global economy. While it remains an important measure of economic activity, its limitations necessitate the adoption of broader and more inclusive indicators.</w:t>
      </w:r>
      <w:r w:rsidR="001C553B">
        <w:rPr>
          <w:rFonts w:ascii="Times New Roman" w:eastAsia="Times New Roman" w:hAnsi="Times New Roman" w:cs="Times New Roman"/>
          <w:color w:val="222222"/>
          <w:kern w:val="0"/>
          <w:lang w:eastAsia="en-IN"/>
          <w14:ligatures w14:val="none"/>
        </w:rPr>
        <w:t xml:space="preserve"> </w:t>
      </w:r>
      <w:r w:rsidRPr="001B35F3">
        <w:rPr>
          <w:rFonts w:ascii="Times New Roman" w:eastAsia="Times New Roman" w:hAnsi="Times New Roman" w:cs="Times New Roman"/>
          <w:color w:val="222222"/>
          <w:kern w:val="0"/>
          <w:lang w:eastAsia="en-IN"/>
          <w14:ligatures w14:val="none"/>
        </w:rPr>
        <w:t>Alternative measures such as the Human Development Index (HDI), Genuine Progress Indicator (GPI), and Multidimensional Poverty Index (MPI) offer deeper insights into human well-being by incorporating dimensions such as health, education, inequality, and living standards.</w:t>
      </w:r>
    </w:p>
    <w:p w14:paraId="2680E824"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The empirical analysis further highlights that </w:t>
      </w:r>
      <w:r w:rsidRPr="001B35F3">
        <w:rPr>
          <w:rFonts w:ascii="Times New Roman" w:eastAsia="Times New Roman" w:hAnsi="Times New Roman" w:cs="Times New Roman"/>
          <w:b/>
          <w:bCs/>
          <w:color w:val="222222"/>
          <w:kern w:val="0"/>
          <w:lang w:eastAsia="en-IN"/>
          <w14:ligatures w14:val="none"/>
        </w:rPr>
        <w:t>economic growth does not automatically translate into improved quality of life</w:t>
      </w:r>
      <w:r w:rsidRPr="001B35F3">
        <w:rPr>
          <w:rFonts w:ascii="Times New Roman" w:eastAsia="Times New Roman" w:hAnsi="Times New Roman" w:cs="Times New Roman"/>
          <w:color w:val="222222"/>
          <w:kern w:val="0"/>
          <w:lang w:eastAsia="en-IN"/>
          <w14:ligatures w14:val="none"/>
        </w:rPr>
        <w:t>. Countries with high GDP may still face significant challenges in terms of inequality, social welfare, and environmental sustainability.</w:t>
      </w:r>
    </w:p>
    <w:p w14:paraId="3A5662E1"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The future of economic measurement and policy-making lies in:</w:t>
      </w:r>
    </w:p>
    <w:p w14:paraId="1F1C1540" w14:textId="77777777" w:rsidR="001B35F3" w:rsidRPr="001B35F3" w:rsidRDefault="001B35F3" w:rsidP="001C553B">
      <w:pPr>
        <w:numPr>
          <w:ilvl w:val="0"/>
          <w:numId w:val="36"/>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Adopting multidimensional frameworks</w:t>
      </w:r>
      <w:r w:rsidRPr="001B35F3">
        <w:rPr>
          <w:rFonts w:ascii="Times New Roman" w:eastAsia="Times New Roman" w:hAnsi="Times New Roman" w:cs="Times New Roman"/>
          <w:color w:val="222222"/>
          <w:kern w:val="0"/>
          <w:lang w:eastAsia="en-IN"/>
          <w14:ligatures w14:val="none"/>
        </w:rPr>
        <w:t> that capture the complexity of human development</w:t>
      </w:r>
    </w:p>
    <w:p w14:paraId="136804FB" w14:textId="77777777" w:rsidR="001B35F3" w:rsidRPr="001B35F3" w:rsidRDefault="001B35F3" w:rsidP="001C553B">
      <w:pPr>
        <w:numPr>
          <w:ilvl w:val="0"/>
          <w:numId w:val="36"/>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Integrating welfare indicators into policy design and evaluation</w:t>
      </w:r>
    </w:p>
    <w:p w14:paraId="1893C4A9" w14:textId="77777777" w:rsidR="001B35F3" w:rsidRPr="001B35F3" w:rsidRDefault="001B35F3" w:rsidP="001C553B">
      <w:pPr>
        <w:numPr>
          <w:ilvl w:val="0"/>
          <w:numId w:val="36"/>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Shifting toward inclusive and sustainable development models</w:t>
      </w:r>
    </w:p>
    <w:p w14:paraId="77EC5910"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In conclusion, redefining development beyond GDP is not merely an academic exercise but a practical necessity for building a more equitable, resilient, and sustainable global society.</w:t>
      </w:r>
    </w:p>
    <w:p w14:paraId="1DF72B1D" w14:textId="601CBDB8" w:rsidR="001F6000" w:rsidRPr="001F6000" w:rsidRDefault="001F6000" w:rsidP="001F6000">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1F6000">
        <w:rPr>
          <w:rFonts w:ascii="Times New Roman" w:eastAsia="Times New Roman" w:hAnsi="Times New Roman" w:cs="Times New Roman"/>
          <w:b/>
          <w:bCs/>
          <w:kern w:val="0"/>
          <w:sz w:val="28"/>
          <w:szCs w:val="28"/>
          <w:lang w:eastAsia="en-IN"/>
          <w14:ligatures w14:val="none"/>
        </w:rPr>
        <w:t xml:space="preserve">Works Cited </w:t>
      </w:r>
    </w:p>
    <w:p w14:paraId="2E3DB966"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Alkire, Sabina, and James Foster. “Counting and Multidimensional Poverty Measurement.” </w:t>
      </w:r>
      <w:r w:rsidRPr="001F6000">
        <w:rPr>
          <w:rFonts w:ascii="Times New Roman" w:eastAsia="Times New Roman" w:hAnsi="Times New Roman" w:cs="Times New Roman"/>
          <w:i/>
          <w:iCs/>
          <w:kern w:val="0"/>
          <w:lang w:eastAsia="en-IN"/>
          <w14:ligatures w14:val="none"/>
        </w:rPr>
        <w:t>Journal of Public Economics</w:t>
      </w:r>
      <w:r w:rsidRPr="001F6000">
        <w:rPr>
          <w:rFonts w:ascii="Times New Roman" w:eastAsia="Times New Roman" w:hAnsi="Times New Roman" w:cs="Times New Roman"/>
          <w:kern w:val="0"/>
          <w:lang w:eastAsia="en-IN"/>
          <w14:ligatures w14:val="none"/>
        </w:rPr>
        <w:t>, vol. 95, nos. 7–8, 2011, pp. 476–487.</w:t>
      </w:r>
    </w:p>
    <w:p w14:paraId="10FE4AEF"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Costanza, Robert, et al. “The Value of the World’s Ecosystem Services and Natural Capital.” </w:t>
      </w:r>
      <w:r w:rsidRPr="001F6000">
        <w:rPr>
          <w:rFonts w:ascii="Times New Roman" w:eastAsia="Times New Roman" w:hAnsi="Times New Roman" w:cs="Times New Roman"/>
          <w:i/>
          <w:iCs/>
          <w:kern w:val="0"/>
          <w:lang w:eastAsia="en-IN"/>
          <w14:ligatures w14:val="none"/>
        </w:rPr>
        <w:t>Nature</w:t>
      </w:r>
      <w:r w:rsidRPr="001F6000">
        <w:rPr>
          <w:rFonts w:ascii="Times New Roman" w:eastAsia="Times New Roman" w:hAnsi="Times New Roman" w:cs="Times New Roman"/>
          <w:kern w:val="0"/>
          <w:lang w:eastAsia="en-IN"/>
          <w14:ligatures w14:val="none"/>
        </w:rPr>
        <w:t>, vol. 387, no. 6630, 1997, pp. 253–260.</w:t>
      </w:r>
    </w:p>
    <w:p w14:paraId="068D743E"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Costanza, Robert, et al. “Time to Leave GDP Behind.” </w:t>
      </w:r>
      <w:r w:rsidRPr="001F6000">
        <w:rPr>
          <w:rFonts w:ascii="Times New Roman" w:eastAsia="Times New Roman" w:hAnsi="Times New Roman" w:cs="Times New Roman"/>
          <w:i/>
          <w:iCs/>
          <w:kern w:val="0"/>
          <w:lang w:eastAsia="en-IN"/>
          <w14:ligatures w14:val="none"/>
        </w:rPr>
        <w:t>Nature</w:t>
      </w:r>
      <w:r w:rsidRPr="001F6000">
        <w:rPr>
          <w:rFonts w:ascii="Times New Roman" w:eastAsia="Times New Roman" w:hAnsi="Times New Roman" w:cs="Times New Roman"/>
          <w:kern w:val="0"/>
          <w:lang w:eastAsia="en-IN"/>
          <w14:ligatures w14:val="none"/>
        </w:rPr>
        <w:t>, vol. 505, no. 7483, 2014, pp. 283–285.</w:t>
      </w:r>
    </w:p>
    <w:p w14:paraId="7BB11196"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International Labour Organization. </w:t>
      </w:r>
      <w:r w:rsidRPr="001F6000">
        <w:rPr>
          <w:rFonts w:ascii="Times New Roman" w:eastAsia="Times New Roman" w:hAnsi="Times New Roman" w:cs="Times New Roman"/>
          <w:i/>
          <w:iCs/>
          <w:kern w:val="0"/>
          <w:lang w:eastAsia="en-IN"/>
          <w14:ligatures w14:val="none"/>
        </w:rPr>
        <w:t>World Employment and Social Outlook: Trends 2024</w:t>
      </w:r>
      <w:r w:rsidRPr="001F6000">
        <w:rPr>
          <w:rFonts w:ascii="Times New Roman" w:eastAsia="Times New Roman" w:hAnsi="Times New Roman" w:cs="Times New Roman"/>
          <w:kern w:val="0"/>
          <w:lang w:eastAsia="en-IN"/>
          <w14:ligatures w14:val="none"/>
        </w:rPr>
        <w:t>. ILO, 2024.</w:t>
      </w:r>
    </w:p>
    <w:p w14:paraId="52FCA7FE"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Piketty, Thomas. </w:t>
      </w:r>
      <w:r w:rsidRPr="001F6000">
        <w:rPr>
          <w:rFonts w:ascii="Times New Roman" w:eastAsia="Times New Roman" w:hAnsi="Times New Roman" w:cs="Times New Roman"/>
          <w:i/>
          <w:iCs/>
          <w:kern w:val="0"/>
          <w:lang w:eastAsia="en-IN"/>
          <w14:ligatures w14:val="none"/>
        </w:rPr>
        <w:t>Capital in the Twenty-First Century</w:t>
      </w:r>
      <w:r w:rsidRPr="001F6000">
        <w:rPr>
          <w:rFonts w:ascii="Times New Roman" w:eastAsia="Times New Roman" w:hAnsi="Times New Roman" w:cs="Times New Roman"/>
          <w:kern w:val="0"/>
          <w:lang w:eastAsia="en-IN"/>
          <w14:ligatures w14:val="none"/>
        </w:rPr>
        <w:t>. Translated by Arthur Goldhammer, Harvard UP, 2014.</w:t>
      </w:r>
    </w:p>
    <w:p w14:paraId="41C5A8E5"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Sen, Amartya. </w:t>
      </w:r>
      <w:r w:rsidRPr="001F6000">
        <w:rPr>
          <w:rFonts w:ascii="Times New Roman" w:eastAsia="Times New Roman" w:hAnsi="Times New Roman" w:cs="Times New Roman"/>
          <w:i/>
          <w:iCs/>
          <w:kern w:val="0"/>
          <w:lang w:eastAsia="en-IN"/>
          <w14:ligatures w14:val="none"/>
        </w:rPr>
        <w:t>Development as Freedom</w:t>
      </w:r>
      <w:r w:rsidRPr="001F6000">
        <w:rPr>
          <w:rFonts w:ascii="Times New Roman" w:eastAsia="Times New Roman" w:hAnsi="Times New Roman" w:cs="Times New Roman"/>
          <w:kern w:val="0"/>
          <w:lang w:eastAsia="en-IN"/>
          <w14:ligatures w14:val="none"/>
        </w:rPr>
        <w:t>. Oxford UP, 1999.</w:t>
      </w:r>
    </w:p>
    <w:p w14:paraId="56ED2910"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Stiglitz, Joseph E., Amartya Sen, and Jean-Paul Fitoussi. </w:t>
      </w:r>
      <w:r w:rsidRPr="001F6000">
        <w:rPr>
          <w:rFonts w:ascii="Times New Roman" w:eastAsia="Times New Roman" w:hAnsi="Times New Roman" w:cs="Times New Roman"/>
          <w:i/>
          <w:iCs/>
          <w:kern w:val="0"/>
          <w:lang w:eastAsia="en-IN"/>
          <w14:ligatures w14:val="none"/>
        </w:rPr>
        <w:t>Report by the Commission on the Measurement of Economic Performance and Social Progress</w:t>
      </w:r>
      <w:r w:rsidRPr="001F6000">
        <w:rPr>
          <w:rFonts w:ascii="Times New Roman" w:eastAsia="Times New Roman" w:hAnsi="Times New Roman" w:cs="Times New Roman"/>
          <w:kern w:val="0"/>
          <w:lang w:eastAsia="en-IN"/>
          <w14:ligatures w14:val="none"/>
        </w:rPr>
        <w:t>. Commission on the Measurement of Economic Performance and Social Progress, 2009.</w:t>
      </w:r>
    </w:p>
    <w:p w14:paraId="634D3CC7"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lastRenderedPageBreak/>
        <w:t xml:space="preserve">United Nations Development Programme. </w:t>
      </w:r>
      <w:r w:rsidRPr="001F6000">
        <w:rPr>
          <w:rFonts w:ascii="Times New Roman" w:eastAsia="Times New Roman" w:hAnsi="Times New Roman" w:cs="Times New Roman"/>
          <w:i/>
          <w:iCs/>
          <w:kern w:val="0"/>
          <w:lang w:eastAsia="en-IN"/>
          <w14:ligatures w14:val="none"/>
        </w:rPr>
        <w:t>Global Multidimensional Poverty Index 2023</w:t>
      </w:r>
      <w:r w:rsidRPr="001F6000">
        <w:rPr>
          <w:rFonts w:ascii="Times New Roman" w:eastAsia="Times New Roman" w:hAnsi="Times New Roman" w:cs="Times New Roman"/>
          <w:kern w:val="0"/>
          <w:lang w:eastAsia="en-IN"/>
          <w14:ligatures w14:val="none"/>
        </w:rPr>
        <w:t>. UNDP, 2023.</w:t>
      </w:r>
    </w:p>
    <w:p w14:paraId="252182B3"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United Nations Development Programme. </w:t>
      </w:r>
      <w:r w:rsidRPr="001F6000">
        <w:rPr>
          <w:rFonts w:ascii="Times New Roman" w:eastAsia="Times New Roman" w:hAnsi="Times New Roman" w:cs="Times New Roman"/>
          <w:i/>
          <w:iCs/>
          <w:kern w:val="0"/>
          <w:lang w:eastAsia="en-IN"/>
          <w14:ligatures w14:val="none"/>
        </w:rPr>
        <w:t>Human Development Report 2020: The Next Frontier—Human Development and the Anthropocene</w:t>
      </w:r>
      <w:r w:rsidRPr="001F6000">
        <w:rPr>
          <w:rFonts w:ascii="Times New Roman" w:eastAsia="Times New Roman" w:hAnsi="Times New Roman" w:cs="Times New Roman"/>
          <w:kern w:val="0"/>
          <w:lang w:eastAsia="en-IN"/>
          <w14:ligatures w14:val="none"/>
        </w:rPr>
        <w:t>. UNDP, 2020.</w:t>
      </w:r>
    </w:p>
    <w:p w14:paraId="2C70156B"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p>
    <w:p w14:paraId="1E40075A" w14:textId="77777777" w:rsidR="00711CA7" w:rsidRPr="001B35F3" w:rsidRDefault="00711CA7"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1CDB3758" w14:textId="68F98051" w:rsidR="003C3C3F" w:rsidRPr="001B35F3"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1B35F3">
        <w:rPr>
          <w:rFonts w:ascii="Times New Roman" w:eastAsia="Times New Roman" w:hAnsi="Times New Roman" w:cs="Times New Roman"/>
          <w:kern w:val="0"/>
          <w:lang w:eastAsia="en-IN"/>
          <w14:ligatures w14:val="none"/>
        </w:rPr>
        <w:t>.</w:t>
      </w:r>
    </w:p>
    <w:p w14:paraId="27E480C5" w14:textId="77777777" w:rsidR="00BA140F" w:rsidRPr="001B35F3" w:rsidRDefault="00BA140F" w:rsidP="001C553B">
      <w:pPr>
        <w:spacing w:before="100" w:beforeAutospacing="1" w:after="100" w:afterAutospacing="1" w:line="276" w:lineRule="auto"/>
        <w:jc w:val="both"/>
        <w:outlineLvl w:val="2"/>
        <w:rPr>
          <w:rFonts w:ascii="Times New Roman" w:eastAsia="Times New Roman" w:hAnsi="Times New Roman" w:cs="Times New Roman"/>
          <w:kern w:val="0"/>
          <w:lang w:eastAsia="en-IN"/>
          <w14:ligatures w14:val="none"/>
        </w:rPr>
      </w:pPr>
    </w:p>
    <w:sectPr w:rsidR="00BA140F" w:rsidRPr="001B3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804"/>
    <w:multiLevelType w:val="multilevel"/>
    <w:tmpl w:val="D45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259C"/>
    <w:multiLevelType w:val="multilevel"/>
    <w:tmpl w:val="1350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42474"/>
    <w:multiLevelType w:val="multilevel"/>
    <w:tmpl w:val="38B8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B5E2A"/>
    <w:multiLevelType w:val="multilevel"/>
    <w:tmpl w:val="74F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F17BA"/>
    <w:multiLevelType w:val="multilevel"/>
    <w:tmpl w:val="054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02F23"/>
    <w:multiLevelType w:val="multilevel"/>
    <w:tmpl w:val="019C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F6F17"/>
    <w:multiLevelType w:val="multilevel"/>
    <w:tmpl w:val="4356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0493C"/>
    <w:multiLevelType w:val="multilevel"/>
    <w:tmpl w:val="6A22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52504"/>
    <w:multiLevelType w:val="multilevel"/>
    <w:tmpl w:val="7A4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B0D46"/>
    <w:multiLevelType w:val="multilevel"/>
    <w:tmpl w:val="BA74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C55EF"/>
    <w:multiLevelType w:val="multilevel"/>
    <w:tmpl w:val="CDCE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321C2"/>
    <w:multiLevelType w:val="multilevel"/>
    <w:tmpl w:val="7B4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545E"/>
    <w:multiLevelType w:val="multilevel"/>
    <w:tmpl w:val="AC4C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E222D"/>
    <w:multiLevelType w:val="multilevel"/>
    <w:tmpl w:val="AC9A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C03CB"/>
    <w:multiLevelType w:val="multilevel"/>
    <w:tmpl w:val="5E8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253EF"/>
    <w:multiLevelType w:val="multilevel"/>
    <w:tmpl w:val="A32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429EC"/>
    <w:multiLevelType w:val="multilevel"/>
    <w:tmpl w:val="DF5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5359F"/>
    <w:multiLevelType w:val="multilevel"/>
    <w:tmpl w:val="8C6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D7B90"/>
    <w:multiLevelType w:val="multilevel"/>
    <w:tmpl w:val="281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A4F3F"/>
    <w:multiLevelType w:val="multilevel"/>
    <w:tmpl w:val="E7E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37BC2"/>
    <w:multiLevelType w:val="multilevel"/>
    <w:tmpl w:val="1F903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2363F"/>
    <w:multiLevelType w:val="multilevel"/>
    <w:tmpl w:val="7F02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44E3D"/>
    <w:multiLevelType w:val="multilevel"/>
    <w:tmpl w:val="5E6CB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E3A97"/>
    <w:multiLevelType w:val="multilevel"/>
    <w:tmpl w:val="E414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C0F37"/>
    <w:multiLevelType w:val="multilevel"/>
    <w:tmpl w:val="DB9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905F0"/>
    <w:multiLevelType w:val="multilevel"/>
    <w:tmpl w:val="CD8A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4738A"/>
    <w:multiLevelType w:val="multilevel"/>
    <w:tmpl w:val="714E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15E1E"/>
    <w:multiLevelType w:val="multilevel"/>
    <w:tmpl w:val="FCF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754A3"/>
    <w:multiLevelType w:val="multilevel"/>
    <w:tmpl w:val="8A66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F1508"/>
    <w:multiLevelType w:val="multilevel"/>
    <w:tmpl w:val="2ED4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719CC"/>
    <w:multiLevelType w:val="multilevel"/>
    <w:tmpl w:val="D03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D24F1"/>
    <w:multiLevelType w:val="multilevel"/>
    <w:tmpl w:val="D95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85406"/>
    <w:multiLevelType w:val="multilevel"/>
    <w:tmpl w:val="7F1E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63681"/>
    <w:multiLevelType w:val="multilevel"/>
    <w:tmpl w:val="5C3A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A41DA"/>
    <w:multiLevelType w:val="multilevel"/>
    <w:tmpl w:val="1A6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636757"/>
    <w:multiLevelType w:val="multilevel"/>
    <w:tmpl w:val="7994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14130">
    <w:abstractNumId w:val="12"/>
  </w:num>
  <w:num w:numId="2" w16cid:durableId="285502120">
    <w:abstractNumId w:val="10"/>
  </w:num>
  <w:num w:numId="3" w16cid:durableId="417287509">
    <w:abstractNumId w:val="3"/>
  </w:num>
  <w:num w:numId="4" w16cid:durableId="1736969025">
    <w:abstractNumId w:val="33"/>
  </w:num>
  <w:num w:numId="5" w16cid:durableId="2013220493">
    <w:abstractNumId w:val="35"/>
  </w:num>
  <w:num w:numId="6" w16cid:durableId="1999767715">
    <w:abstractNumId w:val="17"/>
  </w:num>
  <w:num w:numId="7" w16cid:durableId="39282209">
    <w:abstractNumId w:val="2"/>
  </w:num>
  <w:num w:numId="8" w16cid:durableId="736052327">
    <w:abstractNumId w:val="7"/>
  </w:num>
  <w:num w:numId="9" w16cid:durableId="1359509089">
    <w:abstractNumId w:val="30"/>
  </w:num>
  <w:num w:numId="10" w16cid:durableId="114369903">
    <w:abstractNumId w:val="14"/>
  </w:num>
  <w:num w:numId="11" w16cid:durableId="1814984610">
    <w:abstractNumId w:val="26"/>
  </w:num>
  <w:num w:numId="12" w16cid:durableId="1383217005">
    <w:abstractNumId w:val="21"/>
  </w:num>
  <w:num w:numId="13" w16cid:durableId="1123959468">
    <w:abstractNumId w:val="8"/>
  </w:num>
  <w:num w:numId="14" w16cid:durableId="1223442843">
    <w:abstractNumId w:val="0"/>
  </w:num>
  <w:num w:numId="15" w16cid:durableId="1804230341">
    <w:abstractNumId w:val="11"/>
  </w:num>
  <w:num w:numId="16" w16cid:durableId="1986809846">
    <w:abstractNumId w:val="34"/>
  </w:num>
  <w:num w:numId="17" w16cid:durableId="1736317675">
    <w:abstractNumId w:val="20"/>
  </w:num>
  <w:num w:numId="18" w16cid:durableId="480268938">
    <w:abstractNumId w:val="25"/>
  </w:num>
  <w:num w:numId="19" w16cid:durableId="718748917">
    <w:abstractNumId w:val="22"/>
  </w:num>
  <w:num w:numId="20" w16cid:durableId="1240285306">
    <w:abstractNumId w:val="15"/>
  </w:num>
  <w:num w:numId="21" w16cid:durableId="917791650">
    <w:abstractNumId w:val="16"/>
  </w:num>
  <w:num w:numId="22" w16cid:durableId="1391344347">
    <w:abstractNumId w:val="4"/>
  </w:num>
  <w:num w:numId="23" w16cid:durableId="980378799">
    <w:abstractNumId w:val="5"/>
  </w:num>
  <w:num w:numId="24" w16cid:durableId="432095619">
    <w:abstractNumId w:val="27"/>
  </w:num>
  <w:num w:numId="25" w16cid:durableId="963199509">
    <w:abstractNumId w:val="1"/>
  </w:num>
  <w:num w:numId="26" w16cid:durableId="1758400546">
    <w:abstractNumId w:val="32"/>
  </w:num>
  <w:num w:numId="27" w16cid:durableId="831915449">
    <w:abstractNumId w:val="9"/>
  </w:num>
  <w:num w:numId="28" w16cid:durableId="1068117562">
    <w:abstractNumId w:val="28"/>
  </w:num>
  <w:num w:numId="29" w16cid:durableId="717825476">
    <w:abstractNumId w:val="13"/>
  </w:num>
  <w:num w:numId="30" w16cid:durableId="1420560556">
    <w:abstractNumId w:val="6"/>
  </w:num>
  <w:num w:numId="31" w16cid:durableId="1030373990">
    <w:abstractNumId w:val="29"/>
  </w:num>
  <w:num w:numId="32" w16cid:durableId="993728537">
    <w:abstractNumId w:val="19"/>
  </w:num>
  <w:num w:numId="33" w16cid:durableId="1454054960">
    <w:abstractNumId w:val="24"/>
  </w:num>
  <w:num w:numId="34" w16cid:durableId="453794526">
    <w:abstractNumId w:val="18"/>
  </w:num>
  <w:num w:numId="35" w16cid:durableId="697702100">
    <w:abstractNumId w:val="23"/>
  </w:num>
  <w:num w:numId="36" w16cid:durableId="2149707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1A"/>
    <w:rsid w:val="0004401D"/>
    <w:rsid w:val="00170A65"/>
    <w:rsid w:val="001A4130"/>
    <w:rsid w:val="001B35F3"/>
    <w:rsid w:val="001C553B"/>
    <w:rsid w:val="001F6000"/>
    <w:rsid w:val="002111D6"/>
    <w:rsid w:val="00220B4C"/>
    <w:rsid w:val="0032232F"/>
    <w:rsid w:val="003C3C3F"/>
    <w:rsid w:val="00411C66"/>
    <w:rsid w:val="00442955"/>
    <w:rsid w:val="004A1681"/>
    <w:rsid w:val="005402BD"/>
    <w:rsid w:val="00557D12"/>
    <w:rsid w:val="00602FDC"/>
    <w:rsid w:val="0066738E"/>
    <w:rsid w:val="006A2933"/>
    <w:rsid w:val="00711CA7"/>
    <w:rsid w:val="00712792"/>
    <w:rsid w:val="007D3088"/>
    <w:rsid w:val="007E44B6"/>
    <w:rsid w:val="00852ADD"/>
    <w:rsid w:val="00887793"/>
    <w:rsid w:val="008E72BC"/>
    <w:rsid w:val="008F1E81"/>
    <w:rsid w:val="0091080D"/>
    <w:rsid w:val="0091510E"/>
    <w:rsid w:val="00920557"/>
    <w:rsid w:val="009D169D"/>
    <w:rsid w:val="00B57146"/>
    <w:rsid w:val="00BA140F"/>
    <w:rsid w:val="00C94538"/>
    <w:rsid w:val="00CD1621"/>
    <w:rsid w:val="00CD6A1A"/>
    <w:rsid w:val="00CE61C0"/>
    <w:rsid w:val="00D27A24"/>
    <w:rsid w:val="00D53F67"/>
    <w:rsid w:val="00DA19DD"/>
    <w:rsid w:val="00DC77A3"/>
    <w:rsid w:val="00DF6ACC"/>
    <w:rsid w:val="00E47F9D"/>
    <w:rsid w:val="00F40946"/>
    <w:rsid w:val="00F767F0"/>
    <w:rsid w:val="00F84C5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65EA"/>
  <w15:chartTrackingRefBased/>
  <w15:docId w15:val="{63DD3C64-A05F-4743-8ECA-2AB9F213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1A"/>
    <w:rPr>
      <w:rFonts w:eastAsiaTheme="majorEastAsia" w:cstheme="majorBidi"/>
      <w:color w:val="272727" w:themeColor="text1" w:themeTint="D8"/>
    </w:rPr>
  </w:style>
  <w:style w:type="paragraph" w:styleId="Title">
    <w:name w:val="Title"/>
    <w:basedOn w:val="Normal"/>
    <w:next w:val="Normal"/>
    <w:link w:val="TitleChar"/>
    <w:uiPriority w:val="10"/>
    <w:qFormat/>
    <w:rsid w:val="00CD6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1A"/>
    <w:pPr>
      <w:spacing w:before="160"/>
      <w:jc w:val="center"/>
    </w:pPr>
    <w:rPr>
      <w:i/>
      <w:iCs/>
      <w:color w:val="404040" w:themeColor="text1" w:themeTint="BF"/>
    </w:rPr>
  </w:style>
  <w:style w:type="character" w:customStyle="1" w:styleId="QuoteChar">
    <w:name w:val="Quote Char"/>
    <w:basedOn w:val="DefaultParagraphFont"/>
    <w:link w:val="Quote"/>
    <w:uiPriority w:val="29"/>
    <w:rsid w:val="00CD6A1A"/>
    <w:rPr>
      <w:i/>
      <w:iCs/>
      <w:color w:val="404040" w:themeColor="text1" w:themeTint="BF"/>
    </w:rPr>
  </w:style>
  <w:style w:type="paragraph" w:styleId="ListParagraph">
    <w:name w:val="List Paragraph"/>
    <w:basedOn w:val="Normal"/>
    <w:uiPriority w:val="34"/>
    <w:qFormat/>
    <w:rsid w:val="00CD6A1A"/>
    <w:pPr>
      <w:ind w:left="720"/>
      <w:contextualSpacing/>
    </w:pPr>
  </w:style>
  <w:style w:type="character" w:styleId="IntenseEmphasis">
    <w:name w:val="Intense Emphasis"/>
    <w:basedOn w:val="DefaultParagraphFont"/>
    <w:uiPriority w:val="21"/>
    <w:qFormat/>
    <w:rsid w:val="00CD6A1A"/>
    <w:rPr>
      <w:i/>
      <w:iCs/>
      <w:color w:val="2F5496" w:themeColor="accent1" w:themeShade="BF"/>
    </w:rPr>
  </w:style>
  <w:style w:type="paragraph" w:styleId="IntenseQuote">
    <w:name w:val="Intense Quote"/>
    <w:basedOn w:val="Normal"/>
    <w:next w:val="Normal"/>
    <w:link w:val="IntenseQuoteChar"/>
    <w:uiPriority w:val="30"/>
    <w:qFormat/>
    <w:rsid w:val="00CD6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A1A"/>
    <w:rPr>
      <w:i/>
      <w:iCs/>
      <w:color w:val="2F5496" w:themeColor="accent1" w:themeShade="BF"/>
    </w:rPr>
  </w:style>
  <w:style w:type="character" w:styleId="IntenseReference">
    <w:name w:val="Intense Reference"/>
    <w:basedOn w:val="DefaultParagraphFont"/>
    <w:uiPriority w:val="32"/>
    <w:qFormat/>
    <w:rsid w:val="00CD6A1A"/>
    <w:rPr>
      <w:b/>
      <w:bCs/>
      <w:smallCaps/>
      <w:color w:val="2F5496" w:themeColor="accent1" w:themeShade="BF"/>
      <w:spacing w:val="5"/>
    </w:rPr>
  </w:style>
  <w:style w:type="paragraph" w:styleId="NormalWeb">
    <w:name w:val="Normal (Web)"/>
    <w:basedOn w:val="Normal"/>
    <w:uiPriority w:val="99"/>
    <w:unhideWhenUsed/>
    <w:rsid w:val="0092055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CE61C0"/>
    <w:rPr>
      <w:b/>
      <w:bCs/>
    </w:rPr>
  </w:style>
  <w:style w:type="character" w:styleId="Hyperlink">
    <w:name w:val="Hyperlink"/>
    <w:basedOn w:val="DefaultParagraphFont"/>
    <w:uiPriority w:val="99"/>
    <w:semiHidden/>
    <w:unhideWhenUsed/>
    <w:rsid w:val="00220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14</Pages>
  <Words>5148</Words>
  <Characters>29348</Characters>
  <Application>Microsoft Office Word</Application>
  <DocSecurity>0</DocSecurity>
  <Lines>244</Lines>
  <Paragraphs>68</Paragraphs>
  <ScaleCrop>false</ScaleCrop>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M</dc:creator>
  <cp:keywords/>
  <dc:description/>
  <cp:lastModifiedBy>shameem M</cp:lastModifiedBy>
  <cp:revision>40</cp:revision>
  <dcterms:created xsi:type="dcterms:W3CDTF">2026-04-29T08:38:00Z</dcterms:created>
  <dcterms:modified xsi:type="dcterms:W3CDTF">2026-04-29T14:20:00Z</dcterms:modified>
</cp:coreProperties>
</file>