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Medicinal and Therapeutic Potential of Turmeric (</w:t>
      </w:r>
      <w:r w:rsidDel="00000000" w:rsidR="00000000" w:rsidRPr="00000000">
        <w:rPr>
          <w:rFonts w:ascii="Times New Roman" w:cs="Times New Roman" w:eastAsia="Times New Roman" w:hAnsi="Times New Roman"/>
          <w:b w:val="1"/>
          <w:bCs w:val="1"/>
          <w:i w:val="1"/>
          <w:iCs w:val="1"/>
          <w:sz w:val="28"/>
          <w:szCs w:val="28"/>
          <w:rtl w:val="0"/>
        </w:rPr>
        <w:t xml:space="preserve">Curcuma longa</w:t>
      </w:r>
      <w:r w:rsidDel="00000000" w:rsidR="00000000" w:rsidRPr="00000000">
        <w:rPr>
          <w:rFonts w:ascii="Times New Roman" w:cs="Times New Roman" w:eastAsia="Times New Roman" w:hAnsi="Times New Roman"/>
          <w:b w:val="1"/>
          <w:bCs w:val="1"/>
          <w:sz w:val="28"/>
          <w:szCs w:val="28"/>
          <w:rtl w:val="0"/>
        </w:rPr>
        <w:t xml:space="preserve">): A Comprehensive Review</w:t>
      </w:r>
    </w:p>
    <w:p w:rsidR="00000000" w:rsidDel="00000000" w:rsidP="00000000" w:rsidRDefault="00000000" w:rsidRPr="00000000" w14:paraId="00000002">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Sharat Srivastava</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Manish Kumar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Vijay Kumar Chaudhary</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Niti Kushwaha</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Harsh Kumar Garg</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 </w:t>
      </w:r>
      <w:r w:rsidDel="00000000" w:rsidR="00000000" w:rsidRPr="00000000">
        <w:rPr>
          <w:rFonts w:ascii="Times New Roman" w:cs="Times New Roman" w:eastAsia="Times New Roman" w:hAnsi="Times New Roman"/>
          <w:sz w:val="24"/>
          <w:szCs w:val="24"/>
          <w:rtl w:val="0"/>
        </w:rPr>
        <w:t xml:space="preserve">Department of Chemistry, Dayanand Vedic College Orai</w:t>
      </w:r>
    </w:p>
    <w:p w:rsidR="00000000" w:rsidDel="00000000" w:rsidP="00000000" w:rsidRDefault="00000000" w:rsidRPr="00000000" w14:paraId="00000005">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Department of Botany, Dayanand Vedic College Orai </w:t>
      </w:r>
    </w:p>
    <w:p w:rsidR="00000000" w:rsidDel="00000000" w:rsidP="00000000" w:rsidRDefault="00000000" w:rsidRPr="00000000" w14:paraId="00000006">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*Corresponding Author:</w:t>
      </w:r>
    </w:p>
    <w:p w:rsidR="00000000" w:rsidDel="00000000" w:rsidP="00000000" w:rsidRDefault="00000000" w:rsidRPr="00000000" w14:paraId="00000007">
      <w:pPr>
        <w:spacing w:after="0" w:line="276" w:lineRule="auto"/>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dr.harshkumargarg2012@gmail.com</w:t>
        </w:r>
      </w:hyperlink>
      <w:r w:rsidDel="00000000" w:rsidR="00000000" w:rsidRPr="00000000">
        <w:rPr>
          <w:rtl w:val="0"/>
        </w:rPr>
      </w:r>
    </w:p>
    <w:p w:rsidR="00000000" w:rsidDel="00000000" w:rsidP="00000000" w:rsidRDefault="00000000" w:rsidRPr="00000000" w14:paraId="00000008">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76" w:lineRule="auto"/>
        <w:jc w:val="center"/>
        <w:rPr>
          <w:rFonts w:ascii="Times New Roman" w:cs="Times New Roman" w:eastAsia="Times New Roman" w:hAnsi="Times New Roman"/>
          <w:b w:val="1"/>
          <w:bCs w:val="1"/>
          <w:color w:val="1f497d"/>
          <w:sz w:val="32"/>
          <w:szCs w:val="32"/>
          <w:u w:val="single"/>
        </w:rPr>
      </w:pPr>
      <w:r w:rsidDel="00000000" w:rsidR="00000000" w:rsidRPr="00000000">
        <w:rPr>
          <w:rFonts w:ascii="Times New Roman" w:cs="Times New Roman" w:eastAsia="Times New Roman" w:hAnsi="Times New Roman"/>
          <w:b w:val="1"/>
          <w:bCs w:val="1"/>
          <w:sz w:val="24"/>
          <w:szCs w:val="24"/>
          <w:rtl w:val="0"/>
        </w:rPr>
        <w:t xml:space="preserve">ABSTRACT</w:t>
      </w:r>
      <w:r w:rsidDel="00000000" w:rsidR="00000000" w:rsidRPr="00000000">
        <w:rPr>
          <w:rtl w:val="0"/>
        </w:rPr>
      </w:r>
    </w:p>
    <w:p w:rsidR="00000000" w:rsidDel="00000000" w:rsidP="00000000" w:rsidRDefault="00000000" w:rsidRPr="00000000" w14:paraId="0000000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Turmeric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has been a fundamental element of traditional medicine for ages, especially in Ayurvedic and Chinese practices. The bioactive molecule curcumin has attracted considerable interest for its medicinal potential. This review examines the therapeutic qualities of turmeric, emphasizing its anti-inflammatory, antioxidant, and antimicrobial actions. Turmeric's capacity to regulate many signaling pathways, including NF-kB, MAPK, and PI3K/Akt, enhances its therapeutic efficacy in the management of chronic conditions such as cancer, cardiovascular illnesses, and neurological disorders. Furthermore, turmeric's efficacy in wound healing, intestinal health, and metabolic regulation is examined. The review also examined the problems related to curcumin's bioavailability and methods to improve its medicinal efficacy. Turmeric's diverse medical characteristics render it a viable natural substance for both preventive and therapeutic applications. Additional research is necessary to thoroughly clarify its therapeutic potential and enhance its applications in contemporary medicine.</w:t>
      </w:r>
    </w:p>
    <w:p w:rsidR="00000000" w:rsidDel="00000000" w:rsidP="00000000" w:rsidRDefault="00000000" w:rsidRPr="00000000" w14:paraId="0000000B">
      <w:pPr>
        <w:spacing w:line="276" w:lineRule="auto"/>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0C">
      <w:pP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Keywords: </w:t>
      </w:r>
      <w:r w:rsidDel="00000000" w:rsidR="00000000" w:rsidRPr="00000000">
        <w:rPr>
          <w:rFonts w:ascii="Times New Roman" w:cs="Times New Roman" w:eastAsia="Times New Roman" w:hAnsi="Times New Roman"/>
          <w:color w:val="000000"/>
          <w:sz w:val="24"/>
          <w:szCs w:val="24"/>
          <w:rtl w:val="0"/>
        </w:rPr>
        <w:t xml:space="preserve">Turmeric, </w:t>
      </w:r>
      <w:r w:rsidDel="00000000" w:rsidR="00000000" w:rsidRPr="00000000">
        <w:rPr>
          <w:rFonts w:ascii="Times New Roman" w:cs="Times New Roman" w:eastAsia="Times New Roman" w:hAnsi="Times New Roman"/>
          <w:i w:val="1"/>
          <w:iCs w:val="1"/>
          <w:color w:val="000000"/>
          <w:sz w:val="24"/>
          <w:szCs w:val="24"/>
          <w:rtl w:val="0"/>
        </w:rPr>
        <w:t xml:space="preserve">Curcuma longa</w:t>
      </w:r>
      <w:r w:rsidDel="00000000" w:rsidR="00000000" w:rsidRPr="00000000">
        <w:rPr>
          <w:rFonts w:ascii="Times New Roman" w:cs="Times New Roman" w:eastAsia="Times New Roman" w:hAnsi="Times New Roman"/>
          <w:color w:val="000000"/>
          <w:sz w:val="24"/>
          <w:szCs w:val="24"/>
          <w:rtl w:val="0"/>
        </w:rPr>
        <w:t xml:space="preserve">, Curcumin, Anti-inflammatory, Antioxidant, Antimicrobial, Cancer, Cardiovascular disease, Traditional medicine, Therapeutic applications, Health benefits.</w:t>
      </w:r>
    </w:p>
    <w:p w:rsidR="00000000" w:rsidDel="00000000" w:rsidP="00000000" w:rsidRDefault="00000000" w:rsidRPr="00000000" w14:paraId="0000000D">
      <w:pPr>
        <w:spacing w:line="276" w:lineRule="auto"/>
        <w:jc w:val="both"/>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0E">
      <w:pPr>
        <w:spacing w:line="276" w:lineRule="auto"/>
        <w:jc w:val="both"/>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0F">
      <w:pPr>
        <w:spacing w:line="276" w:lineRule="auto"/>
        <w:jc w:val="both"/>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10">
      <w:pPr>
        <w:spacing w:line="276" w:lineRule="auto"/>
        <w:jc w:val="both"/>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11">
      <w:pPr>
        <w:spacing w:line="276" w:lineRule="auto"/>
        <w:jc w:val="both"/>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12">
      <w:pPr>
        <w:spacing w:line="276" w:lineRule="auto"/>
        <w:jc w:val="both"/>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13">
      <w:pPr>
        <w:spacing w:line="276" w:lineRule="auto"/>
        <w:jc w:val="both"/>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14">
      <w:pPr>
        <w:spacing w:line="276" w:lineRule="auto"/>
        <w:jc w:val="both"/>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15">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16">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17">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sz w:val="24"/>
          <w:szCs w:val="24"/>
          <w:rtl w:val="0"/>
        </w:rPr>
        <w:t xml:space="preserve">INTRODUCTION:</w:t>
      </w:r>
      <w:r w:rsidDel="00000000" w:rsidR="00000000" w:rsidRPr="00000000">
        <w:rPr>
          <w:rFonts w:ascii="Times New Roman" w:cs="Times New Roman" w:eastAsia="Times New Roman" w:hAnsi="Times New Roman"/>
          <w:sz w:val="24"/>
          <w:szCs w:val="24"/>
          <w:rtl w:val="0"/>
        </w:rPr>
        <w:t xml:space="preserve"> People have utilized herbs and natural products</w:t>
      </w:r>
      <w:r w:rsidDel="00000000" w:rsidR="00000000" w:rsidRPr="00000000">
        <w:rPr>
          <w:rFonts w:ascii="Times New Roman" w:cs="Times New Roman" w:eastAsia="Times New Roman" w:hAnsi="Times New Roman"/>
          <w:color w:val="000000"/>
          <w:sz w:val="24"/>
          <w:szCs w:val="24"/>
          <w:rtl w:val="0"/>
        </w:rPr>
        <w:t xml:space="preserve"> to treat various diseases since ancient times. The Indian subcontinent features </w:t>
      </w:r>
      <w:r w:rsidDel="00000000" w:rsidR="00000000" w:rsidRPr="00000000">
        <w:rPr>
          <w:rFonts w:ascii="Times New Roman" w:cs="Times New Roman" w:eastAsia="Times New Roman" w:hAnsi="Times New Roman"/>
          <w:sz w:val="24"/>
          <w:szCs w:val="24"/>
          <w:rtl w:val="0"/>
        </w:rPr>
        <w:t xml:space="preserve">various</w:t>
      </w:r>
      <w:r w:rsidDel="00000000" w:rsidR="00000000" w:rsidRPr="00000000">
        <w:rPr>
          <w:rFonts w:ascii="Times New Roman" w:cs="Times New Roman" w:eastAsia="Times New Roman" w:hAnsi="Times New Roman"/>
          <w:color w:val="000000"/>
          <w:sz w:val="24"/>
          <w:szCs w:val="24"/>
          <w:rtl w:val="0"/>
        </w:rPr>
        <w:t xml:space="preserve"> flora, encompassing both fragrant and medicinal plants. Contributions must be made to assess, standardize, and validate Unani and Ayurvedic medications for their potential, safety, and efficacy before their introduction to the market as first-line therapeutic agents. Plant-based medicines are utilized in all cultures. Plant-based medications are widely employed, with numerous countries allocating 40% to 50% of their whole health budget to the development of new pharmaceuticals. Herbal medicines are presumed to exert a positive impact on health without adverse consequences.</w:t>
      </w:r>
    </w:p>
    <w:p w:rsidR="00000000" w:rsidDel="00000000" w:rsidP="00000000" w:rsidRDefault="00000000" w:rsidRPr="00000000" w14:paraId="00000018">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genus Curcuma has been utilized for many years for its therapeutic properties and has roughly 133 species globally. Curcuma longa (Haridra), Curcuma aromatica </w:t>
      </w:r>
      <w:r w:rsidDel="00000000" w:rsidR="00000000" w:rsidRPr="00000000">
        <w:rPr>
          <w:rFonts w:ascii="Times New Roman" w:cs="Times New Roman" w:eastAsia="Times New Roman" w:hAnsi="Times New Roman"/>
          <w:sz w:val="24"/>
          <w:szCs w:val="24"/>
          <w:rtl w:val="0"/>
        </w:rPr>
        <w:t xml:space="preserve">Salisb.</w:t>
      </w:r>
      <w:r w:rsidDel="00000000" w:rsidR="00000000" w:rsidRPr="00000000">
        <w:rPr>
          <w:rFonts w:ascii="Times New Roman" w:cs="Times New Roman" w:eastAsia="Times New Roman" w:hAnsi="Times New Roman"/>
          <w:color w:val="000000"/>
          <w:sz w:val="24"/>
          <w:szCs w:val="24"/>
          <w:rtl w:val="0"/>
        </w:rPr>
        <w:t xml:space="preserve"> (Vana Haridra), Curcuma angustifolia Roxb., Curcuma zanthorrhiza Roxb., Curcuma amada </w:t>
      </w:r>
      <w:r w:rsidDel="00000000" w:rsidR="00000000" w:rsidRPr="00000000">
        <w:rPr>
          <w:rFonts w:ascii="Times New Roman" w:cs="Times New Roman" w:eastAsia="Times New Roman" w:hAnsi="Times New Roman"/>
          <w:sz w:val="24"/>
          <w:szCs w:val="24"/>
          <w:rtl w:val="0"/>
        </w:rPr>
        <w:t xml:space="preserve">Roxb.</w:t>
      </w:r>
      <w:r w:rsidDel="00000000" w:rsidR="00000000" w:rsidRPr="00000000">
        <w:rPr>
          <w:rFonts w:ascii="Times New Roman" w:cs="Times New Roman" w:eastAsia="Times New Roman" w:hAnsi="Times New Roman"/>
          <w:color w:val="000000"/>
          <w:sz w:val="24"/>
          <w:szCs w:val="24"/>
          <w:rtl w:val="0"/>
        </w:rPr>
        <w:t xml:space="preserve"> (Amaragandhi Haridra), Curcuma caesia </w:t>
      </w:r>
      <w:r w:rsidDel="00000000" w:rsidR="00000000" w:rsidRPr="00000000">
        <w:rPr>
          <w:rFonts w:ascii="Times New Roman" w:cs="Times New Roman" w:eastAsia="Times New Roman" w:hAnsi="Times New Roman"/>
          <w:sz w:val="24"/>
          <w:szCs w:val="24"/>
          <w:rtl w:val="0"/>
        </w:rPr>
        <w:t xml:space="preserve">Roxb.</w:t>
      </w:r>
      <w:r w:rsidDel="00000000" w:rsidR="00000000" w:rsidRPr="00000000">
        <w:rPr>
          <w:rFonts w:ascii="Times New Roman" w:cs="Times New Roman" w:eastAsia="Times New Roman" w:hAnsi="Times New Roman"/>
          <w:color w:val="000000"/>
          <w:sz w:val="24"/>
          <w:szCs w:val="24"/>
          <w:rtl w:val="0"/>
        </w:rPr>
        <w:t xml:space="preserve"> (Kali Haridra), and Curcuma zedoaria Rose (Zedoary) are prevalent species within the genus Curcuma, distributed across various global regions. Curcuma longa Linn. (C. longa) is a prevalent tall herb that thrives in tropical and various Indian regions, commonly known as "Indian saffron" or </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color w:val="000000"/>
          <w:sz w:val="24"/>
          <w:szCs w:val="24"/>
          <w:rtl w:val="0"/>
        </w:rPr>
        <w:t xml:space="preserve"> Golden Spice of India" due to its extensive application in treating numerous </w:t>
      </w:r>
      <w:r w:rsidDel="00000000" w:rsidR="00000000" w:rsidRPr="00000000">
        <w:rPr>
          <w:rFonts w:ascii="Times New Roman" w:cs="Times New Roman" w:eastAsia="Times New Roman" w:hAnsi="Times New Roman"/>
          <w:sz w:val="24"/>
          <w:szCs w:val="24"/>
          <w:rtl w:val="0"/>
        </w:rPr>
        <w:t xml:space="preserve">ailments as</w:t>
      </w:r>
      <w:r w:rsidDel="00000000" w:rsidR="00000000" w:rsidRPr="00000000">
        <w:rPr>
          <w:rFonts w:ascii="Times New Roman" w:cs="Times New Roman" w:eastAsia="Times New Roman" w:hAnsi="Times New Roman"/>
          <w:color w:val="000000"/>
          <w:sz w:val="24"/>
          <w:szCs w:val="24"/>
          <w:rtl w:val="0"/>
        </w:rPr>
        <w:t xml:space="preserve"> a spice, food preservative, and coloring agent in Indian households. Curcuma longa, a perennial plant of the Zingiberaceae family, is predominantly cultivated in Asian nations. It is one of the oldest spices in India, utilized for centuries in the </w:t>
      </w:r>
      <w:r w:rsidDel="00000000" w:rsidR="00000000" w:rsidRPr="00000000">
        <w:rPr>
          <w:rFonts w:ascii="Times New Roman" w:cs="Times New Roman" w:eastAsia="Times New Roman" w:hAnsi="Times New Roman"/>
          <w:sz w:val="24"/>
          <w:szCs w:val="24"/>
          <w:rtl w:val="0"/>
        </w:rPr>
        <w:t xml:space="preserve">western</w:t>
      </w:r>
      <w:r w:rsidDel="00000000" w:rsidR="00000000" w:rsidRPr="00000000">
        <w:rPr>
          <w:rFonts w:ascii="Times New Roman" w:cs="Times New Roman" w:eastAsia="Times New Roman" w:hAnsi="Times New Roman"/>
          <w:color w:val="000000"/>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southern</w:t>
      </w:r>
      <w:r w:rsidDel="00000000" w:rsidR="00000000" w:rsidRPr="00000000">
        <w:rPr>
          <w:rFonts w:ascii="Times New Roman" w:cs="Times New Roman" w:eastAsia="Times New Roman" w:hAnsi="Times New Roman"/>
          <w:color w:val="000000"/>
          <w:sz w:val="24"/>
          <w:szCs w:val="24"/>
          <w:rtl w:val="0"/>
        </w:rPr>
        <w:t xml:space="preserve"> regions, and plays a crucial role in Ayurvedic </w:t>
      </w:r>
      <w:r w:rsidDel="00000000" w:rsidR="00000000" w:rsidRPr="00000000">
        <w:rPr>
          <w:rFonts w:ascii="Times New Roman" w:cs="Times New Roman" w:eastAsia="Times New Roman" w:hAnsi="Times New Roman"/>
          <w:sz w:val="24"/>
          <w:szCs w:val="24"/>
          <w:rtl w:val="0"/>
        </w:rPr>
        <w:t xml:space="preserve">treatments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Ayurveda, the books Dashemani (emaciating), Kusthagna (anti-dermatosis), and Visaghna (anti-poisonous) document and address the medicinal properties of C. longa.</w:t>
      </w:r>
      <w:r w:rsidDel="00000000" w:rsidR="00000000" w:rsidRPr="00000000">
        <w:rPr>
          <w:rFonts w:ascii="Times New Roman" w:cs="Times New Roman" w:eastAsia="Times New Roman" w:hAnsi="Times New Roman"/>
          <w:color w:val="000000"/>
          <w:sz w:val="24"/>
          <w:szCs w:val="24"/>
          <w:rtl w:val="0"/>
        </w:rPr>
        <w:t xml:space="preserve"> It is referred to by various names, including Haridra in Sanskrit, Haldi in Hindi, Jianghuang (yellow ginger in Chinese), Manjal in South India, and Kyoo or Ukon in Japanese, denoting its efficacy as a treatment for jaundice (</w:t>
      </w:r>
      <w:r w:rsidDel="00000000" w:rsidR="00000000" w:rsidRPr="00000000">
        <w:rPr>
          <w:rFonts w:ascii="Times New Roman" w:cs="Times New Roman" w:eastAsia="Times New Roman" w:hAnsi="Times New Roman"/>
          <w:b w:val="1"/>
          <w:bCs w:val="1"/>
          <w:i w:val="1"/>
          <w:iCs w:val="1"/>
          <w:color w:val="7f7f7f"/>
          <w:sz w:val="24"/>
          <w:szCs w:val="24"/>
          <w:rtl w:val="0"/>
        </w:rPr>
        <w:t xml:space="preserve">Sharma, P. V., 2000).</w:t>
      </w:r>
      <w:r w:rsidDel="00000000" w:rsidR="00000000" w:rsidRPr="00000000">
        <w:rPr>
          <w:rtl w:val="0"/>
        </w:rPr>
      </w:r>
    </w:p>
    <w:p w:rsidR="00000000" w:rsidDel="00000000" w:rsidP="00000000" w:rsidRDefault="00000000" w:rsidRPr="00000000" w14:paraId="00000019">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5762625" cy="1927647"/>
            <wp:effectExtent b="0" l="0" r="0" t="0"/>
            <wp:docPr id="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762625" cy="192764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ORIGIN &amp; HISTORY OF </w:t>
      </w:r>
      <w:r w:rsidDel="00000000" w:rsidR="00000000" w:rsidRPr="00000000">
        <w:rPr>
          <w:rFonts w:ascii="Times New Roman" w:cs="Times New Roman" w:eastAsia="Times New Roman" w:hAnsi="Times New Roman"/>
          <w:b w:val="1"/>
          <w:bCs w:val="1"/>
          <w:i w:val="1"/>
          <w:iCs w:val="1"/>
          <w:sz w:val="24"/>
          <w:szCs w:val="24"/>
          <w:rtl w:val="0"/>
        </w:rPr>
        <w:t xml:space="preserve">C. LONGA:</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The precise origin of turmeric remains unidentified. However, it likely originated in Southeast Asia, particularly in Vietnam, China, or Western India. It is solely recognized as a cultivated plant and has not been discovered in its natural habitat. India is the largest producer, user, and supplier</w:t>
      </w:r>
      <w:r w:rsidDel="00000000" w:rsidR="00000000" w:rsidRPr="00000000">
        <w:rPr>
          <w:rFonts w:ascii="Times New Roman" w:cs="Times New Roman" w:eastAsia="Times New Roman" w:hAnsi="Times New Roman"/>
          <w:sz w:val="24"/>
          <w:szCs w:val="24"/>
          <w:rtl w:val="0"/>
        </w:rPr>
        <w:t xml:space="preserve">; however,</w:t>
      </w:r>
      <w:r w:rsidDel="00000000" w:rsidR="00000000" w:rsidRPr="00000000">
        <w:rPr>
          <w:rFonts w:ascii="Times New Roman" w:cs="Times New Roman" w:eastAsia="Times New Roman" w:hAnsi="Times New Roman"/>
          <w:color w:val="000000"/>
          <w:sz w:val="24"/>
          <w:szCs w:val="24"/>
          <w:rtl w:val="0"/>
        </w:rPr>
        <w:t xml:space="preserve"> it is also extensively farmed in Cambodia, Bangladesh, Nepal, Indonesia, Thailand, Malaysia, West Bengal, Tamil Nadu, Maharashtra, and the Philippines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i w:val="1"/>
          <w:iCs w:val="1"/>
          <w:color w:val="7f7f7f"/>
          <w:sz w:val="24"/>
          <w:szCs w:val="24"/>
          <w:rtl w:val="0"/>
        </w:rPr>
        <w:t xml:space="preserve">Royal Botanic Gardens Kew, 2021).</w:t>
      </w:r>
      <w:r w:rsidDel="00000000" w:rsidR="00000000" w:rsidRPr="00000000">
        <w:rPr>
          <w:rtl w:val="0"/>
        </w:rPr>
      </w:r>
    </w:p>
    <w:p w:rsidR="00000000" w:rsidDel="00000000" w:rsidP="00000000" w:rsidRDefault="00000000" w:rsidRPr="00000000" w14:paraId="0000001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India exhibits the highest diversity of </w:t>
      </w:r>
      <w:r w:rsidDel="00000000" w:rsidR="00000000" w:rsidRPr="00000000">
        <w:rPr>
          <w:rFonts w:ascii="Times New Roman" w:cs="Times New Roman" w:eastAsia="Times New Roman" w:hAnsi="Times New Roman"/>
          <w:i w:val="1"/>
          <w:iCs w:val="1"/>
          <w:sz w:val="24"/>
          <w:szCs w:val="24"/>
          <w:rtl w:val="0"/>
        </w:rPr>
        <w:t xml:space="preserve">Curcuma</w:t>
      </w:r>
      <w:r w:rsidDel="00000000" w:rsidR="00000000" w:rsidRPr="00000000">
        <w:rPr>
          <w:rFonts w:ascii="Times New Roman" w:cs="Times New Roman" w:eastAsia="Times New Roman" w:hAnsi="Times New Roman"/>
          <w:sz w:val="24"/>
          <w:szCs w:val="24"/>
          <w:rtl w:val="0"/>
        </w:rPr>
        <w:t xml:space="preserve"> species, with approximately 40 to 45 species identified. Thailand possesses approximately 30 to 40 species. Numerous wild species of Curcuma are also found in other countries within tropical Asia. Recent investigations indicate that the taxonomy of C. longa is contentious, with only specimens from South India being definitively classified as </w:t>
      </w:r>
      <w:r w:rsidDel="00000000" w:rsidR="00000000" w:rsidRPr="00000000">
        <w:rPr>
          <w:rFonts w:ascii="Times New Roman" w:cs="Times New Roman" w:eastAsia="Times New Roman" w:hAnsi="Times New Roman"/>
          <w:i w:val="1"/>
          <w:iCs w:val="1"/>
          <w:sz w:val="24"/>
          <w:szCs w:val="24"/>
          <w:rtl w:val="0"/>
        </w:rPr>
        <w:t xml:space="preserve">C. longa</w:t>
      </w:r>
      <w:r w:rsidDel="00000000" w:rsidR="00000000" w:rsidRPr="00000000">
        <w:rPr>
          <w:rFonts w:ascii="Times New Roman" w:cs="Times New Roman" w:eastAsia="Times New Roman" w:hAnsi="Times New Roman"/>
          <w:sz w:val="24"/>
          <w:szCs w:val="24"/>
          <w:rtl w:val="0"/>
        </w:rPr>
        <w:t xml:space="preserve">. The phylogeny, connections, intraspecific and interspecific variation, and the identity of other species and cultivars globally require establishment and validation. Numerous species presently employed and marketed as turmeric in different regions of Asia have been demonstrated to belong to multiple morphologically identical taxa, characterized by overlapping local nomenclature (</w:t>
      </w:r>
      <w:r w:rsidDel="00000000" w:rsidR="00000000" w:rsidRPr="00000000">
        <w:rPr>
          <w:rFonts w:ascii="Times New Roman" w:cs="Times New Roman" w:eastAsia="Times New Roman" w:hAnsi="Times New Roman"/>
          <w:b w:val="1"/>
          <w:bCs w:val="1"/>
          <w:i w:val="1"/>
          <w:iCs w:val="1"/>
          <w:color w:val="7f7f7f"/>
          <w:sz w:val="24"/>
          <w:szCs w:val="24"/>
          <w:rtl w:val="0"/>
        </w:rPr>
        <w:t xml:space="preserve">Leong-Škornickova, Jana</w:t>
      </w:r>
      <w:r w:rsidDel="00000000" w:rsidR="00000000" w:rsidRPr="00000000">
        <w:rPr>
          <w:rFonts w:ascii="Times New Roman" w:cs="Times New Roman" w:eastAsia="Times New Roman" w:hAnsi="Times New Roman"/>
          <w:b w:val="1"/>
          <w:bCs w:val="1"/>
          <w:i w:val="1"/>
          <w:iCs w:val="1"/>
          <w:color w:val="7f7f7f"/>
          <w:sz w:val="24"/>
          <w:szCs w:val="24"/>
          <w:vertAlign w:val="superscript"/>
          <w:rtl w:val="0"/>
        </w:rPr>
        <w:t xml:space="preserve"> </w:t>
      </w:r>
      <w:r w:rsidDel="00000000" w:rsidR="00000000" w:rsidRPr="00000000">
        <w:rPr>
          <w:rFonts w:ascii="Times New Roman" w:cs="Times New Roman" w:eastAsia="Times New Roman" w:hAnsi="Times New Roman"/>
          <w:b w:val="1"/>
          <w:bCs w:val="1"/>
          <w:i w:val="1"/>
          <w:iCs w:val="1"/>
          <w:color w:val="7f7f7f"/>
          <w:sz w:val="24"/>
          <w:szCs w:val="24"/>
          <w:rtl w:val="0"/>
        </w:rPr>
        <w:t xml:space="preserve">, 2008 ; Nair, K.P. Prabhakaran, 2013).</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Turmeric has been utilized in Asia for ages and is a significant component of Ayurveda, Siddha medicine, traditional Chinese medicine, and Unani (Chattopadhyay, 2004)</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the animistic rituals of Austronesian peoples </w:t>
      </w:r>
      <w:r w:rsidDel="00000000" w:rsidR="00000000" w:rsidRPr="00000000">
        <w:rPr>
          <w:rFonts w:ascii="Times New Roman" w:cs="Times New Roman" w:eastAsia="Times New Roman" w:hAnsi="Times New Roman"/>
          <w:b w:val="1"/>
          <w:bCs w:val="1"/>
          <w:color w:val="002060"/>
          <w:sz w:val="24"/>
          <w:szCs w:val="24"/>
          <w:rtl w:val="0"/>
        </w:rPr>
        <w:t xml:space="preserve">(</w:t>
      </w:r>
      <w:r w:rsidDel="00000000" w:rsidR="00000000" w:rsidRPr="00000000">
        <w:rPr>
          <w:rFonts w:ascii="Times New Roman" w:cs="Times New Roman" w:eastAsia="Times New Roman" w:hAnsi="Times New Roman"/>
          <w:b w:val="1"/>
          <w:bCs w:val="1"/>
          <w:i w:val="1"/>
          <w:iCs w:val="1"/>
          <w:color w:val="7f7f7f"/>
          <w:sz w:val="24"/>
          <w:szCs w:val="24"/>
          <w:rtl w:val="0"/>
        </w:rPr>
        <w:t xml:space="preserve">Kikusawa, Ritsuko; Reid, Lawrence A., 2007; McClatchey, W., 1993).</w:t>
      </w:r>
      <w:r w:rsidDel="00000000" w:rsidR="00000000" w:rsidRPr="00000000">
        <w:rPr>
          <w:rFonts w:ascii="Times New Roman" w:cs="Times New Roman" w:eastAsia="Times New Roman" w:hAnsi="Times New Roman"/>
          <w:sz w:val="24"/>
          <w:szCs w:val="24"/>
          <w:rtl w:val="0"/>
        </w:rPr>
        <w:t xml:space="preserve"> Initially utilized as a dye, it was subsequently employed for its purported medicinal effects in folk remedies (</w:t>
      </w:r>
      <w:r w:rsidDel="00000000" w:rsidR="00000000" w:rsidRPr="00000000">
        <w:rPr>
          <w:rFonts w:ascii="Times New Roman" w:cs="Times New Roman" w:eastAsia="Times New Roman" w:hAnsi="Times New Roman"/>
          <w:b w:val="1"/>
          <w:bCs w:val="1"/>
          <w:i w:val="1"/>
          <w:iCs w:val="1"/>
          <w:color w:val="7f7f7f"/>
          <w:sz w:val="24"/>
          <w:szCs w:val="24"/>
          <w:rtl w:val="0"/>
        </w:rPr>
        <w:t xml:space="preserve">Nelson et al., 2017; "Turmeric." National Center for Complementary and Integrative Health, US National Institutes of Health, 2020).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Ayurveda is a traditional Indian system of natural healing that continues to be practiced in contemporary times. Ayurveda translates to "science of life," with "ayur" signifying "life" and "veda" denoting "science" or "knowledge." Inhaling vapors from burning turmeric has been utilized since antiquity to alleviate congestion. Turmeric juice was utilized for wound healing. Turmeric paste was utilized for several skin disorders, including smallpox, chickenpox, pimples, and shingles. Ayurvedic literature comprises more than 100 distinct words for turmeric, including jayanti, signifying "one who triumphs over ailments," and "matrimanika," denoting "as beautiful as moonlight." This material has consistently been considered auspicious across the subcontinent, among both Aryan and Dravidian cultures, and its significance may trace back to the beliefs of ancient indigenous populations. In the northern regions, turmeric is commonly referred to as haldi, a term originating from the Sanskrit word "haridra," whereas in the southern regions, it is known as manjal, a designation frequently seen in ancient Tamil literature. Turmeric possesses an extensive historical background of therapeutic application in South Asia, as referenced in Sanskrit medical texts and extensively utilized in Ayurvedic and Unani practices. Susruta's Ayurvedic compendium, originating from 250 B.C., advocates for an ointment comprising turmeric to mitigate the effects of food poisoning. Turmeric plays an important part in Indian history and religious practices. It is utilized for the veneration of the Sun God. It was utilized for the veneration of the Sun during India's solar epoch. It was referenced in the Artharveda of India. It is also donned by individuals as an element of the purifying process. The application of turmeric in India is recorded in multiple forms. Turmeric was utilized by Buddhists as well. Buddhist monks journeyed to several regions globally to dye their robes. Evidence indicates that turmeric was utilized in Chinese medicine approximately 1,000 years ago. It was referenced in the Pent-Sao of the 7th century in China. Turmeric was not incorporated into the Western world until recently. There is less evidence regarding its usage and significance in Europe. Although turmeric has long been integral to the Ayurvedic system, Western herbalists did not acknowledge its benefits until the late 20th century. By the mid-20th century, turmeric began to gain favor in the Western world as well. Currently, several research investigations and trials are conducted to ascertain its benefits. In 1280 AD, Marco Polo referred to turmeric as Indian saffron because to its use in dyeing fabrics. He stated that he discovered a plant with all the characteristics of saffron, although it is a root. Turmeric arrived in China by 700 AD, East Africa by 800 AD, and West Africa by 1200 AD, thereafter gaining global popularity. The Chinese utilize turmeric as a medicinal agent, particularly for ailments related to the spleen, stomach, and liver. It is utilized for stimulation, purification, and as an antibiotic, antiviral, and analgesic. Currently, India is the predominant producer and user of turmeric. Additional producers in Asia comprise Bangladesh, Pakistan, Sri Lanka, Taiwan, China, Myanmar, and Indonesia. Turmeric is cultivated in the Caribbean and Latin America, specifically in Jamaica, Haiti, Costa Rica, Peru, and Brazil. It is distributed in South and Southeast Asia, with some species extending to China, Australia, and the South Pacific. In the 15th century, Vasco da Gama, a Portuguese navigator, introduced this spice to the West during his expedition to India (</w:t>
      </w:r>
      <w:r w:rsidDel="00000000" w:rsidR="00000000" w:rsidRPr="00000000">
        <w:rPr>
          <w:rFonts w:ascii="Times New Roman" w:cs="Times New Roman" w:eastAsia="Times New Roman" w:hAnsi="Times New Roman"/>
          <w:b w:val="1"/>
          <w:bCs w:val="1"/>
          <w:i w:val="1"/>
          <w:iCs w:val="1"/>
          <w:color w:val="7f7f7f"/>
          <w:sz w:val="24"/>
          <w:szCs w:val="24"/>
          <w:rtl w:val="0"/>
        </w:rPr>
        <w:t xml:space="preserve">Akram M, et al, 2010</w:t>
      </w:r>
      <w:r w:rsidDel="00000000" w:rsidR="00000000" w:rsidRPr="00000000">
        <w:rPr>
          <w:rFonts w:ascii="Times New Roman" w:cs="Times New Roman" w:eastAsia="Times New Roman" w:hAnsi="Times New Roman"/>
          <w:sz w:val="24"/>
          <w:szCs w:val="24"/>
          <w:rtl w:val="0"/>
        </w:rPr>
        <w:t xml:space="preserve">). Turmeric is regarded as a vital spice globally, particularly among Eastern cultures (</w:t>
      </w:r>
      <w:r w:rsidDel="00000000" w:rsidR="00000000" w:rsidRPr="00000000">
        <w:rPr>
          <w:rFonts w:ascii="Times New Roman" w:cs="Times New Roman" w:eastAsia="Times New Roman" w:hAnsi="Times New Roman"/>
          <w:b w:val="1"/>
          <w:bCs w:val="1"/>
          <w:i w:val="1"/>
          <w:iCs w:val="1"/>
          <w:color w:val="7f7f7f"/>
          <w:sz w:val="24"/>
          <w:szCs w:val="24"/>
          <w:rtl w:val="0"/>
        </w:rPr>
        <w:t xml:space="preserve">Ravindran PN, et al, 2007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its culinary application, turmeric is utilized as traditional medicine in Asian nations such as India, Bangladesh, and Pakistan due to its therapeutic characteristics(</w:t>
      </w:r>
      <w:r w:rsidDel="00000000" w:rsidR="00000000" w:rsidRPr="00000000">
        <w:rPr>
          <w:rFonts w:ascii="Times New Roman" w:cs="Times New Roman" w:eastAsia="Times New Roman" w:hAnsi="Times New Roman"/>
          <w:b w:val="1"/>
          <w:bCs w:val="1"/>
          <w:i w:val="1"/>
          <w:iCs w:val="1"/>
          <w:color w:val="7f7f7f"/>
          <w:sz w:val="24"/>
          <w:szCs w:val="24"/>
          <w:rtl w:val="0"/>
        </w:rPr>
        <w:t xml:space="preserve">Chattopadhyay I, et al,2004</w:t>
      </w:r>
      <w:r w:rsidDel="00000000" w:rsidR="00000000" w:rsidRPr="00000000">
        <w:rPr>
          <w:rFonts w:ascii="Times New Roman" w:cs="Times New Roman" w:eastAsia="Times New Roman" w:hAnsi="Times New Roman"/>
          <w:sz w:val="24"/>
          <w:szCs w:val="24"/>
          <w:rtl w:val="0"/>
        </w:rPr>
        <w:t xml:space="preserve">).Turmeric is widely utilized in Ayurveda, Unani, and Siddha medicine as a home treatment for numerous ailments (</w:t>
      </w:r>
      <w:r w:rsidDel="00000000" w:rsidR="00000000" w:rsidRPr="00000000">
        <w:rPr>
          <w:rFonts w:ascii="Times New Roman" w:cs="Times New Roman" w:eastAsia="Times New Roman" w:hAnsi="Times New Roman"/>
          <w:b w:val="1"/>
          <w:bCs w:val="1"/>
          <w:i w:val="1"/>
          <w:iCs w:val="1"/>
          <w:color w:val="7f7f7f"/>
          <w:sz w:val="24"/>
          <w:szCs w:val="24"/>
          <w:rtl w:val="0"/>
        </w:rPr>
        <w:t xml:space="preserve">Chattopadhyay I, et al, 2004; Abas F, et al, 2005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CHEMICAL COMPOSITION OF</w:t>
      </w:r>
      <w:r w:rsidDel="00000000" w:rsidR="00000000" w:rsidRPr="00000000">
        <w:rPr>
          <w:rFonts w:ascii="Times New Roman" w:cs="Times New Roman" w:eastAsia="Times New Roman" w:hAnsi="Times New Roman"/>
          <w:b w:val="1"/>
          <w:bCs w:val="1"/>
          <w:i w:val="1"/>
          <w:iCs w:val="1"/>
          <w:sz w:val="24"/>
          <w:szCs w:val="24"/>
          <w:rtl w:val="0"/>
        </w:rPr>
        <w:t xml:space="preserve"> C.LONGA</w:t>
      </w:r>
      <w:r w:rsidDel="00000000" w:rsidR="00000000" w:rsidRPr="00000000">
        <w:rPr>
          <w:rFonts w:ascii="Times New Roman" w:cs="Times New Roman" w:eastAsia="Times New Roman" w:hAnsi="Times New Roman"/>
          <w:b w:val="1"/>
          <w:bCs w:val="1"/>
          <w:i w:val="1"/>
          <w:iCs w:val="1"/>
          <w:sz w:val="28"/>
          <w:szCs w:val="28"/>
          <w:u w:val="single"/>
          <w:rtl w:val="0"/>
        </w:rPr>
        <w:t xml:space="preserve">:</w:t>
      </w:r>
      <w:r w:rsidDel="00000000" w:rsidR="00000000" w:rsidRPr="00000000">
        <w:rPr>
          <w:rFonts w:ascii="Times New Roman" w:cs="Times New Roman" w:eastAsia="Times New Roman" w:hAnsi="Times New Roman"/>
          <w:sz w:val="24"/>
          <w:szCs w:val="24"/>
          <w:rtl w:val="0"/>
        </w:rPr>
        <w:t xml:space="preserve"> The chemical composition of turmeric is diverse. The qualitative and quantitative components of turmeric differ markedly according to its variety, geographic origin, source, and cultivation conditions (</w:t>
      </w:r>
      <w:r w:rsidDel="00000000" w:rsidR="00000000" w:rsidRPr="00000000">
        <w:rPr>
          <w:rFonts w:ascii="Times New Roman" w:cs="Times New Roman" w:eastAsia="Times New Roman" w:hAnsi="Times New Roman"/>
          <w:b w:val="1"/>
          <w:bCs w:val="1"/>
          <w:i w:val="1"/>
          <w:iCs w:val="1"/>
          <w:color w:val="7f7f7f"/>
          <w:sz w:val="24"/>
          <w:szCs w:val="24"/>
          <w:rtl w:val="0"/>
        </w:rPr>
        <w:t xml:space="preserve">Heath DD, et al, 2004</w:t>
      </w:r>
      <w:r w:rsidDel="00000000" w:rsidR="00000000" w:rsidRPr="00000000">
        <w:rPr>
          <w:rFonts w:ascii="Times New Roman" w:cs="Times New Roman" w:eastAsia="Times New Roman" w:hAnsi="Times New Roman"/>
          <w:sz w:val="24"/>
          <w:szCs w:val="24"/>
          <w:rtl w:val="0"/>
        </w:rPr>
        <w:t xml:space="preserve">). This spice has yielded approximately 235 chemicals, primarily phenolic compounds and terpenoids. This collection comprises 22 diarylheptanoids and diarylpentanoids, in addition to phenylpropene, other phenolic compounds, sesquiterpenes, diterpenes, triterpenoids, sterols, monoterpenes, alkaloids, and more chemicals. The principal bioactive components of turmeric are curcuminoids, categorized as diarylheptanoids. Curcumin, the primary curcuminoid in turmeric, has been employed for medicinal purposes for centuries. The three primary curcuminoids commonly found in commercial curcumin are curcumin (71.5%), demethoxycircumin (19.4%), and bisedemethoxycurcumin (19.1%). This spice has yielded approximately 235 chemicals, primarily phenolic compounds and terpenoids. This collection comprises 22 diarylheptanoids and diarylpentanoids, in addition to phenylpropene, other phenolic compounds, sesquiterpenes, diterpenes, triterpenoids, sterols, monoterpenes, alkaloids, and more chemicals. The principal bioactive components of turmeric are curcuminoids, categorized as diarylheptanoids. Curcumin, the primary curcuminoid in turmeric, has been employed for medicinal purposes for centuries. The three primary curcuminoids commonly found in commercial curcumin are curcumin (71.5%), demethoxycircumin (19.4%), and bisedemethoxycurcumin (19.1%) (</w:t>
      </w:r>
      <w:r w:rsidDel="00000000" w:rsidR="00000000" w:rsidRPr="00000000">
        <w:rPr>
          <w:rFonts w:ascii="Times New Roman" w:cs="Times New Roman" w:eastAsia="Times New Roman" w:hAnsi="Times New Roman"/>
          <w:b w:val="1"/>
          <w:bCs w:val="1"/>
          <w:i w:val="1"/>
          <w:iCs w:val="1"/>
          <w:color w:val="7f7f7f"/>
          <w:sz w:val="24"/>
          <w:szCs w:val="24"/>
          <w:rtl w:val="0"/>
        </w:rPr>
        <w:t xml:space="preserve">Pfeiffer, et al, 2003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spacing w:line="276"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sz w:val="24"/>
          <w:szCs w:val="24"/>
          <w:rtl w:val="0"/>
        </w:rPr>
        <w:t xml:space="preserve">Turmeric has produced three diarylpentanoids including a five-carbon chain connecting two phenyl groups. Additional phenylpropene and phenolic compounds identified in turmeric include catebin-A, vanillic acid, and vanillin. Monoterpenes are frequently present in essential oils derived from plants and flowers (</w:t>
      </w:r>
      <w:r w:rsidDel="00000000" w:rsidR="00000000" w:rsidRPr="00000000">
        <w:rPr>
          <w:rFonts w:ascii="Times New Roman" w:cs="Times New Roman" w:eastAsia="Times New Roman" w:hAnsi="Times New Roman"/>
          <w:b w:val="1"/>
          <w:bCs w:val="1"/>
          <w:i w:val="1"/>
          <w:iCs w:val="1"/>
          <w:color w:val="7f7f7f"/>
          <w:sz w:val="24"/>
          <w:szCs w:val="24"/>
          <w:rtl w:val="0"/>
        </w:rPr>
        <w:t xml:space="preserve">Li, et al, 2011</w:t>
      </w:r>
      <w:r w:rsidDel="00000000" w:rsidR="00000000" w:rsidRPr="00000000">
        <w:rPr>
          <w:rFonts w:ascii="Times New Roman" w:cs="Times New Roman" w:eastAsia="Times New Roman" w:hAnsi="Times New Roman"/>
          <w:sz w:val="24"/>
          <w:szCs w:val="24"/>
          <w:rtl w:val="0"/>
        </w:rPr>
        <w:t xml:space="preserve">).Turmeric comprises the following monoterpenes: p-cymene, phellandrene, terpinolene, p-cymen-8-ol, and myrcene. Dried turmeric rhizomes generally produce 1.5-5% essential oils, predominantly composed of sesquiterpenes, which contribute to the aromatic flavor and scent. The predominant sesquiterpenes in turmeric are turmerone, turmeronol A, and turmeronol B (</w:t>
      </w:r>
      <w:r w:rsidDel="00000000" w:rsidR="00000000" w:rsidRPr="00000000">
        <w:rPr>
          <w:rFonts w:ascii="Times New Roman" w:cs="Times New Roman" w:eastAsia="Times New Roman" w:hAnsi="Times New Roman"/>
          <w:b w:val="1"/>
          <w:bCs w:val="1"/>
          <w:i w:val="1"/>
          <w:iCs w:val="1"/>
          <w:color w:val="7f7f7f"/>
          <w:sz w:val="24"/>
          <w:szCs w:val="24"/>
          <w:rtl w:val="0"/>
        </w:rPr>
        <w:t xml:space="preserve">Golding BT, 1992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2060"/>
          <w:sz w:val="24"/>
          <w:szCs w:val="24"/>
          <w:rtl w:val="0"/>
        </w:rPr>
        <w:t xml:space="preserve"> </w:t>
      </w:r>
    </w:p>
    <w:p w:rsidR="00000000" w:rsidDel="00000000" w:rsidP="00000000" w:rsidRDefault="00000000" w:rsidRPr="00000000" w14:paraId="00000020">
      <w:pPr>
        <w:spacing w:line="276"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Pr>
        <w:drawing>
          <wp:inline distB="0" distT="0" distL="0" distR="0">
            <wp:extent cx="5943600" cy="2719705"/>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271970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76"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Pr>
        <w:drawing>
          <wp:inline distB="0" distT="0" distL="0" distR="0">
            <wp:extent cx="5943600" cy="2720975"/>
            <wp:effectExtent b="0" l="0" r="0" t="0"/>
            <wp:docPr id="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27209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Pr>
        <w:drawing>
          <wp:inline distB="0" distT="0" distL="0" distR="0">
            <wp:extent cx="5943600" cy="3091815"/>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309181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Turmeric as an indicator for acids and alkalis:</w:t>
      </w:r>
      <w:r w:rsidDel="00000000" w:rsidR="00000000" w:rsidRPr="00000000">
        <w:rPr>
          <w:rFonts w:ascii="Times New Roman" w:cs="Times New Roman" w:eastAsia="Times New Roman" w:hAnsi="Times New Roman"/>
          <w:sz w:val="24"/>
          <w:szCs w:val="24"/>
          <w:rtl w:val="0"/>
        </w:rPr>
        <w:t xml:space="preserve"> Unglazed white paper is impregnated with an alcoholic solution of curcumin. This paper, after dried, is utilized for the testing of alkalis, acids, and boric acid. </w:t>
        <w:br w:type="textWrapping"/>
      </w:r>
      <w:r w:rsidDel="00000000" w:rsidR="00000000" w:rsidRPr="00000000">
        <w:rPr>
          <w:rFonts w:ascii="Times New Roman" w:cs="Times New Roman" w:eastAsia="Times New Roman" w:hAnsi="Times New Roman"/>
          <w:b w:val="1"/>
          <w:bCs w:val="1"/>
          <w:sz w:val="24"/>
          <w:szCs w:val="24"/>
          <w:rtl w:val="0"/>
        </w:rPr>
        <w:t xml:space="preserve">The alkali and acid test</w:t>
      </w:r>
      <w:r w:rsidDel="00000000" w:rsidR="00000000" w:rsidRPr="00000000">
        <w:rPr>
          <w:rFonts w:ascii="Times New Roman" w:cs="Times New Roman" w:eastAsia="Times New Roman" w:hAnsi="Times New Roman"/>
          <w:sz w:val="24"/>
          <w:szCs w:val="24"/>
          <w:rtl w:val="0"/>
        </w:rPr>
        <w:t xml:space="preserve"> indicates that the paper turns red-brown in the presence of alkalis. This turns violet upon drying, and the original yellow color is reinstated with acids. </w:t>
        <w:br w:type="textWrapping"/>
      </w:r>
      <w:r w:rsidDel="00000000" w:rsidR="00000000" w:rsidRPr="00000000">
        <w:rPr>
          <w:rFonts w:ascii="Times New Roman" w:cs="Times New Roman" w:eastAsia="Times New Roman" w:hAnsi="Times New Roman"/>
          <w:b w:val="1"/>
          <w:bCs w:val="1"/>
          <w:sz w:val="24"/>
          <w:szCs w:val="24"/>
          <w:rtl w:val="0"/>
        </w:rPr>
        <w:t xml:space="preserve">Boric Acid Test:</w:t>
      </w:r>
      <w:r w:rsidDel="00000000" w:rsidR="00000000" w:rsidRPr="00000000">
        <w:rPr>
          <w:rFonts w:ascii="Times New Roman" w:cs="Times New Roman" w:eastAsia="Times New Roman" w:hAnsi="Times New Roman"/>
          <w:sz w:val="24"/>
          <w:szCs w:val="24"/>
          <w:rtl w:val="0"/>
        </w:rPr>
        <w:t xml:space="preserve"> When the paper is immersed in a boric acid solution, it exhibits an orange-red coloration. The hue persists even when exposed to free mineral acid. Paper altered to orange by boric acid will exhibit a blue hue when dampened with weak alkali.</w:t>
      </w:r>
    </w:p>
    <w:p w:rsidR="00000000" w:rsidDel="00000000" w:rsidP="00000000" w:rsidRDefault="00000000" w:rsidRPr="00000000" w14:paraId="00000024">
      <w:pPr>
        <w:spacing w:after="0" w:line="276" w:lineRule="auto"/>
        <w:rPr>
          <w:rFonts w:ascii="Times New Roman" w:cs="Times New Roman" w:eastAsia="Times New Roman" w:hAnsi="Times New Roman"/>
          <w:b w:val="1"/>
          <w:bCs w:val="1"/>
          <w:color w:val="000000"/>
          <w:sz w:val="28"/>
          <w:szCs w:val="28"/>
          <w:u w:val="single"/>
        </w:rPr>
      </w:pPr>
      <w:r w:rsidDel="00000000" w:rsidR="00000000" w:rsidRPr="00000000">
        <w:rPr>
          <w:rtl w:val="0"/>
        </w:rPr>
      </w:r>
    </w:p>
    <w:p w:rsidR="00000000" w:rsidDel="00000000" w:rsidP="00000000" w:rsidRDefault="00000000" w:rsidRPr="00000000" w14:paraId="0000002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PHYTO-CHEMISTRY OF </w:t>
      </w:r>
      <w:r w:rsidDel="00000000" w:rsidR="00000000" w:rsidRPr="00000000">
        <w:rPr>
          <w:rFonts w:ascii="Times New Roman" w:cs="Times New Roman" w:eastAsia="Times New Roman" w:hAnsi="Times New Roman"/>
          <w:b w:val="1"/>
          <w:bCs w:val="1"/>
          <w:i w:val="1"/>
          <w:iCs w:val="1"/>
          <w:sz w:val="24"/>
          <w:szCs w:val="24"/>
          <w:rtl w:val="0"/>
        </w:rPr>
        <w:t xml:space="preserve">C. LONGA: </w:t>
      </w:r>
      <w:r w:rsidDel="00000000" w:rsidR="00000000" w:rsidRPr="00000000">
        <w:rPr>
          <w:rFonts w:ascii="Times New Roman" w:cs="Times New Roman" w:eastAsia="Times New Roman" w:hAnsi="Times New Roman"/>
          <w:i w:val="1"/>
          <w:iCs w:val="1"/>
          <w:sz w:val="24"/>
          <w:szCs w:val="24"/>
          <w:rtl w:val="0"/>
        </w:rPr>
        <w:t xml:space="preserve">C. longa</w:t>
      </w:r>
      <w:r w:rsidDel="00000000" w:rsidR="00000000" w:rsidRPr="00000000">
        <w:rPr>
          <w:rFonts w:ascii="Times New Roman" w:cs="Times New Roman" w:eastAsia="Times New Roman" w:hAnsi="Times New Roman"/>
          <w:sz w:val="24"/>
          <w:szCs w:val="24"/>
          <w:rtl w:val="0"/>
        </w:rPr>
        <w:t xml:space="preserve"> contains fiber, carbohydrates, certain proteins and lipids (no cholesterol), vitamin C, pyridoxine, magnesium, phosphorus, potassium, and calcium, C. longa is a naturally occurring dietary item that is high in nutrients (</w:t>
      </w:r>
      <w:r w:rsidDel="00000000" w:rsidR="00000000" w:rsidRPr="00000000">
        <w:rPr>
          <w:rFonts w:ascii="Times New Roman" w:cs="Times New Roman" w:eastAsia="Times New Roman" w:hAnsi="Times New Roman"/>
          <w:b w:val="1"/>
          <w:bCs w:val="1"/>
          <w:i w:val="1"/>
          <w:iCs w:val="1"/>
          <w:color w:val="7f7f7f"/>
          <w:sz w:val="24"/>
          <w:szCs w:val="24"/>
          <w:rtl w:val="0"/>
        </w:rPr>
        <w:t xml:space="preserve">Uma Pradeep, et al, 1993</w:t>
      </w:r>
      <w:r w:rsidDel="00000000" w:rsidR="00000000" w:rsidRPr="00000000">
        <w:rPr>
          <w:rFonts w:ascii="Times New Roman" w:cs="Times New Roman" w:eastAsia="Times New Roman" w:hAnsi="Times New Roman"/>
          <w:sz w:val="24"/>
          <w:szCs w:val="24"/>
          <w:rtl w:val="0"/>
        </w:rPr>
        <w:t xml:space="preserve">). C. longa, in its typical composition, comprises moisture (&gt;9%), curcumin (5–6.6%), extraneous matter (&lt;0.5%), mold (&lt;3%), and volatile oils (&lt;3.5%). Monoterpenes predominate in the essential oils of flowers and leaves, but sesquiterpenes are prevalent in the oils of roots and rhizomes. The oil elements are 25% tumerone, 11.5% curdine, and 8.55% ar-turmerone (</w:t>
      </w:r>
      <w:r w:rsidDel="00000000" w:rsidR="00000000" w:rsidRPr="00000000">
        <w:rPr>
          <w:rFonts w:ascii="Times New Roman" w:cs="Times New Roman" w:eastAsia="Times New Roman" w:hAnsi="Times New Roman"/>
          <w:b w:val="1"/>
          <w:bCs w:val="1"/>
          <w:i w:val="1"/>
          <w:iCs w:val="1"/>
          <w:color w:val="7f7f7f"/>
          <w:sz w:val="24"/>
          <w:szCs w:val="24"/>
          <w:rtl w:val="0"/>
        </w:rPr>
        <w:t xml:space="preserve">Nisar, et al 2015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 longa oil possesses anti-mutagenic properties and can inhibit the formation and excretion of urinary mutagens in cigarette smokers. The recent investigation indicates that the essential oil content in the rhizome was around 3.97%, with ar-turmerone (40%), α-turmerone (10%), and curlone (23%) identified as the predominant components by gas chromatography (</w:t>
      </w:r>
      <w:r w:rsidDel="00000000" w:rsidR="00000000" w:rsidRPr="00000000">
        <w:rPr>
          <w:rFonts w:ascii="Times New Roman" w:cs="Times New Roman" w:eastAsia="Times New Roman" w:hAnsi="Times New Roman"/>
          <w:b w:val="1"/>
          <w:bCs w:val="1"/>
          <w:i w:val="1"/>
          <w:iCs w:val="1"/>
          <w:color w:val="7f7f7f"/>
          <w:sz w:val="24"/>
          <w:szCs w:val="24"/>
          <w:rtl w:val="0"/>
        </w:rPr>
        <w:t xml:space="preserve">Guimarães, et al, 2020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Aromatic turmerone has been utilized as an insect repellent, and its mosquitocidal properties have been demonstrated in the leaf extract. C. longa is a substantial source of polyphenolic curcuminoids, including curcumin (about 80%), demethoxycircimin (around 12%), and bisdemethoxycurcumin (</w:t>
      </w:r>
      <w:r w:rsidDel="00000000" w:rsidR="00000000" w:rsidRPr="00000000">
        <w:rPr>
          <w:rFonts w:ascii="Times New Roman" w:cs="Times New Roman" w:eastAsia="Times New Roman" w:hAnsi="Times New Roman"/>
          <w:b w:val="1"/>
          <w:bCs w:val="1"/>
          <w:i w:val="1"/>
          <w:iCs w:val="1"/>
          <w:color w:val="7f7f7f"/>
          <w:sz w:val="24"/>
          <w:szCs w:val="24"/>
          <w:rtl w:val="0"/>
        </w:rPr>
        <w:t xml:space="preserve">Ashraf, K., 2018</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include proteins, volatile oils (turmerone, atlantone, and zingiberone), carbohydrates, and resins. Curcumin, comprising 0.3%-5.4% of raw C. longa, is a thoroughly researched active compound. </w:t>
      </w:r>
      <w:r w:rsidDel="00000000" w:rsidR="00000000" w:rsidRPr="00000000">
        <w:rPr>
          <w:rFonts w:ascii="Times New Roman" w:cs="Times New Roman" w:eastAsia="Times New Roman" w:hAnsi="Times New Roman"/>
          <w:b w:val="1"/>
          <w:bCs w:val="1"/>
          <w:sz w:val="24"/>
          <w:szCs w:val="24"/>
          <w:rtl w:val="0"/>
        </w:rPr>
        <w:t xml:space="preserve">Table 1</w:t>
      </w:r>
      <w:r w:rsidDel="00000000" w:rsidR="00000000" w:rsidRPr="00000000">
        <w:rPr>
          <w:rFonts w:ascii="Times New Roman" w:cs="Times New Roman" w:eastAsia="Times New Roman" w:hAnsi="Times New Roman"/>
          <w:sz w:val="24"/>
          <w:szCs w:val="24"/>
          <w:rtl w:val="0"/>
        </w:rPr>
        <w:t xml:space="preserve"> delineates the primary C. longa products, their appearance, chemical composition, and use. The C. longa plant is recognized for its acidic polysaccharides (including ukonan A, B, C, and D), 4.2% volatile oils (comprising turmerone, ar-turmerone, curcumene, germacrone, and ar-curcumene as primary constituents), and 5.8% essential oils (featuring 0.6% sabinene, 0.5% borneol, 1% α-phellandrene, 1% cineole, 53% sesquiterpenes, 25% zingiberene, and 3%–4% curcumin) (</w:t>
      </w:r>
      <w:r w:rsidDel="00000000" w:rsidR="00000000" w:rsidRPr="00000000">
        <w:rPr>
          <w:rFonts w:ascii="Times New Roman" w:cs="Times New Roman" w:eastAsia="Times New Roman" w:hAnsi="Times New Roman"/>
          <w:b w:val="1"/>
          <w:bCs w:val="1"/>
          <w:i w:val="1"/>
          <w:iCs w:val="1"/>
          <w:color w:val="7f7f7f"/>
          <w:sz w:val="24"/>
          <w:szCs w:val="24"/>
          <w:rtl w:val="0"/>
        </w:rPr>
        <w:t xml:space="preserve">Chattopadhyay, et al, 2004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76" w:lineRule="auto"/>
        <w:ind w:left="23"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Phenolic diketone curcumin imparts a yellow hue and comprises curcumin I (94%), curcumin II (6%), and curcumin III (0.3%). Protein (6.3%), fat (5.1%), minerals (3.5%), carbs (69.4%), and moisture (13.1%)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Liao, et al, 2011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main phytocompounds are presented in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Figure 2</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76" w:lineRule="auto"/>
        <w:ind w:left="23"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0" distT="0" distL="0" distR="0">
            <wp:extent cx="5943600" cy="3245485"/>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24548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76" w:lineRule="auto"/>
        <w:ind w:left="23"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257158" cy="4498313"/>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257158" cy="449831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76" w:lineRule="auto"/>
        <w:ind w:left="23"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76" w:lineRule="auto"/>
        <w:ind w:left="23"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943600" cy="3337560"/>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333756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76" w:lineRule="auto"/>
        <w:ind w:left="23"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spacing w:after="0" w:line="276" w:lineRule="auto"/>
        <w:ind w:left="2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color w:val="000000"/>
          <w:sz w:val="24"/>
          <w:szCs w:val="24"/>
          <w:rtl w:val="0"/>
        </w:rPr>
        <w:t xml:space="preserve">PHARMACOLOGICAL </w:t>
      </w:r>
      <w:r w:rsidDel="00000000" w:rsidR="00000000" w:rsidRPr="00000000">
        <w:rPr>
          <w:rFonts w:ascii="Times New Roman" w:cs="Times New Roman" w:eastAsia="Times New Roman" w:hAnsi="Times New Roman"/>
          <w:b w:val="1"/>
          <w:bCs w:val="1"/>
          <w:sz w:val="24"/>
          <w:szCs w:val="24"/>
          <w:rtl w:val="0"/>
        </w:rPr>
        <w:t xml:space="preserve">&amp; MEDICINAL ASPECTS</w:t>
      </w:r>
      <w:r w:rsidDel="00000000" w:rsidR="00000000" w:rsidRPr="00000000">
        <w:rPr>
          <w:rFonts w:ascii="Times New Roman" w:cs="Times New Roman" w:eastAsia="Times New Roman" w:hAnsi="Times New Roman"/>
          <w:b w:val="1"/>
          <w:bCs w:val="1"/>
          <w:color w:val="000000"/>
          <w:sz w:val="24"/>
          <w:szCs w:val="24"/>
          <w:rtl w:val="0"/>
        </w:rPr>
        <w:t xml:space="preserve"> OF</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C. LONGA: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human trials, curcumin is suggested to be effective and </w:t>
      </w:r>
      <w:r w:rsidDel="00000000" w:rsidR="00000000" w:rsidRPr="00000000">
        <w:rPr>
          <w:rFonts w:ascii="Times New Roman" w:cs="Times New Roman" w:eastAsia="Times New Roman" w:hAnsi="Times New Roman"/>
          <w:sz w:val="24"/>
          <w:szCs w:val="24"/>
          <w:rtl w:val="0"/>
        </w:rPr>
        <w:t xml:space="preserve">safe,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the U.S. Food and Drug Administration has certified it as "generally regarded as </w:t>
      </w:r>
      <w:r w:rsidDel="00000000" w:rsidR="00000000" w:rsidRPr="00000000">
        <w:rPr>
          <w:rFonts w:ascii="Times New Roman" w:cs="Times New Roman" w:eastAsia="Times New Roman" w:hAnsi="Times New Roman"/>
          <w:sz w:val="24"/>
          <w:szCs w:val="24"/>
          <w:rtl w:val="0"/>
        </w:rPr>
        <w:t xml:space="preserve">safe."</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Gastrointestinal Disorders:-</w:t>
      </w: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longa has historically been utilized for the treatment of digestive disorders, and clinical studies have substantiated its therapeutic benefits. Its anti-inflammatory properties have been demonstrated in preclinical studies to potentially safeguard the gastrointestinal system. Additionally, it has been proven to enhance the secretion of gastrin, secretin, and bicarbonate, as well as gastric wall mucus and pancreatic enzymes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Ammon, H. P., and Wahl, M. A., 1991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Additionally, it suppresses intestinal spasms and ulcer development induced by stress, alcohol, indomethacin, Helicobacter pylori ligation, and reserpine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Rafatullah, et al, 1990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help enhance the condition of dyspeptic sufferers. Curcumin's efficacy in combating inflammation and its therapeutic impact on gastrointestinal disorders, including dyspepsia, Helicobacter pylori infection, Crohn’s disease, gastric ulcers, acidity, and ulcerative colitis, when administered as fresh juice, is believed to possess antihelmintic properties. Curcumin suppresses nuclear factor (NF)-κB and mitigates stomach mucosal injury in rats experiencing NSAID-induced gastropathy, leukocyte adhesions, intercellular adhesion molecule 1, and tumor necrosis factor (TNF)-α (</w:t>
      </w:r>
      <w:r w:rsidDel="00000000" w:rsidR="00000000" w:rsidRPr="00000000">
        <w:rPr>
          <w:rFonts w:ascii="Times New Roman" w:cs="Times New Roman" w:eastAsia="Times New Roman" w:hAnsi="Times New Roman"/>
          <w:b w:val="0"/>
          <w:bCs w:val="0"/>
          <w:i w:val="1"/>
          <w:iCs w:val="1"/>
          <w:smallCaps w:val="0"/>
          <w:strike w:val="0"/>
          <w:color w:val="7f7f7f"/>
          <w:sz w:val="24"/>
          <w:szCs w:val="24"/>
          <w:u w:val="none"/>
          <w:shd w:fill="auto" w:val="clear"/>
          <w:vertAlign w:val="baseline"/>
          <w:rtl w:val="0"/>
        </w:rPr>
        <w:t xml:space="preserve">Thong-Ngam, et al, 2012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From baseline to 8 weeks of treatment, C.longa tablets significantly decreased the prevalence of irritable bowel syndrome (IBS) and abdominal pain/discomfort scores, whereas IBS quality of life scores shown substantial enhancement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Rahimi, R., and Abdollahi, M.. 2012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male mice with hepatic damage, curcumin mitigates acetaminophen-induced hepatitis by reducing oxidative stress and liver destruction, while also reinstating glutathione levels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Somanawat, et al, 2013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14" w:hanging="360"/>
        <w:jc w:val="both"/>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Inflammatory Disorders:-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Inflammatory indicators encompass C-reactive proteins (CRP), complements, and fibrinogen, all of which are induced by inflammatory cytokines in response to stimulation.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Sandur et al. (2007)</w:t>
      </w:r>
      <w:r w:rsidDel="00000000" w:rsidR="00000000" w:rsidRPr="00000000">
        <w:rPr>
          <w:rFonts w:ascii="Times New Roman" w:cs="Times New Roman" w:eastAsia="Times New Roman" w:hAnsi="Times New Roman"/>
          <w:b w:val="0"/>
          <w:bCs w:val="0"/>
          <w:i w:val="0"/>
          <w:iCs w:val="0"/>
          <w:smallCaps w:val="0"/>
          <w:strike w:val="0"/>
          <w:color w:val="7f7f7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identified curcumin, demethoxycurcumin, and bisdemethoxycurcumin as active chemicals in C. longa that inhibit TNF-induced NF-kB activation. The methoxy groups on the phenyl ring were found to be accountable for their effects. The extract of C. longa was investigated for its potential to enhance serum inflammatory indicators and alleviate mental health and mood disturbances in overweight healthy individuals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Uchio, et al, 2021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1995, researchers identified that curcumin possesses anti-inflammatory capabilities by blocking the pro-inflammatory transcription factor NF-κB. They also elucidated the chemical mechanism that underpins this inhibition (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Singh, S., and Aggarwal, B. B., 1995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TNF-α rapidly activates NF-κB, comprising the p50 and p65 subunits in human myeloid ML-1 cells, whereas curcumin inhibited this activation. Curcumin inhibits the binding of activator protein 1 (AP-1) factors, whereas the Sp1 binding factor remains unaltered. Curcumin suppresses the activation of NF-κB induced by phorbol ester, hydrogen peroxide, and TNF-α. Moreover, curcumin inhibits the NF-κB activation pathway following the convergence of many stimuli but prior to the phosphorylation of human I kappa B alpha. The ability of C. longa to inhibit inflammatory prostaglandin derivatives of arachidonic acid and neutrophil activity during inflammation may also suggest its anti-inflammatory properties. Curcumin is often used with bromelain to enhance absorption and anti-inflammatory efficacy. Curcumin is as effective as cortisone or phenylbutazone when administered orally for acute inflammation. C. longa administered orally significantly diminishes inflammatory edema. The therapeutic effect of curcumin in sepsis seems to be mediated by the activation of peroxisome proliferator-activated receptor gamma (PPAR-γ), resulting in the suppression of pro-inflammatory cytokines and the production and release of TNF-α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Jacob, et al, 2007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trial including 43 kidney transplant patients shown that capsules containing 480 mg of curcumin and 20 mg of quercetin were effective in mitigating delayed graft rejection. Notable reductions in serum creatinine post-transplant were observed in 43% of control individuals and 71% of those receiving low-dose treatment. The induction of heme oxygenase, proinflammatory cytokines, and free radical scavengers associated with tissue injury likely contributed to the improved early function of transplanted kidneys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(Figure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Shoskes, et al, 2006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Majority of the benefits seemed to be due to the anti-inflammatory and antioxidant properties </w:t>
      </w:r>
      <w:r w:rsidDel="00000000" w:rsidR="00000000" w:rsidRPr="00000000">
        <w:rPr/>
        <w:drawing>
          <wp:inline distB="0" distT="0" distL="0" distR="0">
            <wp:extent cx="5943600" cy="6009640"/>
            <wp:effectExtent b="0" l="0" r="0" t="0"/>
            <wp:docPr id="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600964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curcumin, while the quercetin in the molecule was negligible.</w:t>
      </w: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sz w:val="20"/>
          <w:szCs w:val="20"/>
        </w:rPr>
      </w:pPr>
      <w:r w:rsidDel="00000000" w:rsidR="00000000" w:rsidRPr="00000000">
        <w:rPr>
          <w:b w:val="1"/>
          <w:bCs w:val="1"/>
          <w:rtl w:val="0"/>
        </w:rPr>
        <w:t xml:space="preserve">FIGURE 3 | </w:t>
      </w:r>
      <w:r w:rsidDel="00000000" w:rsidR="00000000" w:rsidRPr="00000000">
        <w:rPr>
          <w:rFonts w:ascii="Times New Roman" w:cs="Times New Roman" w:eastAsia="Times New Roman" w:hAnsi="Times New Roman"/>
          <w:sz w:val="20"/>
          <w:szCs w:val="20"/>
          <w:rtl w:val="0"/>
        </w:rPr>
        <w:t xml:space="preserve">Curcumin-induced antibody modification. Curcumin aids in the regulation of antibodies that cause hyperacute graft rejection by reacting with the endothelium. Dead grafts may be avoided by suppressing the expression of transcription factors and pro-inflammatory cytokines associated with fibrosis and inflammation.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Antidiabetic Properties:-</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was discovered that adipocyte differentiation was stimulated dose-dependently by a hexane extract containing ar-turmerone, an ethanolic extract containing ar-turmerone, curcumin, demethoxycurcumin, and bisdemethoxycurcumin, and an ethanolic extract from the hexane extraction residue containing curcumin, demethoxycurcumin, and bisdemethoxycurcumin. The results show that the ethanolic extract of turmeric that contains both curcuminoids and sesquiterpenoids is more hypoglycemic than either compound alone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Nishiyama T, et al, 2005; R. Essa, et al, 2019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After the OGTT with C. longa, the insulin change was much greater 30 and 60 minutes later. After consuming C. longa after the OGTT, the insulin AUCs were also significantly higher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Wickenberg J, et al, 2010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14"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Antidepressant Properties:-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Chronic moderate stress (CMS) causes rats to consume much less sucrose, have smaller medulla oblongata, higher levels of IL-6, TNF-α, CRF, and cortisol, and lower splenic NK cells activity. Ethanolic extract even made the medulla oblongata to be lower than normal in order to treat the condition that was generated in CMS. Because C. longa tends to prevent monoamine oxidase buildup in the central nervous system, it may have antidepressant properties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Yu, et al, 2002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Numerous properties of curcumin are significant in the pathophysiology of depression. While serotonin turnover, cortisol levels, and serum corticotrophin-releasing factor levels increased, the ethanolic C. longa extract stopped the decline in serotonin, noradrenalin, and dopamine concentrations (</w:t>
      </w:r>
      <w:r w:rsidDel="00000000" w:rsidR="00000000" w:rsidRPr="00000000">
        <w:rPr>
          <w:rFonts w:ascii="Times New Roman" w:cs="Times New Roman" w:eastAsia="Times New Roman" w:hAnsi="Times New Roman"/>
          <w:b w:val="1"/>
          <w:bCs w:val="1"/>
          <w:i w:val="0"/>
          <w:iCs w:val="0"/>
          <w:smallCaps w:val="0"/>
          <w:strike w:val="0"/>
          <w:color w:val="7f7f7f"/>
          <w:sz w:val="24"/>
          <w:szCs w:val="24"/>
          <w:u w:val="none"/>
          <w:shd w:fill="auto" w:val="clear"/>
          <w:vertAlign w:val="baseline"/>
          <w:rtl w:val="0"/>
        </w:rPr>
        <w:t xml:space="preserve">Xia, et al,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2007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effects of orally administered curcumin on behavior under chronic stress or depressive conditions in a rat model are significant. Curcumin administration demonstrated effects comparable to imipramine, a recognized antidepressant, and numerous authors have suggested it as a viable alternative for treating depression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Mohammed, et al, 2019; Qi, et al, 2020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Cardiovascular Protective Property:-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Cardiovascular diseases (CVDs) appear to be a worldwide health concern associated with elevated morbidity and mortality rates. Cholesterol-lowering, atherosclerosis-preventing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Gao, et al, 2019</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key preventive mechanisms against myocardial ischemia and reperfusion injury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Wang, et al, 2018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efficacy of curcumin has been demonstrated in both preclinical and clinical investigations. Curcumin possesses anti-cardiovascular disease potential by enhancing the lipid profile of patients and may be provided independently or as a dietary supplement alongside conventional cardiovascular medications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Qin, et al, 2017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Curcumin has been observed in numerous studies to offer protection against coronary heart disease and also has anticoagulant effects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Li, et al, 2020a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cardiovascular preventive attributes of C. longa encompass a reduction in cholesterol and triglyceride levels, a decrease in the susceptibility of low-density lipoprotein (LDL) to lipid peroxidation, and the prevention of platelet aggregation, thereby offering protection against atherosclerosis, as evidenced by animal studies, and also inhibiting thromboxane synthesis. Curcumin elevates VLDL cholesterol trans-protein plasma, resulting in heightened levels and mobilization of α-tocopherol from adipose tissue, which safeguards against oxidative stress associated with atherosclerosis. Nevertheless, the fatty acids in the mice exhibited reduced susceptibility to oxidation within the blood vessels. Oral administration of 500 mg/day curcumin for one week results in a notable decrease in serum lipid peroxide levels (33%) and total serum cholesterol (12%), while simultaneously elevating HDL cholesterol levels (29%). Curcumin may mitigate chronic heart failure by enhancing p38 MAPK, JNK, and ASK1(</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Cao, et al, 2018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Recent research utilized curcumin and its constituents to evaluate the efficacy of nanotechnology-based drug delivery systems in patients with cardiovascular disease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Salehi, et al, 2020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0" distT="0" distL="0" distR="0">
            <wp:extent cx="5943600" cy="4695190"/>
            <wp:effectExtent b="0" l="0" r="0" t="0"/>
            <wp:docPr id="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4695190"/>
                    </a:xfrm>
                    <a:prstGeom prst="rect"/>
                    <a:ln/>
                  </pic:spPr>
                </pic:pic>
              </a:graphicData>
            </a:graphic>
          </wp:inline>
        </w:drawing>
      </w:r>
      <w:r w:rsidDel="00000000" w:rsidR="00000000" w:rsidRPr="00000000">
        <w:rPr>
          <w:rFonts w:ascii="Times New Roman" w:cs="Times New Roman" w:eastAsia="Times New Roman" w:hAnsi="Times New Roman"/>
          <w:b w:val="1"/>
          <w:bCs w:val="1"/>
          <w:sz w:val="20"/>
          <w:szCs w:val="20"/>
          <w:rtl w:val="0"/>
        </w:rPr>
        <w:t xml:space="preserve">FIGURE 4 | </w:t>
      </w:r>
      <w:r w:rsidDel="00000000" w:rsidR="00000000" w:rsidRPr="00000000">
        <w:rPr>
          <w:rFonts w:ascii="Times New Roman" w:cs="Times New Roman" w:eastAsia="Times New Roman" w:hAnsi="Times New Roman"/>
          <w:sz w:val="20"/>
          <w:szCs w:val="20"/>
          <w:rtl w:val="0"/>
        </w:rPr>
        <w:t xml:space="preserve">Curcumin action on cardiovascular diseases </w:t>
      </w:r>
      <w:r w:rsidDel="00000000" w:rsidR="00000000" w:rsidRPr="00000000">
        <w:rPr>
          <w:rFonts w:ascii="Times New Roman" w:cs="Times New Roman" w:eastAsia="Times New Roman" w:hAnsi="Times New Roman"/>
          <w:i w:val="1"/>
          <w:iCs w:val="1"/>
          <w:sz w:val="20"/>
          <w:szCs w:val="20"/>
          <w:rtl w:val="0"/>
        </w:rPr>
        <w:t xml:space="preserve">( adapted from </w:t>
      </w:r>
      <w:r w:rsidDel="00000000" w:rsidR="00000000" w:rsidRPr="00000000">
        <w:rPr>
          <w:rFonts w:ascii="Times New Roman" w:cs="Times New Roman" w:eastAsia="Times New Roman" w:hAnsi="Times New Roman"/>
          <w:b w:val="1"/>
          <w:bCs w:val="1"/>
          <w:i w:val="1"/>
          <w:iCs w:val="1"/>
          <w:color w:val="7f7f7f"/>
          <w:sz w:val="20"/>
          <w:szCs w:val="20"/>
          <w:rtl w:val="0"/>
        </w:rPr>
        <w:t xml:space="preserve">Li et al., 2019</w:t>
      </w:r>
      <w:r w:rsidDel="00000000" w:rsidR="00000000" w:rsidRPr="00000000">
        <w:rPr>
          <w:rFonts w:ascii="Times New Roman" w:cs="Times New Roman" w:eastAsia="Times New Roman" w:hAnsi="Times New Roman"/>
          <w:i w:val="1"/>
          <w:iCs w:val="1"/>
          <w:sz w:val="20"/>
          <w:szCs w:val="20"/>
          <w:rtl w:val="0"/>
        </w:rPr>
        <w:t xml:space="preserve">)</w:t>
      </w:r>
      <w:r w:rsidDel="00000000" w:rsidR="00000000" w:rsidRPr="00000000">
        <w:rPr>
          <w:rFonts w:ascii="Times New Roman" w:cs="Times New Roman" w:eastAsia="Times New Roman" w:hAnsi="Times New Roman"/>
          <w:b w:val="1"/>
          <w:bCs w:val="1"/>
          <w:color w:val="002060"/>
          <w:sz w:val="20"/>
          <w:szCs w:val="20"/>
          <w:rtl w:val="0"/>
        </w:rPr>
        <w:t xml:space="preserve">.</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Antibacterial Properties:-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Several investigations evaluated the antibacterial efficacy of curcumin against several bacterial species, including Salmonella paratyphi, Trichophyton gypseum, Staphylococcus aureus, Streptococcus mutans, and Mycobacterium TB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Tajbakhsh, et al, 2008; Maghsoudi, et al, 2017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extract shown antibacterial efficacy against Trichophyton longifusus, Microsporum canis, and Staphylococcus aureus, while exhibiting toxicity to Lemna minor. The C.longa-treated rabbit group had a markedly increased mean value for wound contraction, resulting in reduced inflammation and an upward trend in collagen synthesis. The ethanol extract of C. longa shown activity against Shigella flexneri, Staphylococcus epidermidis, Klebsiella pneumoniae, Lactobacillus, Pseudomonas aeruginosa, Vibrio cholerae, and Salmonella typhi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Oghenejobo, et al, 2017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Drug combinations can produce significant or attenuated pharmacokinetic effects, potentially augmenting or reducing each other's therapeutic efficacy through modulation of absorption, distribution, metabolism, and excretion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Chou, T. C. 2006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separate study demonstrated the synergistic combinatorial effect of copper metal ions with aqueous extracts of C. longa against Paenibacillus popilliae, a recognized food spoilage bacterium, and identified phyto-constituents such as alkaloids, flavonoids, anthocyanins, steroids, and coumarins in C. longa extracts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Jassal, et al, 2015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aqueous extract of C. longa and chitosan exhibit substantial synergism and antibacterial efficacy at concentrations of 512 μg/ml and 1,024 μg/ml against multidrug-resistant pathogens, including methicillin-resistant Staphylococcus aureus, carbapenem-resistant Pseudomonas, carbapenem-resistant Enterobacteriaceae, AmpC-producing Enterobacteriaceae, and antibiofilm producers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Etemadi, et al, 2021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aqueous extract, curcumin component, and oil fraction of C. longa shown antibacterial efficacy against H. pylori, Streptococcus, Staphylococcus, and Lactobacillus species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Mahady, et al, 2002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Antifungal Activity:-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Curcumin demonstrated enhancement of the efficacy of prevalent azole and polyene antifungal agents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Sharma, et al, 2008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further study shown that C. longa oil inhibited dermatophytes and pathogenic fungi when externally applied to guinea pigs infected with dermatophytes, molds, and yeast. The guinea pigs with dermatophytes and fungal infections exhibited improvement, with lesions becoming imperceptible after 7 days of C. longa therapy.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Khattak et al. (2005)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investigated the antifungal, antibacterial, phytotoxic, cytotoxic, and insecticidal properties of an ethanolic extract of C. longa. Ether, chloroform, and ethanol extracts of C. longa, in addition to its oil, exhibit antifungal activity against Aspergillus flavus, Aspergillus parasiticus, Fusarium moniliforme, and Penicillium digitatum, as indicated by multiple authors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Wuthi-Udomlert, et al, 2000; Jayaprakasha, et al, 2001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methanolic extract of C. longa demonstrated antifungal activity against Cryptococcus neoformans and Candida albicans, with minimum inhibitory concentration (MIC) values of 128 and 256 µg/ml, respectively. Curcumin exhibits antifungal activity against all tested Candida strains, with minimum inhibitory concentrations ranging from 250 to 2,000 g/L; nonetheless, it is less effective than fluconazole, as per a recent analysis. This may be due to alterations in membrane-associated ATPase activity, ergosterol synthesis, or proteinase secretion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Neelofar, et al, 2011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Respiratory Disorders:-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longa and its components exert a relaxing effect on tracheal smooth muscles, indicating a potential bronchodilatory effect in patients with obstructive lung disease. They confer a protective advantage in an animal model of respiratory illnesses, influencing inflammatory cells and mediators, lung pathological changes, airway responsiveness, and immunomodulatory responses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Boskabady, et al, 2010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Curcumin has been shown in both in vivo and in vitro investigations to have antiasthmatic properties. Curcumin therapy during OVA sensitization demonstrated substantial protective effects in an OVA-induced asthma model in guinea pigs, reducing bronchial constriction and hyperreactivity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Das, et al, 2003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Bronchitis is managed with fresh rhizome juice. C. longa is boiled in milk, blended with jaggery, and utilized internally for rhinitis and cough. In instances of catarrhal cough and painful throat due to infection, a decoction of the rhizome is used for gargling, and a piece of the rhizome is lightly charred and chewed. Turmerones, curcuminoids, curcumin, and tetrahydrocurcumin are chemical constituents of C. longa that have anti-asthmatic activities, whereas Haridradhumvarti (fumes wick) is utilized for asthma and congestion relief.</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Antifertilty:-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World Health Organization has endorsed traditional medicine as a cost-effective alternative to synthetic antifertility medications. The Parkes mouse strain received an aqueous rhizome extract of C. longa orally (600 mg/kg body weight/day for 8 and 12 weeks), resulting in reversible spermatogenesis, reduced diameter of seminiferous tubules, and loosening of the germinal epithelium, thereby suggesting its potential impact on male fertility.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Hembrom et al. (2015)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additionally investigated the impact of an aqueous C. longa rhizome extract on sperm count, spermatozoa motility, and seminal pH in Swiss Albino male mice, resulting in infertility. The synergistic effect of curcumin and andrographolide markedly reduced the number of implants and litter size in female Sprague–Dawley rats, altered the duration of estrous cycle phases, and diminished the quantity of ovarian follicles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Shinde, et al, 2015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Petroleum ether, combined with an aqueous extract of rhizome, exhibits antifertility effects in rats through oral administration, resulting in total prevention of implantation. Curcumin diminishes human sperm motility, indicating its potential application as an intravaginal contraceptive and its antispermatogenic effects.</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Antidermatophytic Activity:-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Rhizome juice serves as an antiparasitic in the treatment of many dermatological conditions, while rhizome powder is incorporated into cow's urine to alleviate internal pruritus and dermatitis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Paranjpe, P., and Pranjpe, S., 2001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Leaves possess significant potential against human pathogenic fungi due to their diverse in vitro and in vivo antifungal properties, including potent fungicidal efficacy, extended shelf life, high tolerance to inoculum density, thermostability, numerous antidermatophytic effects, and absence of side effects. Curcumin has demonstrated antimutagenic, antioxidant, free radical scavenging, anti-inflammatory, and anti-carcinogenic properties, enabling it to safeguard the skin from harmful UV-induced effects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Binic, et al, 2013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Anti- Allergic Activity:-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Curcumin reduced the degranulation and histamine release from rat peritoneal mast cells induced by compound 48/80. Calcium absorption assessments and cAMP analyses in mast cells were employed to examine the mechanism of action. In an animal model, curcumin significantly diminished the mast cell-mediated passive cutaneous anaphylactoid response. Curcumin elevated intracellular cAMP levels and suppressed both nonspecific and selective mast cell-mediated allergic responses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Choi, et al, 2010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Curcumin markedly diminished IgE/Ag-induced passive systemic anaphylaxis, as evidenced by serum-dependent leukotriene C4, prostaglandin D2, and histamine levels, suggesting its potential utility in the development of pharmaceuticals for allergic inflammatory disorders.Curcumin markedly diminished IgE/Ag-induced passive systemic anaphylaxis (PSA), as evidenced by serum-dependent leukotriene C4, prostaglandin D2, and histamine levels, suggesting its potential utility in the development of pharmaceuticals for allergic inflammatory disorders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Li, et al, 2014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Curcumin can inhibit the expression of CD80, CD86, and class II antigens in dendritic cells and obstruct the release of inflammatory cytokines such as IL-1β, IL-6, and TNF-α from LPS-stimulated dendritic cells.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1"/>
          <w:bCs w:val="1"/>
          <w:i w:val="0"/>
          <w:iCs w:val="0"/>
          <w:smallCaps w:val="0"/>
          <w:strike w:val="0"/>
          <w:color w:val="002060"/>
          <w:sz w:val="24"/>
          <w:szCs w:val="24"/>
          <w:u w:val="none"/>
          <w:shd w:fill="auto" w:val="clear"/>
          <w:vertAlign w:val="superscrip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Pregnancy / Neonates:-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longa and curcumin significantly elevated hepatic glutathione S-transferase (GST), sulfhydryl (SH), cytochrome b5, and cytochrome P450 levels, suggesting that C. longa and/or curcumin metabolites may be transmitted via the milk supply. C. longa and curcumin are non-toxic and non-mutagenic in pregnant animals; however, further research in humans is necessary (</w:t>
      </w:r>
      <w:r w:rsidDel="00000000" w:rsidR="00000000" w:rsidRPr="00000000">
        <w:rPr>
          <w:rFonts w:ascii="Times New Roman" w:cs="Times New Roman" w:eastAsia="Times New Roman" w:hAnsi="Times New Roman"/>
          <w:b w:val="1"/>
          <w:bCs w:val="1"/>
          <w:i w:val="1"/>
          <w:iCs w:val="1"/>
          <w:smallCaps w:val="0"/>
          <w:strike w:val="0"/>
          <w:color w:val="7f7f7f"/>
          <w:sz w:val="24"/>
          <w:szCs w:val="24"/>
          <w:u w:val="none"/>
          <w:shd w:fill="auto" w:val="clear"/>
          <w:vertAlign w:val="baseline"/>
          <w:rtl w:val="0"/>
        </w:rPr>
        <w:t xml:space="preserve">Soleimani, et al, 2018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49">
      <w:pPr>
        <w:spacing w:line="276" w:lineRule="auto"/>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THERAPEUTIC  USES  &amp; PROPERTIES OF</w:t>
      </w:r>
      <w:r w:rsidDel="00000000" w:rsidR="00000000" w:rsidRPr="00000000">
        <w:rPr>
          <w:rFonts w:ascii="Times New Roman" w:cs="Times New Roman" w:eastAsia="Times New Roman" w:hAnsi="Times New Roman"/>
          <w:b w:val="1"/>
          <w:bCs w:val="1"/>
          <w:i w:val="1"/>
          <w:iCs w:val="1"/>
          <w:sz w:val="24"/>
          <w:szCs w:val="24"/>
          <w:rtl w:val="0"/>
        </w:rPr>
        <w:t xml:space="preserve"> C. LONGA:</w:t>
      </w:r>
    </w:p>
    <w:p w:rsidR="00000000" w:rsidDel="00000000" w:rsidP="00000000" w:rsidRDefault="00000000" w:rsidRPr="00000000" w14:paraId="0000004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Therapeutic Uses of </w:t>
      </w:r>
      <w:r w:rsidDel="00000000" w:rsidR="00000000" w:rsidRPr="00000000">
        <w:rPr>
          <w:rFonts w:ascii="Times New Roman" w:cs="Times New Roman" w:eastAsia="Times New Roman" w:hAnsi="Times New Roman"/>
          <w:b w:val="1"/>
          <w:bCs w:val="1"/>
          <w:i w:val="1"/>
          <w:iCs w:val="1"/>
          <w:sz w:val="26"/>
          <w:szCs w:val="26"/>
          <w:rtl w:val="0"/>
        </w:rPr>
        <w:t xml:space="preserve">C. longa</w:t>
      </w: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sz w:val="24"/>
          <w:szCs w:val="24"/>
          <w:rtl w:val="0"/>
        </w:rPr>
        <w:t xml:space="preserve">Turmeric is characterized by broad, foot-long, lily-like leaves and yellow to yellowish-white blooms, originating from India, Bangladesh, and China. It possesses a potent flavor, and its yellow hue is nearly indelible once it has stained fabric. The culinary and medicinal properties of turmeric reside in the root or rhizome, which is subsequently dried and crushed into a spice. </w:t>
        <w:br w:type="textWrapping"/>
        <w:t xml:space="preserve">Turmeric is advantageous in addressing gallbladder disorders, hepatitis, dyspepsia, infections, anorexia, scabies, Alzheimer's disease, arthritis, asthma, tinea pedis, boils, bursitis, breast cancer, colorectal cancer, cataracts, colic, dermatitis, diarrhea, eczema, fibrosis, cholelithiasis, flatulence, arteriosclerosis, cardiovascular disease, hypercholesterolemia, hypertriglyceridemia, inflammation, intestinal discomfort, irritable bowel syndrome, jaundice, amenorrhea, lymphadenopathy, dysmenorrhea, morning sickness, pain, psoriasis, sprains, ulcers, wounds, and candidiasis. It is also utilized for the treatment of bruising, delivery, ocular inflammation, epilepsy, fever, hemorrhage, hemorrhoids, pruritus, and ringworm.</w:t>
      </w:r>
    </w:p>
    <w:p w:rsidR="00000000" w:rsidDel="00000000" w:rsidP="00000000" w:rsidRDefault="00000000" w:rsidRPr="00000000" w14:paraId="0000004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Properties of C.longa:- </w:t>
      </w:r>
      <w:r w:rsidDel="00000000" w:rsidR="00000000" w:rsidRPr="00000000">
        <w:rPr>
          <w:rFonts w:ascii="Times New Roman" w:cs="Times New Roman" w:eastAsia="Times New Roman" w:hAnsi="Times New Roman"/>
          <w:sz w:val="24"/>
          <w:szCs w:val="24"/>
          <w:rtl w:val="0"/>
        </w:rPr>
        <w:t xml:space="preserve">Turmeric includes curcumin and curcuminoids, making it an excellent natural cure for arthritis due to its anti-inflammatory properties that can ease pain. It may also safeguard the gallbladder and liver while offering protection against cancer. Curcumin may also impede the development of cancer in breast tissue. Animal experiments demonstrate that curcumin reduced the incidence of colon cancer by about 60%. This phytochemical appears to neutralize carcinogenic molecules, inhibit malignant cellular transformations, and directly combat agents that facilitate the proliferation of carcinogens. Turmeric enhances bile flow, facilitating fat digestion and diminishing the likelihood of gallstones. It also facilitates the release of several enzymes that aid the liver in degrading and metabolizing specific harmful chemicals. Certain phytochemicals impede oxidative damage that facilitates cholesterol coagulation and adherence to arterial walls. Turmeric/curcumin is approximately fifty percent as effective as corticosteroids; however, it lacks the adverse side effects associated with corticosteroids. This substance is utilized in the treatment of arthritis, yet it may lead to fluid retention and bloating, elevated blood pressure, promote intestinal bleeding, facilitate ulcer formation, and heighten the risk of osteoporosis.</w:t>
      </w:r>
    </w:p>
    <w:p w:rsidR="00000000" w:rsidDel="00000000" w:rsidP="00000000" w:rsidRDefault="00000000" w:rsidRPr="00000000" w14:paraId="0000004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4"/>
          <w:szCs w:val="24"/>
          <w:rtl w:val="0"/>
        </w:rPr>
        <w:t xml:space="preserve">HEALTH  BENEFITS  OF  TURMERIC  IN  DAILY  LIFE</w:t>
      </w:r>
      <w:r w:rsidDel="00000000" w:rsidR="00000000" w:rsidRPr="00000000">
        <w:rPr>
          <w:rFonts w:ascii="Times New Roman" w:cs="Times New Roman" w:eastAsia="Times New Roman" w:hAnsi="Times New Roman"/>
          <w:b w:val="1"/>
          <w:bCs w:val="1"/>
          <w:sz w:val="28"/>
          <w:szCs w:val="28"/>
          <w:u w:val="single"/>
          <w:rtl w:val="0"/>
        </w:rPr>
        <w:t xml:space="preserve">:</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serves as a natural antiseptic and antibacterial agent, effective in cleansing wounds and burns.</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paired with cauliflower, it has demonstrated the ability to prevent prostate cancer and inhibit the progression of existing prostate cancer.</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Inhibited the metastasis of breast cancer to the pulmonary system in murine models.</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May inhibit melanoma and induce apoptosis in existing melanoma cells.</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Decreases the likelihood of infantile leukemia.</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serves as a natural liver detoxifier.</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May inhibit and decelerate the advancement of Alzheimer's disease by eliminating amyloid plaque accumulation in the brain.</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May inhibit the occurrence of metastases in many types of cancer.</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is a powerful natural anti-inflammatory that is as effective as numerous anti-inflammatory medications, yet devoid of adverse effects.</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Research is now being conducted on the beneficial effects of turmeric on multiple myeloma.</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has been demonstrated to inhibit the formation of new blood vessels in malignancies.</w:t>
        <w:br w:type="textWrapping"/>
        <w:t xml:space="preserve">Accelerates wound healing and facilitates the reconstruction of impaired skin.</w:t>
      </w:r>
    </w:p>
    <w:p w:rsidR="00000000" w:rsidDel="00000000" w:rsidP="00000000" w:rsidRDefault="00000000" w:rsidRPr="00000000" w14:paraId="0000005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276" w:lineRule="auto"/>
        <w:jc w:val="center"/>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5B">
      <w:pPr>
        <w:spacing w:line="276" w:lineRule="auto"/>
        <w:jc w:val="center"/>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5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NUTRITIONAL VALUES OF CURCUIN LONGA:</w:t>
      </w:r>
      <w:r w:rsidDel="00000000" w:rsidR="00000000" w:rsidRPr="00000000">
        <w:rPr>
          <w:rtl w:val="0"/>
        </w:rPr>
      </w:r>
    </w:p>
    <w:tbl>
      <w:tblPr>
        <w:tblStyle w:val="Table1"/>
        <w:tblpPr w:leftFromText="180" w:rightFromText="180" w:topFromText="0" w:bottomFromText="0" w:vertAnchor="text" w:horzAnchor="text" w:tblpX="686.0000000000002" w:tblpY="768"/>
        <w:tblW w:w="7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1"/>
        <w:gridCol w:w="4787"/>
        <w:tblGridChange w:id="0">
          <w:tblGrid>
            <w:gridCol w:w="3201"/>
            <w:gridCol w:w="4787"/>
          </w:tblGrid>
        </w:tblGridChange>
      </w:tblGrid>
      <w:tr>
        <w:trPr>
          <w:cantSplit w:val="0"/>
          <w:trHeight w:val="432" w:hRule="atLeast"/>
          <w:tblHeader w:val="0"/>
        </w:trPr>
        <w:tc>
          <w:tcPr/>
          <w:p w:rsidR="00000000" w:rsidDel="00000000" w:rsidP="00000000" w:rsidRDefault="00000000" w:rsidRPr="00000000" w14:paraId="0000005D">
            <w:pPr>
              <w:spacing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Nutrients</w:t>
            </w:r>
          </w:p>
        </w:tc>
        <w:tc>
          <w:tcPr/>
          <w:p w:rsidR="00000000" w:rsidDel="00000000" w:rsidP="00000000" w:rsidRDefault="00000000" w:rsidRPr="00000000" w14:paraId="0000005E">
            <w:pPr>
              <w:spacing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Values per table spoon (7gm)</w:t>
            </w:r>
          </w:p>
        </w:tc>
      </w:tr>
      <w:tr>
        <w:trPr>
          <w:cantSplit w:val="0"/>
          <w:trHeight w:val="383" w:hRule="atLeast"/>
          <w:tblHeader w:val="0"/>
        </w:trPr>
        <w:tc>
          <w:tcPr/>
          <w:p w:rsidR="00000000" w:rsidDel="00000000" w:rsidP="00000000" w:rsidRDefault="00000000" w:rsidRPr="00000000" w14:paraId="0000005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Calories</w:t>
            </w:r>
          </w:p>
        </w:tc>
        <w:tc>
          <w:tcPr/>
          <w:p w:rsidR="00000000" w:rsidDel="00000000" w:rsidP="00000000" w:rsidRDefault="00000000" w:rsidRPr="00000000" w14:paraId="0000006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23.9</w:t>
            </w:r>
          </w:p>
        </w:tc>
      </w:tr>
      <w:tr>
        <w:trPr>
          <w:cantSplit w:val="0"/>
          <w:trHeight w:val="383" w:hRule="atLeast"/>
          <w:tblHeader w:val="0"/>
        </w:trPr>
        <w:tc>
          <w:tcPr/>
          <w:p w:rsidR="00000000" w:rsidDel="00000000" w:rsidP="00000000" w:rsidRDefault="00000000" w:rsidRPr="00000000" w14:paraId="0000006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w:t>
            </w:r>
          </w:p>
        </w:tc>
        <w:tc>
          <w:tcPr/>
          <w:p w:rsidR="00000000" w:rsidDel="00000000" w:rsidP="00000000" w:rsidRDefault="00000000" w:rsidRPr="00000000" w14:paraId="0000006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0.8g</w:t>
            </w:r>
          </w:p>
        </w:tc>
      </w:tr>
      <w:tr>
        <w:trPr>
          <w:cantSplit w:val="0"/>
          <w:trHeight w:val="359" w:hRule="atLeast"/>
          <w:tblHeader w:val="0"/>
        </w:trPr>
        <w:tc>
          <w:tcPr/>
          <w:p w:rsidR="00000000" w:rsidDel="00000000" w:rsidP="00000000" w:rsidRDefault="00000000" w:rsidRPr="00000000" w14:paraId="0000006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Cholesterol</w:t>
            </w:r>
          </w:p>
        </w:tc>
        <w:tc>
          <w:tcPr/>
          <w:p w:rsidR="00000000" w:rsidDel="00000000" w:rsidP="00000000" w:rsidRDefault="00000000" w:rsidRPr="00000000" w14:paraId="0000006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mg</w:t>
            </w:r>
          </w:p>
        </w:tc>
      </w:tr>
      <w:tr>
        <w:trPr>
          <w:cantSplit w:val="0"/>
          <w:trHeight w:val="383" w:hRule="atLeast"/>
          <w:tblHeader w:val="0"/>
        </w:trPr>
        <w:tc>
          <w:tcPr/>
          <w:p w:rsidR="00000000" w:rsidDel="00000000" w:rsidP="00000000" w:rsidRDefault="00000000" w:rsidRPr="00000000" w14:paraId="0000006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w:t>
            </w:r>
          </w:p>
        </w:tc>
        <w:tc>
          <w:tcPr/>
          <w:p w:rsidR="00000000" w:rsidDel="00000000" w:rsidP="00000000" w:rsidRDefault="00000000" w:rsidRPr="00000000" w14:paraId="0000006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383" w:hRule="atLeast"/>
          <w:tblHeader w:val="0"/>
        </w:trPr>
        <w:tc>
          <w:tcPr/>
          <w:p w:rsidR="00000000" w:rsidDel="00000000" w:rsidP="00000000" w:rsidRDefault="00000000" w:rsidRPr="00000000" w14:paraId="0000006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w:t>
            </w:r>
          </w:p>
        </w:tc>
        <w:tc>
          <w:tcPr/>
          <w:p w:rsidR="00000000" w:rsidDel="00000000" w:rsidP="00000000" w:rsidRDefault="00000000" w:rsidRPr="00000000" w14:paraId="0000006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r>
      <w:tr>
        <w:trPr>
          <w:cantSplit w:val="0"/>
          <w:trHeight w:val="359" w:hRule="atLeast"/>
          <w:tblHeader w:val="0"/>
        </w:trPr>
        <w:tc>
          <w:tcPr/>
          <w:p w:rsidR="00000000" w:rsidDel="00000000" w:rsidP="00000000" w:rsidRDefault="00000000" w:rsidRPr="00000000" w14:paraId="0000006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Fiber</w:t>
            </w:r>
          </w:p>
        </w:tc>
        <w:tc>
          <w:tcPr/>
          <w:p w:rsidR="00000000" w:rsidDel="00000000" w:rsidP="00000000" w:rsidRDefault="00000000" w:rsidRPr="00000000" w14:paraId="0000006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383" w:hRule="atLeast"/>
          <w:tblHeader w:val="0"/>
        </w:trPr>
        <w:tc>
          <w:tcPr/>
          <w:p w:rsidR="00000000" w:rsidDel="00000000" w:rsidP="00000000" w:rsidRDefault="00000000" w:rsidRPr="00000000" w14:paraId="0000006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Carbs</w:t>
            </w:r>
          </w:p>
        </w:tc>
        <w:tc>
          <w:tcPr/>
          <w:p w:rsidR="00000000" w:rsidDel="00000000" w:rsidP="00000000" w:rsidRDefault="00000000" w:rsidRPr="00000000" w14:paraId="0000006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16.8</w:t>
            </w:r>
          </w:p>
        </w:tc>
      </w:tr>
      <w:tr>
        <w:trPr>
          <w:cantSplit w:val="0"/>
          <w:trHeight w:val="383" w:hRule="atLeast"/>
          <w:tblHeader w:val="0"/>
        </w:trPr>
        <w:tc>
          <w:tcPr/>
          <w:p w:rsidR="00000000" w:rsidDel="00000000" w:rsidP="00000000" w:rsidRDefault="00000000" w:rsidRPr="00000000" w14:paraId="0000006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Calcium</w:t>
            </w:r>
          </w:p>
        </w:tc>
        <w:tc>
          <w:tcPr/>
          <w:p w:rsidR="00000000" w:rsidDel="00000000" w:rsidP="00000000" w:rsidRDefault="00000000" w:rsidRPr="00000000" w14:paraId="0000006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12.4mg</w:t>
            </w:r>
          </w:p>
        </w:tc>
      </w:tr>
      <w:tr>
        <w:trPr>
          <w:cantSplit w:val="0"/>
          <w:trHeight w:val="383" w:hRule="atLeast"/>
          <w:tblHeader w:val="0"/>
        </w:trPr>
        <w:tc>
          <w:tcPr/>
          <w:p w:rsidR="00000000" w:rsidDel="00000000" w:rsidP="00000000" w:rsidRDefault="00000000" w:rsidRPr="00000000" w14:paraId="0000006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Phosphorous</w:t>
            </w:r>
          </w:p>
        </w:tc>
        <w:tc>
          <w:tcPr/>
          <w:p w:rsidR="00000000" w:rsidDel="00000000" w:rsidP="00000000" w:rsidRDefault="00000000" w:rsidRPr="00000000" w14:paraId="0000007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18mg</w:t>
            </w:r>
          </w:p>
        </w:tc>
      </w:tr>
      <w:tr>
        <w:trPr>
          <w:cantSplit w:val="0"/>
          <w:trHeight w:val="359" w:hRule="atLeast"/>
          <w:tblHeader w:val="0"/>
        </w:trPr>
        <w:tc>
          <w:tcPr/>
          <w:p w:rsidR="00000000" w:rsidDel="00000000" w:rsidP="00000000" w:rsidRDefault="00000000" w:rsidRPr="00000000" w14:paraId="0000007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Iron</w:t>
            </w:r>
          </w:p>
        </w:tc>
        <w:tc>
          <w:tcPr/>
          <w:p w:rsidR="00000000" w:rsidDel="00000000" w:rsidP="00000000" w:rsidRDefault="00000000" w:rsidRPr="00000000" w14:paraId="0000007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2.7mg</w:t>
            </w:r>
          </w:p>
        </w:tc>
      </w:tr>
      <w:tr>
        <w:trPr>
          <w:cantSplit w:val="0"/>
          <w:trHeight w:val="383" w:hRule="atLeast"/>
          <w:tblHeader w:val="0"/>
        </w:trPr>
        <w:tc>
          <w:tcPr/>
          <w:p w:rsidR="00000000" w:rsidDel="00000000" w:rsidP="00000000" w:rsidRDefault="00000000" w:rsidRPr="00000000" w14:paraId="0000007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Zinc</w:t>
            </w:r>
          </w:p>
        </w:tc>
        <w:tc>
          <w:tcPr/>
          <w:p w:rsidR="00000000" w:rsidDel="00000000" w:rsidP="00000000" w:rsidRDefault="00000000" w:rsidRPr="00000000" w14:paraId="0000007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0.3mg</w:t>
            </w:r>
          </w:p>
        </w:tc>
      </w:tr>
      <w:tr>
        <w:trPr>
          <w:cantSplit w:val="0"/>
          <w:trHeight w:val="383" w:hRule="atLeast"/>
          <w:tblHeader w:val="0"/>
        </w:trPr>
        <w:tc>
          <w:tcPr/>
          <w:p w:rsidR="00000000" w:rsidDel="00000000" w:rsidP="00000000" w:rsidRDefault="00000000" w:rsidRPr="00000000" w14:paraId="0000007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Potassium</w:t>
            </w:r>
          </w:p>
        </w:tc>
        <w:tc>
          <w:tcPr/>
          <w:p w:rsidR="00000000" w:rsidDel="00000000" w:rsidP="00000000" w:rsidRDefault="00000000" w:rsidRPr="00000000" w14:paraId="0000007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13mg</w:t>
            </w:r>
          </w:p>
        </w:tc>
      </w:tr>
      <w:tr>
        <w:trPr>
          <w:cantSplit w:val="0"/>
          <w:trHeight w:val="359" w:hRule="atLeast"/>
          <w:tblHeader w:val="0"/>
        </w:trPr>
        <w:tc>
          <w:tcPr/>
          <w:p w:rsidR="00000000" w:rsidDel="00000000" w:rsidP="00000000" w:rsidRDefault="00000000" w:rsidRPr="00000000" w14:paraId="0000007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Sodium</w:t>
            </w:r>
          </w:p>
        </w:tc>
        <w:tc>
          <w:tcPr/>
          <w:p w:rsidR="00000000" w:rsidDel="00000000" w:rsidP="00000000" w:rsidRDefault="00000000" w:rsidRPr="00000000" w14:paraId="0000007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170mg</w:t>
            </w:r>
          </w:p>
        </w:tc>
      </w:tr>
      <w:tr>
        <w:trPr>
          <w:cantSplit w:val="0"/>
          <w:trHeight w:val="383" w:hRule="atLeast"/>
          <w:tblHeader w:val="0"/>
        </w:trPr>
        <w:tc>
          <w:tcPr/>
          <w:p w:rsidR="00000000" w:rsidDel="00000000" w:rsidP="00000000" w:rsidRDefault="00000000" w:rsidRPr="00000000" w14:paraId="0000007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Thiamine</w:t>
            </w:r>
          </w:p>
        </w:tc>
        <w:tc>
          <w:tcPr/>
          <w:p w:rsidR="00000000" w:rsidDel="00000000" w:rsidP="00000000" w:rsidRDefault="00000000" w:rsidRPr="00000000" w14:paraId="0000007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2.5mg</w:t>
            </w:r>
          </w:p>
        </w:tc>
      </w:tr>
      <w:tr>
        <w:trPr>
          <w:cantSplit w:val="0"/>
          <w:trHeight w:val="383" w:hRule="atLeast"/>
          <w:tblHeader w:val="0"/>
        </w:trPr>
        <w:tc>
          <w:tcPr/>
          <w:p w:rsidR="00000000" w:rsidDel="00000000" w:rsidP="00000000" w:rsidRDefault="00000000" w:rsidRPr="00000000" w14:paraId="0000007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Riboflavin</w:t>
            </w:r>
          </w:p>
        </w:tc>
        <w:tc>
          <w:tcPr/>
          <w:p w:rsidR="00000000" w:rsidDel="00000000" w:rsidP="00000000" w:rsidRDefault="00000000" w:rsidRPr="00000000" w14:paraId="0000007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0mg</w:t>
            </w:r>
          </w:p>
        </w:tc>
      </w:tr>
      <w:tr>
        <w:trPr>
          <w:cantSplit w:val="0"/>
          <w:trHeight w:val="359" w:hRule="atLeast"/>
          <w:tblHeader w:val="0"/>
        </w:trPr>
        <w:tc>
          <w:tcPr/>
          <w:p w:rsidR="00000000" w:rsidDel="00000000" w:rsidP="00000000" w:rsidRDefault="00000000" w:rsidRPr="00000000" w14:paraId="0000007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Betaine</w:t>
            </w:r>
          </w:p>
        </w:tc>
        <w:tc>
          <w:tcPr/>
          <w:p w:rsidR="00000000" w:rsidDel="00000000" w:rsidP="00000000" w:rsidRDefault="00000000" w:rsidRPr="00000000" w14:paraId="0000007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0mg</w:t>
            </w:r>
          </w:p>
        </w:tc>
      </w:tr>
      <w:tr>
        <w:trPr>
          <w:cantSplit w:val="0"/>
          <w:trHeight w:val="383" w:hRule="atLeast"/>
          <w:tblHeader w:val="0"/>
        </w:trPr>
        <w:tc>
          <w:tcPr/>
          <w:p w:rsidR="00000000" w:rsidDel="00000000" w:rsidP="00000000" w:rsidRDefault="00000000" w:rsidRPr="00000000" w14:paraId="0000007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Vitamin C</w:t>
            </w:r>
          </w:p>
        </w:tc>
        <w:tc>
          <w:tcPr/>
          <w:p w:rsidR="00000000" w:rsidDel="00000000" w:rsidP="00000000" w:rsidRDefault="00000000" w:rsidRPr="00000000" w14:paraId="0000008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0.5mg</w:t>
            </w:r>
          </w:p>
        </w:tc>
      </w:tr>
      <w:tr>
        <w:trPr>
          <w:cantSplit w:val="0"/>
          <w:trHeight w:val="383" w:hRule="atLeast"/>
          <w:tblHeader w:val="0"/>
        </w:trPr>
        <w:tc>
          <w:tcPr/>
          <w:p w:rsidR="00000000" w:rsidDel="00000000" w:rsidP="00000000" w:rsidRDefault="00000000" w:rsidRPr="00000000" w14:paraId="0000008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Folate</w:t>
            </w:r>
          </w:p>
        </w:tc>
        <w:tc>
          <w:tcPr/>
          <w:p w:rsidR="00000000" w:rsidDel="00000000" w:rsidP="00000000" w:rsidRDefault="00000000" w:rsidRPr="00000000" w14:paraId="0000008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2.6mcg</w:t>
            </w:r>
          </w:p>
        </w:tc>
      </w:tr>
      <w:tr>
        <w:trPr>
          <w:cantSplit w:val="0"/>
          <w:trHeight w:val="359" w:hRule="atLeast"/>
          <w:tblHeader w:val="0"/>
        </w:trPr>
        <w:tc>
          <w:tcPr/>
          <w:p w:rsidR="00000000" w:rsidDel="00000000" w:rsidP="00000000" w:rsidRDefault="00000000" w:rsidRPr="00000000" w14:paraId="0000008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Choline</w:t>
            </w:r>
          </w:p>
        </w:tc>
        <w:tc>
          <w:tcPr/>
          <w:p w:rsidR="00000000" w:rsidDel="00000000" w:rsidP="00000000" w:rsidRDefault="00000000" w:rsidRPr="00000000" w14:paraId="0000008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3.3mg</w:t>
            </w:r>
          </w:p>
        </w:tc>
      </w:tr>
    </w:tbl>
    <w:p w:rsidR="00000000" w:rsidDel="00000000" w:rsidP="00000000" w:rsidRDefault="00000000" w:rsidRPr="00000000" w14:paraId="00000085">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6">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7">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8">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9">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A">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B">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C">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D">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E">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8F">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90">
      <w:pPr>
        <w:spacing w:line="276" w:lineRule="auto"/>
        <w:jc w:val="both"/>
        <w:rPr>
          <w:rFonts w:ascii="Times New Roman" w:cs="Times New Roman" w:eastAsia="Times New Roman" w:hAnsi="Times New Roman"/>
          <w:b w:val="1"/>
          <w:bCs w:val="1"/>
          <w:sz w:val="28"/>
          <w:szCs w:val="28"/>
          <w:u w:val="single"/>
        </w:rPr>
      </w:pPr>
      <w:r w:rsidDel="00000000" w:rsidR="00000000" w:rsidRPr="00000000">
        <w:rPr>
          <w:rtl w:val="0"/>
        </w:rPr>
      </w:r>
    </w:p>
    <w:p w:rsidR="00000000" w:rsidDel="00000000" w:rsidP="00000000" w:rsidRDefault="00000000" w:rsidRPr="00000000" w14:paraId="0000009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CONCLUSION &amp; FUTURE DIRECTIONS:</w:t>
      </w:r>
      <w:r w:rsidDel="00000000" w:rsidR="00000000" w:rsidRPr="00000000">
        <w:rPr>
          <w:rFonts w:ascii="Times New Roman" w:cs="Times New Roman" w:eastAsia="Times New Roman" w:hAnsi="Times New Roman"/>
          <w:sz w:val="24"/>
          <w:szCs w:val="24"/>
          <w:rtl w:val="0"/>
        </w:rPr>
        <w:t xml:space="preserve">  Turmeric has been utilized in Ayurvedic medicine for many biological applications since ancient times. Currently, researchers exhibit enthusiasm for utilizing natural products in the treatment of numerous ailments. While some research has been conducted on potential medicinal applications, limited studies have been undertaken for drug development thus far. Curcumin is a non-toxic, very promising natural antioxidant with a broad range of biological effects. Curcumin is now accessible in its pure form, exhibiting a broad range of biological activities; thus, it would facilitate the development of new pharmaceuticals following comprehensive investigations into its mechanism of action and pharmacological effects. Cucumin is anticipated to be utilized as a novel therapeutic agent in the near future for the management of numerous diseases, illnesses, and oxidative stress.</w:t>
      </w:r>
    </w:p>
    <w:p w:rsidR="00000000" w:rsidDel="00000000" w:rsidP="00000000" w:rsidRDefault="00000000" w:rsidRPr="00000000" w14:paraId="0000009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review contributes to the expanding evidence base endorsing turmeric as a preventive and therapeutic approach. We anticipate that further advancements in the formulation of strategies utilizing natural items will help in the fight against COVID-19 in the forthcoming years. This paper proposes using gold nanoparticles with the neutralizing antibody Ty1, which may selectively target the receptor binding region of the SARS-CoV-2 spike and directly block contact with angiotensin-converting enzyme 2. The use of curcumin and bevacizumab significantly improved the effectiveness of the suggested method, as both agents can target and effectively neutralize VEGF, thus reducing and inhibiting tumor growth.</w:t>
      </w:r>
    </w:p>
    <w:p w:rsidR="00000000" w:rsidDel="00000000" w:rsidP="00000000" w:rsidRDefault="00000000" w:rsidRPr="00000000" w14:paraId="0000009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r w:rsidDel="00000000" w:rsidR="00000000" w:rsidRPr="00000000">
        <w:rPr>
          <w:rtl w:val="0"/>
        </w:rPr>
      </w:r>
    </w:p>
    <w:p w:rsidR="00000000" w:rsidDel="00000000" w:rsidP="00000000" w:rsidRDefault="00000000" w:rsidRPr="00000000" w14:paraId="0000009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Abas, F., Lajis, N. H., Shaari, K., Israf, D. A., Stanslas, J., &amp; Yusuf, U. K. (2005). A labdane diterpene glucoside from the rhizomes of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Journal of Natural Products, 68</w:t>
      </w:r>
      <w:r w:rsidDel="00000000" w:rsidR="00000000" w:rsidRPr="00000000">
        <w:rPr>
          <w:rFonts w:ascii="Times New Roman" w:cs="Times New Roman" w:eastAsia="Times New Roman" w:hAnsi="Times New Roman"/>
          <w:sz w:val="24"/>
          <w:szCs w:val="24"/>
          <w:rtl w:val="0"/>
        </w:rPr>
        <w:t xml:space="preserve">(7), 1090–1093.</w:t>
      </w:r>
    </w:p>
    <w:p w:rsidR="00000000" w:rsidDel="00000000" w:rsidP="00000000" w:rsidRDefault="00000000" w:rsidRPr="00000000" w14:paraId="0000009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Akram, M., Shahab-Uddin, Khan, A. A., Chani, U., Hanan, A., &amp; Mohiuddin, E. (2010).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and curcumin: A review article. </w:t>
      </w:r>
      <w:r w:rsidDel="00000000" w:rsidR="00000000" w:rsidRPr="00000000">
        <w:rPr>
          <w:rFonts w:ascii="Times New Roman" w:cs="Times New Roman" w:eastAsia="Times New Roman" w:hAnsi="Times New Roman"/>
          <w:i w:val="1"/>
          <w:iCs w:val="1"/>
          <w:sz w:val="24"/>
          <w:szCs w:val="24"/>
          <w:rtl w:val="0"/>
        </w:rPr>
        <w:t xml:space="preserve">Romanian Journal of Biology – Plant Biology, 55</w:t>
      </w:r>
      <w:r w:rsidDel="00000000" w:rsidR="00000000" w:rsidRPr="00000000">
        <w:rPr>
          <w:rFonts w:ascii="Times New Roman" w:cs="Times New Roman" w:eastAsia="Times New Roman" w:hAnsi="Times New Roman"/>
          <w:sz w:val="24"/>
          <w:szCs w:val="24"/>
          <w:rtl w:val="0"/>
        </w:rPr>
        <w:t xml:space="preserve">, 65–72.</w:t>
      </w:r>
    </w:p>
    <w:p w:rsidR="00000000" w:rsidDel="00000000" w:rsidP="00000000" w:rsidRDefault="00000000" w:rsidRPr="00000000" w14:paraId="00000096">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Ammon, H. P., &amp; Wahl, M. A. (1991). Pharmacology of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Planta Medica, 57</w:t>
      </w:r>
      <w:r w:rsidDel="00000000" w:rsidR="00000000" w:rsidRPr="00000000">
        <w:rPr>
          <w:rFonts w:ascii="Times New Roman" w:cs="Times New Roman" w:eastAsia="Times New Roman" w:hAnsi="Times New Roman"/>
          <w:sz w:val="24"/>
          <w:szCs w:val="24"/>
          <w:rtl w:val="0"/>
        </w:rPr>
        <w:t xml:space="preserve">(1), 1–7.</w:t>
      </w:r>
      <w:hyperlink r:id="rId17">
        <w:r w:rsidDel="00000000" w:rsidR="00000000" w:rsidRPr="00000000">
          <w:rPr>
            <w:rFonts w:ascii="Times New Roman" w:cs="Times New Roman" w:eastAsia="Times New Roman" w:hAnsi="Times New Roman"/>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https://doi.org/10.1055/s-2006-960004</w:t>
        </w:r>
      </w:hyperlink>
      <w:r w:rsidDel="00000000" w:rsidR="00000000" w:rsidRPr="00000000">
        <w:rPr>
          <w:rtl w:val="0"/>
        </w:rPr>
      </w:r>
    </w:p>
    <w:p w:rsidR="00000000" w:rsidDel="00000000" w:rsidP="00000000" w:rsidRDefault="00000000" w:rsidRPr="00000000" w14:paraId="0000009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Ashraf, K. (2018). A comprehensive review on </w:t>
      </w:r>
      <w:r w:rsidDel="00000000" w:rsidR="00000000" w:rsidRPr="00000000">
        <w:rPr>
          <w:rFonts w:ascii="Times New Roman" w:cs="Times New Roman" w:eastAsia="Times New Roman" w:hAnsi="Times New Roman"/>
          <w:i w:val="1"/>
          <w:iCs w:val="1"/>
          <w:sz w:val="24"/>
          <w:szCs w:val="24"/>
          <w:rtl w:val="0"/>
        </w:rPr>
        <w:t xml:space="preserve">Curcuma longa Linn.</w:t>
      </w:r>
      <w:r w:rsidDel="00000000" w:rsidR="00000000" w:rsidRPr="00000000">
        <w:rPr>
          <w:rFonts w:ascii="Times New Roman" w:cs="Times New Roman" w:eastAsia="Times New Roman" w:hAnsi="Times New Roman"/>
          <w:sz w:val="24"/>
          <w:szCs w:val="24"/>
          <w:rtl w:val="0"/>
        </w:rPr>
        <w:t xml:space="preserve">: Phytochemical, pharmacological, and molecular study. </w:t>
      </w:r>
      <w:r w:rsidDel="00000000" w:rsidR="00000000" w:rsidRPr="00000000">
        <w:rPr>
          <w:rFonts w:ascii="Times New Roman" w:cs="Times New Roman" w:eastAsia="Times New Roman" w:hAnsi="Times New Roman"/>
          <w:i w:val="1"/>
          <w:iCs w:val="1"/>
          <w:sz w:val="24"/>
          <w:szCs w:val="24"/>
          <w:rtl w:val="0"/>
        </w:rPr>
        <w:t xml:space="preserve">International Journal of Green Pharmacy, 11</w:t>
      </w: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9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Binic, I., Lazarevic, V., Ljubenovic, M., Mojsa, J., &amp; Sokolovic, D. (2013). Skin ageing: Natural weapons and strategies. </w:t>
      </w:r>
      <w:r w:rsidDel="00000000" w:rsidR="00000000" w:rsidRPr="00000000">
        <w:rPr>
          <w:rFonts w:ascii="Times New Roman" w:cs="Times New Roman" w:eastAsia="Times New Roman" w:hAnsi="Times New Roman"/>
          <w:i w:val="1"/>
          <w:iCs w:val="1"/>
          <w:sz w:val="24"/>
          <w:szCs w:val="24"/>
          <w:rtl w:val="0"/>
        </w:rPr>
        <w:t xml:space="preserve">Evidence-Based Complementary and Alternative Medicine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Boskabady, M. H., Shakeri, F., &amp; Naghdi, F. (2020). The effects of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L. and its constituents in respiratory disorders and molecular mechanisms of their action. In </w:t>
      </w:r>
      <w:r w:rsidDel="00000000" w:rsidR="00000000" w:rsidRPr="00000000">
        <w:rPr>
          <w:rFonts w:ascii="Times New Roman" w:cs="Times New Roman" w:eastAsia="Times New Roman" w:hAnsi="Times New Roman"/>
          <w:i w:val="1"/>
          <w:iCs w:val="1"/>
          <w:sz w:val="24"/>
          <w:szCs w:val="24"/>
          <w:rtl w:val="0"/>
        </w:rPr>
        <w:t xml:space="preserve">Studies in Natural Products Chemistry</w:t>
      </w:r>
      <w:r w:rsidDel="00000000" w:rsidR="00000000" w:rsidRPr="00000000">
        <w:rPr>
          <w:rFonts w:ascii="Times New Roman" w:cs="Times New Roman" w:eastAsia="Times New Roman" w:hAnsi="Times New Roman"/>
          <w:sz w:val="24"/>
          <w:szCs w:val="24"/>
          <w:rtl w:val="0"/>
        </w:rPr>
        <w:t xml:space="preserve"> (pp. 239–269). Elsevier.</w:t>
      </w:r>
    </w:p>
    <w:p w:rsidR="00000000" w:rsidDel="00000000" w:rsidP="00000000" w:rsidRDefault="00000000" w:rsidRPr="00000000" w14:paraId="0000009A">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Cao, Q., Zhang, J., Gao, L., Zhang, Y., Dai, M., &amp; Bao, M. (2018). Dickkopf-3 upregulation mediates the cardioprotective effects of curcumin on chronic heart failure. </w:t>
      </w:r>
      <w:r w:rsidDel="00000000" w:rsidR="00000000" w:rsidRPr="00000000">
        <w:rPr>
          <w:rFonts w:ascii="Times New Roman" w:cs="Times New Roman" w:eastAsia="Times New Roman" w:hAnsi="Times New Roman"/>
          <w:i w:val="1"/>
          <w:iCs w:val="1"/>
          <w:sz w:val="24"/>
          <w:szCs w:val="24"/>
          <w:rtl w:val="0"/>
        </w:rPr>
        <w:t xml:space="preserve">Molecular Medicine Reports, 17</w:t>
      </w:r>
      <w:r w:rsidDel="00000000" w:rsidR="00000000" w:rsidRPr="00000000">
        <w:rPr>
          <w:rFonts w:ascii="Times New Roman" w:cs="Times New Roman" w:eastAsia="Times New Roman" w:hAnsi="Times New Roman"/>
          <w:sz w:val="24"/>
          <w:szCs w:val="24"/>
          <w:rtl w:val="0"/>
        </w:rPr>
        <w:t xml:space="preserve">(5), 7249–7257.</w:t>
      </w:r>
      <w:hyperlink r:id="rId19">
        <w:r w:rsidDel="00000000" w:rsidR="00000000" w:rsidRPr="00000000">
          <w:rPr>
            <w:rFonts w:ascii="Times New Roman" w:cs="Times New Roman" w:eastAsia="Times New Roman" w:hAnsi="Times New Roman"/>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https://doi.org/10.3892/mmr.2018.8783</w:t>
        </w:r>
      </w:hyperlink>
      <w:r w:rsidDel="00000000" w:rsidR="00000000" w:rsidRPr="00000000">
        <w:rPr>
          <w:rtl w:val="0"/>
        </w:rPr>
      </w:r>
    </w:p>
    <w:p w:rsidR="00000000" w:rsidDel="00000000" w:rsidP="00000000" w:rsidRDefault="00000000" w:rsidRPr="00000000" w14:paraId="0000009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Chattopadhyay, I., Biswas, K., Bandyopadhyay, U., &amp; Banerjee, R. K. (2004). Turmeric and curcumin: Biological actions and medicinal applications. </w:t>
      </w:r>
      <w:r w:rsidDel="00000000" w:rsidR="00000000" w:rsidRPr="00000000">
        <w:rPr>
          <w:rFonts w:ascii="Times New Roman" w:cs="Times New Roman" w:eastAsia="Times New Roman" w:hAnsi="Times New Roman"/>
          <w:i w:val="1"/>
          <w:iCs w:val="1"/>
          <w:sz w:val="24"/>
          <w:szCs w:val="24"/>
          <w:rtl w:val="0"/>
        </w:rPr>
        <w:t xml:space="preserve">Current Science, 87</w:t>
      </w:r>
      <w:r w:rsidDel="00000000" w:rsidR="00000000" w:rsidRPr="00000000">
        <w:rPr>
          <w:rFonts w:ascii="Times New Roman" w:cs="Times New Roman" w:eastAsia="Times New Roman" w:hAnsi="Times New Roman"/>
          <w:sz w:val="24"/>
          <w:szCs w:val="24"/>
          <w:rtl w:val="0"/>
        </w:rPr>
        <w:t xml:space="preserve">(1), 44–53.</w:t>
      </w:r>
    </w:p>
    <w:p w:rsidR="00000000" w:rsidDel="00000000" w:rsidP="00000000" w:rsidRDefault="00000000" w:rsidRPr="00000000" w14:paraId="0000009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Choi, Y. H., Yan, G. H., Chai, O. H., &amp; Song, C. H. (2010). Inhibitory effects of curcumin on mast cell activation. </w:t>
      </w:r>
      <w:r w:rsidDel="00000000" w:rsidR="00000000" w:rsidRPr="00000000">
        <w:rPr>
          <w:rFonts w:ascii="Times New Roman" w:cs="Times New Roman" w:eastAsia="Times New Roman" w:hAnsi="Times New Roman"/>
          <w:i w:val="1"/>
          <w:iCs w:val="1"/>
          <w:sz w:val="24"/>
          <w:szCs w:val="24"/>
          <w:rtl w:val="0"/>
        </w:rPr>
        <w:t xml:space="preserve">Anatomy &amp; Cell Biology, 43</w:t>
      </w:r>
      <w:r w:rsidDel="00000000" w:rsidR="00000000" w:rsidRPr="00000000">
        <w:rPr>
          <w:rFonts w:ascii="Times New Roman" w:cs="Times New Roman" w:eastAsia="Times New Roman" w:hAnsi="Times New Roman"/>
          <w:sz w:val="24"/>
          <w:szCs w:val="24"/>
          <w:rtl w:val="0"/>
        </w:rPr>
        <w:t xml:space="preserve">(1), 36–43.</w:t>
      </w:r>
    </w:p>
    <w:p w:rsidR="00000000" w:rsidDel="00000000" w:rsidP="00000000" w:rsidRDefault="00000000" w:rsidRPr="00000000" w14:paraId="0000009D">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Etemadi, S., Barhaghi, M. H. S., Leylabadlo, H. E., Memar, M. Y., Mohammadi, A. B., &amp; Ghotaslou, R. (2021). The synergistic effect of turmeric aqueous extract and chitosan against multidrug-resistant bacteria. </w:t>
      </w:r>
      <w:r w:rsidDel="00000000" w:rsidR="00000000" w:rsidRPr="00000000">
        <w:rPr>
          <w:rFonts w:ascii="Times New Roman" w:cs="Times New Roman" w:eastAsia="Times New Roman" w:hAnsi="Times New Roman"/>
          <w:i w:val="1"/>
          <w:iCs w:val="1"/>
          <w:sz w:val="24"/>
          <w:szCs w:val="24"/>
          <w:rtl w:val="0"/>
        </w:rPr>
        <w:t xml:space="preserve">New Microbes and New Infections, 41</w:t>
      </w:r>
      <w:r w:rsidDel="00000000" w:rsidR="00000000" w:rsidRPr="00000000">
        <w:rPr>
          <w:rFonts w:ascii="Times New Roman" w:cs="Times New Roman" w:eastAsia="Times New Roman" w:hAnsi="Times New Roman"/>
          <w:sz w:val="24"/>
          <w:szCs w:val="24"/>
          <w:rtl w:val="0"/>
        </w:rPr>
        <w:t xml:space="preserve">, 100861.</w:t>
      </w:r>
      <w:hyperlink r:id="rId21">
        <w:r w:rsidDel="00000000" w:rsidR="00000000" w:rsidRPr="00000000">
          <w:rPr>
            <w:rFonts w:ascii="Times New Roman" w:cs="Times New Roman" w:eastAsia="Times New Roman" w:hAnsi="Times New Roman"/>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https://doi.org/10.1016/j.nmni.2021.100861</w:t>
        </w:r>
      </w:hyperlink>
      <w:r w:rsidDel="00000000" w:rsidR="00000000" w:rsidRPr="00000000">
        <w:rPr>
          <w:rtl w:val="0"/>
        </w:rPr>
      </w:r>
    </w:p>
    <w:p w:rsidR="00000000" w:rsidDel="00000000" w:rsidP="00000000" w:rsidRDefault="00000000" w:rsidRPr="00000000" w14:paraId="0000009E">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Gao, S., Zhang, W., Zhao, Q., Zhou, J., Wu, Y., Liu, Y., et al. (2019). Curcumin ameliorates atherosclerosis in apolipoprotein E deficient asthmatic mice. </w:t>
      </w:r>
      <w:r w:rsidDel="00000000" w:rsidR="00000000" w:rsidRPr="00000000">
        <w:rPr>
          <w:rFonts w:ascii="Times New Roman" w:cs="Times New Roman" w:eastAsia="Times New Roman" w:hAnsi="Times New Roman"/>
          <w:i w:val="1"/>
          <w:iCs w:val="1"/>
          <w:sz w:val="24"/>
          <w:szCs w:val="24"/>
          <w:rtl w:val="0"/>
        </w:rPr>
        <w:t xml:space="preserve">Phytomedicine, 52</w:t>
      </w:r>
      <w:r w:rsidDel="00000000" w:rsidR="00000000" w:rsidRPr="00000000">
        <w:rPr>
          <w:rFonts w:ascii="Times New Roman" w:cs="Times New Roman" w:eastAsia="Times New Roman" w:hAnsi="Times New Roman"/>
          <w:sz w:val="24"/>
          <w:szCs w:val="24"/>
          <w:rtl w:val="0"/>
        </w:rPr>
        <w:t xml:space="preserve">, 129–135.</w:t>
      </w:r>
      <w:hyperlink r:id="rId23">
        <w:r w:rsidDel="00000000" w:rsidR="00000000" w:rsidRPr="00000000">
          <w:rPr>
            <w:rFonts w:ascii="Times New Roman" w:cs="Times New Roman" w:eastAsia="Times New Roman" w:hAnsi="Times New Roman"/>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https://doi.org/10.1016/j.phymed.2018.09.194</w:t>
        </w:r>
      </w:hyperlink>
      <w:r w:rsidDel="00000000" w:rsidR="00000000" w:rsidRPr="00000000">
        <w:rPr>
          <w:rtl w:val="0"/>
        </w:rPr>
      </w:r>
    </w:p>
    <w:p w:rsidR="00000000" w:rsidDel="00000000" w:rsidP="00000000" w:rsidRDefault="00000000" w:rsidRPr="00000000" w14:paraId="0000009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Golding, B. T., &amp; Pombo-Villar, E. (1992). Structures of α- and β-turmerone. </w:t>
      </w:r>
      <w:r w:rsidDel="00000000" w:rsidR="00000000" w:rsidRPr="00000000">
        <w:rPr>
          <w:rFonts w:ascii="Times New Roman" w:cs="Times New Roman" w:eastAsia="Times New Roman" w:hAnsi="Times New Roman"/>
          <w:i w:val="1"/>
          <w:iCs w:val="1"/>
          <w:sz w:val="24"/>
          <w:szCs w:val="24"/>
          <w:rtl w:val="0"/>
        </w:rPr>
        <w:t xml:space="preserve">Journal of the Chemical Society, Perkin Transactions 1</w:t>
      </w:r>
      <w:r w:rsidDel="00000000" w:rsidR="00000000" w:rsidRPr="00000000">
        <w:rPr>
          <w:rFonts w:ascii="Times New Roman" w:cs="Times New Roman" w:eastAsia="Times New Roman" w:hAnsi="Times New Roman"/>
          <w:sz w:val="24"/>
          <w:szCs w:val="24"/>
          <w:rtl w:val="0"/>
        </w:rPr>
        <w:t xml:space="preserve">, 1519–1524.</w:t>
      </w:r>
    </w:p>
    <w:p w:rsidR="00000000" w:rsidDel="00000000" w:rsidP="00000000" w:rsidRDefault="00000000" w:rsidRPr="00000000" w14:paraId="000000A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Golding, B., Pombo, E., &amp; Christopher, J. (1982). Turmerones: Isolation from turmeric and structure determination. </w:t>
      </w:r>
      <w:r w:rsidDel="00000000" w:rsidR="00000000" w:rsidRPr="00000000">
        <w:rPr>
          <w:rFonts w:ascii="Times New Roman" w:cs="Times New Roman" w:eastAsia="Times New Roman" w:hAnsi="Times New Roman"/>
          <w:i w:val="1"/>
          <w:iCs w:val="1"/>
          <w:sz w:val="24"/>
          <w:szCs w:val="24"/>
          <w:rtl w:val="0"/>
        </w:rPr>
        <w:t xml:space="preserve">Journal of the Chemical Society, Chemical Communications</w:t>
      </w:r>
      <w:r w:rsidDel="00000000" w:rsidR="00000000" w:rsidRPr="00000000">
        <w:rPr>
          <w:rFonts w:ascii="Times New Roman" w:cs="Times New Roman" w:eastAsia="Times New Roman" w:hAnsi="Times New Roman"/>
          <w:sz w:val="24"/>
          <w:szCs w:val="24"/>
          <w:rtl w:val="0"/>
        </w:rPr>
        <w:t xml:space="preserve">, 363–364.</w:t>
      </w:r>
    </w:p>
    <w:p w:rsidR="00000000" w:rsidDel="00000000" w:rsidP="00000000" w:rsidRDefault="00000000" w:rsidRPr="00000000" w14:paraId="000000A1">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Guimarães, A. F., Vinhas, A. C. A., Gomes, A. F., Souza, L. H., &amp; Krepsky, P. B. (2020). Essential oil of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L.: Chemical composition, yield variation and stability. </w:t>
      </w:r>
      <w:r w:rsidDel="00000000" w:rsidR="00000000" w:rsidRPr="00000000">
        <w:rPr>
          <w:rFonts w:ascii="Times New Roman" w:cs="Times New Roman" w:eastAsia="Times New Roman" w:hAnsi="Times New Roman"/>
          <w:i w:val="1"/>
          <w:iCs w:val="1"/>
          <w:sz w:val="24"/>
          <w:szCs w:val="24"/>
          <w:rtl w:val="0"/>
        </w:rPr>
        <w:t xml:space="preserve">Química Nova, 43</w:t>
      </w:r>
      <w:r w:rsidDel="00000000" w:rsidR="00000000" w:rsidRPr="00000000">
        <w:rPr>
          <w:rFonts w:ascii="Times New Roman" w:cs="Times New Roman" w:eastAsia="Times New Roman" w:hAnsi="Times New Roman"/>
          <w:sz w:val="24"/>
          <w:szCs w:val="24"/>
          <w:rtl w:val="0"/>
        </w:rPr>
        <w:t xml:space="preserve">, 909–913.</w:t>
      </w:r>
      <w:hyperlink r:id="rId25">
        <w:r w:rsidDel="00000000" w:rsidR="00000000" w:rsidRPr="00000000">
          <w:rPr>
            <w:rFonts w:ascii="Times New Roman" w:cs="Times New Roman" w:eastAsia="Times New Roman" w:hAnsi="Times New Roman"/>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https://doi.org/10.21577/0100-4042.20170547</w:t>
        </w:r>
      </w:hyperlink>
      <w:r w:rsidDel="00000000" w:rsidR="00000000" w:rsidRPr="00000000">
        <w:rPr>
          <w:rtl w:val="0"/>
        </w:rPr>
      </w:r>
    </w:p>
    <w:p w:rsidR="00000000" w:rsidDel="00000000" w:rsidP="00000000" w:rsidRDefault="00000000" w:rsidRPr="00000000" w14:paraId="000000A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Heath, D. D., Khwaja, F., &amp; Rock, C. L. (2004). Curcumin content of turmeric and curry powders. </w:t>
      </w:r>
      <w:r w:rsidDel="00000000" w:rsidR="00000000" w:rsidRPr="00000000">
        <w:rPr>
          <w:rFonts w:ascii="Times New Roman" w:cs="Times New Roman" w:eastAsia="Times New Roman" w:hAnsi="Times New Roman"/>
          <w:i w:val="1"/>
          <w:iCs w:val="1"/>
          <w:sz w:val="24"/>
          <w:szCs w:val="24"/>
          <w:rtl w:val="0"/>
        </w:rPr>
        <w:t xml:space="preserve">FASEB Journal, 18</w:t>
      </w:r>
      <w:r w:rsidDel="00000000" w:rsidR="00000000" w:rsidRPr="00000000">
        <w:rPr>
          <w:rFonts w:ascii="Times New Roman" w:cs="Times New Roman" w:eastAsia="Times New Roman" w:hAnsi="Times New Roman"/>
          <w:sz w:val="24"/>
          <w:szCs w:val="24"/>
          <w:rtl w:val="0"/>
        </w:rPr>
        <w:t xml:space="preserve">, A125.</w:t>
      </w:r>
    </w:p>
    <w:p w:rsidR="00000000" w:rsidDel="00000000" w:rsidP="00000000" w:rsidRDefault="00000000" w:rsidRPr="00000000" w14:paraId="000000A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Hembrom, A. R., Verma, A., &amp; Singh, V. N. (2015). Antifertility effects of rhizome of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on seminal parameters. </w:t>
      </w:r>
      <w:r w:rsidDel="00000000" w:rsidR="00000000" w:rsidRPr="00000000">
        <w:rPr>
          <w:rFonts w:ascii="Times New Roman" w:cs="Times New Roman" w:eastAsia="Times New Roman" w:hAnsi="Times New Roman"/>
          <w:i w:val="1"/>
          <w:iCs w:val="1"/>
          <w:sz w:val="24"/>
          <w:szCs w:val="24"/>
          <w:rtl w:val="0"/>
        </w:rPr>
        <w:t xml:space="preserve">Research Journal of Pharmaceutical Technology, 8</w:t>
      </w:r>
      <w:r w:rsidDel="00000000" w:rsidR="00000000" w:rsidRPr="00000000">
        <w:rPr>
          <w:rFonts w:ascii="Times New Roman" w:cs="Times New Roman" w:eastAsia="Times New Roman" w:hAnsi="Times New Roman"/>
          <w:sz w:val="24"/>
          <w:szCs w:val="24"/>
          <w:rtl w:val="0"/>
        </w:rPr>
        <w:t xml:space="preserve">(4), 404–406.</w:t>
      </w:r>
    </w:p>
    <w:p w:rsidR="00000000" w:rsidDel="00000000" w:rsidP="00000000" w:rsidRDefault="00000000" w:rsidRPr="00000000" w14:paraId="000000A4">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Jacob, A., Wu, R., Zhou, M., &amp; Wang, P. (2007). Mechanism of the anti-inflammatory effect of curcumin: PPAR-γ activation. </w:t>
      </w:r>
      <w:r w:rsidDel="00000000" w:rsidR="00000000" w:rsidRPr="00000000">
        <w:rPr>
          <w:rFonts w:ascii="Times New Roman" w:cs="Times New Roman" w:eastAsia="Times New Roman" w:hAnsi="Times New Roman"/>
          <w:i w:val="1"/>
          <w:iCs w:val="1"/>
          <w:sz w:val="24"/>
          <w:szCs w:val="24"/>
          <w:rtl w:val="0"/>
        </w:rPr>
        <w:t xml:space="preserve">PPAR Research</w:t>
      </w:r>
      <w:r w:rsidDel="00000000" w:rsidR="00000000" w:rsidRPr="00000000">
        <w:rPr>
          <w:rFonts w:ascii="Times New Roman" w:cs="Times New Roman" w:eastAsia="Times New Roman" w:hAnsi="Times New Roman"/>
          <w:sz w:val="24"/>
          <w:szCs w:val="24"/>
          <w:rtl w:val="0"/>
        </w:rPr>
        <w:t xml:space="preserve">, 2007, 89369.</w:t>
      </w:r>
      <w:hyperlink r:id="rId27">
        <w:r w:rsidDel="00000000" w:rsidR="00000000" w:rsidRPr="00000000">
          <w:rPr>
            <w:rFonts w:ascii="Times New Roman" w:cs="Times New Roman" w:eastAsia="Times New Roman" w:hAnsi="Times New Roman"/>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https://doi.org/10.1155/2007/89369</w:t>
        </w:r>
      </w:hyperlink>
      <w:r w:rsidDel="00000000" w:rsidR="00000000" w:rsidRPr="00000000">
        <w:rPr>
          <w:rtl w:val="0"/>
        </w:rPr>
      </w:r>
    </w:p>
    <w:p w:rsidR="00000000" w:rsidDel="00000000" w:rsidP="00000000" w:rsidRDefault="00000000" w:rsidRPr="00000000" w14:paraId="000000A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Jassal, P., Kaur, G., &amp; Kaur, L. (2015). Synergistic effect of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iCs w:val="1"/>
          <w:sz w:val="24"/>
          <w:szCs w:val="24"/>
          <w:rtl w:val="0"/>
        </w:rPr>
        <w:t xml:space="preserve">Glycyrrhiza glabra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International Journal of Pharmaceutical Sciences, 7</w:t>
      </w:r>
      <w:r w:rsidDel="00000000" w:rsidR="00000000" w:rsidRPr="00000000">
        <w:rPr>
          <w:rFonts w:ascii="Times New Roman" w:cs="Times New Roman" w:eastAsia="Times New Roman" w:hAnsi="Times New Roman"/>
          <w:sz w:val="24"/>
          <w:szCs w:val="24"/>
          <w:rtl w:val="0"/>
        </w:rPr>
        <w:t xml:space="preserve">, 371–375.</w:t>
      </w:r>
    </w:p>
    <w:p w:rsidR="00000000" w:rsidDel="00000000" w:rsidP="00000000" w:rsidRDefault="00000000" w:rsidRPr="00000000" w14:paraId="000000A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Jayaprakasha, G. K., Negi, P. S., Anandharamakrishnan, C., &amp; Sakariah, K. K. (2001). Chemical composition of turmeric oil and antifungal activity. </w:t>
      </w:r>
      <w:r w:rsidDel="00000000" w:rsidR="00000000" w:rsidRPr="00000000">
        <w:rPr>
          <w:rFonts w:ascii="Times New Roman" w:cs="Times New Roman" w:eastAsia="Times New Roman" w:hAnsi="Times New Roman"/>
          <w:i w:val="1"/>
          <w:iCs w:val="1"/>
          <w:sz w:val="24"/>
          <w:szCs w:val="24"/>
          <w:rtl w:val="0"/>
        </w:rPr>
        <w:t xml:space="preserve">Zeitschrift für Naturforschung C, 56</w:t>
      </w:r>
      <w:r w:rsidDel="00000000" w:rsidR="00000000" w:rsidRPr="00000000">
        <w:rPr>
          <w:rFonts w:ascii="Times New Roman" w:cs="Times New Roman" w:eastAsia="Times New Roman" w:hAnsi="Times New Roman"/>
          <w:sz w:val="24"/>
          <w:szCs w:val="24"/>
          <w:rtl w:val="0"/>
        </w:rPr>
        <w:t xml:space="preserve">(1–2), 40–44.</w:t>
      </w:r>
    </w:p>
    <w:p w:rsidR="00000000" w:rsidDel="00000000" w:rsidP="00000000" w:rsidRDefault="00000000" w:rsidRPr="00000000" w14:paraId="000000A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Khattak, S., Saeed-ur-Rehman, H. U., Ullah Shah, H., Ahmad, W., &amp; Ahmad, M. (2005). Biological effects of indigenous medicinal plants. </w:t>
      </w:r>
      <w:r w:rsidDel="00000000" w:rsidR="00000000" w:rsidRPr="00000000">
        <w:rPr>
          <w:rFonts w:ascii="Times New Roman" w:cs="Times New Roman" w:eastAsia="Times New Roman" w:hAnsi="Times New Roman"/>
          <w:i w:val="1"/>
          <w:iCs w:val="1"/>
          <w:sz w:val="24"/>
          <w:szCs w:val="24"/>
          <w:rtl w:val="0"/>
        </w:rPr>
        <w:t xml:space="preserve">Fitoterapia, 76</w:t>
      </w:r>
      <w:r w:rsidDel="00000000" w:rsidR="00000000" w:rsidRPr="00000000">
        <w:rPr>
          <w:rFonts w:ascii="Times New Roman" w:cs="Times New Roman" w:eastAsia="Times New Roman" w:hAnsi="Times New Roman"/>
          <w:sz w:val="24"/>
          <w:szCs w:val="24"/>
          <w:rtl w:val="0"/>
        </w:rPr>
        <w:t xml:space="preserve">(2), 254–257.</w:t>
      </w:r>
    </w:p>
    <w:p w:rsidR="00000000" w:rsidDel="00000000" w:rsidP="00000000" w:rsidRDefault="00000000" w:rsidRPr="00000000" w14:paraId="000000A8">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Leong-Škornickova, J., Šida, O., Wijesundara, S., &amp; Marhold, K. (2008). On the identity of turmeric: Typification of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L. </w:t>
      </w:r>
      <w:r w:rsidDel="00000000" w:rsidR="00000000" w:rsidRPr="00000000">
        <w:rPr>
          <w:rFonts w:ascii="Times New Roman" w:cs="Times New Roman" w:eastAsia="Times New Roman" w:hAnsi="Times New Roman"/>
          <w:i w:val="1"/>
          <w:iCs w:val="1"/>
          <w:sz w:val="24"/>
          <w:szCs w:val="24"/>
          <w:rtl w:val="0"/>
        </w:rPr>
        <w:t xml:space="preserve">Botanical Journal of the Linnean Society, 157</w:t>
      </w:r>
      <w:r w:rsidDel="00000000" w:rsidR="00000000" w:rsidRPr="00000000">
        <w:rPr>
          <w:rFonts w:ascii="Times New Roman" w:cs="Times New Roman" w:eastAsia="Times New Roman" w:hAnsi="Times New Roman"/>
          <w:sz w:val="24"/>
          <w:szCs w:val="24"/>
          <w:rtl w:val="0"/>
        </w:rPr>
        <w:t xml:space="preserve">(1), 37–46.</w:t>
      </w:r>
      <w:hyperlink r:id="rId29">
        <w:r w:rsidDel="00000000" w:rsidR="00000000" w:rsidRPr="00000000">
          <w:rPr>
            <w:rFonts w:ascii="Times New Roman" w:cs="Times New Roman" w:eastAsia="Times New Roman" w:hAnsi="Times New Roman"/>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https://doi.org/10.1111/j.1095-8339.2008.00788.x</w:t>
        </w:r>
      </w:hyperlink>
      <w:r w:rsidDel="00000000" w:rsidR="00000000" w:rsidRPr="00000000">
        <w:rPr>
          <w:rtl w:val="0"/>
        </w:rPr>
      </w:r>
    </w:p>
    <w:p w:rsidR="00000000" w:rsidDel="00000000" w:rsidP="00000000" w:rsidRDefault="00000000" w:rsidRPr="00000000" w14:paraId="000000A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S. Y., Yuan, W., Deng, G. R., Wang, P., et al. (2011). Chemical composition and product quality control of turmeric. </w:t>
      </w:r>
      <w:r w:rsidDel="00000000" w:rsidR="00000000" w:rsidRPr="00000000">
        <w:rPr>
          <w:rFonts w:ascii="Times New Roman" w:cs="Times New Roman" w:eastAsia="Times New Roman" w:hAnsi="Times New Roman"/>
          <w:i w:val="1"/>
          <w:iCs w:val="1"/>
          <w:sz w:val="24"/>
          <w:szCs w:val="24"/>
          <w:rtl w:val="0"/>
        </w:rPr>
        <w:t xml:space="preserve">Pharmaceutical Crops, 2</w:t>
      </w:r>
      <w:r w:rsidDel="00000000" w:rsidR="00000000" w:rsidRPr="00000000">
        <w:rPr>
          <w:rFonts w:ascii="Times New Roman" w:cs="Times New Roman" w:eastAsia="Times New Roman" w:hAnsi="Times New Roman"/>
          <w:sz w:val="24"/>
          <w:szCs w:val="24"/>
          <w:rtl w:val="0"/>
        </w:rPr>
        <w:t xml:space="preserve">, 28–54.</w:t>
      </w:r>
    </w:p>
    <w:p w:rsidR="00000000" w:rsidDel="00000000" w:rsidP="00000000" w:rsidRDefault="00000000" w:rsidRPr="00000000" w14:paraId="000000A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Liao, V. H., Yu, C. W., Chu, Y. J., Li, W. H., Hsieh, Y. C., &amp; Wang, T. T. (2011). Curcumin-mediated lifespan extension. </w:t>
      </w:r>
      <w:r w:rsidDel="00000000" w:rsidR="00000000" w:rsidRPr="00000000">
        <w:rPr>
          <w:rFonts w:ascii="Times New Roman" w:cs="Times New Roman" w:eastAsia="Times New Roman" w:hAnsi="Times New Roman"/>
          <w:i w:val="1"/>
          <w:iCs w:val="1"/>
          <w:sz w:val="24"/>
          <w:szCs w:val="24"/>
          <w:rtl w:val="0"/>
        </w:rPr>
        <w:t xml:space="preserve">Mechanisms of Ageing and Development, 132</w:t>
      </w:r>
      <w:r w:rsidDel="00000000" w:rsidR="00000000" w:rsidRPr="00000000">
        <w:rPr>
          <w:rFonts w:ascii="Times New Roman" w:cs="Times New Roman" w:eastAsia="Times New Roman" w:hAnsi="Times New Roman"/>
          <w:sz w:val="24"/>
          <w:szCs w:val="24"/>
          <w:rtl w:val="0"/>
        </w:rPr>
        <w:t xml:space="preserve">(10), 480–487.</w:t>
      </w:r>
    </w:p>
    <w:p w:rsidR="00000000" w:rsidDel="00000000" w:rsidP="00000000" w:rsidRDefault="00000000" w:rsidRPr="00000000" w14:paraId="000000A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Mahady, G. B., Pendland, S. L., Yun, G., &amp; Lu, Z. Z. (2002). Turmeric inhibits </w:t>
      </w:r>
      <w:r w:rsidDel="00000000" w:rsidR="00000000" w:rsidRPr="00000000">
        <w:rPr>
          <w:rFonts w:ascii="Times New Roman" w:cs="Times New Roman" w:eastAsia="Times New Roman" w:hAnsi="Times New Roman"/>
          <w:i w:val="1"/>
          <w:iCs w:val="1"/>
          <w:sz w:val="24"/>
          <w:szCs w:val="24"/>
          <w:rtl w:val="0"/>
        </w:rPr>
        <w:t xml:space="preserve">Helicobacter pylori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Anticancer Research, 22</w:t>
      </w:r>
      <w:r w:rsidDel="00000000" w:rsidR="00000000" w:rsidRPr="00000000">
        <w:rPr>
          <w:rFonts w:ascii="Times New Roman" w:cs="Times New Roman" w:eastAsia="Times New Roman" w:hAnsi="Times New Roman"/>
          <w:sz w:val="24"/>
          <w:szCs w:val="24"/>
          <w:rtl w:val="0"/>
        </w:rPr>
        <w:t xml:space="preserve">(6C), 4179–4181.</w:t>
      </w:r>
    </w:p>
    <w:p w:rsidR="00000000" w:rsidDel="00000000" w:rsidP="00000000" w:rsidRDefault="00000000" w:rsidRPr="00000000" w14:paraId="000000A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McClatchey, W. (1993). Traditional use of </w:t>
      </w:r>
      <w:r w:rsidDel="00000000" w:rsidR="00000000" w:rsidRPr="00000000">
        <w:rPr>
          <w:rFonts w:ascii="Times New Roman" w:cs="Times New Roman" w:eastAsia="Times New Roman" w:hAnsi="Times New Roman"/>
          <w:i w:val="1"/>
          <w:iCs w:val="1"/>
          <w:sz w:val="24"/>
          <w:szCs w:val="24"/>
          <w:rtl w:val="0"/>
        </w:rPr>
        <w:t xml:space="preserve">Curcuma longa</w:t>
      </w:r>
      <w:r w:rsidDel="00000000" w:rsidR="00000000" w:rsidRPr="00000000">
        <w:rPr>
          <w:rFonts w:ascii="Times New Roman" w:cs="Times New Roman" w:eastAsia="Times New Roman" w:hAnsi="Times New Roman"/>
          <w:sz w:val="24"/>
          <w:szCs w:val="24"/>
          <w:rtl w:val="0"/>
        </w:rPr>
        <w:t xml:space="preserve"> in Rotuma. </w:t>
      </w:r>
      <w:r w:rsidDel="00000000" w:rsidR="00000000" w:rsidRPr="00000000">
        <w:rPr>
          <w:rFonts w:ascii="Times New Roman" w:cs="Times New Roman" w:eastAsia="Times New Roman" w:hAnsi="Times New Roman"/>
          <w:i w:val="1"/>
          <w:iCs w:val="1"/>
          <w:sz w:val="24"/>
          <w:szCs w:val="24"/>
          <w:rtl w:val="0"/>
        </w:rPr>
        <w:t xml:space="preserve">Economic Botany, 47</w:t>
      </w:r>
      <w:r w:rsidDel="00000000" w:rsidR="00000000" w:rsidRPr="00000000">
        <w:rPr>
          <w:rFonts w:ascii="Times New Roman" w:cs="Times New Roman" w:eastAsia="Times New Roman" w:hAnsi="Times New Roman"/>
          <w:sz w:val="24"/>
          <w:szCs w:val="24"/>
          <w:rtl w:val="0"/>
        </w:rPr>
        <w:t xml:space="preserve">(3), 291–296.</w:t>
      </w:r>
    </w:p>
    <w:p w:rsidR="00000000" w:rsidDel="00000000" w:rsidP="00000000" w:rsidRDefault="00000000" w:rsidRPr="00000000" w14:paraId="000000A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H. S., Khadrawy, Y. A., El-Sherbini, T. M., &amp; Amer, H. M. (2019). Antidepressant efficacy of nanocurcumin. </w:t>
      </w:r>
      <w:r w:rsidDel="00000000" w:rsidR="00000000" w:rsidRPr="00000000">
        <w:rPr>
          <w:rFonts w:ascii="Times New Roman" w:cs="Times New Roman" w:eastAsia="Times New Roman" w:hAnsi="Times New Roman"/>
          <w:i w:val="1"/>
          <w:iCs w:val="1"/>
          <w:sz w:val="24"/>
          <w:szCs w:val="24"/>
          <w:rtl w:val="0"/>
        </w:rPr>
        <w:t xml:space="preserve">Applied Biochemistry and Biotechnology, 187</w:t>
      </w:r>
      <w:r w:rsidDel="00000000" w:rsidR="00000000" w:rsidRPr="00000000">
        <w:rPr>
          <w:rFonts w:ascii="Times New Roman" w:cs="Times New Roman" w:eastAsia="Times New Roman" w:hAnsi="Times New Roman"/>
          <w:sz w:val="24"/>
          <w:szCs w:val="24"/>
          <w:rtl w:val="0"/>
        </w:rPr>
        <w:t xml:space="preserve">(3), 1096–1112.</w:t>
      </w:r>
    </w:p>
    <w:p w:rsidR="00000000" w:rsidDel="00000000" w:rsidP="00000000" w:rsidRDefault="00000000" w:rsidRPr="00000000" w14:paraId="000000A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Nair, K. P. (2013). </w:t>
      </w:r>
      <w:r w:rsidDel="00000000" w:rsidR="00000000" w:rsidRPr="00000000">
        <w:rPr>
          <w:rFonts w:ascii="Times New Roman" w:cs="Times New Roman" w:eastAsia="Times New Roman" w:hAnsi="Times New Roman"/>
          <w:i w:val="1"/>
          <w:iCs w:val="1"/>
          <w:sz w:val="24"/>
          <w:szCs w:val="24"/>
          <w:rtl w:val="0"/>
        </w:rPr>
        <w:t xml:space="preserve">The agronomy and economy of turmeric and ginger</w:t>
      </w:r>
      <w:r w:rsidDel="00000000" w:rsidR="00000000" w:rsidRPr="00000000">
        <w:rPr>
          <w:rFonts w:ascii="Times New Roman" w:cs="Times New Roman" w:eastAsia="Times New Roman" w:hAnsi="Times New Roman"/>
          <w:sz w:val="24"/>
          <w:szCs w:val="24"/>
          <w:rtl w:val="0"/>
        </w:rPr>
        <w:t xml:space="preserve">. Newnes.</w:t>
      </w:r>
    </w:p>
    <w:p w:rsidR="00000000" w:rsidDel="00000000" w:rsidP="00000000" w:rsidRDefault="00000000" w:rsidRPr="00000000" w14:paraId="000000AF">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Nelson, K. M., Dahlin, J. L., Bisson, J., et al. (2017). The essential medicinal chemistry of curcumin. </w:t>
      </w:r>
      <w:r w:rsidDel="00000000" w:rsidR="00000000" w:rsidRPr="00000000">
        <w:rPr>
          <w:rFonts w:ascii="Times New Roman" w:cs="Times New Roman" w:eastAsia="Times New Roman" w:hAnsi="Times New Roman"/>
          <w:i w:val="1"/>
          <w:iCs w:val="1"/>
          <w:sz w:val="24"/>
          <w:szCs w:val="24"/>
          <w:rtl w:val="0"/>
        </w:rPr>
        <w:t xml:space="preserve">Journal of Medicinal Chemistry, 60</w:t>
      </w:r>
      <w:r w:rsidDel="00000000" w:rsidR="00000000" w:rsidRPr="00000000">
        <w:rPr>
          <w:rFonts w:ascii="Times New Roman" w:cs="Times New Roman" w:eastAsia="Times New Roman" w:hAnsi="Times New Roman"/>
          <w:sz w:val="24"/>
          <w:szCs w:val="24"/>
          <w:rtl w:val="0"/>
        </w:rPr>
        <w:t xml:space="preserve">(5), 1620–1637.</w:t>
      </w:r>
      <w:hyperlink r:id="rId31">
        <w:r w:rsidDel="00000000" w:rsidR="00000000" w:rsidRPr="00000000">
          <w:rPr>
            <w:rFonts w:ascii="Times New Roman" w:cs="Times New Roman" w:eastAsia="Times New Roman" w:hAnsi="Times New Roman"/>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https://doi.org/10.1021/acs.jmedchem.6b00975</w:t>
        </w:r>
      </w:hyperlink>
      <w:r w:rsidDel="00000000" w:rsidR="00000000" w:rsidRPr="00000000">
        <w:rPr>
          <w:rtl w:val="0"/>
        </w:rPr>
      </w:r>
    </w:p>
    <w:p w:rsidR="00000000" w:rsidDel="00000000" w:rsidP="00000000" w:rsidRDefault="00000000" w:rsidRPr="00000000" w14:paraId="000000B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Neelofar, K., Shreaz, S., Rimple, B., Muralidhar, S., Nikhat, M., &amp; Khan, L. A. (2011). Curcumin as an anticandidal agent. </w:t>
      </w:r>
      <w:r w:rsidDel="00000000" w:rsidR="00000000" w:rsidRPr="00000000">
        <w:rPr>
          <w:rFonts w:ascii="Times New Roman" w:cs="Times New Roman" w:eastAsia="Times New Roman" w:hAnsi="Times New Roman"/>
          <w:i w:val="1"/>
          <w:iCs w:val="1"/>
          <w:sz w:val="24"/>
          <w:szCs w:val="24"/>
          <w:rtl w:val="0"/>
        </w:rPr>
        <w:t xml:space="preserve">Canadian Journal of Microbiology, 57</w:t>
      </w:r>
      <w:r w:rsidDel="00000000" w:rsidR="00000000" w:rsidRPr="00000000">
        <w:rPr>
          <w:rFonts w:ascii="Times New Roman" w:cs="Times New Roman" w:eastAsia="Times New Roman" w:hAnsi="Times New Roman"/>
          <w:sz w:val="24"/>
          <w:szCs w:val="24"/>
          <w:rtl w:val="0"/>
        </w:rPr>
        <w:t xml:space="preserve">(3), 204–210.</w:t>
      </w:r>
    </w:p>
    <w:p w:rsidR="00000000" w:rsidDel="00000000" w:rsidP="00000000" w:rsidRDefault="00000000" w:rsidRPr="00000000" w14:paraId="000000B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Nisar, T., Iqbal, M., Raza, A., Safdar, M., Iftikhar, F., &amp; Waheed, M. (2015). Estimation of phenolics in turmeric. </w:t>
      </w:r>
      <w:r w:rsidDel="00000000" w:rsidR="00000000" w:rsidRPr="00000000">
        <w:rPr>
          <w:rFonts w:ascii="Times New Roman" w:cs="Times New Roman" w:eastAsia="Times New Roman" w:hAnsi="Times New Roman"/>
          <w:i w:val="1"/>
          <w:iCs w:val="1"/>
          <w:sz w:val="24"/>
          <w:szCs w:val="24"/>
          <w:rtl w:val="0"/>
        </w:rPr>
        <w:t xml:space="preserve">Environmental Science, 15</w:t>
      </w:r>
      <w:r w:rsidDel="00000000" w:rsidR="00000000" w:rsidRPr="00000000">
        <w:rPr>
          <w:rFonts w:ascii="Times New Roman" w:cs="Times New Roman" w:eastAsia="Times New Roman" w:hAnsi="Times New Roman"/>
          <w:sz w:val="24"/>
          <w:szCs w:val="24"/>
          <w:rtl w:val="0"/>
        </w:rPr>
        <w:t xml:space="preserve">(7), 1272–1277.</w:t>
      </w:r>
    </w:p>
    <w:p w:rsidR="00000000" w:rsidDel="00000000" w:rsidP="00000000" w:rsidRDefault="00000000" w:rsidRPr="00000000" w14:paraId="000000B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Nishiyama, T., Mae, T., Kishida, H., et al. (2005). Suppression of blood glucose by curcuminoids. </w:t>
      </w:r>
      <w:r w:rsidDel="00000000" w:rsidR="00000000" w:rsidRPr="00000000">
        <w:rPr>
          <w:rFonts w:ascii="Times New Roman" w:cs="Times New Roman" w:eastAsia="Times New Roman" w:hAnsi="Times New Roman"/>
          <w:i w:val="1"/>
          <w:iCs w:val="1"/>
          <w:sz w:val="24"/>
          <w:szCs w:val="24"/>
          <w:rtl w:val="0"/>
        </w:rPr>
        <w:t xml:space="preserve">Journal of Agricultural and Food Chemistry, 53</w:t>
      </w:r>
      <w:r w:rsidDel="00000000" w:rsidR="00000000" w:rsidRPr="00000000">
        <w:rPr>
          <w:rFonts w:ascii="Times New Roman" w:cs="Times New Roman" w:eastAsia="Times New Roman" w:hAnsi="Times New Roman"/>
          <w:sz w:val="24"/>
          <w:szCs w:val="24"/>
          <w:rtl w:val="0"/>
        </w:rPr>
        <w:t xml:space="preserve">(4), 959–963.</w:t>
      </w:r>
    </w:p>
    <w:p w:rsidR="00000000" w:rsidDel="00000000" w:rsidP="00000000" w:rsidRDefault="00000000" w:rsidRPr="00000000" w14:paraId="000000B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Paranjpe, P., &amp; Pranjpe, S. (2001). </w:t>
      </w:r>
      <w:r w:rsidDel="00000000" w:rsidR="00000000" w:rsidRPr="00000000">
        <w:rPr>
          <w:rFonts w:ascii="Times New Roman" w:cs="Times New Roman" w:eastAsia="Times New Roman" w:hAnsi="Times New Roman"/>
          <w:i w:val="1"/>
          <w:iCs w:val="1"/>
          <w:sz w:val="24"/>
          <w:szCs w:val="24"/>
          <w:rtl w:val="0"/>
        </w:rPr>
        <w:t xml:space="preserve">Herbs for beauty</w:t>
      </w:r>
      <w:r w:rsidDel="00000000" w:rsidR="00000000" w:rsidRPr="00000000">
        <w:rPr>
          <w:rFonts w:ascii="Times New Roman" w:cs="Times New Roman" w:eastAsia="Times New Roman" w:hAnsi="Times New Roman"/>
          <w:sz w:val="24"/>
          <w:szCs w:val="24"/>
          <w:rtl w:val="0"/>
        </w:rPr>
        <w:t xml:space="preserve">. Chaukhamba Sanskrit Prathisthan.</w:t>
      </w:r>
    </w:p>
    <w:p w:rsidR="00000000" w:rsidDel="00000000" w:rsidP="00000000" w:rsidRDefault="00000000" w:rsidRPr="00000000" w14:paraId="000000B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Pfeiffer, E., Huhle, S., Solyom, A., &amp; Metzler, M. (2003). Stability of turmeric constituents. </w:t>
      </w:r>
      <w:r w:rsidDel="00000000" w:rsidR="00000000" w:rsidRPr="00000000">
        <w:rPr>
          <w:rFonts w:ascii="Times New Roman" w:cs="Times New Roman" w:eastAsia="Times New Roman" w:hAnsi="Times New Roman"/>
          <w:i w:val="1"/>
          <w:iCs w:val="1"/>
          <w:sz w:val="24"/>
          <w:szCs w:val="24"/>
          <w:rtl w:val="0"/>
        </w:rPr>
        <w:t xml:space="preserve">Journal of Food Engineering, 56</w:t>
      </w:r>
      <w:r w:rsidDel="00000000" w:rsidR="00000000" w:rsidRPr="00000000">
        <w:rPr>
          <w:rFonts w:ascii="Times New Roman" w:cs="Times New Roman" w:eastAsia="Times New Roman" w:hAnsi="Times New Roman"/>
          <w:sz w:val="24"/>
          <w:szCs w:val="24"/>
          <w:rtl w:val="0"/>
        </w:rPr>
        <w:t xml:space="preserve">, 257–259.</w:t>
      </w:r>
    </w:p>
    <w:p w:rsidR="00000000" w:rsidDel="00000000" w:rsidP="00000000" w:rsidRDefault="00000000" w:rsidRPr="00000000" w14:paraId="000000B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Qi, X. J., Liu, X. Y., Tang, L. M., Li, P. F., Qiu, F., &amp; Yang, A. H. (2020). Curcumin nasal delivery system. </w:t>
      </w:r>
      <w:r w:rsidDel="00000000" w:rsidR="00000000" w:rsidRPr="00000000">
        <w:rPr>
          <w:rFonts w:ascii="Times New Roman" w:cs="Times New Roman" w:eastAsia="Times New Roman" w:hAnsi="Times New Roman"/>
          <w:i w:val="1"/>
          <w:iCs w:val="1"/>
          <w:sz w:val="24"/>
          <w:szCs w:val="24"/>
          <w:rtl w:val="0"/>
        </w:rPr>
        <w:t xml:space="preserve">Pharmaceutical Development and Technology, 25</w:t>
      </w:r>
      <w:r w:rsidDel="00000000" w:rsidR="00000000" w:rsidRPr="00000000">
        <w:rPr>
          <w:rFonts w:ascii="Times New Roman" w:cs="Times New Roman" w:eastAsia="Times New Roman" w:hAnsi="Times New Roman"/>
          <w:sz w:val="24"/>
          <w:szCs w:val="24"/>
          <w:rtl w:val="0"/>
        </w:rPr>
        <w:t xml:space="preserve">(3), 316–325.</w:t>
      </w:r>
    </w:p>
    <w:p w:rsidR="00000000" w:rsidDel="00000000" w:rsidP="00000000" w:rsidRDefault="00000000" w:rsidRPr="00000000" w14:paraId="000000B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Qin, S., Huang, L., Gong, J., Shen, S., Huang, J., &amp; Ren, H. (2017). Curcumin and lipid levels: Meta-analysis. </w:t>
      </w:r>
      <w:r w:rsidDel="00000000" w:rsidR="00000000" w:rsidRPr="00000000">
        <w:rPr>
          <w:rFonts w:ascii="Times New Roman" w:cs="Times New Roman" w:eastAsia="Times New Roman" w:hAnsi="Times New Roman"/>
          <w:i w:val="1"/>
          <w:iCs w:val="1"/>
          <w:sz w:val="24"/>
          <w:szCs w:val="24"/>
          <w:rtl w:val="0"/>
        </w:rPr>
        <w:t xml:space="preserve">Nutrition Journal, 16</w:t>
      </w:r>
      <w:r w:rsidDel="00000000" w:rsidR="00000000" w:rsidRPr="00000000">
        <w:rPr>
          <w:rFonts w:ascii="Times New Roman" w:cs="Times New Roman" w:eastAsia="Times New Roman" w:hAnsi="Times New Roman"/>
          <w:sz w:val="24"/>
          <w:szCs w:val="24"/>
          <w:rtl w:val="0"/>
        </w:rPr>
        <w:t xml:space="preserve">, 68.</w:t>
      </w:r>
    </w:p>
    <w:p w:rsidR="00000000" w:rsidDel="00000000" w:rsidP="00000000" w:rsidRDefault="00000000" w:rsidRPr="00000000" w14:paraId="000000B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Rafatullah, S., Tariq, M., Al-Yahya, M. A., Mossa, J. S., &amp; Ageel, A. M. (1990). Antiulcer activity of turmeric. </w:t>
      </w:r>
      <w:r w:rsidDel="00000000" w:rsidR="00000000" w:rsidRPr="00000000">
        <w:rPr>
          <w:rFonts w:ascii="Times New Roman" w:cs="Times New Roman" w:eastAsia="Times New Roman" w:hAnsi="Times New Roman"/>
          <w:i w:val="1"/>
          <w:iCs w:val="1"/>
          <w:sz w:val="24"/>
          <w:szCs w:val="24"/>
          <w:rtl w:val="0"/>
        </w:rPr>
        <w:t xml:space="preserve">Journal of Ethnopharmacology, 29</w:t>
      </w:r>
      <w:r w:rsidDel="00000000" w:rsidR="00000000" w:rsidRPr="00000000">
        <w:rPr>
          <w:rFonts w:ascii="Times New Roman" w:cs="Times New Roman" w:eastAsia="Times New Roman" w:hAnsi="Times New Roman"/>
          <w:sz w:val="24"/>
          <w:szCs w:val="24"/>
          <w:rtl w:val="0"/>
        </w:rPr>
        <w:t xml:space="preserve">(1), 25–34.</w:t>
      </w:r>
    </w:p>
    <w:p w:rsidR="00000000" w:rsidDel="00000000" w:rsidP="00000000" w:rsidRDefault="00000000" w:rsidRPr="00000000" w14:paraId="000000B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Rahimi, R., &amp; Abdollahi, M. (2012). Herbal medicines for IBS. </w:t>
      </w:r>
      <w:r w:rsidDel="00000000" w:rsidR="00000000" w:rsidRPr="00000000">
        <w:rPr>
          <w:rFonts w:ascii="Times New Roman" w:cs="Times New Roman" w:eastAsia="Times New Roman" w:hAnsi="Times New Roman"/>
          <w:i w:val="1"/>
          <w:iCs w:val="1"/>
          <w:sz w:val="24"/>
          <w:szCs w:val="24"/>
          <w:rtl w:val="0"/>
        </w:rPr>
        <w:t xml:space="preserve">World Journal of Gastroenterology, 18</w:t>
      </w:r>
      <w:r w:rsidDel="00000000" w:rsidR="00000000" w:rsidRPr="00000000">
        <w:rPr>
          <w:rFonts w:ascii="Times New Roman" w:cs="Times New Roman" w:eastAsia="Times New Roman" w:hAnsi="Times New Roman"/>
          <w:sz w:val="24"/>
          <w:szCs w:val="24"/>
          <w:rtl w:val="0"/>
        </w:rPr>
        <w:t xml:space="preserve">(7), 589–600.</w:t>
      </w:r>
    </w:p>
    <w:p w:rsidR="00000000" w:rsidDel="00000000" w:rsidP="00000000" w:rsidRDefault="00000000" w:rsidRPr="00000000" w14:paraId="000000B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 A., Das, M., &amp; Ghosh, B. (2003). Curcumin and airway hyperresponsiveness. </w:t>
      </w:r>
      <w:r w:rsidDel="00000000" w:rsidR="00000000" w:rsidRPr="00000000">
        <w:rPr>
          <w:rFonts w:ascii="Times New Roman" w:cs="Times New Roman" w:eastAsia="Times New Roman" w:hAnsi="Times New Roman"/>
          <w:i w:val="1"/>
          <w:iCs w:val="1"/>
          <w:sz w:val="24"/>
          <w:szCs w:val="24"/>
          <w:rtl w:val="0"/>
        </w:rPr>
        <w:t xml:space="preserve">Biological &amp; Pharmaceutical Bulletin, 26</w:t>
      </w:r>
      <w:r w:rsidDel="00000000" w:rsidR="00000000" w:rsidRPr="00000000">
        <w:rPr>
          <w:rFonts w:ascii="Times New Roman" w:cs="Times New Roman" w:eastAsia="Times New Roman" w:hAnsi="Times New Roman"/>
          <w:sz w:val="24"/>
          <w:szCs w:val="24"/>
          <w:rtl w:val="0"/>
        </w:rPr>
        <w:t xml:space="preserve">(7), 1021–1024.</w:t>
      </w:r>
    </w:p>
    <w:p w:rsidR="00000000" w:rsidDel="00000000" w:rsidP="00000000" w:rsidRDefault="00000000" w:rsidRPr="00000000" w14:paraId="000000B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Ravindran, P. N., Nirmal Babu, K., &amp; Sivaraman, K. (2007). </w:t>
      </w:r>
      <w:r w:rsidDel="00000000" w:rsidR="00000000" w:rsidRPr="00000000">
        <w:rPr>
          <w:rFonts w:ascii="Times New Roman" w:cs="Times New Roman" w:eastAsia="Times New Roman" w:hAnsi="Times New Roman"/>
          <w:i w:val="1"/>
          <w:iCs w:val="1"/>
          <w:sz w:val="24"/>
          <w:szCs w:val="24"/>
          <w:rtl w:val="0"/>
        </w:rPr>
        <w:t xml:space="preserve">Turmeric: The genus Curcuma</w:t>
      </w:r>
      <w:r w:rsidDel="00000000" w:rsidR="00000000" w:rsidRPr="00000000">
        <w:rPr>
          <w:rFonts w:ascii="Times New Roman" w:cs="Times New Roman" w:eastAsia="Times New Roman" w:hAnsi="Times New Roman"/>
          <w:sz w:val="24"/>
          <w:szCs w:val="24"/>
          <w:rtl w:val="0"/>
        </w:rPr>
        <w:t xml:space="preserve">. CRC Press.</w:t>
      </w:r>
    </w:p>
    <w:p w:rsidR="00000000" w:rsidDel="00000000" w:rsidP="00000000" w:rsidRDefault="00000000" w:rsidRPr="00000000" w14:paraId="000000B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Ritsuko, K., &amp; Reid, L. (2007). Proto use of turmeric. John Benjamins.</w:t>
      </w:r>
    </w:p>
    <w:p w:rsidR="00000000" w:rsidDel="00000000" w:rsidP="00000000" w:rsidRDefault="00000000" w:rsidRPr="00000000" w14:paraId="000000BC">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Royal Botanic Gardens Kew. (2021). </w:t>
      </w:r>
      <w:r w:rsidDel="00000000" w:rsidR="00000000" w:rsidRPr="00000000">
        <w:rPr>
          <w:rFonts w:ascii="Times New Roman" w:cs="Times New Roman" w:eastAsia="Times New Roman" w:hAnsi="Times New Roman"/>
          <w:i w:val="1"/>
          <w:iCs w:val="1"/>
          <w:sz w:val="24"/>
          <w:szCs w:val="24"/>
          <w:rtl w:val="0"/>
        </w:rPr>
        <w:t xml:space="preserve">Curcuma longa L.</w:t>
      </w:r>
      <w:r w:rsidDel="00000000" w:rsidR="00000000" w:rsidRPr="00000000">
        <w:rPr>
          <w:rFonts w:ascii="Times New Roman" w:cs="Times New Roman" w:eastAsia="Times New Roman" w:hAnsi="Times New Roman"/>
          <w:sz w:val="24"/>
          <w:szCs w:val="24"/>
          <w:rtl w:val="0"/>
        </w:rPr>
        <w:t xml:space="preserve"> Retrieved from</w:t>
      </w:r>
      <w:hyperlink r:id="rId33">
        <w:r w:rsidDel="00000000" w:rsidR="00000000" w:rsidRPr="00000000">
          <w:rPr>
            <w:rFonts w:ascii="Times New Roman" w:cs="Times New Roman" w:eastAsia="Times New Roman" w:hAnsi="Times New Roman"/>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http://powo.science.kew.org</w:t>
        </w:r>
      </w:hyperlink>
      <w:r w:rsidDel="00000000" w:rsidR="00000000" w:rsidRPr="00000000">
        <w:rPr>
          <w:rtl w:val="0"/>
        </w:rPr>
      </w:r>
    </w:p>
    <w:p w:rsidR="00000000" w:rsidDel="00000000" w:rsidP="00000000" w:rsidRDefault="00000000" w:rsidRPr="00000000" w14:paraId="000000B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Salehi, B., Del Prado-Audelo, M. L., Cortés, H., et al. (2020). Curcumin nanomedicine. </w:t>
      </w:r>
      <w:r w:rsidDel="00000000" w:rsidR="00000000" w:rsidRPr="00000000">
        <w:rPr>
          <w:rFonts w:ascii="Times New Roman" w:cs="Times New Roman" w:eastAsia="Times New Roman" w:hAnsi="Times New Roman"/>
          <w:i w:val="1"/>
          <w:iCs w:val="1"/>
          <w:sz w:val="24"/>
          <w:szCs w:val="24"/>
          <w:rtl w:val="0"/>
        </w:rPr>
        <w:t xml:space="preserve">Journal of Clinical Medicine, 9</w:t>
      </w:r>
      <w:r w:rsidDel="00000000" w:rsidR="00000000" w:rsidRPr="00000000">
        <w:rPr>
          <w:rFonts w:ascii="Times New Roman" w:cs="Times New Roman" w:eastAsia="Times New Roman" w:hAnsi="Times New Roman"/>
          <w:sz w:val="24"/>
          <w:szCs w:val="24"/>
          <w:rtl w:val="0"/>
        </w:rPr>
        <w:t xml:space="preserve">(3), 746.</w:t>
      </w:r>
    </w:p>
    <w:p w:rsidR="00000000" w:rsidDel="00000000" w:rsidP="00000000" w:rsidRDefault="00000000" w:rsidRPr="00000000" w14:paraId="000000B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Sandur, S. K., Pandey, M. K., Sung, B., et al. (2007). Anti-inflammatory responses of curcuminoids. </w:t>
      </w:r>
      <w:r w:rsidDel="00000000" w:rsidR="00000000" w:rsidRPr="00000000">
        <w:rPr>
          <w:rFonts w:ascii="Times New Roman" w:cs="Times New Roman" w:eastAsia="Times New Roman" w:hAnsi="Times New Roman"/>
          <w:i w:val="1"/>
          <w:iCs w:val="1"/>
          <w:sz w:val="24"/>
          <w:szCs w:val="24"/>
          <w:rtl w:val="0"/>
        </w:rPr>
        <w:t xml:space="preserve">Carcinogenesis, 28</w:t>
      </w:r>
      <w:r w:rsidDel="00000000" w:rsidR="00000000" w:rsidRPr="00000000">
        <w:rPr>
          <w:rFonts w:ascii="Times New Roman" w:cs="Times New Roman" w:eastAsia="Times New Roman" w:hAnsi="Times New Roman"/>
          <w:sz w:val="24"/>
          <w:szCs w:val="24"/>
          <w:rtl w:val="0"/>
        </w:rPr>
        <w:t xml:space="preserve">(8), 1765–1773.</w:t>
      </w:r>
    </w:p>
    <w:p w:rsidR="00000000" w:rsidDel="00000000" w:rsidP="00000000" w:rsidRDefault="00000000" w:rsidRPr="00000000" w14:paraId="000000B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Sharma, M., Manoharlal, R., Negi, A. S., &amp; Prasad, R. (2010). Anticandidal activity of curcumin. </w:t>
      </w:r>
      <w:r w:rsidDel="00000000" w:rsidR="00000000" w:rsidRPr="00000000">
        <w:rPr>
          <w:rFonts w:ascii="Times New Roman" w:cs="Times New Roman" w:eastAsia="Times New Roman" w:hAnsi="Times New Roman"/>
          <w:i w:val="1"/>
          <w:iCs w:val="1"/>
          <w:sz w:val="24"/>
          <w:szCs w:val="24"/>
          <w:rtl w:val="0"/>
        </w:rPr>
        <w:t xml:space="preserve">FEMS Yeast Research, 10</w:t>
      </w:r>
      <w:r w:rsidDel="00000000" w:rsidR="00000000" w:rsidRPr="00000000">
        <w:rPr>
          <w:rFonts w:ascii="Times New Roman" w:cs="Times New Roman" w:eastAsia="Times New Roman" w:hAnsi="Times New Roman"/>
          <w:sz w:val="24"/>
          <w:szCs w:val="24"/>
          <w:rtl w:val="0"/>
        </w:rPr>
        <w:t xml:space="preserve">(5), 570–578.</w:t>
      </w:r>
    </w:p>
    <w:p w:rsidR="00000000" w:rsidDel="00000000" w:rsidP="00000000" w:rsidRDefault="00000000" w:rsidRPr="00000000" w14:paraId="000000C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Sharma, P. V. (2000). </w:t>
      </w:r>
      <w:r w:rsidDel="00000000" w:rsidR="00000000" w:rsidRPr="00000000">
        <w:rPr>
          <w:rFonts w:ascii="Times New Roman" w:cs="Times New Roman" w:eastAsia="Times New Roman" w:hAnsi="Times New Roman"/>
          <w:i w:val="1"/>
          <w:iCs w:val="1"/>
          <w:sz w:val="24"/>
          <w:szCs w:val="24"/>
          <w:rtl w:val="0"/>
        </w:rPr>
        <w:t xml:space="preserve">Namarupajnanam</w:t>
      </w:r>
      <w:r w:rsidDel="00000000" w:rsidR="00000000" w:rsidRPr="00000000">
        <w:rPr>
          <w:rFonts w:ascii="Times New Roman" w:cs="Times New Roman" w:eastAsia="Times New Roman" w:hAnsi="Times New Roman"/>
          <w:sz w:val="24"/>
          <w:szCs w:val="24"/>
          <w:rtl w:val="0"/>
        </w:rPr>
        <w:t xml:space="preserve">. Satyapriya Prakashan.</w:t>
      </w:r>
    </w:p>
    <w:p w:rsidR="00000000" w:rsidDel="00000000" w:rsidP="00000000" w:rsidRDefault="00000000" w:rsidRPr="00000000" w14:paraId="000000C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Shinde, N., Chauhan, A. S., Gupta, S. K., Bodakhe, S. H., &amp; Pandey, D. P. (2015). Antifertility studies of curcumin. </w:t>
      </w:r>
      <w:r w:rsidDel="00000000" w:rsidR="00000000" w:rsidRPr="00000000">
        <w:rPr>
          <w:rFonts w:ascii="Times New Roman" w:cs="Times New Roman" w:eastAsia="Times New Roman" w:hAnsi="Times New Roman"/>
          <w:i w:val="1"/>
          <w:iCs w:val="1"/>
          <w:sz w:val="24"/>
          <w:szCs w:val="24"/>
          <w:rtl w:val="0"/>
        </w:rPr>
        <w:t xml:space="preserve">Asian Pacific Journal of Reproduction, 4</w:t>
      </w:r>
      <w:r w:rsidDel="00000000" w:rsidR="00000000" w:rsidRPr="00000000">
        <w:rPr>
          <w:rFonts w:ascii="Times New Roman" w:cs="Times New Roman" w:eastAsia="Times New Roman" w:hAnsi="Times New Roman"/>
          <w:sz w:val="24"/>
          <w:szCs w:val="24"/>
          <w:rtl w:val="0"/>
        </w:rPr>
        <w:t xml:space="preserve">(3), 188–194.</w:t>
      </w:r>
    </w:p>
    <w:p w:rsidR="00000000" w:rsidDel="00000000" w:rsidP="00000000" w:rsidRDefault="00000000" w:rsidRPr="00000000" w14:paraId="000000C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Shoskes, D., Lapierre, C., Cruz-Correa, M., et al. (2006). Curcumin in renal transplantation. </w:t>
      </w:r>
      <w:r w:rsidDel="00000000" w:rsidR="00000000" w:rsidRPr="00000000">
        <w:rPr>
          <w:rFonts w:ascii="Times New Roman" w:cs="Times New Roman" w:eastAsia="Times New Roman" w:hAnsi="Times New Roman"/>
          <w:i w:val="1"/>
          <w:iCs w:val="1"/>
          <w:sz w:val="24"/>
          <w:szCs w:val="24"/>
          <w:rtl w:val="0"/>
        </w:rPr>
        <w:t xml:space="preserve">Transplantation, 82</w:t>
      </w:r>
      <w:r w:rsidDel="00000000" w:rsidR="00000000" w:rsidRPr="00000000">
        <w:rPr>
          <w:rFonts w:ascii="Times New Roman" w:cs="Times New Roman" w:eastAsia="Times New Roman" w:hAnsi="Times New Roman"/>
          <w:sz w:val="24"/>
          <w:szCs w:val="24"/>
          <w:rtl w:val="0"/>
        </w:rPr>
        <w:t xml:space="preserve">(5), 715.</w:t>
      </w:r>
    </w:p>
    <w:p w:rsidR="00000000" w:rsidDel="00000000" w:rsidP="00000000" w:rsidRDefault="00000000" w:rsidRPr="00000000" w14:paraId="000000C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Singh, S., &amp; Aggarwal, B. B. (1995). Suppression of NF-kappa B by curcumin. </w:t>
      </w:r>
      <w:r w:rsidDel="00000000" w:rsidR="00000000" w:rsidRPr="00000000">
        <w:rPr>
          <w:rFonts w:ascii="Times New Roman" w:cs="Times New Roman" w:eastAsia="Times New Roman" w:hAnsi="Times New Roman"/>
          <w:i w:val="1"/>
          <w:iCs w:val="1"/>
          <w:sz w:val="24"/>
          <w:szCs w:val="24"/>
          <w:rtl w:val="0"/>
        </w:rPr>
        <w:t xml:space="preserve">Journal of Biological Chemistry, 270</w:t>
      </w:r>
      <w:r w:rsidDel="00000000" w:rsidR="00000000" w:rsidRPr="00000000">
        <w:rPr>
          <w:rFonts w:ascii="Times New Roman" w:cs="Times New Roman" w:eastAsia="Times New Roman" w:hAnsi="Times New Roman"/>
          <w:sz w:val="24"/>
          <w:szCs w:val="24"/>
          <w:rtl w:val="0"/>
        </w:rPr>
        <w:t xml:space="preserve">(42), 24995–25000.</w:t>
      </w:r>
    </w:p>
    <w:p w:rsidR="00000000" w:rsidDel="00000000" w:rsidP="00000000" w:rsidRDefault="00000000" w:rsidRPr="00000000" w14:paraId="000000C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Soleimani, V., Sahebkar, A., &amp; Hosseinzadeh, H. (2018). Safety of turmeric and curcumin. </w:t>
      </w:r>
      <w:r w:rsidDel="00000000" w:rsidR="00000000" w:rsidRPr="00000000">
        <w:rPr>
          <w:rFonts w:ascii="Times New Roman" w:cs="Times New Roman" w:eastAsia="Times New Roman" w:hAnsi="Times New Roman"/>
          <w:i w:val="1"/>
          <w:iCs w:val="1"/>
          <w:sz w:val="24"/>
          <w:szCs w:val="24"/>
          <w:rtl w:val="0"/>
        </w:rPr>
        <w:t xml:space="preserve">Phytotherapy Research, 32</w:t>
      </w:r>
      <w:r w:rsidDel="00000000" w:rsidR="00000000" w:rsidRPr="00000000">
        <w:rPr>
          <w:rFonts w:ascii="Times New Roman" w:cs="Times New Roman" w:eastAsia="Times New Roman" w:hAnsi="Times New Roman"/>
          <w:sz w:val="24"/>
          <w:szCs w:val="24"/>
          <w:rtl w:val="0"/>
        </w:rPr>
        <w:t xml:space="preserve">(6), 985–995.</w:t>
      </w:r>
    </w:p>
    <w:p w:rsidR="00000000" w:rsidDel="00000000" w:rsidP="00000000" w:rsidRDefault="00000000" w:rsidRPr="00000000" w14:paraId="000000C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Somanawat, K., Thong-Ngam, D., &amp; Klaikeaw, N. (2013). Curcumin and hepatitis. </w:t>
      </w:r>
      <w:r w:rsidDel="00000000" w:rsidR="00000000" w:rsidRPr="00000000">
        <w:rPr>
          <w:rFonts w:ascii="Times New Roman" w:cs="Times New Roman" w:eastAsia="Times New Roman" w:hAnsi="Times New Roman"/>
          <w:i w:val="1"/>
          <w:iCs w:val="1"/>
          <w:sz w:val="24"/>
          <w:szCs w:val="24"/>
          <w:rtl w:val="0"/>
        </w:rPr>
        <w:t xml:space="preserve">World Journal of Gastroenterology, 19</w:t>
      </w:r>
      <w:r w:rsidDel="00000000" w:rsidR="00000000" w:rsidRPr="00000000">
        <w:rPr>
          <w:rFonts w:ascii="Times New Roman" w:cs="Times New Roman" w:eastAsia="Times New Roman" w:hAnsi="Times New Roman"/>
          <w:sz w:val="24"/>
          <w:szCs w:val="24"/>
          <w:rtl w:val="0"/>
        </w:rPr>
        <w:t xml:space="preserve">(12), 1962–1967.</w:t>
      </w:r>
    </w:p>
    <w:p w:rsidR="00000000" w:rsidDel="00000000" w:rsidP="00000000" w:rsidRDefault="00000000" w:rsidRPr="00000000" w14:paraId="000000C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Tajbakhsh, S., Mohammadi, K., Deilami, I., et al. (2008). Antibacterial activity of curcumin. </w:t>
      </w:r>
      <w:r w:rsidDel="00000000" w:rsidR="00000000" w:rsidRPr="00000000">
        <w:rPr>
          <w:rFonts w:ascii="Times New Roman" w:cs="Times New Roman" w:eastAsia="Times New Roman" w:hAnsi="Times New Roman"/>
          <w:i w:val="1"/>
          <w:iCs w:val="1"/>
          <w:sz w:val="24"/>
          <w:szCs w:val="24"/>
          <w:rtl w:val="0"/>
        </w:rPr>
        <w:t xml:space="preserve">African Journal of Biotechnology, 7</w:t>
      </w:r>
      <w:r w:rsidDel="00000000" w:rsidR="00000000" w:rsidRPr="00000000">
        <w:rPr>
          <w:rFonts w:ascii="Times New Roman" w:cs="Times New Roman" w:eastAsia="Times New Roman" w:hAnsi="Times New Roman"/>
          <w:sz w:val="24"/>
          <w:szCs w:val="24"/>
          <w:rtl w:val="0"/>
        </w:rPr>
        <w:t xml:space="preserve">(21), 3832–3835.</w:t>
      </w:r>
    </w:p>
    <w:p w:rsidR="00000000" w:rsidDel="00000000" w:rsidP="00000000" w:rsidRDefault="00000000" w:rsidRPr="00000000" w14:paraId="000000C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Thong-Ngam, D., Choochuai, S., Patumraj, S., et al. (2012). Curcumin prevents gastropathy. </w:t>
      </w:r>
      <w:r w:rsidDel="00000000" w:rsidR="00000000" w:rsidRPr="00000000">
        <w:rPr>
          <w:rFonts w:ascii="Times New Roman" w:cs="Times New Roman" w:eastAsia="Times New Roman" w:hAnsi="Times New Roman"/>
          <w:i w:val="1"/>
          <w:iCs w:val="1"/>
          <w:sz w:val="24"/>
          <w:szCs w:val="24"/>
          <w:rtl w:val="0"/>
        </w:rPr>
        <w:t xml:space="preserve">World Journal of Gastroenterology, 18</w:t>
      </w:r>
      <w:r w:rsidDel="00000000" w:rsidR="00000000" w:rsidRPr="00000000">
        <w:rPr>
          <w:rFonts w:ascii="Times New Roman" w:cs="Times New Roman" w:eastAsia="Times New Roman" w:hAnsi="Times New Roman"/>
          <w:sz w:val="24"/>
          <w:szCs w:val="24"/>
          <w:rtl w:val="0"/>
        </w:rPr>
        <w:t xml:space="preserve">(13), 1479–1484.</w:t>
      </w:r>
    </w:p>
    <w:p w:rsidR="00000000" w:rsidDel="00000000" w:rsidP="00000000" w:rsidRDefault="00000000" w:rsidRPr="00000000" w14:paraId="000000C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Pradeep, K., Geervani, P., &amp; Eggum, B. O. (1993). Nutrient composition of Indian spices. </w:t>
      </w:r>
      <w:r w:rsidDel="00000000" w:rsidR="00000000" w:rsidRPr="00000000">
        <w:rPr>
          <w:rFonts w:ascii="Times New Roman" w:cs="Times New Roman" w:eastAsia="Times New Roman" w:hAnsi="Times New Roman"/>
          <w:i w:val="1"/>
          <w:iCs w:val="1"/>
          <w:sz w:val="24"/>
          <w:szCs w:val="24"/>
          <w:rtl w:val="0"/>
        </w:rPr>
        <w:t xml:space="preserve">Plant Foods for Human Nutrition, 44</w:t>
      </w:r>
      <w:r w:rsidDel="00000000" w:rsidR="00000000" w:rsidRPr="00000000">
        <w:rPr>
          <w:rFonts w:ascii="Times New Roman" w:cs="Times New Roman" w:eastAsia="Times New Roman" w:hAnsi="Times New Roman"/>
          <w:sz w:val="24"/>
          <w:szCs w:val="24"/>
          <w:rtl w:val="0"/>
        </w:rPr>
        <w:t xml:space="preserve">(2), 137–148.</w:t>
      </w:r>
    </w:p>
    <w:p w:rsidR="00000000" w:rsidDel="00000000" w:rsidP="00000000" w:rsidRDefault="00000000" w:rsidRPr="00000000" w14:paraId="000000C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Uchio, R., Kawasaki, K., Okuda-Hanafusa, C., et al. (2021). Curcuma extract improves inflammation and mental health. </w:t>
      </w:r>
      <w:r w:rsidDel="00000000" w:rsidR="00000000" w:rsidRPr="00000000">
        <w:rPr>
          <w:rFonts w:ascii="Times New Roman" w:cs="Times New Roman" w:eastAsia="Times New Roman" w:hAnsi="Times New Roman"/>
          <w:i w:val="1"/>
          <w:iCs w:val="1"/>
          <w:sz w:val="24"/>
          <w:szCs w:val="24"/>
          <w:rtl w:val="0"/>
        </w:rPr>
        <w:t xml:space="preserve">Nutrition Journal, 20</w:t>
      </w:r>
      <w:r w:rsidDel="00000000" w:rsidR="00000000" w:rsidRPr="00000000">
        <w:rPr>
          <w:rFonts w:ascii="Times New Roman" w:cs="Times New Roman" w:eastAsia="Times New Roman" w:hAnsi="Times New Roman"/>
          <w:sz w:val="24"/>
          <w:szCs w:val="24"/>
          <w:rtl w:val="0"/>
        </w:rPr>
        <w:t xml:space="preserve">, 91.</w:t>
      </w:r>
    </w:p>
    <w:p w:rsidR="00000000" w:rsidDel="00000000" w:rsidP="00000000" w:rsidRDefault="00000000" w:rsidRPr="00000000" w14:paraId="000000C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Wang, R., Zhang, J. Y., Zhang, M., et al. (2018). Curcumin attenuates myocardial injury. </w:t>
      </w:r>
      <w:r w:rsidDel="00000000" w:rsidR="00000000" w:rsidRPr="00000000">
        <w:rPr>
          <w:rFonts w:ascii="Times New Roman" w:cs="Times New Roman" w:eastAsia="Times New Roman" w:hAnsi="Times New Roman"/>
          <w:i w:val="1"/>
          <w:iCs w:val="1"/>
          <w:sz w:val="24"/>
          <w:szCs w:val="24"/>
          <w:rtl w:val="0"/>
        </w:rPr>
        <w:t xml:space="preserve">European Review for Medical and Pharmacological Sciences, 22</w:t>
      </w:r>
      <w:r w:rsidDel="00000000" w:rsidR="00000000" w:rsidRPr="00000000">
        <w:rPr>
          <w:rFonts w:ascii="Times New Roman" w:cs="Times New Roman" w:eastAsia="Times New Roman" w:hAnsi="Times New Roman"/>
          <w:sz w:val="24"/>
          <w:szCs w:val="24"/>
          <w:rtl w:val="0"/>
        </w:rPr>
        <w:t xml:space="preserve">(4), 1150–1160.</w:t>
      </w:r>
    </w:p>
    <w:p w:rsidR="00000000" w:rsidDel="00000000" w:rsidP="00000000" w:rsidRDefault="00000000" w:rsidRPr="00000000" w14:paraId="000000C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Wickenberg, J., Ingemansson, S. L., &amp; Hlebowicz, J. (2010). Effects of turmeric on glucose and insulin. </w:t>
      </w:r>
      <w:r w:rsidDel="00000000" w:rsidR="00000000" w:rsidRPr="00000000">
        <w:rPr>
          <w:rFonts w:ascii="Times New Roman" w:cs="Times New Roman" w:eastAsia="Times New Roman" w:hAnsi="Times New Roman"/>
          <w:i w:val="1"/>
          <w:iCs w:val="1"/>
          <w:sz w:val="24"/>
          <w:szCs w:val="24"/>
          <w:rtl w:val="0"/>
        </w:rPr>
        <w:t xml:space="preserve">Nutrition Journal, 9</w:t>
      </w:r>
      <w:r w:rsidDel="00000000" w:rsidR="00000000" w:rsidRPr="00000000">
        <w:rPr>
          <w:rFonts w:ascii="Times New Roman" w:cs="Times New Roman" w:eastAsia="Times New Roman" w:hAnsi="Times New Roman"/>
          <w:sz w:val="24"/>
          <w:szCs w:val="24"/>
          <w:rtl w:val="0"/>
        </w:rPr>
        <w:t xml:space="preserve">, 43.</w:t>
      </w:r>
    </w:p>
    <w:p w:rsidR="00000000" w:rsidDel="00000000" w:rsidP="00000000" w:rsidRDefault="00000000" w:rsidRPr="00000000" w14:paraId="000000C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Wuthi-Udomlert, M., Grisanapan, W., Luanratana, O., &amp; Caichompoo, W. (2000). Antifungal activity of turmeric. </w:t>
      </w:r>
      <w:r w:rsidDel="00000000" w:rsidR="00000000" w:rsidRPr="00000000">
        <w:rPr>
          <w:rFonts w:ascii="Times New Roman" w:cs="Times New Roman" w:eastAsia="Times New Roman" w:hAnsi="Times New Roman"/>
          <w:i w:val="1"/>
          <w:iCs w:val="1"/>
          <w:sz w:val="24"/>
          <w:szCs w:val="24"/>
          <w:rtl w:val="0"/>
        </w:rPr>
        <w:t xml:space="preserve">Southeast Asian Journal of Tropical Medicine and Public Health, 31</w:t>
      </w:r>
      <w:r w:rsidDel="00000000" w:rsidR="00000000" w:rsidRPr="00000000">
        <w:rPr>
          <w:rFonts w:ascii="Times New Roman" w:cs="Times New Roman" w:eastAsia="Times New Roman" w:hAnsi="Times New Roman"/>
          <w:sz w:val="24"/>
          <w:szCs w:val="24"/>
          <w:rtl w:val="0"/>
        </w:rPr>
        <w:t xml:space="preserve">, 178–182.</w:t>
      </w:r>
    </w:p>
    <w:p w:rsidR="00000000" w:rsidDel="00000000" w:rsidP="00000000" w:rsidRDefault="00000000" w:rsidRPr="00000000" w14:paraId="000000C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Xia, X., Cheng, G., Pan, Y., et al. (2007). Neurochemical effects of turmeric extract. </w:t>
      </w:r>
      <w:r w:rsidDel="00000000" w:rsidR="00000000" w:rsidRPr="00000000">
        <w:rPr>
          <w:rFonts w:ascii="Times New Roman" w:cs="Times New Roman" w:eastAsia="Times New Roman" w:hAnsi="Times New Roman"/>
          <w:i w:val="1"/>
          <w:iCs w:val="1"/>
          <w:sz w:val="24"/>
          <w:szCs w:val="24"/>
          <w:rtl w:val="0"/>
        </w:rPr>
        <w:t xml:space="preserve">Journal of Ethnopharmacology, 110</w:t>
      </w:r>
      <w:r w:rsidDel="00000000" w:rsidR="00000000" w:rsidRPr="00000000">
        <w:rPr>
          <w:rFonts w:ascii="Times New Roman" w:cs="Times New Roman" w:eastAsia="Times New Roman" w:hAnsi="Times New Roman"/>
          <w:sz w:val="24"/>
          <w:szCs w:val="24"/>
          <w:rtl w:val="0"/>
        </w:rPr>
        <w:t xml:space="preserve">(2), 356–363.</w:t>
      </w:r>
    </w:p>
    <w:p w:rsidR="00000000" w:rsidDel="00000000" w:rsidP="00000000" w:rsidRDefault="00000000" w:rsidRPr="00000000" w14:paraId="000000C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 Z. F., Kong, L. D., &amp; Chen, Y. (2002). Antidepressant activity of turmeric. </w:t>
      </w:r>
      <w:r w:rsidDel="00000000" w:rsidR="00000000" w:rsidRPr="00000000">
        <w:rPr>
          <w:rFonts w:ascii="Times New Roman" w:cs="Times New Roman" w:eastAsia="Times New Roman" w:hAnsi="Times New Roman"/>
          <w:i w:val="1"/>
          <w:iCs w:val="1"/>
          <w:sz w:val="24"/>
          <w:szCs w:val="24"/>
          <w:rtl w:val="0"/>
        </w:rPr>
        <w:t xml:space="preserve">Journal of Ethnopharmacology, 83</w:t>
      </w:r>
      <w:r w:rsidDel="00000000" w:rsidR="00000000" w:rsidRPr="00000000">
        <w:rPr>
          <w:rFonts w:ascii="Times New Roman" w:cs="Times New Roman" w:eastAsia="Times New Roman" w:hAnsi="Times New Roman"/>
          <w:sz w:val="24"/>
          <w:szCs w:val="24"/>
          <w:rtl w:val="0"/>
        </w:rPr>
        <w:t xml:space="preserve">(1–2), 161–165.</w:t>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76" w:lineRule="auto"/>
        <w:rPr>
          <w:rFonts w:ascii="Times New Roman" w:cs="Times New Roman" w:eastAsia="Times New Roman" w:hAnsi="Times New Roman"/>
          <w:b w:val="1"/>
          <w:bCs w:val="1"/>
          <w:color w:val="002060"/>
          <w:sz w:val="28"/>
          <w:szCs w:val="28"/>
          <w:vertAlign w:val="superscript"/>
        </w:rPr>
      </w:pPr>
      <w:r w:rsidDel="00000000" w:rsidR="00000000" w:rsidRPr="00000000">
        <w:rPr>
          <w:rtl w:val="0"/>
        </w:rPr>
      </w:r>
    </w:p>
    <w:p w:rsidR="00000000" w:rsidDel="00000000" w:rsidP="00000000" w:rsidRDefault="00000000" w:rsidRPr="00000000" w14:paraId="000000D1">
      <w:pPr>
        <w:spacing w:line="276" w:lineRule="auto"/>
        <w:rPr>
          <w:rFonts w:ascii="Times New Roman" w:cs="Times New Roman" w:eastAsia="Times New Roman" w:hAnsi="Times New Roman"/>
          <w:b w:val="1"/>
          <w:bCs w:val="1"/>
          <w:color w:val="002060"/>
          <w:sz w:val="28"/>
          <w:szCs w:val="28"/>
          <w:vertAlign w:val="superscript"/>
        </w:rPr>
      </w:pPr>
      <w:r w:rsidDel="00000000" w:rsidR="00000000" w:rsidRPr="00000000">
        <w:rPr>
          <w:rtl w:val="0"/>
        </w:rPr>
      </w:r>
    </w:p>
    <w:p w:rsidR="00000000" w:rsidDel="00000000" w:rsidP="00000000" w:rsidRDefault="00000000" w:rsidRPr="00000000" w14:paraId="000000D2">
      <w:pPr>
        <w:spacing w:line="276" w:lineRule="auto"/>
        <w:jc w:val="both"/>
        <w:rPr>
          <w:rFonts w:ascii="Times New Roman" w:cs="Times New Roman" w:eastAsia="Times New Roman" w:hAnsi="Times New Roman"/>
          <w:b w:val="1"/>
          <w:bCs w:val="1"/>
          <w:color w:val="002060"/>
          <w:sz w:val="24"/>
          <w:szCs w:val="24"/>
          <w:vertAlign w:val="superscript"/>
        </w:rPr>
      </w:pPr>
      <w:r w:rsidDel="00000000" w:rsidR="00000000" w:rsidRPr="00000000">
        <w:rPr>
          <w:rtl w:val="0"/>
        </w:rPr>
      </w:r>
    </w:p>
    <w:p w:rsidR="00000000" w:rsidDel="00000000" w:rsidP="00000000" w:rsidRDefault="00000000" w:rsidRPr="00000000" w14:paraId="000000D3">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D7">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276"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D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276" w:lineRule="auto"/>
        <w:jc w:val="both"/>
        <w:rPr>
          <w:rFonts w:ascii="Times New Roman" w:cs="Times New Roman" w:eastAsia="Times New Roman" w:hAnsi="Times New Roman"/>
          <w:color w:val="002060"/>
        </w:rPr>
      </w:pPr>
      <w:r w:rsidDel="00000000" w:rsidR="00000000" w:rsidRPr="00000000">
        <w:rPr>
          <w:rtl w:val="0"/>
        </w:rPr>
      </w:r>
    </w:p>
    <w:sectPr>
      <w:headerReference r:id="rId35" w:type="default"/>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3892/mmr.2018.8783" TargetMode="External"/><Relationship Id="rId22" Type="http://schemas.openxmlformats.org/officeDocument/2006/relationships/hyperlink" Target="https://doi.org/10.1016/j.nmni.2021.100861" TargetMode="External"/><Relationship Id="rId21" Type="http://schemas.openxmlformats.org/officeDocument/2006/relationships/hyperlink" Target="https://doi.org/10.1016/j.nmni.2021.100861" TargetMode="External"/><Relationship Id="rId24" Type="http://schemas.openxmlformats.org/officeDocument/2006/relationships/hyperlink" Target="https://doi.org/10.1016/j.phymed.2018.09.194" TargetMode="External"/><Relationship Id="rId23" Type="http://schemas.openxmlformats.org/officeDocument/2006/relationships/hyperlink" Target="https://doi.org/10.1016/j.phymed.2018.09.19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oi.org/10.21577/0100-4042.20170547" TargetMode="External"/><Relationship Id="rId25" Type="http://schemas.openxmlformats.org/officeDocument/2006/relationships/hyperlink" Target="https://doi.org/10.21577/0100-4042.20170547" TargetMode="External"/><Relationship Id="rId28" Type="http://schemas.openxmlformats.org/officeDocument/2006/relationships/hyperlink" Target="https://doi.org/10.1155/2007/89369" TargetMode="External"/><Relationship Id="rId27" Type="http://schemas.openxmlformats.org/officeDocument/2006/relationships/hyperlink" Target="https://doi.org/10.1155/2007/89369"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1111/j.1095-8339.2008.00788.x" TargetMode="External"/><Relationship Id="rId7" Type="http://schemas.openxmlformats.org/officeDocument/2006/relationships/hyperlink" Target="mailto:dr.harshkumargarg2012@gmail.com" TargetMode="External"/><Relationship Id="rId8" Type="http://schemas.openxmlformats.org/officeDocument/2006/relationships/image" Target="media/image9.png"/><Relationship Id="rId31" Type="http://schemas.openxmlformats.org/officeDocument/2006/relationships/hyperlink" Target="https://doi.org/10.1021/acs.jmedchem.6b00975" TargetMode="External"/><Relationship Id="rId30" Type="http://schemas.openxmlformats.org/officeDocument/2006/relationships/hyperlink" Target="https://doi.org/10.1111/j.1095-8339.2008.00788.x" TargetMode="External"/><Relationship Id="rId11" Type="http://schemas.openxmlformats.org/officeDocument/2006/relationships/image" Target="media/image3.png"/><Relationship Id="rId33" Type="http://schemas.openxmlformats.org/officeDocument/2006/relationships/hyperlink" Target="http://powo.science.kew.org/" TargetMode="External"/><Relationship Id="rId10" Type="http://schemas.openxmlformats.org/officeDocument/2006/relationships/image" Target="media/image8.png"/><Relationship Id="rId32" Type="http://schemas.openxmlformats.org/officeDocument/2006/relationships/hyperlink" Target="https://doi.org/10.1021/acs.jmedchem.6b00975" TargetMode="External"/><Relationship Id="rId13" Type="http://schemas.openxmlformats.org/officeDocument/2006/relationships/image" Target="media/image1.png"/><Relationship Id="rId35" Type="http://schemas.openxmlformats.org/officeDocument/2006/relationships/header" Target="header1.xml"/><Relationship Id="rId12" Type="http://schemas.openxmlformats.org/officeDocument/2006/relationships/image" Target="media/image6.png"/><Relationship Id="rId34" Type="http://schemas.openxmlformats.org/officeDocument/2006/relationships/hyperlink" Target="http://powo.science.kew.org/" TargetMode="External"/><Relationship Id="rId15" Type="http://schemas.openxmlformats.org/officeDocument/2006/relationships/image" Target="media/image7.png"/><Relationship Id="rId14" Type="http://schemas.openxmlformats.org/officeDocument/2006/relationships/image" Target="media/image2.png"/><Relationship Id="rId36" Type="http://schemas.openxmlformats.org/officeDocument/2006/relationships/footer" Target="footer1.xml"/><Relationship Id="rId17" Type="http://schemas.openxmlformats.org/officeDocument/2006/relationships/hyperlink" Target="https://doi.org/10.1055/s-2006-960004" TargetMode="External"/><Relationship Id="rId16" Type="http://schemas.openxmlformats.org/officeDocument/2006/relationships/image" Target="media/image5.png"/><Relationship Id="rId19" Type="http://schemas.openxmlformats.org/officeDocument/2006/relationships/hyperlink" Target="https://doi.org/10.3892/mmr.2018.8783" TargetMode="External"/><Relationship Id="rId18" Type="http://schemas.openxmlformats.org/officeDocument/2006/relationships/hyperlink" Target="https://doi.org/10.1055/s-2006-96000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6lPhe/aRB/VpTE8h+eoaQlTBiw==">CgMxLjA4AHIhMXBZaWgzUEszd2tBRkFMc3hQUFZpQ3NFRURYNnh3VUxo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