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8985" w14:textId="77777777" w:rsidR="002D0ACB" w:rsidRDefault="002D0ACB" w:rsidP="00173CCC">
      <w:pPr>
        <w:tabs>
          <w:tab w:val="left" w:pos="5245"/>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AUJ1625</w:t>
      </w:r>
    </w:p>
    <w:p w14:paraId="7FD3DF99" w14:textId="28BF45B9" w:rsidR="00F560B0" w:rsidRPr="008B68CA" w:rsidRDefault="009A472F" w:rsidP="00173CCC">
      <w:pPr>
        <w:tabs>
          <w:tab w:val="left" w:pos="5245"/>
        </w:tabs>
        <w:spacing w:after="0" w:line="276" w:lineRule="auto"/>
        <w:jc w:val="center"/>
        <w:rPr>
          <w:rFonts w:ascii="Times New Roman" w:hAnsi="Times New Roman" w:cs="Times New Roman"/>
          <w:b/>
          <w:bCs/>
          <w:sz w:val="24"/>
          <w:szCs w:val="24"/>
        </w:rPr>
      </w:pPr>
      <w:r w:rsidRPr="008B68CA">
        <w:rPr>
          <w:rFonts w:ascii="Times New Roman" w:hAnsi="Times New Roman" w:cs="Times New Roman"/>
          <w:b/>
          <w:bCs/>
          <w:sz w:val="24"/>
          <w:szCs w:val="24"/>
        </w:rPr>
        <w:t>AGRICULTURE AND TECHNOLOGY: THE RESTORATION OF NIGERIA</w:t>
      </w:r>
      <w:r w:rsidR="00712FE2" w:rsidRPr="008B68CA">
        <w:rPr>
          <w:rFonts w:ascii="Times New Roman" w:hAnsi="Times New Roman" w:cs="Times New Roman"/>
          <w:b/>
          <w:bCs/>
          <w:sz w:val="24"/>
          <w:szCs w:val="24"/>
        </w:rPr>
        <w:t>’S</w:t>
      </w:r>
      <w:r w:rsidRPr="008B68CA">
        <w:rPr>
          <w:rFonts w:ascii="Times New Roman" w:hAnsi="Times New Roman" w:cs="Times New Roman"/>
          <w:b/>
          <w:bCs/>
          <w:sz w:val="24"/>
          <w:szCs w:val="24"/>
        </w:rPr>
        <w:t xml:space="preserve"> ECONOMIC GROWTH</w:t>
      </w:r>
    </w:p>
    <w:p w14:paraId="7E35F2CE" w14:textId="77777777" w:rsidR="00F560B0" w:rsidRPr="008B68CA" w:rsidRDefault="00F560B0" w:rsidP="00173CCC">
      <w:pPr>
        <w:spacing w:line="276" w:lineRule="auto"/>
        <w:rPr>
          <w:rFonts w:ascii="Times New Roman" w:hAnsi="Times New Roman" w:cs="Times New Roman"/>
          <w:b/>
          <w:sz w:val="24"/>
          <w:szCs w:val="24"/>
        </w:rPr>
      </w:pPr>
    </w:p>
    <w:p w14:paraId="1DA91ED1" w14:textId="77777777" w:rsidR="00F560B0" w:rsidRDefault="009A472F" w:rsidP="00173CCC">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Abstract</w:t>
      </w:r>
    </w:p>
    <w:p w14:paraId="7C0FEAA6" w14:textId="3CC5E793" w:rsidR="00F560B0" w:rsidRDefault="00677130" w:rsidP="00173CCC">
      <w:pPr>
        <w:spacing w:line="276" w:lineRule="auto"/>
        <w:jc w:val="both"/>
        <w:rPr>
          <w:rFonts w:ascii="Times New Roman" w:eastAsia="Aptos" w:hAnsi="Times New Roman" w:cs="Times New Roman"/>
          <w:i/>
          <w:iCs/>
          <w:kern w:val="2"/>
          <w:sz w:val="24"/>
          <w:szCs w:val="24"/>
          <w14:ligatures w14:val="standardContextual"/>
        </w:rPr>
      </w:pPr>
      <w:r>
        <w:rPr>
          <w:rFonts w:ascii="Times New Roman" w:eastAsia="Aptos" w:hAnsi="Times New Roman" w:cs="Times New Roman"/>
          <w:i/>
          <w:iCs/>
          <w:kern w:val="2"/>
          <w:sz w:val="24"/>
          <w:szCs w:val="24"/>
          <w14:ligatures w14:val="standardContextual"/>
        </w:rPr>
        <w:t>Nigeria's economic development has historically been intertwined with its agricultural sector, which remains a cornerstone of employment and livelihood for a significant portion of the population. Despite the sector's potential challenges, such as inadequate infrastructure, limited access to modern technology, and insufficient investment in research and development have hindered its contribution to sustained economic growth. In recent years, there has been a growing recognition of the need to integrate technological advancements into agricultural practices to enhance productivity and drive economic expansion. This study investigates the impact of agriculture and technology on Nigeria's economic growth from 1990 to 2023, employing Fully Modified Ordinary Least Squares (FMOLS) and Dynamic Ordinary Least Squares (DOLS) estimation techniques. The findings reveal that agricultural output significantly and positively influences GDP growth in both models, underscoring the sector's pivotal role in the nation's economy. Conversely, research and development (R&amp;D) expenditure has a negative and statistically significant effect on economic growth, suggesting inefficiencies in the current R&amp;D framework. The analysis also indicates that while population growth contributes positively to economic expansion in the FMOLS model, its effect is diminished and statistically insignificant in the DOLS model. Additionally, literacy rates show an insignificant impact on economic growth across both models, highlighting the need for quality and skill-based education reforms. These results emphasize the necessity for targeted investments in agricultural development, educational quality enhancement, and the restructuring of R&amp;D initiatives to foster sustainable economic growth in Nigeria</w:t>
      </w:r>
      <w:r w:rsidR="009A472F">
        <w:rPr>
          <w:rFonts w:ascii="Times New Roman" w:eastAsia="Aptos" w:hAnsi="Times New Roman" w:cs="Times New Roman"/>
          <w:i/>
          <w:iCs/>
          <w:kern w:val="2"/>
          <w:sz w:val="24"/>
          <w:szCs w:val="24"/>
          <w14:ligatures w14:val="standardContextual"/>
        </w:rPr>
        <w:t>.</w:t>
      </w:r>
    </w:p>
    <w:p w14:paraId="09A9E163" w14:textId="77777777" w:rsidR="00F560B0" w:rsidRDefault="00F560B0" w:rsidP="00173CCC">
      <w:pPr>
        <w:spacing w:line="276" w:lineRule="auto"/>
        <w:ind w:firstLine="720"/>
        <w:jc w:val="both"/>
        <w:rPr>
          <w:rFonts w:ascii="Times New Roman" w:eastAsia="Aptos" w:hAnsi="Times New Roman" w:cs="Times New Roman"/>
          <w:i/>
          <w:iCs/>
          <w:kern w:val="2"/>
          <w:sz w:val="24"/>
          <w:szCs w:val="24"/>
          <w14:ligatures w14:val="standardContextual"/>
        </w:rPr>
      </w:pPr>
    </w:p>
    <w:p w14:paraId="553848D6" w14:textId="77777777" w:rsidR="003C25D8" w:rsidRDefault="009A472F" w:rsidP="00173CCC">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i/>
          <w:iCs/>
          <w:kern w:val="2"/>
          <w:sz w:val="24"/>
          <w:szCs w:val="24"/>
          <w14:ligatures w14:val="standardContextual"/>
        </w:rPr>
        <w:t>Keywords: Agricultural output, research and development, literacy rate, population growth, economic growth, Nigeria</w:t>
      </w:r>
    </w:p>
    <w:p w14:paraId="6B4F2A95" w14:textId="77777777" w:rsidR="00E74449" w:rsidRPr="00E74449" w:rsidRDefault="00E74449" w:rsidP="00173CCC">
      <w:pPr>
        <w:spacing w:line="276" w:lineRule="auto"/>
        <w:jc w:val="both"/>
        <w:rPr>
          <w:rFonts w:ascii="Times New Roman" w:eastAsia="Aptos" w:hAnsi="Times New Roman" w:cs="Times New Roman"/>
          <w:kern w:val="2"/>
          <w:sz w:val="24"/>
          <w:szCs w:val="24"/>
          <w14:ligatures w14:val="standardContextual"/>
        </w:rPr>
      </w:pPr>
    </w:p>
    <w:p w14:paraId="57218519" w14:textId="77777777" w:rsidR="00F560B0" w:rsidRDefault="009A472F" w:rsidP="00173CC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Pr>
          <w:rFonts w:ascii="Times New Roman" w:hAnsi="Times New Roman" w:cs="Times New Roman"/>
          <w:b/>
          <w:bCs/>
          <w:sz w:val="24"/>
          <w:szCs w:val="24"/>
          <w:lang w:val="en-GB"/>
        </w:rPr>
        <w:t>Introduction.</w:t>
      </w:r>
    </w:p>
    <w:p w14:paraId="2CE92C1D"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 xml:space="preserve">The main objective of economic policy is economic growth, particularly in developing countries where productivity gains are required to raise living standards and guarantee sustainable development. Increases in productivity in important economic sectors are a critical driver of long-term growth, as researchers have repeatedly noted (Romer, 1990; United Nations, 2023). Technological innovation and agriculture are important because they have an impact on how efficiently resources are used in output. The agricultural sector provides jobs, food, and raw materials for industry in a number of developing nations, and technological advancements increase </w:t>
      </w:r>
      <w:r w:rsidRPr="007B673E">
        <w:rPr>
          <w:rFonts w:ascii="Times New Roman" w:eastAsia="Times New Roman" w:hAnsi="Times New Roman" w:cs="Times New Roman"/>
          <w:sz w:val="24"/>
          <w:szCs w:val="24"/>
          <w:lang w:val="en-GB" w:eastAsia="en-GB"/>
        </w:rPr>
        <w:lastRenderedPageBreak/>
        <w:t>the sector's potential for productivity. A key foundation for both structural change and economic expansion is the interaction of these two elements (World Bank, 2023).</w:t>
      </w:r>
    </w:p>
    <w:p w14:paraId="084E28D5"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072B2FF0"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Economic research recognises technology as a key factor that boosts productivity and promotes economic advancement. According to Romer (1990), technological development produces new knowledge and production techniques that improve labour and capital efficiency and increase an economy's potential for productivity. Technological developments in agriculture enable farmers to use improved production methods that increase yields and reduce inefficiencies. According to the Food and Agriculture Organization (2022), modern agricultural technologies, such as improved crop varieties, precision farming, digital advisory services, and mechanised farming systems, significantly increase agricultural productivity by maximising the use of inputs like labour, water, and fertiliser. These technological developments boost production capacity, improve agricultural efficiency, and eventually promote economic prosperity.</w:t>
      </w:r>
    </w:p>
    <w:p w14:paraId="3B8BEA06"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3981341E" w14:textId="5BBB4D28"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 xml:space="preserve">Another important indicator of economic growth is agricultural output itself, especially in developing nations where agriculture continues to be a significant employer and source of income. According to Johnston and Mellor (1961), agriculture supports economic growth in a number of ways, such as providing food for the populace, supplying raw materials for businesses, and producing revenue that increases demand for goods and services in other industries. This strategy is still supported by recent development research. According to the World Bank (2023), growth in the agricultural sector has a significant multiplier effect in developing nations since it increases rural incomes, promotes non-farm economic activity, and strengthens ties with </w:t>
      </w:r>
      <w:proofErr w:type="spellStart"/>
      <w:r w:rsidRPr="007B673E">
        <w:rPr>
          <w:rFonts w:ascii="Times New Roman" w:eastAsia="Times New Roman" w:hAnsi="Times New Roman" w:cs="Times New Roman"/>
          <w:sz w:val="24"/>
          <w:szCs w:val="24"/>
          <w:lang w:val="en-GB" w:eastAsia="en-GB"/>
        </w:rPr>
        <w:t>agro</w:t>
      </w:r>
      <w:proofErr w:type="spellEnd"/>
      <w:r w:rsidRPr="007B673E">
        <w:rPr>
          <w:rFonts w:ascii="Times New Roman" w:eastAsia="Times New Roman" w:hAnsi="Times New Roman" w:cs="Times New Roman"/>
          <w:sz w:val="24"/>
          <w:szCs w:val="24"/>
          <w:lang w:val="en-GB" w:eastAsia="en-GB"/>
        </w:rPr>
        <w:t>-processing firms. Thus, higher agricultural productivity boosts overall economic activity and directly contributes to the country's income.</w:t>
      </w:r>
    </w:p>
    <w:p w14:paraId="2CB93A57"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58FFF478"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The relationship between agricultural productivity and economic growth is further strengthened by the incorporation of technology into agricultural production. According to Benin (2023), technological advancements in agriculture boost productivity by allowing farmers to use better inputs, obtain market data, and employ efficient farming methods that boost output and lower risks. In a similar vein, the International Food Policy Research Institute (2024) noted that investments in digital extension systems, climate-smart technologies, and agricultural research are strengthening food systems and increasing agricultural productivity in developing economies. Agricultural output becomes more resilient and efficient as a result of these technological advancements, making a more effective contribution to economic growth.</w:t>
      </w:r>
    </w:p>
    <w:p w14:paraId="6E5289C4"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5F26BC22"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 xml:space="preserve">Therefore, one important channel for economic revitalisation is the connection between technology and agriculture. Agriculture produces more, raises rural incomes, and stimulates economic activity in related industries like transportation, processing, and commerce as technological innovation boosts agricultural productivity. By strengthening domestic markets, increasing export opportunities, and improving food security, these accomplishments support </w:t>
      </w:r>
      <w:r w:rsidRPr="007B673E">
        <w:rPr>
          <w:rFonts w:ascii="Times New Roman" w:eastAsia="Times New Roman" w:hAnsi="Times New Roman" w:cs="Times New Roman"/>
          <w:sz w:val="24"/>
          <w:szCs w:val="24"/>
          <w:lang w:val="en-GB" w:eastAsia="en-GB"/>
        </w:rPr>
        <w:lastRenderedPageBreak/>
        <w:t>wider economic growth. Therefore, assessing programs meant to restore and maintain economic performance requires an understanding of how agricultural output and technology affect economic growth. Therefore, the goal of the current study on agriculture and technology, the revival of Nigeria's economic growth, is to examine how technical innovation in the agricultural sector may serve as a catalyst for long-term development and economic recovery.</w:t>
      </w:r>
    </w:p>
    <w:p w14:paraId="6311DECB"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6B0BE71C" w14:textId="5E638267" w:rsidR="006F0F69" w:rsidRDefault="007B673E" w:rsidP="007325C4">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The dynamic relationship between agriculture, technology, and economic growth in Nigeria is examined in this paper. It specifically seeks to investigate the effects of research and development,  spending and agriculture on economic growth as indicated by GDP. The paper is structured as follows in light of this framework: The introduction is given in Section One. The relevant literature on the connections between agriculture, technology, and economic growth is examined in Section 2. The study's methodology and theoretical foundation are examined in Section 3. The data analysis and interpretation of the results are covered in Section Four. The analysis concludes in Section Five, which offers policy suggestions for long-term economic transformation through agricultural technology advancement.</w:t>
      </w:r>
    </w:p>
    <w:p w14:paraId="3B4AEA40" w14:textId="77777777" w:rsidR="007325C4" w:rsidRPr="006F0F69" w:rsidRDefault="007325C4" w:rsidP="007325C4">
      <w:pPr>
        <w:spacing w:after="0" w:line="276" w:lineRule="auto"/>
        <w:jc w:val="both"/>
      </w:pPr>
    </w:p>
    <w:p w14:paraId="022A65EF" w14:textId="77777777" w:rsidR="00F560B0" w:rsidRPr="00E74449" w:rsidRDefault="009A472F" w:rsidP="00173CCC">
      <w:pPr>
        <w:spacing w:after="0" w:line="276" w:lineRule="auto"/>
        <w:jc w:val="both"/>
        <w:rPr>
          <w:rFonts w:ascii="Times New Roman" w:hAnsi="Times New Roman" w:cs="Times New Roman"/>
          <w:b/>
          <w:sz w:val="24"/>
          <w:szCs w:val="24"/>
        </w:rPr>
      </w:pPr>
      <w:r w:rsidRPr="00E74449">
        <w:rPr>
          <w:rFonts w:ascii="Times New Roman" w:hAnsi="Times New Roman" w:cs="Times New Roman"/>
          <w:b/>
          <w:sz w:val="24"/>
          <w:szCs w:val="24"/>
        </w:rPr>
        <w:t>II. Literature Review</w:t>
      </w:r>
    </w:p>
    <w:p w14:paraId="2A0B15EF" w14:textId="77777777" w:rsidR="006F6673" w:rsidRDefault="006F6673" w:rsidP="00173CCC">
      <w:pPr>
        <w:spacing w:line="276" w:lineRule="auto"/>
        <w:rPr>
          <w:rFonts w:ascii="Times New Roman" w:hAnsi="Times New Roman" w:cs="Times New Roman"/>
          <w:b/>
          <w:bCs/>
          <w:sz w:val="24"/>
          <w:szCs w:val="24"/>
        </w:rPr>
      </w:pPr>
      <w:r w:rsidRPr="00350734">
        <w:rPr>
          <w:rFonts w:ascii="Times New Roman" w:hAnsi="Times New Roman" w:cs="Times New Roman"/>
          <w:b/>
          <w:bCs/>
          <w:sz w:val="24"/>
          <w:szCs w:val="24"/>
        </w:rPr>
        <w:t xml:space="preserve">Overview of Agricultural sector in Nigeria </w:t>
      </w:r>
    </w:p>
    <w:p w14:paraId="734C171D" w14:textId="77777777" w:rsidR="00005990" w:rsidRPr="00005990" w:rsidRDefault="00005990" w:rsidP="00005990">
      <w:pPr>
        <w:spacing w:line="276" w:lineRule="auto"/>
        <w:jc w:val="both"/>
        <w:rPr>
          <w:rFonts w:ascii="Times New Roman" w:hAnsi="Times New Roman" w:cs="Times New Roman"/>
          <w:sz w:val="24"/>
          <w:szCs w:val="24"/>
        </w:rPr>
      </w:pPr>
      <w:r w:rsidRPr="00005990">
        <w:rPr>
          <w:rFonts w:ascii="Times New Roman" w:hAnsi="Times New Roman" w:cs="Times New Roman"/>
          <w:sz w:val="24"/>
          <w:szCs w:val="24"/>
        </w:rPr>
        <w:t xml:space="preserve">Agriculture is one of the key sectors in the economy of Nigeria which has served as a major source of rural livelihood, employment and food production. The Food and Agriculture Organization (2023) indicates that a significant percentage of the labour force in Nigeria is involved in agriculture, and it also provides raw materials that support the </w:t>
      </w:r>
      <w:proofErr w:type="spellStart"/>
      <w:r w:rsidRPr="00005990">
        <w:rPr>
          <w:rFonts w:ascii="Times New Roman" w:hAnsi="Times New Roman" w:cs="Times New Roman"/>
          <w:sz w:val="24"/>
          <w:szCs w:val="24"/>
        </w:rPr>
        <w:t>agro</w:t>
      </w:r>
      <w:proofErr w:type="spellEnd"/>
      <w:r w:rsidRPr="00005990">
        <w:rPr>
          <w:rFonts w:ascii="Times New Roman" w:hAnsi="Times New Roman" w:cs="Times New Roman"/>
          <w:sz w:val="24"/>
          <w:szCs w:val="24"/>
        </w:rPr>
        <w:t xml:space="preserve">-based businesses. </w:t>
      </w:r>
      <w:proofErr w:type="gramStart"/>
      <w:r w:rsidRPr="00005990">
        <w:rPr>
          <w:rFonts w:ascii="Times New Roman" w:hAnsi="Times New Roman" w:cs="Times New Roman"/>
          <w:sz w:val="24"/>
          <w:szCs w:val="24"/>
        </w:rPr>
        <w:t>The</w:t>
      </w:r>
      <w:proofErr w:type="gramEnd"/>
      <w:r w:rsidRPr="00005990">
        <w:rPr>
          <w:rFonts w:ascii="Times New Roman" w:hAnsi="Times New Roman" w:cs="Times New Roman"/>
          <w:sz w:val="24"/>
          <w:szCs w:val="24"/>
        </w:rPr>
        <w:t xml:space="preserve"> major part of agricultural activity in the country is crop production, which is in addition to livestock, forestry, and fisheries. According to the data provided by the National Bureau of Statistics (2023), agriculture is a significant source of GDP (up to 25 percent</w:t>
      </w:r>
      <w:proofErr w:type="gramStart"/>
      <w:r w:rsidRPr="00005990">
        <w:rPr>
          <w:rFonts w:ascii="Times New Roman" w:hAnsi="Times New Roman" w:cs="Times New Roman"/>
          <w:sz w:val="24"/>
          <w:szCs w:val="24"/>
        </w:rPr>
        <w:t>)</w:t>
      </w:r>
      <w:proofErr w:type="gramEnd"/>
      <w:r w:rsidRPr="00005990">
        <w:rPr>
          <w:rFonts w:ascii="Times New Roman" w:hAnsi="Times New Roman" w:cs="Times New Roman"/>
          <w:sz w:val="24"/>
          <w:szCs w:val="24"/>
        </w:rPr>
        <w:t xml:space="preserve"> and this country provides most employees with a job, especially in the rural territories. However, the productivity and overall economic contribution of the sector is limited by smallholder agricultural activities, low mechanization, poor access to modern technologies and climate fluctuations.</w:t>
      </w:r>
    </w:p>
    <w:p w14:paraId="2F952138" w14:textId="197F0AB1" w:rsidR="00F560B0" w:rsidRPr="00E74449" w:rsidRDefault="00005990" w:rsidP="00005990">
      <w:pPr>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Conceptually, </w:t>
      </w:r>
      <w:r w:rsidRPr="00005990">
        <w:rPr>
          <w:rFonts w:ascii="Times New Roman" w:hAnsi="Times New Roman" w:cs="Times New Roman"/>
          <w:sz w:val="24"/>
          <w:szCs w:val="24"/>
        </w:rPr>
        <w:t xml:space="preserve">agriculture-to-GDP ratio is a measure of the ratio of the economic activity of a country of the main sector. It is important, the World Bank (2022) asserts, in the economies such as Nigeria, where historically agriculture has been the major source of employment, food production, and rural subsistence. Experimental research shows that the agricultural GDP of Nigeria has been decreasing over the years, at least in part, because of structural changes in the economy leading to the development of services and oil industries (Adewuyi 2011; </w:t>
      </w:r>
      <w:proofErr w:type="spellStart"/>
      <w:r w:rsidRPr="00005990">
        <w:rPr>
          <w:rFonts w:ascii="Times New Roman" w:hAnsi="Times New Roman" w:cs="Times New Roman"/>
          <w:sz w:val="24"/>
          <w:szCs w:val="24"/>
        </w:rPr>
        <w:t>Oyinbo</w:t>
      </w:r>
      <w:proofErr w:type="spellEnd"/>
      <w:r w:rsidRPr="00005990">
        <w:rPr>
          <w:rFonts w:ascii="Times New Roman" w:hAnsi="Times New Roman" w:cs="Times New Roman"/>
          <w:sz w:val="24"/>
          <w:szCs w:val="24"/>
        </w:rPr>
        <w:t xml:space="preserve"> and </w:t>
      </w:r>
      <w:proofErr w:type="spellStart"/>
      <w:r w:rsidRPr="00005990">
        <w:rPr>
          <w:rFonts w:ascii="Times New Roman" w:hAnsi="Times New Roman" w:cs="Times New Roman"/>
          <w:sz w:val="24"/>
          <w:szCs w:val="24"/>
        </w:rPr>
        <w:t>Rekwot</w:t>
      </w:r>
      <w:proofErr w:type="spellEnd"/>
      <w:r w:rsidRPr="00005990">
        <w:rPr>
          <w:rFonts w:ascii="Times New Roman" w:hAnsi="Times New Roman" w:cs="Times New Roman"/>
          <w:sz w:val="24"/>
          <w:szCs w:val="24"/>
        </w:rPr>
        <w:t xml:space="preserve"> 2014). Still, the industry is essential in the provision of food security, alleviating poverty, and inclusive development. </w:t>
      </w:r>
      <w:proofErr w:type="spellStart"/>
      <w:r w:rsidRPr="00005990">
        <w:rPr>
          <w:rFonts w:ascii="Times New Roman" w:hAnsi="Times New Roman" w:cs="Times New Roman"/>
          <w:sz w:val="24"/>
          <w:szCs w:val="24"/>
        </w:rPr>
        <w:t>Ukeje</w:t>
      </w:r>
      <w:proofErr w:type="spellEnd"/>
      <w:r w:rsidRPr="00005990">
        <w:rPr>
          <w:rFonts w:ascii="Times New Roman" w:hAnsi="Times New Roman" w:cs="Times New Roman"/>
          <w:sz w:val="24"/>
          <w:szCs w:val="24"/>
        </w:rPr>
        <w:t xml:space="preserve"> and Eboh (2015) emphasise the need to </w:t>
      </w:r>
      <w:proofErr w:type="spellStart"/>
      <w:r w:rsidRPr="00005990">
        <w:rPr>
          <w:rFonts w:ascii="Times New Roman" w:hAnsi="Times New Roman" w:cs="Times New Roman"/>
          <w:sz w:val="24"/>
          <w:szCs w:val="24"/>
        </w:rPr>
        <w:t>modernise</w:t>
      </w:r>
      <w:proofErr w:type="spellEnd"/>
      <w:r w:rsidRPr="00005990">
        <w:rPr>
          <w:rFonts w:ascii="Times New Roman" w:hAnsi="Times New Roman" w:cs="Times New Roman"/>
          <w:sz w:val="24"/>
          <w:szCs w:val="24"/>
        </w:rPr>
        <w:t xml:space="preserve"> and integrate the value chains </w:t>
      </w:r>
      <w:proofErr w:type="gramStart"/>
      <w:r w:rsidRPr="00005990">
        <w:rPr>
          <w:rFonts w:ascii="Times New Roman" w:hAnsi="Times New Roman" w:cs="Times New Roman"/>
          <w:sz w:val="24"/>
          <w:szCs w:val="24"/>
        </w:rPr>
        <w:t>in order to</w:t>
      </w:r>
      <w:proofErr w:type="gramEnd"/>
      <w:r w:rsidRPr="00005990">
        <w:rPr>
          <w:rFonts w:ascii="Times New Roman" w:hAnsi="Times New Roman" w:cs="Times New Roman"/>
          <w:sz w:val="24"/>
          <w:szCs w:val="24"/>
        </w:rPr>
        <w:t xml:space="preserve"> </w:t>
      </w:r>
      <w:proofErr w:type="spellStart"/>
      <w:r w:rsidRPr="00005990">
        <w:rPr>
          <w:rFonts w:ascii="Times New Roman" w:hAnsi="Times New Roman" w:cs="Times New Roman"/>
          <w:sz w:val="24"/>
          <w:szCs w:val="24"/>
        </w:rPr>
        <w:t>revitalise</w:t>
      </w:r>
      <w:proofErr w:type="spellEnd"/>
      <w:r w:rsidRPr="00005990">
        <w:rPr>
          <w:rFonts w:ascii="Times New Roman" w:hAnsi="Times New Roman" w:cs="Times New Roman"/>
          <w:sz w:val="24"/>
          <w:szCs w:val="24"/>
        </w:rPr>
        <w:t xml:space="preserve"> agricultural </w:t>
      </w:r>
      <w:proofErr w:type="gramStart"/>
      <w:r w:rsidRPr="00005990">
        <w:rPr>
          <w:rFonts w:ascii="Times New Roman" w:hAnsi="Times New Roman" w:cs="Times New Roman"/>
          <w:sz w:val="24"/>
          <w:szCs w:val="24"/>
        </w:rPr>
        <w:t>production.</w:t>
      </w:r>
      <w:r w:rsidR="009A472F" w:rsidRPr="00E74449">
        <w:rPr>
          <w:rFonts w:ascii="Times New Roman" w:hAnsi="Times New Roman" w:cs="Times New Roman"/>
          <w:bCs/>
          <w:sz w:val="24"/>
          <w:szCs w:val="24"/>
        </w:rPr>
        <w:t>.</w:t>
      </w:r>
      <w:proofErr w:type="gramEnd"/>
    </w:p>
    <w:p w14:paraId="07283F4F" w14:textId="77777777" w:rsidR="00F560B0" w:rsidRPr="00E74449" w:rsidRDefault="009A472F" w:rsidP="00173CCC">
      <w:pPr>
        <w:spacing w:line="276" w:lineRule="auto"/>
        <w:jc w:val="both"/>
        <w:rPr>
          <w:rFonts w:ascii="Times New Roman" w:hAnsi="Times New Roman" w:cs="Times New Roman"/>
          <w:bCs/>
          <w:sz w:val="24"/>
          <w:szCs w:val="24"/>
        </w:rPr>
      </w:pPr>
      <w:r w:rsidRPr="00E74449">
        <w:rPr>
          <w:rFonts w:ascii="Times New Roman" w:hAnsi="Times New Roman" w:cs="Times New Roman"/>
          <w:sz w:val="24"/>
          <w:szCs w:val="24"/>
        </w:rPr>
        <w:object w:dxaOrig="9360" w:dyaOrig="7785" w14:anchorId="201B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90pt" o:ole="">
            <v:imagedata r:id="rId8" o:title=""/>
          </v:shape>
          <o:OLEObject Type="Embed" ProgID="EViews.Workfile.2" ShapeID="_x0000_i1025" DrawAspect="Content" ObjectID="_1834570755" r:id="rId9"/>
        </w:object>
      </w:r>
    </w:p>
    <w:p w14:paraId="2E117BA3" w14:textId="27CB8A36" w:rsidR="00E74449" w:rsidRPr="00E74449" w:rsidRDefault="00984D15" w:rsidP="00173CC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Figure 2.1 L</w:t>
      </w:r>
      <w:r w:rsidR="00E74449" w:rsidRPr="00E74449">
        <w:rPr>
          <w:rFonts w:ascii="Times New Roman" w:hAnsi="Times New Roman" w:cs="Times New Roman"/>
          <w:bCs/>
          <w:sz w:val="24"/>
          <w:szCs w:val="24"/>
        </w:rPr>
        <w:t xml:space="preserve">ine plot of Agriculture, </w:t>
      </w:r>
      <w:r w:rsidR="008B6341">
        <w:rPr>
          <w:rFonts w:ascii="Times New Roman" w:hAnsi="Times New Roman" w:cs="Times New Roman"/>
          <w:bCs/>
          <w:sz w:val="24"/>
          <w:szCs w:val="24"/>
        </w:rPr>
        <w:t>R&amp;D</w:t>
      </w:r>
      <w:r w:rsidR="00E74449" w:rsidRPr="00E74449">
        <w:rPr>
          <w:rFonts w:ascii="Times New Roman" w:hAnsi="Times New Roman" w:cs="Times New Roman"/>
          <w:bCs/>
          <w:sz w:val="24"/>
          <w:szCs w:val="24"/>
        </w:rPr>
        <w:t xml:space="preserve"> expenditure, Literacy rate, population in relation to economic growth </w:t>
      </w:r>
    </w:p>
    <w:p w14:paraId="4C8D7E00" w14:textId="77777777" w:rsidR="00751B53" w:rsidRPr="00751B53" w:rsidRDefault="00751B53" w:rsidP="00751B53">
      <w:pPr>
        <w:spacing w:line="276" w:lineRule="auto"/>
        <w:jc w:val="both"/>
        <w:rPr>
          <w:rFonts w:ascii="Times New Roman" w:hAnsi="Times New Roman" w:cs="Times New Roman"/>
          <w:bCs/>
          <w:sz w:val="24"/>
          <w:szCs w:val="24"/>
        </w:rPr>
      </w:pPr>
      <w:r w:rsidRPr="00751B53">
        <w:rPr>
          <w:rFonts w:ascii="Times New Roman" w:hAnsi="Times New Roman" w:cs="Times New Roman"/>
          <w:bCs/>
          <w:sz w:val="24"/>
          <w:szCs w:val="24"/>
        </w:rPr>
        <w:t>The proportion of research and development (R&amp;D) spending to gross domestic product is generally recognized as a key factor in the level of innovation and sustained growth in productivity. R&amp;D in agricultural economies increases the efficiency of inputs, crop resiliency, and mechanisation (Bernstein, 2014; Dietrich, 2017). However, the level of R&amp;D expenditure in Nigeria is significantly lower than the international levels. Inadequate and irregular investment in agricultural research has been frustrating the spread of agricultural technology and innovations that are required to scale productivity, a trend shown in Figure 2.1. Akinbobola (2020) asserts that such an under-investment is an indicator of poor institutional support and policy inertia towards supporting knowledge-based growth.</w:t>
      </w:r>
    </w:p>
    <w:p w14:paraId="6AB5C691" w14:textId="77777777" w:rsidR="00751B53" w:rsidRPr="00751B53" w:rsidRDefault="00751B53" w:rsidP="00751B53">
      <w:pPr>
        <w:spacing w:line="276" w:lineRule="auto"/>
        <w:jc w:val="both"/>
        <w:rPr>
          <w:rFonts w:ascii="Times New Roman" w:hAnsi="Times New Roman" w:cs="Times New Roman"/>
          <w:bCs/>
          <w:sz w:val="24"/>
          <w:szCs w:val="24"/>
        </w:rPr>
      </w:pPr>
      <w:r w:rsidRPr="00751B53">
        <w:rPr>
          <w:rFonts w:ascii="Times New Roman" w:hAnsi="Times New Roman" w:cs="Times New Roman"/>
          <w:bCs/>
          <w:sz w:val="24"/>
          <w:szCs w:val="24"/>
        </w:rPr>
        <w:t xml:space="preserve">Literacy level is a very important measure of human capital. Increased literacy level means an increase in the number of educated population able to embrace new technology, information about the market and be involved in the sector that is driven by innovation. The empirical studies have </w:t>
      </w:r>
      <w:r w:rsidRPr="00751B53">
        <w:rPr>
          <w:rFonts w:ascii="Times New Roman" w:hAnsi="Times New Roman" w:cs="Times New Roman"/>
          <w:bCs/>
          <w:sz w:val="24"/>
          <w:szCs w:val="24"/>
        </w:rPr>
        <w:lastRenderedPageBreak/>
        <w:t xml:space="preserve">revealed the positive relationship between education and agricultural outputs, especially in rural economies where farmers are required to interpret weather forecasts, use fertilizers in the right way, and use finances (Lucas, 1988; </w:t>
      </w:r>
      <w:proofErr w:type="spellStart"/>
      <w:r w:rsidRPr="00751B53">
        <w:rPr>
          <w:rFonts w:ascii="Times New Roman" w:hAnsi="Times New Roman" w:cs="Times New Roman"/>
          <w:bCs/>
          <w:sz w:val="24"/>
          <w:szCs w:val="24"/>
        </w:rPr>
        <w:t>Okunlola</w:t>
      </w:r>
      <w:proofErr w:type="spellEnd"/>
      <w:r w:rsidRPr="00751B53">
        <w:rPr>
          <w:rFonts w:ascii="Times New Roman" w:hAnsi="Times New Roman" w:cs="Times New Roman"/>
          <w:bCs/>
          <w:sz w:val="24"/>
          <w:szCs w:val="24"/>
        </w:rPr>
        <w:t xml:space="preserve"> and  Sadiq, 2016). Based on the trend, as shown in Figure 1, although the literacy levels in Nigeria have been on an increase over the decades, the country is still experiencing regional differences and poor education performance in rural areas, a situation that has been acting as a hindrance to agricultural transformation and adoption of innovation.</w:t>
      </w:r>
    </w:p>
    <w:p w14:paraId="57C6531A" w14:textId="5074409A" w:rsidR="00F560B0" w:rsidRPr="00E74449" w:rsidRDefault="00751B53" w:rsidP="00751B53">
      <w:pPr>
        <w:spacing w:line="276" w:lineRule="auto"/>
        <w:jc w:val="both"/>
        <w:rPr>
          <w:rFonts w:ascii="Times New Roman" w:hAnsi="Times New Roman" w:cs="Times New Roman"/>
          <w:bCs/>
          <w:sz w:val="24"/>
          <w:szCs w:val="24"/>
        </w:rPr>
      </w:pPr>
      <w:r w:rsidRPr="00751B53">
        <w:rPr>
          <w:rFonts w:ascii="Times New Roman" w:hAnsi="Times New Roman" w:cs="Times New Roman"/>
          <w:bCs/>
          <w:sz w:val="24"/>
          <w:szCs w:val="24"/>
        </w:rPr>
        <w:t xml:space="preserve">Population growth is a </w:t>
      </w:r>
      <w:proofErr w:type="gramStart"/>
      <w:r w:rsidRPr="00751B53">
        <w:rPr>
          <w:rFonts w:ascii="Times New Roman" w:hAnsi="Times New Roman" w:cs="Times New Roman"/>
          <w:bCs/>
          <w:sz w:val="24"/>
          <w:szCs w:val="24"/>
        </w:rPr>
        <w:t>two sided</w:t>
      </w:r>
      <w:proofErr w:type="gramEnd"/>
      <w:r w:rsidRPr="00751B53">
        <w:rPr>
          <w:rFonts w:ascii="Times New Roman" w:hAnsi="Times New Roman" w:cs="Times New Roman"/>
          <w:bCs/>
          <w:sz w:val="24"/>
          <w:szCs w:val="24"/>
        </w:rPr>
        <w:t xml:space="preserve"> issue on the development discourse. On the one hand, it can overload the food systems and social services (Malthus, 1798; Bloom and Canning, 2008). Since 1990, Nigeria population has been increasing at a high </w:t>
      </w:r>
      <w:proofErr w:type="gramStart"/>
      <w:r w:rsidRPr="00751B53">
        <w:rPr>
          <w:rFonts w:ascii="Times New Roman" w:hAnsi="Times New Roman" w:cs="Times New Roman"/>
          <w:bCs/>
          <w:sz w:val="24"/>
          <w:szCs w:val="24"/>
        </w:rPr>
        <w:t>rate</w:t>
      </w:r>
      <w:proofErr w:type="gramEnd"/>
      <w:r w:rsidRPr="00751B53">
        <w:rPr>
          <w:rFonts w:ascii="Times New Roman" w:hAnsi="Times New Roman" w:cs="Times New Roman"/>
          <w:bCs/>
          <w:sz w:val="24"/>
          <w:szCs w:val="24"/>
        </w:rPr>
        <w:t xml:space="preserve"> and this implies that the population demands food and land as well as employment. As Figure 2.1 shows, this type of demographic pressure reinforces the necessity of intensification of agriculture and technological development to increase productivity </w:t>
      </w:r>
      <w:proofErr w:type="gramStart"/>
      <w:r w:rsidRPr="00751B53">
        <w:rPr>
          <w:rFonts w:ascii="Times New Roman" w:hAnsi="Times New Roman" w:cs="Times New Roman"/>
          <w:bCs/>
          <w:sz w:val="24"/>
          <w:szCs w:val="24"/>
        </w:rPr>
        <w:t>in order to</w:t>
      </w:r>
      <w:proofErr w:type="gramEnd"/>
      <w:r w:rsidRPr="00751B53">
        <w:rPr>
          <w:rFonts w:ascii="Times New Roman" w:hAnsi="Times New Roman" w:cs="Times New Roman"/>
          <w:bCs/>
          <w:sz w:val="24"/>
          <w:szCs w:val="24"/>
        </w:rPr>
        <w:t xml:space="preserve"> ensure food security.</w:t>
      </w:r>
    </w:p>
    <w:p w14:paraId="0416C28C" w14:textId="619B6E3E" w:rsidR="00BC3B1D" w:rsidRPr="00BC3B1D" w:rsidRDefault="00BC3B1D" w:rsidP="00173CCC">
      <w:pPr>
        <w:spacing w:after="0" w:line="276" w:lineRule="auto"/>
        <w:jc w:val="both"/>
        <w:rPr>
          <w:rFonts w:ascii="Times New Roman" w:hAnsi="Times New Roman" w:cs="Times New Roman"/>
          <w:b/>
          <w:sz w:val="24"/>
          <w:szCs w:val="24"/>
        </w:rPr>
      </w:pPr>
      <w:r w:rsidRPr="00BC3B1D">
        <w:rPr>
          <w:rFonts w:ascii="Times New Roman" w:hAnsi="Times New Roman" w:cs="Times New Roman"/>
          <w:b/>
          <w:sz w:val="24"/>
          <w:szCs w:val="24"/>
        </w:rPr>
        <w:t>Theoretical Perspective</w:t>
      </w:r>
    </w:p>
    <w:p w14:paraId="152D92CB" w14:textId="77777777" w:rsidR="00B51675" w:rsidRPr="00B51675" w:rsidRDefault="00B51675" w:rsidP="00173CCC">
      <w:pPr>
        <w:spacing w:after="0" w:line="276" w:lineRule="auto"/>
        <w:jc w:val="both"/>
        <w:rPr>
          <w:rFonts w:ascii="Times New Roman" w:eastAsia="Times New Roman" w:hAnsi="Times New Roman" w:cs="Times New Roman"/>
          <w:sz w:val="24"/>
          <w:szCs w:val="24"/>
          <w:lang w:val="en-GB" w:eastAsia="en-GB"/>
        </w:rPr>
      </w:pPr>
      <w:r w:rsidRPr="00B51675">
        <w:rPr>
          <w:rFonts w:ascii="Times New Roman" w:eastAsia="Times New Roman" w:hAnsi="Times New Roman" w:cs="Times New Roman"/>
          <w:b/>
          <w:bCs/>
          <w:sz w:val="24"/>
          <w:szCs w:val="24"/>
          <w:lang w:val="en-GB" w:eastAsia="en-GB"/>
        </w:rPr>
        <w:t>Endogenous Growth Theory</w:t>
      </w:r>
    </w:p>
    <w:p w14:paraId="1BA57834"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r w:rsidRPr="00883C83">
        <w:rPr>
          <w:rFonts w:ascii="Times New Roman" w:eastAsia="Times New Roman" w:hAnsi="Times New Roman" w:cs="Times New Roman"/>
          <w:sz w:val="24"/>
          <w:szCs w:val="24"/>
          <w:lang w:val="en-GB" w:eastAsia="en-GB"/>
        </w:rPr>
        <w:t>The endogenous growth theory offers theoretical basis of the applicability of technology and human capital in enhancing economic growth. This strategy, developed by Romer (1990) assumes that the technological development is produced within the economy, as a result of investment in information, research and innovation. This conception has it that sustained economic growth requires enhances in productivity fuelled by research and development and development of human capital (Romer, 1990). The technological advances in the agricultural sector are a significant enabling factor in the production process because they introduce new seed varieties, mechanised farming machinery, digital information systems and precision farming practices. These technical developments allow farmers to boost their production, minimize inefficiency of production, and make most use of the available resources. Besides, an increase in human capital as characterised by literacy level improves the ability of individuals to embrace and utilise new technologies successfully. The endogenous growth paradigm therefore supports the use of research and development spending as proxy to technical innovation and literacy rates as the proxy to human capital in the elucidation of economic growth.</w:t>
      </w:r>
    </w:p>
    <w:p w14:paraId="36012FC5"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p>
    <w:p w14:paraId="669259FA" w14:textId="77777777" w:rsidR="00883C83" w:rsidRPr="006308CA" w:rsidRDefault="00883C83" w:rsidP="00883C83">
      <w:pPr>
        <w:spacing w:after="0" w:line="276" w:lineRule="auto"/>
        <w:jc w:val="both"/>
        <w:rPr>
          <w:rFonts w:ascii="Times New Roman" w:eastAsia="Times New Roman" w:hAnsi="Times New Roman" w:cs="Times New Roman"/>
          <w:b/>
          <w:bCs/>
          <w:sz w:val="24"/>
          <w:szCs w:val="24"/>
          <w:lang w:val="en-GB" w:eastAsia="en-GB"/>
        </w:rPr>
      </w:pPr>
      <w:r w:rsidRPr="006308CA">
        <w:rPr>
          <w:rFonts w:ascii="Times New Roman" w:eastAsia="Times New Roman" w:hAnsi="Times New Roman" w:cs="Times New Roman"/>
          <w:b/>
          <w:bCs/>
          <w:sz w:val="24"/>
          <w:szCs w:val="24"/>
          <w:lang w:val="en-GB" w:eastAsia="en-GB"/>
        </w:rPr>
        <w:t>The Malthusian Theory of Population.</w:t>
      </w:r>
    </w:p>
    <w:p w14:paraId="1792BB9E"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r w:rsidRPr="00883C83">
        <w:rPr>
          <w:rFonts w:ascii="Times New Roman" w:eastAsia="Times New Roman" w:hAnsi="Times New Roman" w:cs="Times New Roman"/>
          <w:sz w:val="24"/>
          <w:szCs w:val="24"/>
          <w:lang w:val="en-GB" w:eastAsia="en-GB"/>
        </w:rPr>
        <w:t xml:space="preserve">One of the first explanations that have been used to explain the connection between population growth and food production is Malthusian hypothesis of population. The hypothesis was first developed by Thomas Robert Malthus in 1798 and holds that population is geometric, whereas the food supply is arithmetic. This is an imbalance which implies that population growth can one day outrun food production leading to scarcity, poverty, and economic suffering unless proper action is taken to increase agricultural production (Malthus, 1798). The hypothesis highlights the strain that population growth exerts on farmlands, especially in underdeveloped economies that still have a relatively poor agricultural output. The high rate of population increase in the Nigerian setting </w:t>
      </w:r>
      <w:r w:rsidRPr="00883C83">
        <w:rPr>
          <w:rFonts w:ascii="Times New Roman" w:eastAsia="Times New Roman" w:hAnsi="Times New Roman" w:cs="Times New Roman"/>
          <w:sz w:val="24"/>
          <w:szCs w:val="24"/>
          <w:lang w:val="en-GB" w:eastAsia="en-GB"/>
        </w:rPr>
        <w:lastRenderedPageBreak/>
        <w:t>has increased pressure on the agricultural systems and national food security as a result of the increased demand of the food and agricultural products. This school of thought offers a rationale of including population as a control variable in the model since the population dynamics determine the labour supply, food demand, and the overall economic performance.</w:t>
      </w:r>
    </w:p>
    <w:p w14:paraId="7334502C"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p>
    <w:p w14:paraId="4AD24B39" w14:textId="38F49588" w:rsidR="00B51675" w:rsidRDefault="00883C83" w:rsidP="00883C83">
      <w:pPr>
        <w:spacing w:after="0" w:line="276" w:lineRule="auto"/>
        <w:jc w:val="both"/>
        <w:rPr>
          <w:rFonts w:ascii="Times New Roman" w:eastAsia="Times New Roman" w:hAnsi="Times New Roman" w:cs="Times New Roman"/>
          <w:sz w:val="24"/>
          <w:szCs w:val="24"/>
          <w:lang w:val="en-GB" w:eastAsia="en-GB"/>
        </w:rPr>
      </w:pPr>
      <w:r w:rsidRPr="00883C83">
        <w:rPr>
          <w:rFonts w:ascii="Times New Roman" w:eastAsia="Times New Roman" w:hAnsi="Times New Roman" w:cs="Times New Roman"/>
          <w:sz w:val="24"/>
          <w:szCs w:val="24"/>
          <w:lang w:val="en-GB" w:eastAsia="en-GB"/>
        </w:rPr>
        <w:t xml:space="preserve">These theoretical perspectives combined provide the basis on which the interaction between technological innovation and agricultural production can be evaluated in driving the economic growth. Whereas the Malthusian theory focuses on the population pressures within food production systems, the endogenous growth theory focuses on the role of innovation and knowledge to increase productivity and the economic prosperity in the long </w:t>
      </w:r>
      <w:proofErr w:type="gramStart"/>
      <w:r w:rsidRPr="00883C83">
        <w:rPr>
          <w:rFonts w:ascii="Times New Roman" w:eastAsia="Times New Roman" w:hAnsi="Times New Roman" w:cs="Times New Roman"/>
          <w:sz w:val="24"/>
          <w:szCs w:val="24"/>
          <w:lang w:val="en-GB" w:eastAsia="en-GB"/>
        </w:rPr>
        <w:t>term.</w:t>
      </w:r>
      <w:r w:rsidR="00B51675" w:rsidRPr="00B51675">
        <w:rPr>
          <w:rFonts w:ascii="Times New Roman" w:eastAsia="Times New Roman" w:hAnsi="Times New Roman" w:cs="Times New Roman"/>
          <w:sz w:val="24"/>
          <w:szCs w:val="24"/>
          <w:lang w:val="en-GB" w:eastAsia="en-GB"/>
        </w:rPr>
        <w:t>.</w:t>
      </w:r>
      <w:proofErr w:type="gramEnd"/>
    </w:p>
    <w:p w14:paraId="4367151B" w14:textId="77777777" w:rsidR="00B51675" w:rsidRDefault="00B51675" w:rsidP="00173CCC">
      <w:pPr>
        <w:spacing w:after="0" w:line="276" w:lineRule="auto"/>
        <w:jc w:val="both"/>
        <w:rPr>
          <w:rFonts w:ascii="Times New Roman" w:eastAsia="Times New Roman" w:hAnsi="Times New Roman" w:cs="Times New Roman"/>
          <w:sz w:val="24"/>
          <w:szCs w:val="24"/>
          <w:lang w:val="en-GB" w:eastAsia="en-GB"/>
        </w:rPr>
      </w:pPr>
    </w:p>
    <w:p w14:paraId="000A9176" w14:textId="0A178730" w:rsidR="00B51675" w:rsidRPr="0032116C" w:rsidRDefault="00B51675" w:rsidP="00173CCC">
      <w:pPr>
        <w:spacing w:after="0" w:line="276" w:lineRule="auto"/>
        <w:jc w:val="both"/>
        <w:rPr>
          <w:rFonts w:ascii="Times New Roman" w:eastAsia="Times New Roman" w:hAnsi="Times New Roman" w:cs="Times New Roman"/>
          <w:b/>
          <w:bCs/>
          <w:sz w:val="24"/>
          <w:szCs w:val="24"/>
          <w:lang w:val="en-GB" w:eastAsia="en-GB"/>
        </w:rPr>
      </w:pPr>
      <w:r w:rsidRPr="0032116C">
        <w:rPr>
          <w:rFonts w:ascii="Times New Roman" w:eastAsia="Times New Roman" w:hAnsi="Times New Roman" w:cs="Times New Roman"/>
          <w:b/>
          <w:bCs/>
          <w:sz w:val="24"/>
          <w:szCs w:val="24"/>
          <w:lang w:val="en-GB" w:eastAsia="en-GB"/>
        </w:rPr>
        <w:t>Theoretical framework</w:t>
      </w:r>
    </w:p>
    <w:p w14:paraId="1DFF969B" w14:textId="3E55EDDE" w:rsidR="006308CA" w:rsidRPr="006308CA" w:rsidRDefault="006308CA" w:rsidP="006308CA">
      <w:pPr>
        <w:spacing w:before="100" w:beforeAutospacing="1" w:after="100" w:afterAutospacing="1" w:line="276" w:lineRule="auto"/>
        <w:jc w:val="both"/>
        <w:rPr>
          <w:rFonts w:ascii="Times New Roman" w:eastAsia="Times New Roman" w:hAnsi="Times New Roman" w:cs="Times New Roman"/>
          <w:sz w:val="24"/>
          <w:szCs w:val="24"/>
          <w:lang w:val="en-GB" w:eastAsia="en-GB"/>
        </w:rPr>
      </w:pPr>
      <w:r w:rsidRPr="006308CA">
        <w:rPr>
          <w:rFonts w:ascii="Times New Roman" w:eastAsia="Times New Roman" w:hAnsi="Times New Roman" w:cs="Times New Roman"/>
          <w:sz w:val="24"/>
          <w:szCs w:val="24"/>
          <w:lang w:val="en-GB" w:eastAsia="en-GB"/>
        </w:rPr>
        <w:t xml:space="preserve">This research is </w:t>
      </w:r>
      <w:r w:rsidR="0031554E">
        <w:rPr>
          <w:rFonts w:ascii="Times New Roman" w:eastAsia="Times New Roman" w:hAnsi="Times New Roman" w:cs="Times New Roman"/>
          <w:sz w:val="24"/>
          <w:szCs w:val="24"/>
          <w:lang w:val="en-GB" w:eastAsia="en-GB"/>
        </w:rPr>
        <w:t xml:space="preserve">anchored on </w:t>
      </w:r>
      <w:r w:rsidRPr="006308CA">
        <w:rPr>
          <w:rFonts w:ascii="Times New Roman" w:eastAsia="Times New Roman" w:hAnsi="Times New Roman" w:cs="Times New Roman"/>
          <w:sz w:val="24"/>
          <w:szCs w:val="24"/>
          <w:lang w:val="en-GB" w:eastAsia="en-GB"/>
        </w:rPr>
        <w:t xml:space="preserve">the endogenous </w:t>
      </w:r>
      <w:r w:rsidR="0031554E">
        <w:rPr>
          <w:rFonts w:ascii="Times New Roman" w:eastAsia="Times New Roman" w:hAnsi="Times New Roman" w:cs="Times New Roman"/>
          <w:sz w:val="24"/>
          <w:szCs w:val="24"/>
          <w:lang w:val="en-GB" w:eastAsia="en-GB"/>
        </w:rPr>
        <w:t xml:space="preserve">growth </w:t>
      </w:r>
      <w:r w:rsidRPr="006308CA">
        <w:rPr>
          <w:rFonts w:ascii="Times New Roman" w:eastAsia="Times New Roman" w:hAnsi="Times New Roman" w:cs="Times New Roman"/>
          <w:sz w:val="24"/>
          <w:szCs w:val="24"/>
          <w:lang w:val="en-GB" w:eastAsia="en-GB"/>
        </w:rPr>
        <w:t xml:space="preserve">theory </w:t>
      </w:r>
      <w:r w:rsidR="0031554E">
        <w:rPr>
          <w:rFonts w:ascii="Times New Roman" w:eastAsia="Times New Roman" w:hAnsi="Times New Roman" w:cs="Times New Roman"/>
          <w:sz w:val="24"/>
          <w:szCs w:val="24"/>
          <w:lang w:val="en-GB" w:eastAsia="en-GB"/>
        </w:rPr>
        <w:t>which</w:t>
      </w:r>
      <w:r w:rsidRPr="006308CA">
        <w:rPr>
          <w:rFonts w:ascii="Times New Roman" w:eastAsia="Times New Roman" w:hAnsi="Times New Roman" w:cs="Times New Roman"/>
          <w:sz w:val="24"/>
          <w:szCs w:val="24"/>
          <w:lang w:val="en-GB" w:eastAsia="en-GB"/>
        </w:rPr>
        <w:t xml:space="preserve"> emphasis </w:t>
      </w:r>
      <w:r w:rsidR="0031554E">
        <w:rPr>
          <w:rFonts w:ascii="Times New Roman" w:eastAsia="Times New Roman" w:hAnsi="Times New Roman" w:cs="Times New Roman"/>
          <w:sz w:val="24"/>
          <w:szCs w:val="24"/>
          <w:lang w:val="en-GB" w:eastAsia="en-GB"/>
        </w:rPr>
        <w:t>that</w:t>
      </w:r>
      <w:r w:rsidRPr="006308CA">
        <w:rPr>
          <w:rFonts w:ascii="Times New Roman" w:eastAsia="Times New Roman" w:hAnsi="Times New Roman" w:cs="Times New Roman"/>
          <w:sz w:val="24"/>
          <w:szCs w:val="24"/>
          <w:lang w:val="en-GB" w:eastAsia="en-GB"/>
        </w:rPr>
        <w:t xml:space="preserve"> knowledge, innovation, and human capital contribute to long-term economic growth. Founded by the works of scholars like Paul Romer, the thesis argues that technical innovation and investment in knowledge creation are endogenous variables that have an enormous effect on productivity and economic growth. In that context, the spending on research and development would lead to technical advancements that would boost production efficiency and increase production on key sectors of the economy (Romer, 1990). Technological advancement in the agricultural sector increases farming efficiency by introducing high quality crop varieties, mechanization, and easy management of resources. With the increased agricultural productivity, the industry has a greater contribution to the national income, employment, and industrialization.</w:t>
      </w:r>
    </w:p>
    <w:p w14:paraId="776BDD32" w14:textId="6A93A8B9" w:rsidR="006308CA" w:rsidRPr="006308CA" w:rsidRDefault="0031554E" w:rsidP="006308CA">
      <w:pPr>
        <w:spacing w:before="100" w:beforeAutospacing="1" w:after="100" w:afterAutospacing="1"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theoretical model is further supported by the </w:t>
      </w:r>
      <w:r w:rsidR="006308CA" w:rsidRPr="006308CA">
        <w:rPr>
          <w:rFonts w:ascii="Times New Roman" w:eastAsia="Times New Roman" w:hAnsi="Times New Roman" w:cs="Times New Roman"/>
          <w:sz w:val="24"/>
          <w:szCs w:val="24"/>
          <w:lang w:val="en-GB" w:eastAsia="en-GB"/>
        </w:rPr>
        <w:t xml:space="preserve"> agriculture-led growth hypothesis that postulates that increases in the agricultural productivity in the economy ignite further economic growth through the increase in food supply, raw materials to the industry and increase in rural incomes which in turn create demand in other sectors of the economy (Johnston and Mellor, 1961). Besides that, the human capital theory reinforces the relevance of literacy rates in the model by stating the fact that education will raise the productivity of worker and the willingness to adopt modern technology in the economy. Barro (2013) argues that education levels raise the innovative capacity and enhance the capacity of the people to utilize the technological knowledge effectively and therefore lead to growth in the economy. Population is also added to reflect the demographic shift that affects the level of labor supply, production capacity as well as consumption demand in the economy.</w:t>
      </w:r>
    </w:p>
    <w:p w14:paraId="32E3A965" w14:textId="74F5387F" w:rsidR="00F560B0" w:rsidRPr="00E74449" w:rsidRDefault="006308CA" w:rsidP="006308CA">
      <w:pPr>
        <w:spacing w:before="100" w:beforeAutospacing="1" w:after="100" w:afterAutospacing="1" w:line="276" w:lineRule="auto"/>
        <w:jc w:val="both"/>
        <w:rPr>
          <w:rFonts w:ascii="Times New Roman" w:hAnsi="Times New Roman" w:cs="Times New Roman"/>
          <w:bCs/>
          <w:sz w:val="24"/>
          <w:szCs w:val="24"/>
        </w:rPr>
      </w:pPr>
      <w:r w:rsidRPr="006308CA">
        <w:rPr>
          <w:rFonts w:ascii="Times New Roman" w:eastAsia="Times New Roman" w:hAnsi="Times New Roman" w:cs="Times New Roman"/>
          <w:sz w:val="24"/>
          <w:szCs w:val="24"/>
          <w:lang w:val="en-GB" w:eastAsia="en-GB"/>
        </w:rPr>
        <w:t xml:space="preserve">Based on these theoretical views, economic growth is </w:t>
      </w:r>
      <w:r w:rsidR="005E6F0C">
        <w:rPr>
          <w:rFonts w:ascii="Times New Roman" w:eastAsia="Times New Roman" w:hAnsi="Times New Roman" w:cs="Times New Roman"/>
          <w:sz w:val="24"/>
          <w:szCs w:val="24"/>
          <w:lang w:val="en-GB" w:eastAsia="en-GB"/>
        </w:rPr>
        <w:t>modelled as a function</w:t>
      </w:r>
      <w:r w:rsidRPr="006308CA">
        <w:rPr>
          <w:rFonts w:ascii="Times New Roman" w:eastAsia="Times New Roman" w:hAnsi="Times New Roman" w:cs="Times New Roman"/>
          <w:sz w:val="24"/>
          <w:szCs w:val="24"/>
          <w:lang w:val="en-GB" w:eastAsia="en-GB"/>
        </w:rPr>
        <w:t xml:space="preserve"> of agricultural production, technological advancements, human capital formation and population. The empirical model therefore shows the </w:t>
      </w:r>
      <w:r w:rsidR="003051E5">
        <w:rPr>
          <w:rFonts w:ascii="Times New Roman" w:eastAsia="Times New Roman" w:hAnsi="Times New Roman" w:cs="Times New Roman"/>
          <w:sz w:val="24"/>
          <w:szCs w:val="24"/>
          <w:lang w:val="en-GB" w:eastAsia="en-GB"/>
        </w:rPr>
        <w:t xml:space="preserve">combined influence </w:t>
      </w:r>
      <w:r w:rsidRPr="006308CA">
        <w:rPr>
          <w:rFonts w:ascii="Times New Roman" w:eastAsia="Times New Roman" w:hAnsi="Times New Roman" w:cs="Times New Roman"/>
          <w:sz w:val="24"/>
          <w:szCs w:val="24"/>
          <w:lang w:val="en-GB" w:eastAsia="en-GB"/>
        </w:rPr>
        <w:t xml:space="preserve"> of agriculture and technology on economic growth and moderates </w:t>
      </w:r>
      <w:r w:rsidR="003051E5">
        <w:rPr>
          <w:rFonts w:ascii="Times New Roman" w:eastAsia="Times New Roman" w:hAnsi="Times New Roman" w:cs="Times New Roman"/>
          <w:sz w:val="24"/>
          <w:szCs w:val="24"/>
          <w:lang w:val="en-GB" w:eastAsia="en-GB"/>
        </w:rPr>
        <w:t>for</w:t>
      </w:r>
      <w:r w:rsidRPr="006308CA">
        <w:rPr>
          <w:rFonts w:ascii="Times New Roman" w:eastAsia="Times New Roman" w:hAnsi="Times New Roman" w:cs="Times New Roman"/>
          <w:sz w:val="24"/>
          <w:szCs w:val="24"/>
          <w:lang w:val="en-GB" w:eastAsia="en-GB"/>
        </w:rPr>
        <w:t xml:space="preserve"> </w:t>
      </w:r>
      <w:r w:rsidR="003051E5">
        <w:rPr>
          <w:rFonts w:ascii="Times New Roman" w:eastAsia="Times New Roman" w:hAnsi="Times New Roman" w:cs="Times New Roman"/>
          <w:sz w:val="24"/>
          <w:szCs w:val="24"/>
          <w:lang w:val="en-GB" w:eastAsia="en-GB"/>
        </w:rPr>
        <w:t xml:space="preserve">literates and </w:t>
      </w:r>
      <w:r w:rsidRPr="006308CA">
        <w:rPr>
          <w:rFonts w:ascii="Times New Roman" w:eastAsia="Times New Roman" w:hAnsi="Times New Roman" w:cs="Times New Roman"/>
          <w:sz w:val="24"/>
          <w:szCs w:val="24"/>
          <w:lang w:val="en-GB" w:eastAsia="en-GB"/>
        </w:rPr>
        <w:t xml:space="preserve">population </w:t>
      </w:r>
      <w:proofErr w:type="gramStart"/>
      <w:r w:rsidRPr="006308CA">
        <w:rPr>
          <w:rFonts w:ascii="Times New Roman" w:eastAsia="Times New Roman" w:hAnsi="Times New Roman" w:cs="Times New Roman"/>
          <w:sz w:val="24"/>
          <w:szCs w:val="24"/>
          <w:lang w:val="en-GB" w:eastAsia="en-GB"/>
        </w:rPr>
        <w:t>trend.</w:t>
      </w:r>
      <w:r w:rsidR="009A472F" w:rsidRPr="00E74449">
        <w:rPr>
          <w:rFonts w:ascii="Times New Roman" w:hAnsi="Times New Roman" w:cs="Times New Roman"/>
          <w:bCs/>
          <w:sz w:val="24"/>
          <w:szCs w:val="24"/>
        </w:rPr>
        <w:t>.</w:t>
      </w:r>
      <w:proofErr w:type="gramEnd"/>
    </w:p>
    <w:p w14:paraId="521F89D6" w14:textId="77777777" w:rsidR="00BC3B1D" w:rsidRPr="00BC3B1D" w:rsidRDefault="00BC3B1D" w:rsidP="00173CCC">
      <w:pPr>
        <w:spacing w:line="276" w:lineRule="auto"/>
        <w:jc w:val="both"/>
        <w:rPr>
          <w:rFonts w:ascii="Times New Roman" w:hAnsi="Times New Roman" w:cs="Times New Roman"/>
          <w:b/>
          <w:sz w:val="24"/>
          <w:szCs w:val="24"/>
        </w:rPr>
      </w:pPr>
      <w:r w:rsidRPr="00BC3B1D">
        <w:rPr>
          <w:rFonts w:ascii="Times New Roman" w:hAnsi="Times New Roman" w:cs="Times New Roman"/>
          <w:b/>
          <w:sz w:val="24"/>
          <w:szCs w:val="24"/>
        </w:rPr>
        <w:lastRenderedPageBreak/>
        <w:t>Empirical Review</w:t>
      </w:r>
    </w:p>
    <w:p w14:paraId="304063B0" w14:textId="01943074"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r w:rsidRPr="0027604A">
        <w:rPr>
          <w:rFonts w:ascii="Times New Roman" w:eastAsia="Times New Roman" w:hAnsi="Times New Roman" w:cs="Times New Roman"/>
          <w:color w:val="000000"/>
          <w:sz w:val="24"/>
          <w:szCs w:val="24"/>
          <w:lang w:val="en-GB" w:eastAsia="en-GB"/>
        </w:rPr>
        <w:t xml:space="preserve">Empirical Review Several empirical research studies offer insight on the relationship between agricultural output, technology, and economic growth in Nigeria; however, few studies have explicitly incorporated technology as a variable. </w:t>
      </w:r>
      <w:r w:rsidR="00E12807">
        <w:rPr>
          <w:rFonts w:ascii="Times New Roman" w:eastAsia="Times New Roman" w:hAnsi="Times New Roman" w:cs="Times New Roman"/>
          <w:color w:val="000000"/>
          <w:sz w:val="24"/>
          <w:szCs w:val="24"/>
          <w:lang w:val="en-GB" w:eastAsia="en-GB"/>
        </w:rPr>
        <w:t xml:space="preserve">For instance, </w:t>
      </w:r>
      <w:r w:rsidRPr="0027604A">
        <w:rPr>
          <w:rFonts w:ascii="Times New Roman" w:eastAsia="Times New Roman" w:hAnsi="Times New Roman" w:cs="Times New Roman"/>
          <w:color w:val="000000"/>
          <w:sz w:val="24"/>
          <w:szCs w:val="24"/>
          <w:lang w:val="en-GB" w:eastAsia="en-GB"/>
        </w:rPr>
        <w:t xml:space="preserve">Chukwu (2023), </w:t>
      </w:r>
      <w:r w:rsidR="00E12807">
        <w:rPr>
          <w:rFonts w:ascii="Times New Roman" w:eastAsia="Times New Roman" w:hAnsi="Times New Roman" w:cs="Times New Roman"/>
          <w:color w:val="000000"/>
          <w:sz w:val="24"/>
          <w:szCs w:val="24"/>
          <w:lang w:val="en-GB" w:eastAsia="en-GB"/>
        </w:rPr>
        <w:t xml:space="preserve">examined the </w:t>
      </w:r>
      <w:r w:rsidRPr="0027604A">
        <w:rPr>
          <w:rFonts w:ascii="Times New Roman" w:eastAsia="Times New Roman" w:hAnsi="Times New Roman" w:cs="Times New Roman"/>
          <w:color w:val="000000"/>
          <w:sz w:val="24"/>
          <w:szCs w:val="24"/>
          <w:lang w:val="en-GB" w:eastAsia="en-GB"/>
        </w:rPr>
        <w:t>Impact of Agricultural Sub</w:t>
      </w:r>
      <w:r w:rsidRPr="0027604A">
        <w:rPr>
          <w:rFonts w:ascii="Times New Roman" w:eastAsia="Times New Roman" w:hAnsi="Times New Roman" w:cs="Times New Roman"/>
          <w:color w:val="000000"/>
          <w:sz w:val="24"/>
          <w:szCs w:val="24"/>
          <w:lang w:val="en-GB" w:eastAsia="en-GB"/>
        </w:rPr>
        <w:noBreakHyphen/>
        <w:t>Sectors on Economic Growth in Nigeria (1981–2020), applied Ordinary Least Squares (OLS) regression analysis to analyse how crop output, livestock, forestry, and fish production influenced real GDP. His studies demonstrated that cereal and animal production had a favourable and significant influence on economic growth, whereas forestry and fish production were not significant. Despite these insights, Chukwu identified a weak correlation between most sub</w:t>
      </w:r>
      <w:r w:rsidRPr="0027604A">
        <w:rPr>
          <w:rFonts w:ascii="Times New Roman" w:eastAsia="Times New Roman" w:hAnsi="Times New Roman" w:cs="Times New Roman"/>
          <w:color w:val="000000"/>
          <w:sz w:val="24"/>
          <w:szCs w:val="24"/>
          <w:lang w:val="en-GB" w:eastAsia="en-GB"/>
        </w:rPr>
        <w:noBreakHyphen/>
        <w:t xml:space="preserve">sectors and economic growth, indicating that improvements in agricultural productivity are important to maintain both food security and overall economic performance. The study, however, did not evaluate the significance of technical improvement, creating a gap in the combined effect of technology and agricultural productivity on growth. The present analysis tries to fill this vacuum by explicitly adding technical variables such as mechanisation and digital adoption with traditional agricultural indicators to examine their joint impact on Nigeria’s economic growth. </w:t>
      </w:r>
    </w:p>
    <w:p w14:paraId="313D283C" w14:textId="02938FE7"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proofErr w:type="spellStart"/>
      <w:r w:rsidRPr="0027604A">
        <w:rPr>
          <w:rFonts w:ascii="Times New Roman" w:eastAsia="Times New Roman" w:hAnsi="Times New Roman" w:cs="Times New Roman"/>
          <w:color w:val="000000"/>
          <w:sz w:val="24"/>
          <w:szCs w:val="24"/>
          <w:lang w:val="en-GB" w:eastAsia="en-GB"/>
        </w:rPr>
        <w:t>Raufu</w:t>
      </w:r>
      <w:proofErr w:type="spellEnd"/>
      <w:r w:rsidRPr="0027604A">
        <w:rPr>
          <w:rFonts w:ascii="Times New Roman" w:eastAsia="Times New Roman" w:hAnsi="Times New Roman" w:cs="Times New Roman"/>
          <w:color w:val="000000"/>
          <w:sz w:val="24"/>
          <w:szCs w:val="24"/>
          <w:lang w:val="en-GB" w:eastAsia="en-GB"/>
        </w:rPr>
        <w:t xml:space="preserve"> et al. (2025), in their study </w:t>
      </w:r>
      <w:r w:rsidR="00E12807">
        <w:rPr>
          <w:rFonts w:ascii="Times New Roman" w:eastAsia="Times New Roman" w:hAnsi="Times New Roman" w:cs="Times New Roman"/>
          <w:color w:val="000000"/>
          <w:sz w:val="24"/>
          <w:szCs w:val="24"/>
          <w:lang w:val="en-GB" w:eastAsia="en-GB"/>
        </w:rPr>
        <w:t xml:space="preserve">on the </w:t>
      </w:r>
      <w:r w:rsidRPr="0027604A">
        <w:rPr>
          <w:rFonts w:ascii="Times New Roman" w:eastAsia="Times New Roman" w:hAnsi="Times New Roman" w:cs="Times New Roman"/>
          <w:color w:val="000000"/>
          <w:sz w:val="24"/>
          <w:szCs w:val="24"/>
          <w:lang w:val="en-GB" w:eastAsia="en-GB"/>
        </w:rPr>
        <w:t>Contribution of Agricultural Sub</w:t>
      </w:r>
      <w:r w:rsidRPr="0027604A">
        <w:rPr>
          <w:rFonts w:ascii="Times New Roman" w:eastAsia="Times New Roman" w:hAnsi="Times New Roman" w:cs="Times New Roman"/>
          <w:color w:val="000000"/>
          <w:sz w:val="24"/>
          <w:szCs w:val="24"/>
          <w:lang w:val="en-GB" w:eastAsia="en-GB"/>
        </w:rPr>
        <w:noBreakHyphen/>
        <w:t>Sectors to Nigeria’s Economic Development, used time</w:t>
      </w:r>
      <w:r w:rsidRPr="0027604A">
        <w:rPr>
          <w:rFonts w:ascii="Times New Roman" w:eastAsia="Times New Roman" w:hAnsi="Times New Roman" w:cs="Times New Roman"/>
          <w:color w:val="000000"/>
          <w:sz w:val="24"/>
          <w:szCs w:val="24"/>
          <w:lang w:val="en-GB" w:eastAsia="en-GB"/>
        </w:rPr>
        <w:noBreakHyphen/>
        <w:t xml:space="preserve">series data from 1981 to 2020, utilising cointegration and Granger causality approaches. Their analysis indicated that agriculture’s sub-components greatly contributed to economic growth, validating the concept that productivity within the sector promotes national development. Nevertheless, the study disregarded technological aspects from the empirical model, such as the introduction of contemporary farming methods or automation. By integrating technology into the assessment of agricultural productivity, the current study attempts to provide more thorough knowledge of how innovation interacts with traditional agricultural outputs to influence economic performance. </w:t>
      </w:r>
    </w:p>
    <w:p w14:paraId="123D62B6" w14:textId="2654D73E"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proofErr w:type="spellStart"/>
      <w:r w:rsidRPr="0027604A">
        <w:rPr>
          <w:rFonts w:ascii="Times New Roman" w:eastAsia="Times New Roman" w:hAnsi="Times New Roman" w:cs="Times New Roman"/>
          <w:color w:val="000000"/>
          <w:sz w:val="24"/>
          <w:szCs w:val="24"/>
          <w:lang w:val="en-GB" w:eastAsia="en-GB"/>
        </w:rPr>
        <w:t>Anugwom</w:t>
      </w:r>
      <w:proofErr w:type="spellEnd"/>
      <w:r w:rsidRPr="0027604A">
        <w:rPr>
          <w:rFonts w:ascii="Times New Roman" w:eastAsia="Times New Roman" w:hAnsi="Times New Roman" w:cs="Times New Roman"/>
          <w:color w:val="000000"/>
          <w:sz w:val="24"/>
          <w:szCs w:val="24"/>
          <w:lang w:val="en-GB" w:eastAsia="en-GB"/>
        </w:rPr>
        <w:t xml:space="preserve"> (2024) examined</w:t>
      </w:r>
      <w:r w:rsidR="00E12807">
        <w:rPr>
          <w:rFonts w:ascii="Times New Roman" w:eastAsia="Times New Roman" w:hAnsi="Times New Roman" w:cs="Times New Roman"/>
          <w:color w:val="000000"/>
          <w:sz w:val="24"/>
          <w:szCs w:val="24"/>
          <w:lang w:val="en-GB" w:eastAsia="en-GB"/>
        </w:rPr>
        <w:t xml:space="preserve"> the </w:t>
      </w:r>
      <w:r w:rsidRPr="0027604A">
        <w:rPr>
          <w:rFonts w:ascii="Times New Roman" w:eastAsia="Times New Roman" w:hAnsi="Times New Roman" w:cs="Times New Roman"/>
          <w:color w:val="000000"/>
          <w:sz w:val="24"/>
          <w:szCs w:val="24"/>
          <w:lang w:val="en-GB" w:eastAsia="en-GB"/>
        </w:rPr>
        <w:t>Impact of Agricultural Sector Output on Economic Growth Sustainability in Nigeria</w:t>
      </w:r>
      <w:r w:rsidR="00E12807">
        <w:rPr>
          <w:rFonts w:ascii="Times New Roman" w:eastAsia="Times New Roman" w:hAnsi="Times New Roman" w:cs="Times New Roman"/>
          <w:color w:val="000000"/>
          <w:sz w:val="24"/>
          <w:szCs w:val="24"/>
          <w:lang w:val="en-GB" w:eastAsia="en-GB"/>
        </w:rPr>
        <w:t xml:space="preserve">, </w:t>
      </w:r>
      <w:r w:rsidRPr="0027604A">
        <w:rPr>
          <w:rFonts w:ascii="Times New Roman" w:eastAsia="Times New Roman" w:hAnsi="Times New Roman" w:cs="Times New Roman"/>
          <w:color w:val="000000"/>
          <w:sz w:val="24"/>
          <w:szCs w:val="24"/>
          <w:lang w:val="en-GB" w:eastAsia="en-GB"/>
        </w:rPr>
        <w:t xml:space="preserve"> using OLS regression. Surprisingly, the study indicated that agricultural output, government agriculture expenditure, and associated indicators did not significantly contribute to economic growth within the analysed time. This diversity illustrates the limitations of depending simply on traditional indices of agricultural performance, demonstrating that conventional measurements may fail to capture all variables that impact growth. The new analysis tackles this restriction by combining output metrics with technology-focused indicators, allowing for a more holistic examination of how modernised agriculture can sustain economic growth. </w:t>
      </w:r>
    </w:p>
    <w:p w14:paraId="58009C95" w14:textId="7AD41AB8"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r w:rsidRPr="0027604A">
        <w:rPr>
          <w:rFonts w:ascii="Times New Roman" w:eastAsia="Times New Roman" w:hAnsi="Times New Roman" w:cs="Times New Roman"/>
          <w:color w:val="000000"/>
          <w:sz w:val="24"/>
          <w:szCs w:val="24"/>
          <w:lang w:val="en-GB" w:eastAsia="en-GB"/>
        </w:rPr>
        <w:t xml:space="preserve">Okeke and Amaechi (2021), in </w:t>
      </w:r>
      <w:r w:rsidR="00E12807">
        <w:rPr>
          <w:rFonts w:ascii="Times New Roman" w:eastAsia="Times New Roman" w:hAnsi="Times New Roman" w:cs="Times New Roman"/>
          <w:color w:val="000000"/>
          <w:sz w:val="24"/>
          <w:szCs w:val="24"/>
          <w:lang w:val="en-GB" w:eastAsia="en-GB"/>
        </w:rPr>
        <w:t xml:space="preserve">a study on </w:t>
      </w:r>
      <w:r w:rsidRPr="0027604A">
        <w:rPr>
          <w:rFonts w:ascii="Times New Roman" w:eastAsia="Times New Roman" w:hAnsi="Times New Roman" w:cs="Times New Roman"/>
          <w:color w:val="000000"/>
          <w:sz w:val="24"/>
          <w:szCs w:val="24"/>
          <w:lang w:val="en-GB" w:eastAsia="en-GB"/>
        </w:rPr>
        <w:t xml:space="preserve">Agricultural Development, Food Security, and Economic Performance in Nigeria: An ARDL Approach, employed the Autoregressive Distributed Lag (ARDL) model to analyse the relationship between agricultural development and economic well-being. Their results suggested that gains in agricultural development favourably affected food </w:t>
      </w:r>
      <w:r w:rsidRPr="0027604A">
        <w:rPr>
          <w:rFonts w:ascii="Times New Roman" w:eastAsia="Times New Roman" w:hAnsi="Times New Roman" w:cs="Times New Roman"/>
          <w:color w:val="000000"/>
          <w:sz w:val="24"/>
          <w:szCs w:val="24"/>
          <w:lang w:val="en-GB" w:eastAsia="en-GB"/>
        </w:rPr>
        <w:lastRenderedPageBreak/>
        <w:t xml:space="preserve">security outcomes and broader economic indices. While the study ties agriculture to economic well-being, it did not include technology indices in the empirical framework. The current research tries to bridge this gap by combining metrics of technology adoption, mechanisation, and digital tools in agriculture to capture their direct and indirect effects on growth. </w:t>
      </w:r>
    </w:p>
    <w:p w14:paraId="2A83F060" w14:textId="4313ECC8"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r w:rsidRPr="0027604A">
        <w:rPr>
          <w:rFonts w:ascii="Times New Roman" w:eastAsia="Times New Roman" w:hAnsi="Times New Roman" w:cs="Times New Roman"/>
          <w:color w:val="000000"/>
          <w:sz w:val="24"/>
          <w:szCs w:val="24"/>
          <w:lang w:val="en-GB" w:eastAsia="en-GB"/>
        </w:rPr>
        <w:t xml:space="preserve">Finally, </w:t>
      </w:r>
      <w:proofErr w:type="spellStart"/>
      <w:r w:rsidRPr="0027604A">
        <w:rPr>
          <w:rFonts w:ascii="Times New Roman" w:eastAsia="Times New Roman" w:hAnsi="Times New Roman" w:cs="Times New Roman"/>
          <w:color w:val="000000"/>
          <w:sz w:val="24"/>
          <w:szCs w:val="24"/>
          <w:lang w:val="en-GB" w:eastAsia="en-GB"/>
        </w:rPr>
        <w:t>Adesoye</w:t>
      </w:r>
      <w:proofErr w:type="spellEnd"/>
      <w:r w:rsidRPr="0027604A">
        <w:rPr>
          <w:rFonts w:ascii="Times New Roman" w:eastAsia="Times New Roman" w:hAnsi="Times New Roman" w:cs="Times New Roman"/>
          <w:color w:val="000000"/>
          <w:sz w:val="24"/>
          <w:szCs w:val="24"/>
          <w:lang w:val="en-GB" w:eastAsia="en-GB"/>
        </w:rPr>
        <w:t xml:space="preserve"> et al. (2024) explored</w:t>
      </w:r>
      <w:r w:rsidR="00E12807">
        <w:rPr>
          <w:rFonts w:ascii="Times New Roman" w:eastAsia="Times New Roman" w:hAnsi="Times New Roman" w:cs="Times New Roman"/>
          <w:color w:val="000000"/>
          <w:sz w:val="24"/>
          <w:szCs w:val="24"/>
          <w:lang w:val="en-GB" w:eastAsia="en-GB"/>
        </w:rPr>
        <w:t xml:space="preserve"> the relationship between </w:t>
      </w:r>
      <w:r w:rsidRPr="0027604A">
        <w:rPr>
          <w:rFonts w:ascii="Times New Roman" w:eastAsia="Times New Roman" w:hAnsi="Times New Roman" w:cs="Times New Roman"/>
          <w:color w:val="000000"/>
          <w:sz w:val="24"/>
          <w:szCs w:val="24"/>
          <w:lang w:val="en-GB" w:eastAsia="en-GB"/>
        </w:rPr>
        <w:t xml:space="preserve">Enhancing the Agricultural Value Chain and Economic Diversification in Nigeria utilising the ARDL technique. The study indicated that investments in agricultural machinery and value chain processes considerably increased productivity and growth dynamics, underlining the relevance of technology-related capital for agricultural performance. However, the research did not specifically quantify technology adoption at the farm or sector level in their growth models. The present study expands on this by assessing technological adoption directly, thus providing actual data on how the integration of contemporary technology within agriculture might promote economic growth more efficiently. Collectively, these studies underline the importance of agricultural output in driving Nigeria’s economic performance, although they frequently expose a gap: technology, despite its revolutionary potential, is either indirectly examined or excluded. The current study addresses this shortfall by explicitly integrating technological indicators with agricultural productivity measures to evaluate their combined impact on economic growth, offering a more nuanced and empirically grounded understanding of agriculture’s role in modern economic development. </w:t>
      </w:r>
    </w:p>
    <w:p w14:paraId="22A94A19" w14:textId="69CE762D" w:rsidR="0027604A" w:rsidRPr="00C8268F" w:rsidRDefault="0027604A" w:rsidP="00173CCC">
      <w:pPr>
        <w:spacing w:before="240" w:after="0" w:line="276" w:lineRule="auto"/>
        <w:jc w:val="both"/>
        <w:rPr>
          <w:rFonts w:ascii="Times New Roman" w:eastAsia="Aptos" w:hAnsi="Times New Roman" w:cs="Times New Roman"/>
          <w:b/>
          <w:bCs/>
          <w:color w:val="000000"/>
          <w:kern w:val="2"/>
          <w:sz w:val="24"/>
          <w:szCs w:val="24"/>
          <w:lang w:val="en-GB"/>
          <w14:ligatures w14:val="standardContextual"/>
        </w:rPr>
      </w:pPr>
      <w:r w:rsidRPr="00C8268F">
        <w:rPr>
          <w:rFonts w:ascii="Times New Roman" w:eastAsia="Aptos" w:hAnsi="Times New Roman" w:cs="Times New Roman"/>
          <w:b/>
          <w:bCs/>
          <w:color w:val="000000"/>
          <w:kern w:val="2"/>
          <w:sz w:val="24"/>
          <w:szCs w:val="24"/>
          <w:lang w:val="en-GB"/>
          <w14:ligatures w14:val="standardContextual"/>
        </w:rPr>
        <w:t>Summary of Research Gap</w:t>
      </w:r>
    </w:p>
    <w:p w14:paraId="072129BD" w14:textId="5D97CB66" w:rsidR="00BE2866" w:rsidRDefault="00C8268F" w:rsidP="00173CCC">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C8268F">
        <w:rPr>
          <w:rFonts w:ascii="Times New Roman" w:eastAsia="Aptos" w:hAnsi="Times New Roman" w:cs="Times New Roman"/>
          <w:color w:val="000000"/>
          <w:kern w:val="2"/>
          <w:sz w:val="24"/>
          <w:szCs w:val="24"/>
          <w:lang w:val="en-GB"/>
          <w14:ligatures w14:val="standardContextual"/>
        </w:rPr>
        <w:t xml:space="preserve">Most existing studies focus primarily on agricultural output measures such as crop production and sector contributions to gross domestic product (Chukwu, 2023; </w:t>
      </w:r>
      <w:proofErr w:type="spellStart"/>
      <w:r w:rsidRPr="00C8268F">
        <w:rPr>
          <w:rFonts w:ascii="Times New Roman" w:eastAsia="Aptos" w:hAnsi="Times New Roman" w:cs="Times New Roman"/>
          <w:color w:val="000000"/>
          <w:kern w:val="2"/>
          <w:sz w:val="24"/>
          <w:szCs w:val="24"/>
          <w:lang w:val="en-GB"/>
          <w14:ligatures w14:val="standardContextual"/>
        </w:rPr>
        <w:t>Raufu</w:t>
      </w:r>
      <w:proofErr w:type="spellEnd"/>
      <w:r w:rsidRPr="00C8268F">
        <w:rPr>
          <w:rFonts w:ascii="Times New Roman" w:eastAsia="Aptos" w:hAnsi="Times New Roman" w:cs="Times New Roman"/>
          <w:color w:val="000000"/>
          <w:kern w:val="2"/>
          <w:sz w:val="24"/>
          <w:szCs w:val="24"/>
          <w:lang w:val="en-GB"/>
          <w14:ligatures w14:val="standardContextual"/>
        </w:rPr>
        <w:t xml:space="preserve"> et al., 2025; </w:t>
      </w:r>
      <w:proofErr w:type="spellStart"/>
      <w:r w:rsidRPr="00C8268F">
        <w:rPr>
          <w:rFonts w:ascii="Times New Roman" w:eastAsia="Aptos" w:hAnsi="Times New Roman" w:cs="Times New Roman"/>
          <w:color w:val="000000"/>
          <w:kern w:val="2"/>
          <w:sz w:val="24"/>
          <w:szCs w:val="24"/>
          <w:lang w:val="en-GB"/>
          <w14:ligatures w14:val="standardContextual"/>
        </w:rPr>
        <w:t>Anugwom</w:t>
      </w:r>
      <w:proofErr w:type="spellEnd"/>
      <w:r w:rsidRPr="00C8268F">
        <w:rPr>
          <w:rFonts w:ascii="Times New Roman" w:eastAsia="Aptos" w:hAnsi="Times New Roman" w:cs="Times New Roman"/>
          <w:color w:val="000000"/>
          <w:kern w:val="2"/>
          <w:sz w:val="24"/>
          <w:szCs w:val="24"/>
          <w:lang w:val="en-GB"/>
          <w14:ligatures w14:val="standardContextual"/>
        </w:rPr>
        <w:t xml:space="preserve">, 2024). While some research acknowledges technological inputs in agriculture, relatively few empirical investigations clearly quantify the combined influence of agricultural technology and agricultural output on economic growth within the Nigerian setting (Okeke &amp; Amaechi, 2021; </w:t>
      </w:r>
      <w:proofErr w:type="spellStart"/>
      <w:r w:rsidRPr="00C8268F">
        <w:rPr>
          <w:rFonts w:ascii="Times New Roman" w:eastAsia="Aptos" w:hAnsi="Times New Roman" w:cs="Times New Roman"/>
          <w:color w:val="000000"/>
          <w:kern w:val="2"/>
          <w:sz w:val="24"/>
          <w:szCs w:val="24"/>
          <w:lang w:val="en-GB"/>
          <w14:ligatures w14:val="standardContextual"/>
        </w:rPr>
        <w:t>Adesoye</w:t>
      </w:r>
      <w:proofErr w:type="spellEnd"/>
      <w:r w:rsidRPr="00C8268F">
        <w:rPr>
          <w:rFonts w:ascii="Times New Roman" w:eastAsia="Aptos" w:hAnsi="Times New Roman" w:cs="Times New Roman"/>
          <w:color w:val="000000"/>
          <w:kern w:val="2"/>
          <w:sz w:val="24"/>
          <w:szCs w:val="24"/>
          <w:lang w:val="en-GB"/>
          <w14:ligatures w14:val="standardContextual"/>
        </w:rPr>
        <w:t xml:space="preserve"> et al., 2024). Additionally, several studies focus on conventional agricultural variables without integrating current technology breakthroughs like precision farming, digital platforms, or automation that progressively affect productivity (</w:t>
      </w:r>
      <w:proofErr w:type="spellStart"/>
      <w:r w:rsidRPr="00C8268F">
        <w:rPr>
          <w:rFonts w:ascii="Times New Roman" w:eastAsia="Aptos" w:hAnsi="Times New Roman" w:cs="Times New Roman"/>
          <w:color w:val="000000"/>
          <w:kern w:val="2"/>
          <w:sz w:val="24"/>
          <w:szCs w:val="24"/>
          <w:lang w:val="en-GB"/>
          <w14:ligatures w14:val="standardContextual"/>
        </w:rPr>
        <w:t>Raufu</w:t>
      </w:r>
      <w:proofErr w:type="spellEnd"/>
      <w:r w:rsidRPr="00C8268F">
        <w:rPr>
          <w:rFonts w:ascii="Times New Roman" w:eastAsia="Aptos" w:hAnsi="Times New Roman" w:cs="Times New Roman"/>
          <w:color w:val="000000"/>
          <w:kern w:val="2"/>
          <w:sz w:val="24"/>
          <w:szCs w:val="24"/>
          <w:lang w:val="en-GB"/>
          <w14:ligatures w14:val="standardContextual"/>
        </w:rPr>
        <w:t xml:space="preserve"> et al., 2025; </w:t>
      </w:r>
      <w:proofErr w:type="spellStart"/>
      <w:r w:rsidRPr="00C8268F">
        <w:rPr>
          <w:rFonts w:ascii="Times New Roman" w:eastAsia="Aptos" w:hAnsi="Times New Roman" w:cs="Times New Roman"/>
          <w:color w:val="000000"/>
          <w:kern w:val="2"/>
          <w:sz w:val="24"/>
          <w:szCs w:val="24"/>
          <w:lang w:val="en-GB"/>
          <w14:ligatures w14:val="standardContextual"/>
        </w:rPr>
        <w:t>Anugwom</w:t>
      </w:r>
      <w:proofErr w:type="spellEnd"/>
      <w:r w:rsidRPr="00C8268F">
        <w:rPr>
          <w:rFonts w:ascii="Times New Roman" w:eastAsia="Aptos" w:hAnsi="Times New Roman" w:cs="Times New Roman"/>
          <w:color w:val="000000"/>
          <w:kern w:val="2"/>
          <w:sz w:val="24"/>
          <w:szCs w:val="24"/>
          <w:lang w:val="en-GB"/>
          <w14:ligatures w14:val="standardContextual"/>
        </w:rPr>
        <w:t xml:space="preserve">, 2024). Consequently, there is a </w:t>
      </w:r>
      <w:r w:rsidR="00112DCF">
        <w:rPr>
          <w:rFonts w:ascii="Times New Roman" w:eastAsia="Aptos" w:hAnsi="Times New Roman" w:cs="Times New Roman"/>
          <w:color w:val="000000"/>
          <w:kern w:val="2"/>
          <w:sz w:val="24"/>
          <w:szCs w:val="24"/>
          <w:lang w:val="en-GB"/>
          <w14:ligatures w14:val="standardContextual"/>
        </w:rPr>
        <w:t>gap</w:t>
      </w:r>
      <w:r w:rsidRPr="00C8268F">
        <w:rPr>
          <w:rFonts w:ascii="Times New Roman" w:eastAsia="Aptos" w:hAnsi="Times New Roman" w:cs="Times New Roman"/>
          <w:color w:val="000000"/>
          <w:kern w:val="2"/>
          <w:sz w:val="24"/>
          <w:szCs w:val="24"/>
          <w:lang w:val="en-GB"/>
          <w14:ligatures w14:val="standardContextual"/>
        </w:rPr>
        <w:t xml:space="preserve"> in the research regarding the integrated role of technology and agricultural performance in restoring economic growth in Nigeria. The current study fills this gap by evaluating how technical innovation and agricultural output </w:t>
      </w:r>
      <w:r w:rsidR="00112DCF">
        <w:rPr>
          <w:rFonts w:ascii="Times New Roman" w:eastAsia="Aptos" w:hAnsi="Times New Roman" w:cs="Times New Roman"/>
          <w:color w:val="000000"/>
          <w:kern w:val="2"/>
          <w:sz w:val="24"/>
          <w:szCs w:val="24"/>
          <w:lang w:val="en-GB"/>
          <w14:ligatures w14:val="standardContextual"/>
        </w:rPr>
        <w:t>can</w:t>
      </w:r>
      <w:r w:rsidRPr="00C8268F">
        <w:rPr>
          <w:rFonts w:ascii="Times New Roman" w:eastAsia="Aptos" w:hAnsi="Times New Roman" w:cs="Times New Roman"/>
          <w:color w:val="000000"/>
          <w:kern w:val="2"/>
          <w:sz w:val="24"/>
          <w:szCs w:val="24"/>
          <w:lang w:val="en-GB"/>
          <w14:ligatures w14:val="standardContextual"/>
        </w:rPr>
        <w:t xml:space="preserve"> influence economic growth, offering a more comprehensive understanding of the role of modern agriculture in economic development.</w:t>
      </w:r>
    </w:p>
    <w:p w14:paraId="6018CE53" w14:textId="77777777" w:rsidR="00BE2866" w:rsidRDefault="009A472F" w:rsidP="00173CCC">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74449">
        <w:rPr>
          <w:rFonts w:ascii="Times New Roman" w:eastAsia="Times New Roman" w:hAnsi="Times New Roman" w:cs="Times New Roman"/>
          <w:b/>
          <w:bCs/>
          <w:color w:val="000000"/>
          <w:kern w:val="2"/>
          <w:sz w:val="24"/>
          <w:szCs w:val="24"/>
          <w14:ligatures w14:val="standardContextual"/>
        </w:rPr>
        <w:t>III. Methodology</w:t>
      </w:r>
    </w:p>
    <w:p w14:paraId="71AC880E" w14:textId="0F82EA7B" w:rsidR="003C45ED" w:rsidRPr="003C45ED" w:rsidRDefault="003C45ED" w:rsidP="00173CCC">
      <w:pPr>
        <w:spacing w:before="240" w:after="0" w:line="276" w:lineRule="auto"/>
        <w:jc w:val="both"/>
        <w:rPr>
          <w:rFonts w:ascii="Times New Roman" w:eastAsia="Times New Roman" w:hAnsi="Times New Roman" w:cs="Times New Roman"/>
          <w:color w:val="000000"/>
          <w:kern w:val="2"/>
          <w:sz w:val="24"/>
          <w:szCs w:val="24"/>
          <w14:ligatures w14:val="standardContextual"/>
        </w:rPr>
      </w:pPr>
      <w:r w:rsidRPr="003C45ED">
        <w:rPr>
          <w:rFonts w:ascii="Times New Roman" w:eastAsia="Times New Roman" w:hAnsi="Times New Roman" w:cs="Times New Roman"/>
          <w:color w:val="000000"/>
          <w:kern w:val="2"/>
          <w:sz w:val="24"/>
          <w:szCs w:val="24"/>
          <w14:ligatures w14:val="standardContextual"/>
        </w:rPr>
        <w:t xml:space="preserve">This study utilised a quantitative research strategy utilising an ex post facto technique and relied on secondary time-series data gathered from the Central Bank of Nigeria and other relevant statistical sources covering the period 1990 to 2023. Economic growth was proxied by the Gross Domestic Product growth rate (GDPgr), while the explanatory variables comprised agricultural, </w:t>
      </w:r>
      <w:r w:rsidRPr="003C45ED">
        <w:rPr>
          <w:rFonts w:ascii="Times New Roman" w:eastAsia="Times New Roman" w:hAnsi="Times New Roman" w:cs="Times New Roman"/>
          <w:color w:val="000000"/>
          <w:kern w:val="2"/>
          <w:sz w:val="24"/>
          <w:szCs w:val="24"/>
          <w14:ligatures w14:val="standardContextual"/>
        </w:rPr>
        <w:lastRenderedPageBreak/>
        <w:t>forestry and fisheries value added as a proportion of GDP and research and development spending as a proxy for technical advancement. The use of agricultural value added is justified by the substantial role of agriculture in economic development through food supply, employment generation, income creation, and the supplying of raw materials for industries (Johnston &amp; Mellor, 1961). Similarly, R</w:t>
      </w:r>
      <w:r w:rsidR="00F52CA0">
        <w:rPr>
          <w:rFonts w:ascii="Times New Roman" w:eastAsia="Times New Roman" w:hAnsi="Times New Roman" w:cs="Times New Roman"/>
          <w:color w:val="000000"/>
          <w:kern w:val="2"/>
          <w:sz w:val="24"/>
          <w:szCs w:val="24"/>
          <w14:ligatures w14:val="standardContextual"/>
        </w:rPr>
        <w:t>&amp;</w:t>
      </w:r>
      <w:r w:rsidRPr="003C45ED">
        <w:rPr>
          <w:rFonts w:ascii="Times New Roman" w:eastAsia="Times New Roman" w:hAnsi="Times New Roman" w:cs="Times New Roman"/>
          <w:color w:val="000000"/>
          <w:kern w:val="2"/>
          <w:sz w:val="24"/>
          <w:szCs w:val="24"/>
          <w14:ligatures w14:val="standardContextual"/>
        </w:rPr>
        <w:t xml:space="preserve">D </w:t>
      </w:r>
      <w:r w:rsidR="008B6341">
        <w:rPr>
          <w:rFonts w:ascii="Times New Roman" w:eastAsia="Times New Roman" w:hAnsi="Times New Roman" w:cs="Times New Roman"/>
          <w:color w:val="000000"/>
          <w:kern w:val="2"/>
          <w:sz w:val="24"/>
          <w:szCs w:val="24"/>
          <w14:ligatures w14:val="standardContextual"/>
        </w:rPr>
        <w:t>expenditure</w:t>
      </w:r>
      <w:r w:rsidRPr="003C45ED">
        <w:rPr>
          <w:rFonts w:ascii="Times New Roman" w:eastAsia="Times New Roman" w:hAnsi="Times New Roman" w:cs="Times New Roman"/>
          <w:color w:val="000000"/>
          <w:kern w:val="2"/>
          <w:sz w:val="24"/>
          <w:szCs w:val="24"/>
          <w14:ligatures w14:val="standardContextual"/>
        </w:rPr>
        <w:t xml:space="preserve"> was included because technical innovation promotes productivity, improves efficiency in resource utilisation, and supports the adoption of modern farming methods that can stimulate economic growth. Investment in research and development is widely acknowledged as a crucial indication of technical progress and innovative capacity within an economy (Organisation for Economic Co-operation and Development, 2022).</w:t>
      </w:r>
    </w:p>
    <w:p w14:paraId="200DA839" w14:textId="77777777" w:rsidR="003C45ED" w:rsidRDefault="003C45ED" w:rsidP="00173CCC">
      <w:pPr>
        <w:spacing w:before="240" w:after="0" w:line="276" w:lineRule="auto"/>
        <w:jc w:val="both"/>
        <w:rPr>
          <w:rFonts w:ascii="Times New Roman" w:eastAsia="Times New Roman" w:hAnsi="Times New Roman" w:cs="Times New Roman"/>
          <w:color w:val="000000"/>
          <w:kern w:val="2"/>
          <w:sz w:val="24"/>
          <w:szCs w:val="24"/>
          <w14:ligatures w14:val="standardContextual"/>
        </w:rPr>
      </w:pPr>
      <w:r w:rsidRPr="003C45ED">
        <w:rPr>
          <w:rFonts w:ascii="Times New Roman" w:eastAsia="Times New Roman" w:hAnsi="Times New Roman" w:cs="Times New Roman"/>
          <w:color w:val="000000"/>
          <w:kern w:val="2"/>
          <w:sz w:val="24"/>
          <w:szCs w:val="24"/>
          <w14:ligatures w14:val="standardContextual"/>
        </w:rPr>
        <w:t xml:space="preserve">In addition, literacy rate and population were introduced as control variables </w:t>
      </w:r>
      <w:proofErr w:type="gramStart"/>
      <w:r w:rsidRPr="003C45ED">
        <w:rPr>
          <w:rFonts w:ascii="Times New Roman" w:eastAsia="Times New Roman" w:hAnsi="Times New Roman" w:cs="Times New Roman"/>
          <w:color w:val="000000"/>
          <w:kern w:val="2"/>
          <w:sz w:val="24"/>
          <w:szCs w:val="24"/>
          <w14:ligatures w14:val="standardContextual"/>
        </w:rPr>
        <w:t>in order to</w:t>
      </w:r>
      <w:proofErr w:type="gramEnd"/>
      <w:r w:rsidRPr="003C45ED">
        <w:rPr>
          <w:rFonts w:ascii="Times New Roman" w:eastAsia="Times New Roman" w:hAnsi="Times New Roman" w:cs="Times New Roman"/>
          <w:color w:val="000000"/>
          <w:kern w:val="2"/>
          <w:sz w:val="24"/>
          <w:szCs w:val="24"/>
          <w14:ligatures w14:val="standardContextual"/>
        </w:rPr>
        <w:t xml:space="preserve"> account for human capital development and demographic dynamics that may influence economic growth. The literacy rate highlights the significance of education and human capital in enhancing labour productivity and encouraging the adoption of new technologies within agricultural and other productive sectors of the economy (Barro, 2013). The population was included to control for demographic pressure and labour supply factors that influence production, consumption, and demand for food and economic resources. According to the United Nations, population dynamics have a vital role in driving economic growth by expanding the workforce while concurrently boosting demand for goods, services, and food production (United Nations, 2023). The inclusion of these control variables consequently allows the study to better isolate the impacts of agricultural and technological improvement on economic growth in Nigeria.</w:t>
      </w:r>
    </w:p>
    <w:p w14:paraId="13F0CF9D" w14:textId="4FB2557A" w:rsidR="00F237DB" w:rsidRDefault="009A472F" w:rsidP="00173CCC">
      <w:pPr>
        <w:spacing w:before="240" w:after="0" w:line="276" w:lineRule="auto"/>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 xml:space="preserve">The Cointegrating Equation (CE) approach </w:t>
      </w:r>
      <w:r w:rsidR="00F237DB">
        <w:rPr>
          <w:rFonts w:ascii="Times New Roman" w:eastAsia="Times New Roman" w:hAnsi="Times New Roman" w:cs="Times New Roman"/>
          <w:color w:val="000000"/>
          <w:kern w:val="2"/>
          <w:sz w:val="24"/>
          <w:szCs w:val="24"/>
          <w14:ligatures w14:val="standardContextual"/>
        </w:rPr>
        <w:t>was</w:t>
      </w:r>
      <w:r w:rsidRPr="00E74449">
        <w:rPr>
          <w:rFonts w:ascii="Times New Roman" w:eastAsia="Times New Roman" w:hAnsi="Times New Roman" w:cs="Times New Roman"/>
          <w:color w:val="000000"/>
          <w:kern w:val="2"/>
          <w:sz w:val="24"/>
          <w:szCs w:val="24"/>
          <w14:ligatures w14:val="standardContextual"/>
        </w:rPr>
        <w:t xml:space="preserve"> adopted using both the Fully Modified Ordinary Least Squares (FMOLS) and Dynamic Ordinary Least Squares (DOLS) techniques to estimate the long-run relationship between agriculture, technology, and economic growth in Nigeria. These methods are particularly suitable for addressing issues of endogeneity and serial correlation that often arise in time series regressions involving non-stationary variables. The study first conduct</w:t>
      </w:r>
      <w:r w:rsidR="00F237DB">
        <w:rPr>
          <w:rFonts w:ascii="Times New Roman" w:eastAsia="Times New Roman" w:hAnsi="Times New Roman" w:cs="Times New Roman"/>
          <w:color w:val="000000"/>
          <w:kern w:val="2"/>
          <w:sz w:val="24"/>
          <w:szCs w:val="24"/>
          <w14:ligatures w14:val="standardContextual"/>
        </w:rPr>
        <w:t>ed</w:t>
      </w:r>
      <w:r w:rsidRPr="00E74449">
        <w:rPr>
          <w:rFonts w:ascii="Times New Roman" w:eastAsia="Times New Roman" w:hAnsi="Times New Roman" w:cs="Times New Roman"/>
          <w:color w:val="000000"/>
          <w:kern w:val="2"/>
          <w:sz w:val="24"/>
          <w:szCs w:val="24"/>
          <w14:ligatures w14:val="standardContextual"/>
        </w:rPr>
        <w:t xml:space="preserve"> unit root tests (ADF and PP) to determine the stationarity properties of the variables, followed by the Johansen cointegration test to confirm the existence of a stable long-run relationship among Agriculture, Forestry &amp; Fishing value added, R&amp;D </w:t>
      </w:r>
      <w:r w:rsidR="005C7E18">
        <w:rPr>
          <w:rFonts w:ascii="Times New Roman" w:eastAsia="Times New Roman" w:hAnsi="Times New Roman" w:cs="Times New Roman"/>
          <w:color w:val="000000"/>
          <w:kern w:val="2"/>
          <w:sz w:val="24"/>
          <w:szCs w:val="24"/>
          <w14:ligatures w14:val="standardContextual"/>
        </w:rPr>
        <w:t>Expenditure</w:t>
      </w:r>
      <w:r w:rsidRPr="00E74449">
        <w:rPr>
          <w:rFonts w:ascii="Times New Roman" w:eastAsia="Times New Roman" w:hAnsi="Times New Roman" w:cs="Times New Roman"/>
          <w:color w:val="000000"/>
          <w:kern w:val="2"/>
          <w:sz w:val="24"/>
          <w:szCs w:val="24"/>
          <w14:ligatures w14:val="standardContextual"/>
        </w:rPr>
        <w:t>, Literacy Level, Population, and GDP. The FMOLS and DOLS models are then applied to estimate the cointegration equation, offering reliable and unbiased long-run coefficients. Model validation involves testing for residual normality, serial correlation (using Breusch-Godfrey LM test), and heteroskedasticity (using Breusch-Pagan-Godfrey test), while the CUSUM and CUSUMSQ tests are used to assess model stability. This approach ensures the robustness of the findings and aligns with established empirical literature on long-run growth determinants (Barro &amp; Sala-</w:t>
      </w:r>
      <w:proofErr w:type="spellStart"/>
      <w:r w:rsidRPr="00E74449">
        <w:rPr>
          <w:rFonts w:ascii="Times New Roman" w:eastAsia="Times New Roman" w:hAnsi="Times New Roman" w:cs="Times New Roman"/>
          <w:color w:val="000000"/>
          <w:kern w:val="2"/>
          <w:sz w:val="24"/>
          <w:szCs w:val="24"/>
          <w14:ligatures w14:val="standardContextual"/>
        </w:rPr>
        <w:t>i</w:t>
      </w:r>
      <w:proofErr w:type="spellEnd"/>
      <w:r w:rsidRPr="00E74449">
        <w:rPr>
          <w:rFonts w:ascii="Times New Roman" w:eastAsia="Times New Roman" w:hAnsi="Times New Roman" w:cs="Times New Roman"/>
          <w:color w:val="000000"/>
          <w:kern w:val="2"/>
          <w:sz w:val="24"/>
          <w:szCs w:val="24"/>
          <w14:ligatures w14:val="standardContextual"/>
        </w:rPr>
        <w:t xml:space="preserve">-Martin, 2004; Phillips &amp; Hansen, 1990; Stock &amp; Watson, 1993), providing a rigorous framework to explore the restorative roles of agriculture and technology in Nigeria’s economic trajectory. </w:t>
      </w:r>
    </w:p>
    <w:p w14:paraId="0CAF0FB9" w14:textId="77777777" w:rsidR="00494446" w:rsidRPr="009836CE" w:rsidRDefault="00494446" w:rsidP="00173CCC">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836CE">
        <w:rPr>
          <w:rFonts w:ascii="Times New Roman" w:eastAsia="Times New Roman" w:hAnsi="Times New Roman" w:cs="Times New Roman"/>
          <w:b/>
          <w:bCs/>
          <w:color w:val="000000"/>
          <w:kern w:val="2"/>
          <w:sz w:val="24"/>
          <w:szCs w:val="24"/>
          <w14:ligatures w14:val="standardContextual"/>
        </w:rPr>
        <w:t>Model Specification</w:t>
      </w:r>
    </w:p>
    <w:p w14:paraId="59DC80D4" w14:textId="074D46BA" w:rsidR="00F560B0" w:rsidRPr="009836CE" w:rsidRDefault="009836CE" w:rsidP="00173CCC">
      <w:pPr>
        <w:spacing w:after="0" w:line="276" w:lineRule="auto"/>
        <w:jc w:val="both"/>
        <w:rPr>
          <w:rFonts w:ascii="Times New Roman" w:eastAsia="Times New Roman" w:hAnsi="Times New Roman" w:cs="Times New Roman"/>
          <w:color w:val="000000"/>
          <w:kern w:val="2"/>
          <w:sz w:val="24"/>
          <w:szCs w:val="24"/>
          <w14:ligatures w14:val="standardContextual"/>
        </w:rPr>
      </w:pPr>
      <w:r w:rsidRPr="009836CE">
        <w:rPr>
          <w:rFonts w:ascii="Times New Roman" w:eastAsia="Times New Roman" w:hAnsi="Times New Roman" w:cs="Times New Roman"/>
          <w:color w:val="000000"/>
          <w:kern w:val="2"/>
          <w:sz w:val="24"/>
          <w:szCs w:val="24"/>
          <w14:ligatures w14:val="standardContextual"/>
        </w:rPr>
        <w:t>Following the theoretical framework, t</w:t>
      </w:r>
      <w:r w:rsidR="009A472F" w:rsidRPr="009836CE">
        <w:rPr>
          <w:rFonts w:ascii="Times New Roman" w:eastAsia="Times New Roman" w:hAnsi="Times New Roman" w:cs="Times New Roman"/>
          <w:color w:val="000000"/>
          <w:kern w:val="2"/>
          <w:sz w:val="24"/>
          <w:szCs w:val="24"/>
          <w14:ligatures w14:val="standardContextual"/>
        </w:rPr>
        <w:t xml:space="preserve">he baseline FMOLS and DOLS models for economic growth and Agricultural technology </w:t>
      </w:r>
      <w:r w:rsidRPr="009836CE">
        <w:rPr>
          <w:rFonts w:ascii="Times New Roman" w:eastAsia="Times New Roman" w:hAnsi="Times New Roman" w:cs="Times New Roman"/>
          <w:color w:val="000000"/>
          <w:kern w:val="2"/>
          <w:sz w:val="24"/>
          <w:szCs w:val="24"/>
          <w14:ligatures w14:val="standardContextual"/>
        </w:rPr>
        <w:t>is specified as:</w:t>
      </w:r>
    </w:p>
    <w:p w14:paraId="6F0753D2" w14:textId="77777777" w:rsidR="00F237DB" w:rsidRPr="009836CE" w:rsidRDefault="00F237DB" w:rsidP="00173CCC">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B473328" w14:textId="77777777" w:rsidR="00F560B0" w:rsidRPr="009836CE" w:rsidRDefault="009A472F" w:rsidP="00173CCC">
      <w:pPr>
        <w:spacing w:after="0" w:line="276" w:lineRule="auto"/>
        <w:ind w:left="10" w:hanging="10"/>
        <w:jc w:val="center"/>
        <w:rPr>
          <w:rFonts w:ascii="Times New Roman" w:eastAsia="SimSun" w:hAnsi="Times New Roman" w:cs="Times New Roman"/>
          <w:iCs/>
          <w:color w:val="000000"/>
          <w:kern w:val="2"/>
          <w:sz w:val="24"/>
          <w:szCs w:val="24"/>
          <w14:ligatures w14:val="standardContextual"/>
        </w:rPr>
      </w:pPr>
      <m:oMath>
        <m:r>
          <w:rPr>
            <w:rFonts w:ascii="Cambria Math" w:eastAsia="SimSun" w:hAnsi="Cambria Math" w:cs="Times New Roman"/>
            <w:color w:val="000000"/>
            <w:kern w:val="2"/>
            <w:sz w:val="24"/>
            <w:szCs w:val="24"/>
            <w14:ligatures w14:val="standardContextual"/>
          </w:rPr>
          <m:t>ln</m:t>
        </m:r>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GDPgr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0</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1</m:t>
            </m:r>
          </m:sub>
        </m:sSub>
        <m:sSub>
          <m:sSubPr>
            <m:ctrlPr>
              <w:rPr>
                <w:rFonts w:ascii="Cambria Math" w:eastAsia="SimSun" w:hAnsi="Cambria Math" w:cs="Times New Roman"/>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sty m:val="p"/>
              </m:rPr>
              <w:rPr>
                <w:rFonts w:ascii="Cambria Math" w:eastAsia="SimSun" w:hAnsi="Cambria Math" w:cs="Times New Roman"/>
                <w:color w:val="000000"/>
                <w:kern w:val="2"/>
                <w:sz w:val="24"/>
                <w:szCs w:val="24"/>
                <w14:ligatures w14:val="standardContextual"/>
              </w:rPr>
              <m:t>AGR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2</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sty m:val="p"/>
              </m:rPr>
              <w:rPr>
                <w:rFonts w:ascii="Cambria Math" w:eastAsia="SimSun" w:hAnsi="Cambria Math" w:cs="Times New Roman"/>
                <w:color w:val="000000"/>
                <w:kern w:val="2"/>
                <w:sz w:val="24"/>
                <w:szCs w:val="24"/>
                <w14:ligatures w14:val="standardContextual"/>
              </w:rPr>
              <m:t>R&amp;D</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3</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nor/>
              </m:rPr>
              <w:rPr>
                <w:rFonts w:ascii="Times New Roman" w:eastAsia="SimSun" w:hAnsi="Times New Roman" w:cs="Times New Roman"/>
                <w:iCs/>
                <w:color w:val="000000"/>
                <w:kern w:val="2"/>
                <w:sz w:val="24"/>
                <w:szCs w:val="24"/>
                <w14:ligatures w14:val="standardContextual"/>
              </w:rPr>
              <m:t>LIT</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α4</m:t>
            </m:r>
          </m:e>
          <m:sub>
            <m:r>
              <m:rPr>
                <m:sty m:val="p"/>
              </m:rPr>
              <w:rPr>
                <w:rFonts w:ascii="Cambria Math" w:eastAsia="SimSun" w:hAnsi="Cambria Math" w:cs="Times New Roman"/>
                <w:color w:val="000000"/>
                <w:kern w:val="2"/>
                <w:sz w:val="24"/>
                <w:szCs w:val="24"/>
                <w14:ligatures w14:val="standardContextual"/>
              </w:rPr>
              <m:t>4</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nor/>
              </m:rPr>
              <w:rPr>
                <w:rFonts w:ascii="Times New Roman" w:eastAsia="SimSun" w:hAnsi="Times New Roman" w:cs="Times New Roman"/>
                <w:iCs/>
                <w:color w:val="000000"/>
                <w:kern w:val="2"/>
                <w:sz w:val="24"/>
                <w:szCs w:val="24"/>
                <w14:ligatures w14:val="standardContextual"/>
              </w:rPr>
              <m:t>POP</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 xml:space="preserve">+  </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μ</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 xml:space="preserve"> </m:t>
        </m:r>
      </m:oMath>
      <w:r w:rsidRPr="009836CE">
        <w:rPr>
          <w:rFonts w:ascii="Times New Roman" w:eastAsia="SimSun" w:hAnsi="Times New Roman" w:cs="Times New Roman"/>
          <w:color w:val="000000"/>
          <w:kern w:val="2"/>
          <w:sz w:val="24"/>
          <w:szCs w:val="24"/>
          <w14:ligatures w14:val="standardContextual"/>
        </w:rPr>
        <w:t xml:space="preserve">  </w:t>
      </w:r>
      <w:r w:rsidRPr="009836CE">
        <w:rPr>
          <w:rFonts w:ascii="Times New Roman" w:eastAsia="SimSun" w:hAnsi="Times New Roman" w:cs="Times New Roman"/>
          <w:iCs/>
          <w:color w:val="000000"/>
          <w:kern w:val="2"/>
          <w:sz w:val="24"/>
          <w:szCs w:val="24"/>
          <w14:ligatures w14:val="standardContextual"/>
        </w:rPr>
        <w:t>eqn 1</w:t>
      </w:r>
    </w:p>
    <w:p w14:paraId="7582862E" w14:textId="77777777" w:rsidR="00F560B0" w:rsidRPr="009836CE" w:rsidRDefault="00F560B0" w:rsidP="00173CCC">
      <w:pPr>
        <w:spacing w:after="0" w:line="276" w:lineRule="auto"/>
        <w:ind w:left="10" w:hanging="10"/>
        <w:jc w:val="center"/>
        <w:rPr>
          <w:rFonts w:ascii="Times New Roman" w:eastAsia="SimSun" w:hAnsi="Times New Roman" w:cs="Times New Roman"/>
          <w:iCs/>
          <w:color w:val="000000"/>
          <w:kern w:val="2"/>
          <w:sz w:val="24"/>
          <w:szCs w:val="24"/>
          <w14:ligatures w14:val="standardContextual"/>
        </w:rPr>
      </w:pPr>
    </w:p>
    <w:p w14:paraId="2B628E45" w14:textId="4233CAE9" w:rsidR="00F560B0" w:rsidRPr="009836CE" w:rsidRDefault="009A472F" w:rsidP="00173CCC">
      <w:pPr>
        <w:spacing w:after="0" w:line="276" w:lineRule="auto"/>
        <w:jc w:val="both"/>
        <w:rPr>
          <w:rFonts w:ascii="Times New Roman" w:hAnsi="Times New Roman" w:cs="Times New Roman"/>
          <w:sz w:val="24"/>
          <w:szCs w:val="24"/>
        </w:rPr>
      </w:pPr>
      <w:r w:rsidRPr="009836CE">
        <w:rPr>
          <w:rFonts w:ascii="Times New Roman" w:eastAsia="Times New Roman" w:hAnsi="Times New Roman" w:cs="Times New Roman"/>
          <w:color w:val="000000"/>
          <w:kern w:val="2"/>
          <w:sz w:val="24"/>
          <w:szCs w:val="24"/>
          <w14:ligatures w14:val="standardContextual"/>
        </w:rPr>
        <w:t xml:space="preserve">Equation 1 is </w:t>
      </w:r>
      <w:r w:rsidRPr="009836CE">
        <w:rPr>
          <w:rFonts w:ascii="Times New Roman" w:hAnsi="Times New Roman" w:cs="Times New Roman"/>
          <w:sz w:val="24"/>
          <w:szCs w:val="24"/>
        </w:rPr>
        <w:t>the FMOLS model where GDP growth (</w:t>
      </w:r>
      <w:r w:rsidRPr="009836CE">
        <w:rPr>
          <w:rStyle w:val="mord"/>
          <w:rFonts w:ascii="Times New Roman" w:hAnsi="Times New Roman" w:cs="Times New Roman"/>
          <w:sz w:val="24"/>
          <w:szCs w:val="24"/>
        </w:rPr>
        <w:t>GDPgr</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measures economic development and is modeled as a function of several key macroeconomic and institutional quality factors. These include agriculture value added as a percentage of GDP (</w:t>
      </w:r>
      <w:r w:rsidRPr="009836CE">
        <w:rPr>
          <w:rStyle w:val="mord"/>
          <w:rFonts w:ascii="Times New Roman" w:hAnsi="Times New Roman" w:cs="Times New Roman"/>
          <w:sz w:val="24"/>
          <w:szCs w:val="24"/>
        </w:rPr>
        <w:t>AGR</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research and development expenditure (</w:t>
      </w:r>
      <w:r w:rsidRPr="009836CE">
        <w:rPr>
          <w:rStyle w:val="katex-mathml"/>
          <w:rFonts w:ascii="Times New Roman" w:hAnsi="Times New Roman" w:cs="Times New Roman"/>
          <w:sz w:val="24"/>
          <w:szCs w:val="24"/>
        </w:rPr>
        <w:t>R&amp;D</w:t>
      </w:r>
      <w:r w:rsidRPr="009836CE">
        <w:rPr>
          <w:rStyle w:val="katex-mathml"/>
          <w:rFonts w:ascii="Times New Roman" w:hAnsi="Times New Roman" w:cs="Times New Roman"/>
          <w:sz w:val="24"/>
          <w:szCs w:val="24"/>
          <w:vertAlign w:val="subscript"/>
        </w:rPr>
        <w:t>t</w:t>
      </w:r>
      <w:r w:rsidRPr="009836CE">
        <w:rPr>
          <w:rStyle w:val="vlist-s"/>
          <w:rFonts w:ascii="Times New Roman" w:hAnsi="Times New Roman" w:cs="Times New Roman"/>
          <w:sz w:val="24"/>
          <w:szCs w:val="24"/>
          <w:vertAlign w:val="subscript"/>
        </w:rPr>
        <w:t>​</w:t>
      </w:r>
      <w:r w:rsidRPr="009836CE">
        <w:rPr>
          <w:rFonts w:ascii="Times New Roman" w:hAnsi="Times New Roman" w:cs="Times New Roman"/>
          <w:sz w:val="24"/>
          <w:szCs w:val="24"/>
        </w:rPr>
        <w:t>), literacy rate (</w:t>
      </w:r>
      <w:r w:rsidRPr="009836CE">
        <w:rPr>
          <w:rStyle w:val="mord"/>
          <w:rFonts w:ascii="Times New Roman" w:hAnsi="Times New Roman" w:cs="Times New Roman"/>
          <w:sz w:val="24"/>
          <w:szCs w:val="24"/>
        </w:rPr>
        <w:t>LIT</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and population (</w:t>
      </w:r>
      <w:r w:rsidRPr="009836CE">
        <w:rPr>
          <w:rStyle w:val="mord"/>
          <w:rFonts w:ascii="Times New Roman" w:hAnsi="Times New Roman" w:cs="Times New Roman"/>
          <w:sz w:val="24"/>
          <w:szCs w:val="24"/>
        </w:rPr>
        <w:t>POP</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The model uses Fully Modified Ordinary Least Squares (FMOLS) to correct for potential endogeneity and serial correlation typically present in cointegrated systems, allowing for robust estimation of long-run relationships among the variables.</w:t>
      </w:r>
    </w:p>
    <w:p w14:paraId="7EF8B4C5" w14:textId="77777777" w:rsidR="00F560B0" w:rsidRPr="009836CE" w:rsidRDefault="00F560B0" w:rsidP="00173CCC">
      <w:pPr>
        <w:spacing w:after="0" w:line="276" w:lineRule="auto"/>
        <w:jc w:val="both"/>
        <w:rPr>
          <w:rFonts w:ascii="Times New Roman" w:hAnsi="Times New Roman" w:cs="Times New Roman"/>
          <w:sz w:val="24"/>
          <w:szCs w:val="24"/>
        </w:rPr>
      </w:pPr>
    </w:p>
    <w:p w14:paraId="263BE340" w14:textId="77777777" w:rsidR="00F560B0" w:rsidRPr="009836CE" w:rsidRDefault="00000000" w:rsidP="00173CCC">
      <w:pPr>
        <w:spacing w:after="0" w:line="276" w:lineRule="auto"/>
        <w:ind w:left="10" w:hanging="10"/>
        <w:jc w:val="center"/>
        <w:rPr>
          <w:rFonts w:ascii="Times New Roman" w:eastAsia="SimSun" w:hAnsi="Times New Roman" w:cs="Times New Roman"/>
          <w:color w:val="000000"/>
          <w:kern w:val="2"/>
          <w:sz w:val="24"/>
          <w:szCs w:val="24"/>
          <w14:ligatures w14:val="standardContextual"/>
        </w:rPr>
      </w:pPr>
      <m:oMath>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lnGDPgr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0</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1</m:t>
            </m:r>
          </m:sub>
        </m:sSub>
        <m:r>
          <w:rPr>
            <w:rFonts w:ascii="Cambria Math" w:eastAsia="SimSun" w:hAnsi="Cambria Math" w:cs="Times New Roman"/>
            <w:color w:val="000000"/>
            <w:kern w:val="2"/>
            <w:sz w:val="24"/>
            <w:szCs w:val="24"/>
            <w14:ligatures w14:val="standardContextual"/>
          </w:rPr>
          <m:t>ln</m:t>
        </m:r>
        <m:sSub>
          <m:sSubPr>
            <m:ctrlPr>
              <w:rPr>
                <w:rFonts w:ascii="Cambria Math" w:eastAsia="SimSun" w:hAnsi="Cambria Math" w:cs="Times New Roman"/>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AGR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2</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sty m:val="p"/>
              </m:rPr>
              <w:rPr>
                <w:rFonts w:ascii="Cambria Math" w:eastAsia="SimSun" w:hAnsi="Cambria Math" w:cs="Times New Roman"/>
                <w:color w:val="000000"/>
                <w:kern w:val="2"/>
                <w:sz w:val="24"/>
                <w:szCs w:val="24"/>
                <w14:ligatures w14:val="standardContextual"/>
              </w:rPr>
              <m:t>R&amp;D</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3</m:t>
            </m:r>
          </m:sub>
        </m:sSub>
        <m:r>
          <w:rPr>
            <w:rFonts w:ascii="Cambria Math" w:eastAsia="SimSun" w:hAnsi="Cambria Math" w:cs="Times New Roman"/>
            <w:color w:val="000000"/>
            <w:kern w:val="2"/>
            <w:sz w:val="24"/>
            <w:szCs w:val="24"/>
            <w14:ligatures w14:val="standardContextual"/>
          </w:rPr>
          <m:t>ln</m:t>
        </m:r>
        <m:sSub>
          <m:sSubPr>
            <m:ctrlPr>
              <w:rPr>
                <w:rFonts w:ascii="Cambria Math" w:eastAsia="SimSun" w:hAnsi="Cambria Math" w:cs="Times New Roman"/>
                <w:iCs/>
                <w:color w:val="000000"/>
                <w:kern w:val="2"/>
                <w:sz w:val="24"/>
                <w:szCs w:val="24"/>
                <w14:ligatures w14:val="standardContextual"/>
              </w:rPr>
            </m:ctrlPr>
          </m:sSubPr>
          <m:e>
            <m:r>
              <m:rPr>
                <m:nor/>
              </m:rPr>
              <w:rPr>
                <w:rFonts w:ascii="Times New Roman" w:eastAsia="SimSun" w:hAnsi="Times New Roman" w:cs="Times New Roman"/>
                <w:iCs/>
                <w:color w:val="000000"/>
                <w:kern w:val="2"/>
                <w:sz w:val="24"/>
                <w:szCs w:val="24"/>
                <w14:ligatures w14:val="standardContextual"/>
              </w:rPr>
              <m:t>LIT</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4</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nor/>
              </m:rPr>
              <w:rPr>
                <w:rFonts w:ascii="Times New Roman" w:eastAsia="SimSun" w:hAnsi="Times New Roman" w:cs="Times New Roman"/>
                <w:iCs/>
                <w:color w:val="000000"/>
                <w:kern w:val="2"/>
                <w:sz w:val="24"/>
                <w:szCs w:val="24"/>
                <w14:ligatures w14:val="standardContextual"/>
              </w:rPr>
              <m:t>POP</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w:bookmarkStart w:id="0" w:name="_Hlk198330915"/>
        <m:nary>
          <m:naryPr>
            <m:chr m:val="∑"/>
            <m:limLoc m:val="undOvr"/>
            <m:ctrlPr>
              <w:rPr>
                <w:rFonts w:ascii="Cambria Math" w:eastAsia="SimSun" w:hAnsi="Cambria Math" w:cs="Times New Roman"/>
                <w:color w:val="000000"/>
                <w:kern w:val="2"/>
                <w:sz w:val="24"/>
                <w:szCs w:val="24"/>
                <w14:ligatures w14:val="standardContextual"/>
              </w:rPr>
            </m:ctrlPr>
          </m:naryPr>
          <m:sub>
            <m:r>
              <w:rPr>
                <w:rFonts w:ascii="Cambria Math" w:eastAsia="SimSun" w:hAnsi="Cambria Math" w:cs="Times New Roman"/>
                <w:color w:val="000000"/>
                <w:kern w:val="2"/>
                <w:sz w:val="24"/>
                <w:szCs w:val="24"/>
                <w14:ligatures w14:val="standardContextual"/>
              </w:rPr>
              <m:t>j=-q</m:t>
            </m:r>
          </m:sub>
          <m:sup>
            <m:r>
              <w:rPr>
                <w:rFonts w:ascii="Cambria Math" w:eastAsia="SimSun" w:hAnsi="Cambria Math" w:cs="Times New Roman"/>
                <w:color w:val="000000"/>
                <w:kern w:val="2"/>
                <w:sz w:val="24"/>
                <w:szCs w:val="24"/>
                <w14:ligatures w14:val="standardContextual"/>
              </w:rPr>
              <m:t>p</m:t>
            </m:r>
          </m:sup>
          <m:e>
            <m:r>
              <w:rPr>
                <w:rFonts w:ascii="Cambria Math" w:eastAsia="SimSun" w:hAnsi="Cambria Math" w:cs="Times New Roman"/>
                <w:color w:val="000000"/>
                <w:kern w:val="2"/>
                <w:sz w:val="24"/>
                <w:szCs w:val="24"/>
                <w14:ligatures w14:val="standardContextual"/>
              </w:rPr>
              <m:t>Δ</m:t>
            </m:r>
            <m:sSub>
              <m:sSubPr>
                <m:ctrlPr>
                  <w:rPr>
                    <w:rFonts w:ascii="Cambria Math" w:eastAsia="SimSun" w:hAnsi="Cambria Math" w:cs="Times New Roman"/>
                    <w:i/>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X</m:t>
                </m:r>
              </m:e>
              <m:sub>
                <m:r>
                  <w:rPr>
                    <w:rFonts w:ascii="Cambria Math" w:eastAsia="SimSun" w:hAnsi="Cambria Math" w:cs="Times New Roman"/>
                    <w:color w:val="000000"/>
                    <w:kern w:val="2"/>
                    <w:sz w:val="24"/>
                    <w:szCs w:val="24"/>
                    <w14:ligatures w14:val="standardContextual"/>
                  </w:rPr>
                  <m:t>t-j</m:t>
                </m:r>
              </m:sub>
            </m:sSub>
          </m:e>
        </m:nary>
        <m:r>
          <m:rPr>
            <m:sty m:val="p"/>
          </m:rPr>
          <w:rPr>
            <w:rFonts w:ascii="Cambria Math" w:eastAsia="SimSun" w:hAnsi="Cambria Math" w:cs="Times New Roman"/>
            <w:color w:val="000000"/>
            <w:kern w:val="2"/>
            <w:sz w:val="24"/>
            <w:szCs w:val="24"/>
            <w14:ligatures w14:val="standardContextual"/>
          </w:rPr>
          <m:t xml:space="preserve">  </m:t>
        </m:r>
        <w:bookmarkEnd w:id="0"/>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μ</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 xml:space="preserve"> </m:t>
        </m:r>
      </m:oMath>
      <w:r w:rsidR="009A472F" w:rsidRPr="009836CE">
        <w:rPr>
          <w:rFonts w:ascii="Times New Roman" w:eastAsia="SimSun" w:hAnsi="Times New Roman" w:cs="Times New Roman"/>
          <w:color w:val="000000"/>
          <w:kern w:val="2"/>
          <w:sz w:val="24"/>
          <w:szCs w:val="24"/>
          <w14:ligatures w14:val="standardContextual"/>
        </w:rPr>
        <w:t xml:space="preserve">    </w:t>
      </w:r>
      <w:r w:rsidR="009A472F" w:rsidRPr="009836CE">
        <w:rPr>
          <w:rFonts w:ascii="Times New Roman" w:eastAsia="SimSun" w:hAnsi="Times New Roman" w:cs="Times New Roman"/>
          <w:iCs/>
          <w:color w:val="000000"/>
          <w:kern w:val="2"/>
          <w:sz w:val="24"/>
          <w:szCs w:val="24"/>
          <w14:ligatures w14:val="standardContextual"/>
        </w:rPr>
        <w:t>eqn 2</w:t>
      </w:r>
    </w:p>
    <w:p w14:paraId="6289E77D" w14:textId="7BD3FF71" w:rsidR="00F560B0" w:rsidRPr="009836CE" w:rsidRDefault="009A472F" w:rsidP="00173CCC">
      <w:pPr>
        <w:spacing w:after="100" w:afterAutospacing="1" w:line="276" w:lineRule="auto"/>
        <w:jc w:val="both"/>
        <w:rPr>
          <w:rFonts w:ascii="Times New Roman" w:eastAsia="Times New Roman" w:hAnsi="Times New Roman" w:cs="Times New Roman"/>
          <w:sz w:val="24"/>
          <w:szCs w:val="24"/>
        </w:rPr>
      </w:pPr>
      <w:r w:rsidRPr="009836CE">
        <w:rPr>
          <w:rFonts w:ascii="Times New Roman" w:eastAsia="Times New Roman" w:hAnsi="Times New Roman" w:cs="Times New Roman"/>
          <w:sz w:val="24"/>
          <w:szCs w:val="24"/>
        </w:rPr>
        <w:t>In Equation 2 is the DOLS model where GDP growth (GDPgr</w:t>
      </w:r>
      <w:r w:rsidRPr="009836CE">
        <w:rPr>
          <w:rFonts w:ascii="Times New Roman" w:eastAsia="Times New Roman" w:hAnsi="Times New Roman" w:cs="Times New Roman"/>
          <w:sz w:val="24"/>
          <w:szCs w:val="24"/>
          <w:vertAlign w:val="subscript"/>
        </w:rPr>
        <w:t>t</w:t>
      </w:r>
      <w:r w:rsidRPr="009836CE">
        <w:rPr>
          <w:rFonts w:ascii="Times New Roman" w:eastAsia="Times New Roman" w:hAnsi="Times New Roman" w:cs="Times New Roman"/>
          <w:sz w:val="24"/>
          <w:szCs w:val="24"/>
        </w:rPr>
        <w:t>​) is the dependent variable representing economic development. It is expressed as a function of agriculture value added (AGRt), research and development expenditure (R&amp;Dt​), literacy level (LITt​)</w:t>
      </w:r>
      <w:r w:rsidR="004122EF" w:rsidRPr="009836CE">
        <w:rPr>
          <w:rFonts w:ascii="Times New Roman" w:eastAsia="Times New Roman" w:hAnsi="Times New Roman" w:cs="Times New Roman"/>
          <w:sz w:val="24"/>
          <w:szCs w:val="24"/>
        </w:rPr>
        <w:t xml:space="preserve"> and </w:t>
      </w:r>
      <w:r w:rsidRPr="009836CE">
        <w:rPr>
          <w:rFonts w:ascii="Times New Roman" w:eastAsia="Times New Roman" w:hAnsi="Times New Roman" w:cs="Times New Roman"/>
          <w:sz w:val="24"/>
          <w:szCs w:val="24"/>
        </w:rPr>
        <w:t xml:space="preserve">population (POPt​). The term </w:t>
      </w:r>
      <m:oMath>
        <m:nary>
          <m:naryPr>
            <m:chr m:val="∑"/>
            <m:limLoc m:val="undOvr"/>
            <m:ctrlPr>
              <w:rPr>
                <w:rFonts w:ascii="Cambria Math" w:eastAsia="SimSun" w:hAnsi="Cambria Math" w:cs="Times New Roman"/>
                <w:color w:val="000000"/>
                <w:kern w:val="2"/>
                <w:sz w:val="24"/>
                <w:szCs w:val="24"/>
                <w14:ligatures w14:val="standardContextual"/>
              </w:rPr>
            </m:ctrlPr>
          </m:naryPr>
          <m:sub>
            <m:r>
              <w:rPr>
                <w:rFonts w:ascii="Cambria Math" w:eastAsia="SimSun" w:hAnsi="Cambria Math" w:cs="Times New Roman"/>
                <w:color w:val="000000"/>
                <w:kern w:val="2"/>
                <w:sz w:val="24"/>
                <w:szCs w:val="24"/>
                <w14:ligatures w14:val="standardContextual"/>
              </w:rPr>
              <m:t>j=-q</m:t>
            </m:r>
          </m:sub>
          <m:sup>
            <m:r>
              <w:rPr>
                <w:rFonts w:ascii="Cambria Math" w:eastAsia="SimSun" w:hAnsi="Cambria Math" w:cs="Times New Roman"/>
                <w:color w:val="000000"/>
                <w:kern w:val="2"/>
                <w:sz w:val="24"/>
                <w:szCs w:val="24"/>
                <w14:ligatures w14:val="standardContextual"/>
              </w:rPr>
              <m:t>p</m:t>
            </m:r>
          </m:sup>
          <m:e>
            <m:r>
              <w:rPr>
                <w:rFonts w:ascii="Cambria Math" w:eastAsia="SimSun" w:hAnsi="Cambria Math" w:cs="Times New Roman"/>
                <w:color w:val="000000"/>
                <w:kern w:val="2"/>
                <w:sz w:val="24"/>
                <w:szCs w:val="24"/>
                <w14:ligatures w14:val="standardContextual"/>
              </w:rPr>
              <m:t>Δ</m:t>
            </m:r>
            <m:sSub>
              <m:sSubPr>
                <m:ctrlPr>
                  <w:rPr>
                    <w:rFonts w:ascii="Cambria Math" w:eastAsia="SimSun" w:hAnsi="Cambria Math" w:cs="Times New Roman"/>
                    <w:i/>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X</m:t>
                </m:r>
              </m:e>
              <m:sub>
                <m:r>
                  <w:rPr>
                    <w:rFonts w:ascii="Cambria Math" w:eastAsia="SimSun" w:hAnsi="Cambria Math" w:cs="Times New Roman"/>
                    <w:color w:val="000000"/>
                    <w:kern w:val="2"/>
                    <w:sz w:val="24"/>
                    <w:szCs w:val="24"/>
                    <w14:ligatures w14:val="standardContextual"/>
                  </w:rPr>
                  <m:t>t-j</m:t>
                </m:r>
              </m:sub>
            </m:sSub>
          </m:e>
        </m:nary>
        <m:r>
          <m:rPr>
            <m:sty m:val="p"/>
          </m:rPr>
          <w:rPr>
            <w:rFonts w:ascii="Cambria Math" w:eastAsia="SimSun" w:hAnsi="Cambria Math" w:cs="Times New Roman"/>
            <w:color w:val="000000"/>
            <w:kern w:val="2"/>
            <w:sz w:val="24"/>
            <w:szCs w:val="24"/>
            <w14:ligatures w14:val="standardContextual"/>
          </w:rPr>
          <m:t xml:space="preserve">  </m:t>
        </m:r>
      </m:oMath>
      <w:r w:rsidRPr="009836CE">
        <w:rPr>
          <w:rFonts w:ascii="Times New Roman" w:eastAsia="Times New Roman" w:hAnsi="Times New Roman" w:cs="Times New Roman"/>
          <w:sz w:val="24"/>
          <w:szCs w:val="24"/>
        </w:rPr>
        <w:t xml:space="preserve"> captures leads and lags of the first-differenced regressors, which help correct possible endogeneity and serial correlation in the long-run relationship. The Dynamic Ordinary Least Squares (DOLS) method is particularly effective in estimating cointegrated systems, enhancing the robustness and efficiency of the long-run parameter estimates.</w:t>
      </w:r>
    </w:p>
    <w:p w14:paraId="5F828D0F" w14:textId="77777777" w:rsidR="00F560B0" w:rsidRPr="009836CE" w:rsidRDefault="009A472F" w:rsidP="00173CCC">
      <w:pPr>
        <w:spacing w:after="0" w:line="276" w:lineRule="auto"/>
        <w:ind w:left="10" w:hanging="10"/>
        <w:rPr>
          <w:rFonts w:ascii="Times New Roman" w:eastAsia="Times New Roman" w:hAnsi="Times New Roman" w:cs="Times New Roman"/>
          <w:b/>
          <w:bCs/>
          <w:color w:val="000000"/>
          <w:kern w:val="2"/>
          <w:sz w:val="24"/>
          <w:szCs w:val="24"/>
          <w14:ligatures w14:val="standardContextual"/>
        </w:rPr>
      </w:pPr>
      <w:r w:rsidRPr="009836CE">
        <w:rPr>
          <w:rFonts w:ascii="Times New Roman" w:eastAsia="Times New Roman" w:hAnsi="Times New Roman" w:cs="Times New Roman"/>
          <w:b/>
          <w:bCs/>
          <w:color w:val="000000"/>
          <w:kern w:val="2"/>
          <w:sz w:val="24"/>
          <w:szCs w:val="24"/>
          <w14:ligatures w14:val="standardContextual"/>
        </w:rPr>
        <w:t xml:space="preserve">IV. </w:t>
      </w:r>
      <w:r w:rsidR="00AA13A8" w:rsidRPr="009836CE">
        <w:rPr>
          <w:rFonts w:ascii="Times New Roman" w:eastAsia="Times New Roman" w:hAnsi="Times New Roman" w:cs="Times New Roman"/>
          <w:b/>
          <w:bCs/>
          <w:color w:val="000000"/>
          <w:kern w:val="2"/>
          <w:sz w:val="24"/>
          <w:szCs w:val="24"/>
          <w14:ligatures w14:val="standardContextual"/>
        </w:rPr>
        <w:t>Empirical Findings</w:t>
      </w:r>
    </w:p>
    <w:p w14:paraId="2E6A72CF" w14:textId="77777777" w:rsidR="00F560B0" w:rsidRPr="009836CE" w:rsidRDefault="009A472F" w:rsidP="00173CCC">
      <w:pPr>
        <w:spacing w:after="0" w:line="276" w:lineRule="auto"/>
        <w:ind w:left="10" w:hanging="10"/>
        <w:rPr>
          <w:rFonts w:ascii="Times New Roman" w:eastAsia="Times New Roman" w:hAnsi="Times New Roman" w:cs="Times New Roman"/>
          <w:b/>
          <w:bCs/>
          <w:color w:val="000000"/>
          <w:kern w:val="2"/>
          <w:sz w:val="24"/>
          <w:szCs w:val="24"/>
          <w14:ligatures w14:val="standardContextual"/>
        </w:rPr>
      </w:pPr>
      <w:r w:rsidRPr="009836CE">
        <w:rPr>
          <w:rFonts w:ascii="Times New Roman" w:eastAsia="Times New Roman" w:hAnsi="Times New Roman" w:cs="Times New Roman"/>
          <w:b/>
          <w:bCs/>
          <w:color w:val="000000"/>
          <w:kern w:val="2"/>
          <w:sz w:val="24"/>
          <w:szCs w:val="24"/>
          <w14:ligatures w14:val="standardContextual"/>
        </w:rPr>
        <w:t>Descriptive Statistics</w:t>
      </w:r>
    </w:p>
    <w:p w14:paraId="44C33A6D" w14:textId="35181FAD" w:rsidR="00F560B0" w:rsidRPr="009836CE" w:rsidRDefault="009A472F"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r w:rsidRPr="009836CE">
        <w:rPr>
          <w:rFonts w:ascii="Times New Roman" w:eastAsia="Times New Roman" w:hAnsi="Times New Roman" w:cs="Times New Roman"/>
          <w:color w:val="000000"/>
          <w:kern w:val="2"/>
          <w:sz w:val="24"/>
          <w:szCs w:val="24"/>
          <w14:ligatures w14:val="standardContextual"/>
        </w:rPr>
        <w:t xml:space="preserve">These descriptive statistics provide a critical window into Nigeria’s fiscal health and economic dynamics. Specifically, indicators such as Agriculture, Forestry &amp; Fishing value added (% of GDP), Log of R&amp;D Expenditure, Literacy Level (in %), Log of population, and GDP Growth Rate highlight structural patterns that shape Nigeria’s developmental trajectory. For instance, the role of agriculture in GDP reflects sectoral dependence, while literacy levels and R&amp;D </w:t>
      </w:r>
      <w:proofErr w:type="spellStart"/>
      <w:r w:rsidR="005C7E18">
        <w:rPr>
          <w:rFonts w:ascii="Times New Roman" w:eastAsia="Times New Roman" w:hAnsi="Times New Roman" w:cs="Times New Roman"/>
          <w:color w:val="000000"/>
          <w:kern w:val="2"/>
          <w:sz w:val="24"/>
          <w:szCs w:val="24"/>
          <w14:ligatures w14:val="standardContextual"/>
        </w:rPr>
        <w:t>Expenditure</w:t>
      </w:r>
      <w:r w:rsidRPr="009836CE">
        <w:rPr>
          <w:rFonts w:ascii="Times New Roman" w:eastAsia="Times New Roman" w:hAnsi="Times New Roman" w:cs="Times New Roman"/>
          <w:color w:val="000000"/>
          <w:kern w:val="2"/>
          <w:sz w:val="24"/>
          <w:szCs w:val="24"/>
          <w14:ligatures w14:val="standardContextual"/>
        </w:rPr>
        <w:t>provide</w:t>
      </w:r>
      <w:proofErr w:type="spellEnd"/>
      <w:r w:rsidRPr="009836CE">
        <w:rPr>
          <w:rFonts w:ascii="Times New Roman" w:eastAsia="Times New Roman" w:hAnsi="Times New Roman" w:cs="Times New Roman"/>
          <w:color w:val="000000"/>
          <w:kern w:val="2"/>
          <w:sz w:val="24"/>
          <w:szCs w:val="24"/>
          <w14:ligatures w14:val="standardContextual"/>
        </w:rPr>
        <w:t xml:space="preserve"> insights into human capital and innovation capacity. Coupled with population trends and growth performance, these metrics underscore essential policy considerations for fostering inclusive and sustainable economic development, as detailed in Table 4.1.</w:t>
      </w:r>
    </w:p>
    <w:p w14:paraId="10A54F87" w14:textId="77777777" w:rsidR="00F560B0" w:rsidRPr="00E74449" w:rsidRDefault="009A472F" w:rsidP="00173CCC">
      <w:pPr>
        <w:tabs>
          <w:tab w:val="left" w:pos="1935"/>
        </w:tabs>
        <w:spacing w:after="0" w:line="276" w:lineRule="auto"/>
        <w:ind w:left="360"/>
        <w:contextualSpacing/>
        <w:jc w:val="center"/>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Table 4.1: Descriptive Statistics</w:t>
      </w:r>
    </w:p>
    <w:tbl>
      <w:tblPr>
        <w:tblW w:w="0" w:type="auto"/>
        <w:jc w:val="center"/>
        <w:tblLayout w:type="fixed"/>
        <w:tblCellMar>
          <w:left w:w="0" w:type="dxa"/>
          <w:right w:w="0" w:type="dxa"/>
        </w:tblCellMar>
        <w:tblLook w:val="04A0" w:firstRow="1" w:lastRow="0" w:firstColumn="1" w:lastColumn="0" w:noHBand="0" w:noVBand="1"/>
      </w:tblPr>
      <w:tblGrid>
        <w:gridCol w:w="1497"/>
        <w:gridCol w:w="1317"/>
        <w:gridCol w:w="1316"/>
        <w:gridCol w:w="1317"/>
        <w:gridCol w:w="1316"/>
        <w:gridCol w:w="1317"/>
      </w:tblGrid>
      <w:tr w:rsidR="00F560B0" w:rsidRPr="00E74449" w14:paraId="7E38D8E0" w14:textId="77777777" w:rsidTr="00F52CA0">
        <w:trPr>
          <w:trHeight w:val="180"/>
          <w:jc w:val="center"/>
        </w:trPr>
        <w:tc>
          <w:tcPr>
            <w:tcW w:w="1497" w:type="dxa"/>
            <w:tcBorders>
              <w:top w:val="single" w:sz="4" w:space="0" w:color="auto"/>
              <w:left w:val="nil"/>
              <w:bottom w:val="nil"/>
              <w:right w:val="nil"/>
            </w:tcBorders>
            <w:vAlign w:val="bottom"/>
          </w:tcPr>
          <w:p w14:paraId="30E89F0C" w14:textId="77777777" w:rsidR="00F560B0" w:rsidRPr="00E74449" w:rsidRDefault="00F560B0"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p>
        </w:tc>
        <w:tc>
          <w:tcPr>
            <w:tcW w:w="1317" w:type="dxa"/>
            <w:tcBorders>
              <w:top w:val="single" w:sz="4" w:space="0" w:color="auto"/>
              <w:left w:val="nil"/>
              <w:bottom w:val="nil"/>
              <w:right w:val="nil"/>
            </w:tcBorders>
            <w:vAlign w:val="bottom"/>
          </w:tcPr>
          <w:p w14:paraId="672A61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GDPGR</w:t>
            </w:r>
          </w:p>
        </w:tc>
        <w:tc>
          <w:tcPr>
            <w:tcW w:w="1316" w:type="dxa"/>
            <w:tcBorders>
              <w:top w:val="single" w:sz="4" w:space="0" w:color="auto"/>
              <w:left w:val="nil"/>
              <w:bottom w:val="nil"/>
              <w:right w:val="nil"/>
            </w:tcBorders>
            <w:vAlign w:val="bottom"/>
          </w:tcPr>
          <w:p w14:paraId="5FE1E8E8"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LITR</w:t>
            </w:r>
          </w:p>
        </w:tc>
        <w:tc>
          <w:tcPr>
            <w:tcW w:w="1317" w:type="dxa"/>
            <w:tcBorders>
              <w:top w:val="single" w:sz="4" w:space="0" w:color="auto"/>
              <w:left w:val="nil"/>
              <w:bottom w:val="nil"/>
              <w:right w:val="nil"/>
            </w:tcBorders>
            <w:vAlign w:val="bottom"/>
          </w:tcPr>
          <w:p w14:paraId="78B0F48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POP</w:t>
            </w:r>
          </w:p>
        </w:tc>
        <w:tc>
          <w:tcPr>
            <w:tcW w:w="1316" w:type="dxa"/>
            <w:tcBorders>
              <w:top w:val="single" w:sz="4" w:space="0" w:color="auto"/>
              <w:left w:val="nil"/>
              <w:bottom w:val="nil"/>
              <w:right w:val="nil"/>
            </w:tcBorders>
            <w:vAlign w:val="bottom"/>
          </w:tcPr>
          <w:p w14:paraId="37A0EC1B"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R&amp;D</w:t>
            </w:r>
          </w:p>
        </w:tc>
        <w:tc>
          <w:tcPr>
            <w:tcW w:w="1317" w:type="dxa"/>
            <w:tcBorders>
              <w:top w:val="single" w:sz="4" w:space="0" w:color="auto"/>
              <w:left w:val="nil"/>
              <w:bottom w:val="nil"/>
              <w:right w:val="nil"/>
            </w:tcBorders>
            <w:vAlign w:val="bottom"/>
          </w:tcPr>
          <w:p w14:paraId="338E895F"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AGRIC</w:t>
            </w:r>
          </w:p>
        </w:tc>
      </w:tr>
      <w:tr w:rsidR="00F560B0" w:rsidRPr="00E74449" w14:paraId="72ABEA3B" w14:textId="77777777" w:rsidTr="00F52CA0">
        <w:trPr>
          <w:trHeight w:val="180"/>
          <w:jc w:val="center"/>
        </w:trPr>
        <w:tc>
          <w:tcPr>
            <w:tcW w:w="1497" w:type="dxa"/>
            <w:tcBorders>
              <w:top w:val="nil"/>
              <w:left w:val="nil"/>
              <w:bottom w:val="nil"/>
              <w:right w:val="nil"/>
            </w:tcBorders>
            <w:vAlign w:val="bottom"/>
          </w:tcPr>
          <w:p w14:paraId="65E501A2"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Mean</w:t>
            </w:r>
          </w:p>
        </w:tc>
        <w:tc>
          <w:tcPr>
            <w:tcW w:w="1317" w:type="dxa"/>
            <w:tcBorders>
              <w:top w:val="nil"/>
              <w:left w:val="nil"/>
              <w:bottom w:val="nil"/>
              <w:right w:val="nil"/>
            </w:tcBorders>
            <w:vAlign w:val="bottom"/>
          </w:tcPr>
          <w:p w14:paraId="1D7C9239"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4.245752</w:t>
            </w:r>
          </w:p>
        </w:tc>
        <w:tc>
          <w:tcPr>
            <w:tcW w:w="1316" w:type="dxa"/>
            <w:tcBorders>
              <w:top w:val="nil"/>
              <w:left w:val="nil"/>
              <w:bottom w:val="nil"/>
              <w:right w:val="nil"/>
            </w:tcBorders>
            <w:vAlign w:val="bottom"/>
          </w:tcPr>
          <w:p w14:paraId="4F025D89"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58.54441</w:t>
            </w:r>
          </w:p>
        </w:tc>
        <w:tc>
          <w:tcPr>
            <w:tcW w:w="1317" w:type="dxa"/>
            <w:tcBorders>
              <w:top w:val="nil"/>
              <w:left w:val="nil"/>
              <w:bottom w:val="nil"/>
              <w:right w:val="nil"/>
            </w:tcBorders>
            <w:vAlign w:val="bottom"/>
          </w:tcPr>
          <w:p w14:paraId="28CB3FE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155.7946</w:t>
            </w:r>
          </w:p>
        </w:tc>
        <w:tc>
          <w:tcPr>
            <w:tcW w:w="1316" w:type="dxa"/>
            <w:tcBorders>
              <w:top w:val="nil"/>
              <w:left w:val="nil"/>
              <w:bottom w:val="nil"/>
              <w:right w:val="nil"/>
            </w:tcBorders>
            <w:vAlign w:val="bottom"/>
          </w:tcPr>
          <w:p w14:paraId="185ECF9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0.210000</w:t>
            </w:r>
          </w:p>
        </w:tc>
        <w:tc>
          <w:tcPr>
            <w:tcW w:w="1317" w:type="dxa"/>
            <w:tcBorders>
              <w:top w:val="nil"/>
              <w:left w:val="nil"/>
              <w:bottom w:val="nil"/>
              <w:right w:val="nil"/>
            </w:tcBorders>
            <w:vAlign w:val="bottom"/>
          </w:tcPr>
          <w:p w14:paraId="084FA64F"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5.600426</w:t>
            </w:r>
          </w:p>
        </w:tc>
      </w:tr>
      <w:tr w:rsidR="00F560B0" w:rsidRPr="00E74449" w14:paraId="0766D97A" w14:textId="77777777" w:rsidTr="00F52CA0">
        <w:trPr>
          <w:trHeight w:val="180"/>
          <w:jc w:val="center"/>
        </w:trPr>
        <w:tc>
          <w:tcPr>
            <w:tcW w:w="1497" w:type="dxa"/>
            <w:tcBorders>
              <w:top w:val="nil"/>
              <w:left w:val="nil"/>
              <w:bottom w:val="nil"/>
              <w:right w:val="nil"/>
            </w:tcBorders>
            <w:vAlign w:val="bottom"/>
          </w:tcPr>
          <w:p w14:paraId="4845C8DA"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Median</w:t>
            </w:r>
          </w:p>
        </w:tc>
        <w:tc>
          <w:tcPr>
            <w:tcW w:w="1317" w:type="dxa"/>
            <w:tcBorders>
              <w:top w:val="nil"/>
              <w:left w:val="nil"/>
              <w:bottom w:val="nil"/>
              <w:right w:val="nil"/>
            </w:tcBorders>
            <w:vAlign w:val="bottom"/>
          </w:tcPr>
          <w:p w14:paraId="383730E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4.212993</w:t>
            </w:r>
          </w:p>
        </w:tc>
        <w:tc>
          <w:tcPr>
            <w:tcW w:w="1316" w:type="dxa"/>
            <w:tcBorders>
              <w:top w:val="nil"/>
              <w:left w:val="nil"/>
              <w:bottom w:val="nil"/>
              <w:right w:val="nil"/>
            </w:tcBorders>
            <w:vAlign w:val="bottom"/>
          </w:tcPr>
          <w:p w14:paraId="385CFD38"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55.45000</w:t>
            </w:r>
          </w:p>
        </w:tc>
        <w:tc>
          <w:tcPr>
            <w:tcW w:w="1317" w:type="dxa"/>
            <w:tcBorders>
              <w:top w:val="nil"/>
              <w:left w:val="nil"/>
              <w:bottom w:val="nil"/>
              <w:right w:val="nil"/>
            </w:tcBorders>
            <w:vAlign w:val="bottom"/>
          </w:tcPr>
          <w:p w14:paraId="626B10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151.1722</w:t>
            </w:r>
          </w:p>
        </w:tc>
        <w:tc>
          <w:tcPr>
            <w:tcW w:w="1316" w:type="dxa"/>
            <w:tcBorders>
              <w:top w:val="nil"/>
              <w:left w:val="nil"/>
              <w:bottom w:val="nil"/>
              <w:right w:val="nil"/>
            </w:tcBorders>
            <w:vAlign w:val="bottom"/>
          </w:tcPr>
          <w:p w14:paraId="405B6F52"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0.220000</w:t>
            </w:r>
          </w:p>
        </w:tc>
        <w:tc>
          <w:tcPr>
            <w:tcW w:w="1317" w:type="dxa"/>
            <w:tcBorders>
              <w:top w:val="nil"/>
              <w:left w:val="nil"/>
              <w:bottom w:val="nil"/>
              <w:right w:val="nil"/>
            </w:tcBorders>
            <w:vAlign w:val="bottom"/>
          </w:tcPr>
          <w:p w14:paraId="0ECA713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3.859193</w:t>
            </w:r>
          </w:p>
        </w:tc>
      </w:tr>
      <w:tr w:rsidR="00F560B0" w:rsidRPr="00E74449" w14:paraId="724F963B" w14:textId="77777777" w:rsidTr="00F52CA0">
        <w:trPr>
          <w:trHeight w:val="180"/>
          <w:jc w:val="center"/>
        </w:trPr>
        <w:tc>
          <w:tcPr>
            <w:tcW w:w="1497" w:type="dxa"/>
            <w:tcBorders>
              <w:top w:val="nil"/>
              <w:left w:val="nil"/>
              <w:bottom w:val="nil"/>
              <w:right w:val="nil"/>
            </w:tcBorders>
            <w:vAlign w:val="bottom"/>
          </w:tcPr>
          <w:p w14:paraId="0FB1C629"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Maximum</w:t>
            </w:r>
          </w:p>
        </w:tc>
        <w:tc>
          <w:tcPr>
            <w:tcW w:w="1317" w:type="dxa"/>
            <w:tcBorders>
              <w:top w:val="nil"/>
              <w:left w:val="nil"/>
              <w:bottom w:val="nil"/>
              <w:right w:val="nil"/>
            </w:tcBorders>
            <w:vAlign w:val="bottom"/>
          </w:tcPr>
          <w:p w14:paraId="320BC626"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15.32916</w:t>
            </w:r>
          </w:p>
        </w:tc>
        <w:tc>
          <w:tcPr>
            <w:tcW w:w="1316" w:type="dxa"/>
            <w:tcBorders>
              <w:top w:val="nil"/>
              <w:left w:val="nil"/>
              <w:bottom w:val="nil"/>
              <w:right w:val="nil"/>
            </w:tcBorders>
            <w:vAlign w:val="bottom"/>
          </w:tcPr>
          <w:p w14:paraId="08BD5C93"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77.62000</w:t>
            </w:r>
          </w:p>
        </w:tc>
        <w:tc>
          <w:tcPr>
            <w:tcW w:w="1317" w:type="dxa"/>
            <w:tcBorders>
              <w:top w:val="nil"/>
              <w:left w:val="nil"/>
              <w:bottom w:val="nil"/>
              <w:right w:val="nil"/>
            </w:tcBorders>
            <w:vAlign w:val="bottom"/>
          </w:tcPr>
          <w:p w14:paraId="639532CA"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227.8829</w:t>
            </w:r>
          </w:p>
        </w:tc>
        <w:tc>
          <w:tcPr>
            <w:tcW w:w="1316" w:type="dxa"/>
            <w:tcBorders>
              <w:top w:val="nil"/>
              <w:left w:val="nil"/>
              <w:bottom w:val="nil"/>
              <w:right w:val="nil"/>
            </w:tcBorders>
            <w:vAlign w:val="bottom"/>
          </w:tcPr>
          <w:p w14:paraId="6DCA62D8"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0.280000</w:t>
            </w:r>
          </w:p>
        </w:tc>
        <w:tc>
          <w:tcPr>
            <w:tcW w:w="1317" w:type="dxa"/>
            <w:tcBorders>
              <w:top w:val="nil"/>
              <w:left w:val="nil"/>
              <w:bottom w:val="nil"/>
              <w:right w:val="nil"/>
            </w:tcBorders>
            <w:vAlign w:val="bottom"/>
          </w:tcPr>
          <w:p w14:paraId="083EF52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55.57805</w:t>
            </w:r>
          </w:p>
        </w:tc>
      </w:tr>
      <w:tr w:rsidR="00F560B0" w:rsidRPr="00E74449" w14:paraId="25A180BF" w14:textId="77777777" w:rsidTr="00F52CA0">
        <w:trPr>
          <w:trHeight w:val="180"/>
          <w:jc w:val="center"/>
        </w:trPr>
        <w:tc>
          <w:tcPr>
            <w:tcW w:w="1497" w:type="dxa"/>
            <w:tcBorders>
              <w:top w:val="nil"/>
              <w:left w:val="nil"/>
              <w:bottom w:val="nil"/>
              <w:right w:val="nil"/>
            </w:tcBorders>
            <w:vAlign w:val="bottom"/>
          </w:tcPr>
          <w:p w14:paraId="7243570F"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Minimum</w:t>
            </w:r>
          </w:p>
        </w:tc>
        <w:tc>
          <w:tcPr>
            <w:tcW w:w="1317" w:type="dxa"/>
            <w:tcBorders>
              <w:top w:val="nil"/>
              <w:left w:val="nil"/>
              <w:bottom w:val="nil"/>
              <w:right w:val="nil"/>
            </w:tcBorders>
            <w:vAlign w:val="bottom"/>
          </w:tcPr>
          <w:p w14:paraId="1C6FBD95"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-2.035119</w:t>
            </w:r>
          </w:p>
        </w:tc>
        <w:tc>
          <w:tcPr>
            <w:tcW w:w="1316" w:type="dxa"/>
            <w:tcBorders>
              <w:top w:val="nil"/>
              <w:left w:val="nil"/>
              <w:bottom w:val="nil"/>
              <w:right w:val="nil"/>
            </w:tcBorders>
            <w:vAlign w:val="bottom"/>
          </w:tcPr>
          <w:p w14:paraId="05C8BC99"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51.08000</w:t>
            </w:r>
          </w:p>
        </w:tc>
        <w:tc>
          <w:tcPr>
            <w:tcW w:w="1317" w:type="dxa"/>
            <w:tcBorders>
              <w:top w:val="nil"/>
              <w:left w:val="nil"/>
              <w:bottom w:val="nil"/>
              <w:right w:val="nil"/>
            </w:tcBorders>
            <w:vAlign w:val="bottom"/>
          </w:tcPr>
          <w:p w14:paraId="00F7E74B" w14:textId="1D2F1E0C"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97</w:t>
            </w:r>
            <w:r w:rsidR="00A54D94">
              <w:rPr>
                <w:rFonts w:ascii="Times New Roman" w:eastAsia="Aptos" w:hAnsi="Times New Roman" w:cs="Times New Roman"/>
                <w:color w:val="000000"/>
                <w:sz w:val="24"/>
                <w:szCs w:val="24"/>
                <w14:ligatures w14:val="standardContextual"/>
              </w:rPr>
              <w:t>.</w:t>
            </w:r>
            <w:r w:rsidRPr="00E74449">
              <w:rPr>
                <w:rFonts w:ascii="Times New Roman" w:eastAsia="Aptos" w:hAnsi="Times New Roman" w:cs="Times New Roman"/>
                <w:color w:val="000000"/>
                <w:sz w:val="24"/>
                <w:szCs w:val="24"/>
                <w14:ligatures w14:val="standardContextual"/>
              </w:rPr>
              <w:t>1209</w:t>
            </w:r>
          </w:p>
        </w:tc>
        <w:tc>
          <w:tcPr>
            <w:tcW w:w="1316" w:type="dxa"/>
            <w:tcBorders>
              <w:top w:val="nil"/>
              <w:left w:val="nil"/>
              <w:bottom w:val="nil"/>
              <w:right w:val="nil"/>
            </w:tcBorders>
            <w:vAlign w:val="bottom"/>
          </w:tcPr>
          <w:p w14:paraId="4170D41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0.130000</w:t>
            </w:r>
          </w:p>
        </w:tc>
        <w:tc>
          <w:tcPr>
            <w:tcW w:w="1317" w:type="dxa"/>
            <w:tcBorders>
              <w:top w:val="nil"/>
              <w:left w:val="nil"/>
              <w:bottom w:val="nil"/>
              <w:right w:val="nil"/>
            </w:tcBorders>
            <w:vAlign w:val="bottom"/>
          </w:tcPr>
          <w:p w14:paraId="2084E713"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1.128368</w:t>
            </w:r>
          </w:p>
        </w:tc>
      </w:tr>
      <w:tr w:rsidR="00F560B0" w:rsidRPr="00E74449" w14:paraId="242D56C1" w14:textId="77777777" w:rsidTr="00F52CA0">
        <w:trPr>
          <w:trHeight w:val="180"/>
          <w:jc w:val="center"/>
        </w:trPr>
        <w:tc>
          <w:tcPr>
            <w:tcW w:w="1497" w:type="dxa"/>
            <w:tcBorders>
              <w:top w:val="nil"/>
              <w:left w:val="nil"/>
              <w:bottom w:val="nil"/>
              <w:right w:val="nil"/>
            </w:tcBorders>
            <w:vAlign w:val="bottom"/>
          </w:tcPr>
          <w:p w14:paraId="3FD4E5BF"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Std. Dev.</w:t>
            </w:r>
          </w:p>
        </w:tc>
        <w:tc>
          <w:tcPr>
            <w:tcW w:w="1317" w:type="dxa"/>
            <w:tcBorders>
              <w:top w:val="nil"/>
              <w:left w:val="nil"/>
              <w:bottom w:val="nil"/>
              <w:right w:val="nil"/>
            </w:tcBorders>
            <w:vAlign w:val="bottom"/>
          </w:tcPr>
          <w:p w14:paraId="657E995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3.905546</w:t>
            </w:r>
          </w:p>
        </w:tc>
        <w:tc>
          <w:tcPr>
            <w:tcW w:w="1316" w:type="dxa"/>
            <w:tcBorders>
              <w:top w:val="nil"/>
              <w:left w:val="nil"/>
              <w:bottom w:val="nil"/>
              <w:right w:val="nil"/>
            </w:tcBorders>
            <w:vAlign w:val="bottom"/>
          </w:tcPr>
          <w:p w14:paraId="44CE81D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5.907114</w:t>
            </w:r>
          </w:p>
        </w:tc>
        <w:tc>
          <w:tcPr>
            <w:tcW w:w="1317" w:type="dxa"/>
            <w:tcBorders>
              <w:top w:val="nil"/>
              <w:left w:val="nil"/>
              <w:bottom w:val="nil"/>
              <w:right w:val="nil"/>
            </w:tcBorders>
            <w:vAlign w:val="bottom"/>
          </w:tcPr>
          <w:p w14:paraId="4157F50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40537027</w:t>
            </w:r>
          </w:p>
        </w:tc>
        <w:tc>
          <w:tcPr>
            <w:tcW w:w="1316" w:type="dxa"/>
            <w:tcBorders>
              <w:top w:val="nil"/>
              <w:left w:val="nil"/>
              <w:bottom w:val="nil"/>
              <w:right w:val="nil"/>
            </w:tcBorders>
            <w:vAlign w:val="bottom"/>
          </w:tcPr>
          <w:p w14:paraId="665F611C"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0.049421</w:t>
            </w:r>
          </w:p>
        </w:tc>
        <w:tc>
          <w:tcPr>
            <w:tcW w:w="1317" w:type="dxa"/>
            <w:tcBorders>
              <w:top w:val="nil"/>
              <w:left w:val="nil"/>
              <w:bottom w:val="nil"/>
              <w:right w:val="nil"/>
            </w:tcBorders>
            <w:vAlign w:val="bottom"/>
          </w:tcPr>
          <w:p w14:paraId="741D5406"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9.009636</w:t>
            </w:r>
          </w:p>
        </w:tc>
      </w:tr>
      <w:tr w:rsidR="00F560B0" w:rsidRPr="00E74449" w14:paraId="6187EBBF" w14:textId="77777777" w:rsidTr="00F52CA0">
        <w:trPr>
          <w:trHeight w:val="180"/>
          <w:jc w:val="center"/>
        </w:trPr>
        <w:tc>
          <w:tcPr>
            <w:tcW w:w="1497" w:type="dxa"/>
            <w:tcBorders>
              <w:top w:val="nil"/>
              <w:left w:val="nil"/>
              <w:bottom w:val="nil"/>
              <w:right w:val="nil"/>
            </w:tcBorders>
            <w:vAlign w:val="bottom"/>
          </w:tcPr>
          <w:p w14:paraId="7A65E53A"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Skewness</w:t>
            </w:r>
          </w:p>
        </w:tc>
        <w:tc>
          <w:tcPr>
            <w:tcW w:w="1317" w:type="dxa"/>
            <w:tcBorders>
              <w:top w:val="nil"/>
              <w:left w:val="nil"/>
              <w:bottom w:val="nil"/>
              <w:right w:val="nil"/>
            </w:tcBorders>
            <w:vAlign w:val="bottom"/>
          </w:tcPr>
          <w:p w14:paraId="3217EE56"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0.500458</w:t>
            </w:r>
          </w:p>
        </w:tc>
        <w:tc>
          <w:tcPr>
            <w:tcW w:w="1316" w:type="dxa"/>
            <w:tcBorders>
              <w:top w:val="nil"/>
              <w:left w:val="nil"/>
              <w:bottom w:val="nil"/>
              <w:right w:val="nil"/>
            </w:tcBorders>
            <w:vAlign w:val="bottom"/>
          </w:tcPr>
          <w:p w14:paraId="5B1F344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1.441008</w:t>
            </w:r>
          </w:p>
        </w:tc>
        <w:tc>
          <w:tcPr>
            <w:tcW w:w="1317" w:type="dxa"/>
            <w:tcBorders>
              <w:top w:val="nil"/>
              <w:left w:val="nil"/>
              <w:bottom w:val="nil"/>
              <w:right w:val="nil"/>
            </w:tcBorders>
            <w:vAlign w:val="bottom"/>
          </w:tcPr>
          <w:p w14:paraId="57257C3B"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0.233460</w:t>
            </w:r>
          </w:p>
        </w:tc>
        <w:tc>
          <w:tcPr>
            <w:tcW w:w="1316" w:type="dxa"/>
            <w:tcBorders>
              <w:top w:val="nil"/>
              <w:left w:val="nil"/>
              <w:bottom w:val="nil"/>
              <w:right w:val="nil"/>
            </w:tcBorders>
            <w:vAlign w:val="bottom"/>
          </w:tcPr>
          <w:p w14:paraId="541BC79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-0.070331</w:t>
            </w:r>
          </w:p>
        </w:tc>
        <w:tc>
          <w:tcPr>
            <w:tcW w:w="1317" w:type="dxa"/>
            <w:tcBorders>
              <w:top w:val="nil"/>
              <w:left w:val="nil"/>
              <w:bottom w:val="nil"/>
              <w:right w:val="nil"/>
            </w:tcBorders>
            <w:vAlign w:val="bottom"/>
          </w:tcPr>
          <w:p w14:paraId="48C5A6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5.228620</w:t>
            </w:r>
          </w:p>
        </w:tc>
      </w:tr>
      <w:tr w:rsidR="00F560B0" w:rsidRPr="00E74449" w14:paraId="39098976" w14:textId="77777777" w:rsidTr="00F52CA0">
        <w:trPr>
          <w:trHeight w:val="180"/>
          <w:jc w:val="center"/>
        </w:trPr>
        <w:tc>
          <w:tcPr>
            <w:tcW w:w="1497" w:type="dxa"/>
            <w:tcBorders>
              <w:top w:val="nil"/>
              <w:left w:val="nil"/>
              <w:bottom w:val="nil"/>
              <w:right w:val="nil"/>
            </w:tcBorders>
            <w:vAlign w:val="bottom"/>
          </w:tcPr>
          <w:p w14:paraId="366BD9F3"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Kurtosis</w:t>
            </w:r>
          </w:p>
        </w:tc>
        <w:tc>
          <w:tcPr>
            <w:tcW w:w="1317" w:type="dxa"/>
            <w:tcBorders>
              <w:top w:val="nil"/>
              <w:left w:val="nil"/>
              <w:bottom w:val="nil"/>
              <w:right w:val="nil"/>
            </w:tcBorders>
            <w:vAlign w:val="bottom"/>
          </w:tcPr>
          <w:p w14:paraId="629517C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3.486541</w:t>
            </w:r>
          </w:p>
        </w:tc>
        <w:tc>
          <w:tcPr>
            <w:tcW w:w="1316" w:type="dxa"/>
            <w:tcBorders>
              <w:top w:val="nil"/>
              <w:left w:val="nil"/>
              <w:bottom w:val="nil"/>
              <w:right w:val="nil"/>
            </w:tcBorders>
            <w:vAlign w:val="bottom"/>
          </w:tcPr>
          <w:p w14:paraId="0CBDA7E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4.739071</w:t>
            </w:r>
          </w:p>
        </w:tc>
        <w:tc>
          <w:tcPr>
            <w:tcW w:w="1317" w:type="dxa"/>
            <w:tcBorders>
              <w:top w:val="nil"/>
              <w:left w:val="nil"/>
              <w:bottom w:val="nil"/>
              <w:right w:val="nil"/>
            </w:tcBorders>
            <w:vAlign w:val="bottom"/>
          </w:tcPr>
          <w:p w14:paraId="62DEF965"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1.777616</w:t>
            </w:r>
          </w:p>
        </w:tc>
        <w:tc>
          <w:tcPr>
            <w:tcW w:w="1316" w:type="dxa"/>
            <w:tcBorders>
              <w:top w:val="nil"/>
              <w:left w:val="nil"/>
              <w:bottom w:val="nil"/>
              <w:right w:val="nil"/>
            </w:tcBorders>
            <w:vAlign w:val="bottom"/>
          </w:tcPr>
          <w:p w14:paraId="1F12858A"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1.873560</w:t>
            </w:r>
          </w:p>
        </w:tc>
        <w:tc>
          <w:tcPr>
            <w:tcW w:w="1317" w:type="dxa"/>
            <w:tcBorders>
              <w:top w:val="nil"/>
              <w:left w:val="nil"/>
              <w:bottom w:val="nil"/>
              <w:right w:val="nil"/>
            </w:tcBorders>
            <w:vAlign w:val="bottom"/>
          </w:tcPr>
          <w:p w14:paraId="2499BD8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29.56994</w:t>
            </w:r>
          </w:p>
        </w:tc>
      </w:tr>
      <w:tr w:rsidR="00F560B0" w:rsidRPr="00E74449" w14:paraId="02A1A6F7" w14:textId="77777777" w:rsidTr="00F52CA0">
        <w:trPr>
          <w:trHeight w:val="180"/>
          <w:jc w:val="center"/>
        </w:trPr>
        <w:tc>
          <w:tcPr>
            <w:tcW w:w="1497" w:type="dxa"/>
            <w:tcBorders>
              <w:top w:val="nil"/>
              <w:left w:val="nil"/>
              <w:bottom w:val="nil"/>
              <w:right w:val="nil"/>
            </w:tcBorders>
            <w:vAlign w:val="bottom"/>
          </w:tcPr>
          <w:p w14:paraId="3DEB5965"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lastRenderedPageBreak/>
              <w:t> Jarque-Bera</w:t>
            </w:r>
          </w:p>
        </w:tc>
        <w:tc>
          <w:tcPr>
            <w:tcW w:w="1317" w:type="dxa"/>
            <w:tcBorders>
              <w:top w:val="nil"/>
              <w:left w:val="nil"/>
              <w:bottom w:val="nil"/>
              <w:right w:val="nil"/>
            </w:tcBorders>
            <w:vAlign w:val="bottom"/>
          </w:tcPr>
          <w:p w14:paraId="08D156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1.754617</w:t>
            </w:r>
          </w:p>
        </w:tc>
        <w:tc>
          <w:tcPr>
            <w:tcW w:w="1316" w:type="dxa"/>
            <w:tcBorders>
              <w:top w:val="nil"/>
              <w:left w:val="nil"/>
              <w:bottom w:val="nil"/>
              <w:right w:val="nil"/>
            </w:tcBorders>
            <w:vAlign w:val="bottom"/>
          </w:tcPr>
          <w:p w14:paraId="61E6B7E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16.05138</w:t>
            </w:r>
          </w:p>
        </w:tc>
        <w:tc>
          <w:tcPr>
            <w:tcW w:w="1317" w:type="dxa"/>
            <w:tcBorders>
              <w:top w:val="nil"/>
              <w:left w:val="nil"/>
              <w:bottom w:val="nil"/>
              <w:right w:val="nil"/>
            </w:tcBorders>
            <w:vAlign w:val="bottom"/>
          </w:tcPr>
          <w:p w14:paraId="6B2B07C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2.425670</w:t>
            </w:r>
          </w:p>
        </w:tc>
        <w:tc>
          <w:tcPr>
            <w:tcW w:w="1316" w:type="dxa"/>
            <w:tcBorders>
              <w:top w:val="nil"/>
              <w:left w:val="nil"/>
              <w:bottom w:val="nil"/>
              <w:right w:val="nil"/>
            </w:tcBorders>
            <w:vAlign w:val="bottom"/>
          </w:tcPr>
          <w:p w14:paraId="6CD5D00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1.825592</w:t>
            </w:r>
          </w:p>
        </w:tc>
        <w:tc>
          <w:tcPr>
            <w:tcW w:w="1317" w:type="dxa"/>
            <w:tcBorders>
              <w:top w:val="nil"/>
              <w:left w:val="nil"/>
              <w:bottom w:val="nil"/>
              <w:right w:val="nil"/>
            </w:tcBorders>
            <w:vAlign w:val="bottom"/>
          </w:tcPr>
          <w:p w14:paraId="619A970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1155.031</w:t>
            </w:r>
          </w:p>
        </w:tc>
      </w:tr>
      <w:tr w:rsidR="00F560B0" w:rsidRPr="00E74449" w14:paraId="42DA0F0C" w14:textId="77777777" w:rsidTr="00F52CA0">
        <w:trPr>
          <w:trHeight w:val="180"/>
          <w:jc w:val="center"/>
        </w:trPr>
        <w:tc>
          <w:tcPr>
            <w:tcW w:w="1497" w:type="dxa"/>
            <w:tcBorders>
              <w:top w:val="nil"/>
              <w:left w:val="nil"/>
              <w:bottom w:val="nil"/>
              <w:right w:val="nil"/>
            </w:tcBorders>
            <w:vAlign w:val="bottom"/>
          </w:tcPr>
          <w:p w14:paraId="0E8F1206"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Probability</w:t>
            </w:r>
          </w:p>
        </w:tc>
        <w:tc>
          <w:tcPr>
            <w:tcW w:w="1317" w:type="dxa"/>
            <w:tcBorders>
              <w:top w:val="nil"/>
              <w:left w:val="nil"/>
              <w:bottom w:val="nil"/>
              <w:right w:val="nil"/>
            </w:tcBorders>
            <w:vAlign w:val="bottom"/>
          </w:tcPr>
          <w:p w14:paraId="21B31DD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0.415901</w:t>
            </w:r>
          </w:p>
        </w:tc>
        <w:tc>
          <w:tcPr>
            <w:tcW w:w="1316" w:type="dxa"/>
            <w:tcBorders>
              <w:top w:val="nil"/>
              <w:left w:val="nil"/>
              <w:bottom w:val="nil"/>
              <w:right w:val="nil"/>
            </w:tcBorders>
            <w:vAlign w:val="bottom"/>
          </w:tcPr>
          <w:p w14:paraId="6F8B96CA"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0.000327</w:t>
            </w:r>
          </w:p>
        </w:tc>
        <w:tc>
          <w:tcPr>
            <w:tcW w:w="1317" w:type="dxa"/>
            <w:tcBorders>
              <w:top w:val="nil"/>
              <w:left w:val="nil"/>
              <w:bottom w:val="nil"/>
              <w:right w:val="nil"/>
            </w:tcBorders>
            <w:vAlign w:val="bottom"/>
          </w:tcPr>
          <w:p w14:paraId="5924C89B"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0.297353</w:t>
            </w:r>
          </w:p>
        </w:tc>
        <w:tc>
          <w:tcPr>
            <w:tcW w:w="1316" w:type="dxa"/>
            <w:tcBorders>
              <w:top w:val="nil"/>
              <w:left w:val="nil"/>
              <w:bottom w:val="nil"/>
              <w:right w:val="nil"/>
            </w:tcBorders>
            <w:vAlign w:val="bottom"/>
          </w:tcPr>
          <w:p w14:paraId="7330BAA5"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0.401400</w:t>
            </w:r>
          </w:p>
        </w:tc>
        <w:tc>
          <w:tcPr>
            <w:tcW w:w="1317" w:type="dxa"/>
            <w:tcBorders>
              <w:top w:val="nil"/>
              <w:left w:val="nil"/>
              <w:bottom w:val="nil"/>
              <w:right w:val="nil"/>
            </w:tcBorders>
            <w:vAlign w:val="bottom"/>
          </w:tcPr>
          <w:p w14:paraId="2F755210"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0.000000</w:t>
            </w:r>
          </w:p>
        </w:tc>
      </w:tr>
      <w:tr w:rsidR="00F560B0" w:rsidRPr="00E74449" w14:paraId="78084905" w14:textId="77777777" w:rsidTr="00F52CA0">
        <w:trPr>
          <w:trHeight w:val="180"/>
          <w:jc w:val="center"/>
        </w:trPr>
        <w:tc>
          <w:tcPr>
            <w:tcW w:w="1497" w:type="dxa"/>
            <w:tcBorders>
              <w:top w:val="nil"/>
              <w:left w:val="nil"/>
              <w:bottom w:val="single" w:sz="4" w:space="0" w:color="auto"/>
              <w:right w:val="nil"/>
            </w:tcBorders>
            <w:vAlign w:val="bottom"/>
          </w:tcPr>
          <w:p w14:paraId="6CA70FAC"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Observations</w:t>
            </w:r>
          </w:p>
        </w:tc>
        <w:tc>
          <w:tcPr>
            <w:tcW w:w="1317" w:type="dxa"/>
            <w:tcBorders>
              <w:top w:val="nil"/>
              <w:left w:val="nil"/>
              <w:bottom w:val="single" w:sz="4" w:space="0" w:color="auto"/>
              <w:right w:val="nil"/>
            </w:tcBorders>
            <w:vAlign w:val="bottom"/>
          </w:tcPr>
          <w:p w14:paraId="60112C33"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6" w:type="dxa"/>
            <w:tcBorders>
              <w:top w:val="nil"/>
              <w:left w:val="nil"/>
              <w:bottom w:val="single" w:sz="4" w:space="0" w:color="auto"/>
              <w:right w:val="nil"/>
            </w:tcBorders>
            <w:vAlign w:val="bottom"/>
          </w:tcPr>
          <w:p w14:paraId="0DD97DF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7" w:type="dxa"/>
            <w:tcBorders>
              <w:top w:val="nil"/>
              <w:left w:val="nil"/>
              <w:bottom w:val="single" w:sz="4" w:space="0" w:color="auto"/>
              <w:right w:val="nil"/>
            </w:tcBorders>
            <w:vAlign w:val="bottom"/>
          </w:tcPr>
          <w:p w14:paraId="6BC2339C"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6" w:type="dxa"/>
            <w:tcBorders>
              <w:top w:val="nil"/>
              <w:left w:val="nil"/>
              <w:bottom w:val="single" w:sz="4" w:space="0" w:color="auto"/>
              <w:right w:val="nil"/>
            </w:tcBorders>
            <w:vAlign w:val="bottom"/>
          </w:tcPr>
          <w:p w14:paraId="1442E16F"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7" w:type="dxa"/>
            <w:tcBorders>
              <w:top w:val="nil"/>
              <w:left w:val="nil"/>
              <w:bottom w:val="single" w:sz="4" w:space="0" w:color="auto"/>
              <w:right w:val="nil"/>
            </w:tcBorders>
            <w:vAlign w:val="bottom"/>
          </w:tcPr>
          <w:p w14:paraId="64CF193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r>
    </w:tbl>
    <w:p w14:paraId="70E63B6D" w14:textId="77777777" w:rsidR="00F560B0" w:rsidRPr="00E74449" w:rsidRDefault="009A472F" w:rsidP="00173CCC">
      <w:pPr>
        <w:spacing w:after="0" w:line="276" w:lineRule="auto"/>
        <w:contextualSpacing/>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 xml:space="preserve">            Source: Authors</w:t>
      </w:r>
      <w:r w:rsidR="00984D15">
        <w:rPr>
          <w:rFonts w:ascii="Times New Roman" w:eastAsia="Calibri" w:hAnsi="Times New Roman" w:cs="Times New Roman"/>
          <w:bCs/>
          <w:sz w:val="24"/>
          <w:szCs w:val="24"/>
        </w:rPr>
        <w:t>’</w:t>
      </w:r>
      <w:r w:rsidRPr="00E74449">
        <w:rPr>
          <w:rFonts w:ascii="Times New Roman" w:eastAsia="Calibri" w:hAnsi="Times New Roman" w:cs="Times New Roman"/>
          <w:bCs/>
          <w:sz w:val="24"/>
          <w:szCs w:val="24"/>
        </w:rPr>
        <w:t xml:space="preserve"> Computation, 2025</w:t>
      </w:r>
    </w:p>
    <w:p w14:paraId="4B82B31E" w14:textId="77777777" w:rsidR="00F560B0" w:rsidRPr="00E74449" w:rsidRDefault="00F560B0" w:rsidP="00173CCC">
      <w:pPr>
        <w:spacing w:after="0" w:line="276" w:lineRule="auto"/>
        <w:jc w:val="both"/>
        <w:rPr>
          <w:rFonts w:ascii="Times New Roman" w:eastAsia="Calibri" w:hAnsi="Times New Roman" w:cs="Times New Roman"/>
          <w:bCs/>
          <w:sz w:val="24"/>
          <w:szCs w:val="24"/>
        </w:rPr>
      </w:pPr>
    </w:p>
    <w:p w14:paraId="701E5CBD" w14:textId="77777777" w:rsidR="00F560B0"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The descriptive statistics in Table 4.1 offer a multi-dimensional view of Nigeria's development indicators, highlighting structural patterns and policy gaps. The average GDP growth rate (4.25%) suggests moderate expansion, with wide variation from -2.04% (economic contraction) to 15.33% (peak growth). The moderate standard deviation (3.91) and normal distribution (JB = 1.75, p = 0.42) reflect cyclical volatility rather than extreme shocks. Meanwhile, the literacy rate (58.54%) underscores modest human capital development progress, although the relatively high skewness (1.44) and significant Jarque-Bera value (16.05, p = 0.0003) indicate non-normality, likely driven by regional disparities in educational access and policy inconsistencies. The population variable, with a mean of 155.79 million, shows consistent demographic expansion, and its normality (p = 0.30) implies steady population trends, with lowest population of 97.1209 million.</w:t>
      </w:r>
    </w:p>
    <w:p w14:paraId="57D8AC81" w14:textId="77777777" w:rsidR="00984D15" w:rsidRPr="00E74449" w:rsidRDefault="00984D15" w:rsidP="00173CCC">
      <w:pPr>
        <w:autoSpaceDE w:val="0"/>
        <w:autoSpaceDN w:val="0"/>
        <w:adjustRightInd w:val="0"/>
        <w:spacing w:after="0" w:line="276" w:lineRule="auto"/>
        <w:jc w:val="both"/>
        <w:rPr>
          <w:rFonts w:ascii="Times New Roman" w:eastAsia="Calibri" w:hAnsi="Times New Roman" w:cs="Times New Roman"/>
          <w:bCs/>
          <w:sz w:val="24"/>
          <w:szCs w:val="24"/>
        </w:rPr>
      </w:pPr>
    </w:p>
    <w:p w14:paraId="2E5EB5CB"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Investment in Research and Development (R&amp;D) remains critically low, averaging only 0.21% of GDP, with minimal variation (σ = 0.049) and no significant departure from normality (JB = 1.83, p = 0.40). This under investment severely limits Nigeria's innovation capacity and long-term productivity. Conversely, agriculture's contribution to GDP (5.60%) exhibits extreme skewness (5.23) and kurtosis (29.57), indicating substantial variability in performance. The Jarque-Bera test (JB = 1155.03, p = 0.000) confirms non-normality, emphasizing structural instability in the sector due to climate variability, inconsistent policies, and low mechanization. These findings call for urgent diversification of the economy, increased investment in human capital and innovation systems, and modernization of the agricultural sector to foster inclusive, knowledge-driven, and sustainable economic growth in Nigeria.</w:t>
      </w:r>
    </w:p>
    <w:p w14:paraId="0270F9ED"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Correlation Analysis</w:t>
      </w:r>
    </w:p>
    <w:p w14:paraId="4330B005"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Correlation analysis was conducted to examine the linear relationships between GDP growth rate and selected explanatory variables including literacy rate, population, R&amp;D expenditure, and agricultural value added (% of GDP). The results, as presented in Table 4.2.</w:t>
      </w:r>
    </w:p>
    <w:p w14:paraId="3DDD8F21" w14:textId="77777777" w:rsidR="00F560B0" w:rsidRPr="00E74449" w:rsidRDefault="00F560B0" w:rsidP="00173CCC">
      <w:pPr>
        <w:autoSpaceDE w:val="0"/>
        <w:autoSpaceDN w:val="0"/>
        <w:adjustRightInd w:val="0"/>
        <w:spacing w:after="0" w:line="276" w:lineRule="auto"/>
        <w:jc w:val="both"/>
        <w:rPr>
          <w:rFonts w:ascii="Times New Roman" w:eastAsia="Calibri" w:hAnsi="Times New Roman" w:cs="Times New Roman"/>
          <w:bCs/>
          <w:sz w:val="24"/>
          <w:szCs w:val="24"/>
        </w:rPr>
      </w:pPr>
    </w:p>
    <w:p w14:paraId="77C8B143" w14:textId="77777777" w:rsidR="00F560B0" w:rsidRPr="00E74449" w:rsidRDefault="009A472F" w:rsidP="00173CCC">
      <w:pPr>
        <w:spacing w:after="0" w:line="276" w:lineRule="auto"/>
        <w:contextualSpacing/>
        <w:jc w:val="center"/>
        <w:rPr>
          <w:rFonts w:ascii="Times New Roman" w:eastAsia="Calibri" w:hAnsi="Times New Roman" w:cs="Times New Roman"/>
          <w:b/>
          <w:sz w:val="24"/>
          <w:szCs w:val="24"/>
        </w:rPr>
      </w:pPr>
      <w:r w:rsidRPr="00E74449">
        <w:rPr>
          <w:rFonts w:ascii="Times New Roman" w:eastAsia="Calibri" w:hAnsi="Times New Roman" w:cs="Times New Roman"/>
          <w:b/>
          <w:sz w:val="24"/>
          <w:szCs w:val="24"/>
        </w:rPr>
        <w:t>Table 4.2: Correlation Matrix</w:t>
      </w:r>
    </w:p>
    <w:tbl>
      <w:tblPr>
        <w:tblW w:w="0" w:type="auto"/>
        <w:jc w:val="center"/>
        <w:tblLayout w:type="fixed"/>
        <w:tblCellMar>
          <w:left w:w="0" w:type="dxa"/>
          <w:right w:w="0" w:type="dxa"/>
        </w:tblCellMar>
        <w:tblLook w:val="04A0" w:firstRow="1" w:lastRow="0" w:firstColumn="1" w:lastColumn="0" w:noHBand="0" w:noVBand="1"/>
      </w:tblPr>
      <w:tblGrid>
        <w:gridCol w:w="786"/>
        <w:gridCol w:w="1197"/>
        <w:gridCol w:w="1196"/>
        <w:gridCol w:w="1197"/>
        <w:gridCol w:w="1196"/>
        <w:gridCol w:w="1197"/>
      </w:tblGrid>
      <w:tr w:rsidR="00F560B0" w:rsidRPr="00E74449" w14:paraId="349C409F" w14:textId="77777777">
        <w:trPr>
          <w:trHeight w:val="256"/>
          <w:jc w:val="center"/>
        </w:trPr>
        <w:tc>
          <w:tcPr>
            <w:tcW w:w="786" w:type="dxa"/>
            <w:tcBorders>
              <w:top w:val="single" w:sz="4" w:space="0" w:color="auto"/>
              <w:left w:val="nil"/>
              <w:bottom w:val="nil"/>
              <w:right w:val="nil"/>
            </w:tcBorders>
            <w:vAlign w:val="bottom"/>
          </w:tcPr>
          <w:p w14:paraId="69455418"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single" w:sz="4" w:space="0" w:color="auto"/>
              <w:left w:val="nil"/>
              <w:bottom w:val="nil"/>
              <w:right w:val="nil"/>
            </w:tcBorders>
            <w:vAlign w:val="bottom"/>
          </w:tcPr>
          <w:p w14:paraId="23B80732"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GDPgr</w:t>
            </w:r>
          </w:p>
        </w:tc>
        <w:tc>
          <w:tcPr>
            <w:tcW w:w="1196" w:type="dxa"/>
            <w:tcBorders>
              <w:top w:val="single" w:sz="4" w:space="0" w:color="auto"/>
              <w:left w:val="nil"/>
              <w:bottom w:val="nil"/>
              <w:right w:val="nil"/>
            </w:tcBorders>
            <w:vAlign w:val="bottom"/>
          </w:tcPr>
          <w:p w14:paraId="65F8C0E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LITR</w:t>
            </w:r>
          </w:p>
        </w:tc>
        <w:tc>
          <w:tcPr>
            <w:tcW w:w="1197" w:type="dxa"/>
            <w:tcBorders>
              <w:top w:val="single" w:sz="4" w:space="0" w:color="auto"/>
              <w:left w:val="nil"/>
              <w:bottom w:val="nil"/>
              <w:right w:val="nil"/>
            </w:tcBorders>
            <w:vAlign w:val="bottom"/>
          </w:tcPr>
          <w:p w14:paraId="130D89E2"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POP</w:t>
            </w:r>
          </w:p>
        </w:tc>
        <w:tc>
          <w:tcPr>
            <w:tcW w:w="1196" w:type="dxa"/>
            <w:tcBorders>
              <w:top w:val="single" w:sz="4" w:space="0" w:color="auto"/>
              <w:left w:val="nil"/>
              <w:bottom w:val="nil"/>
              <w:right w:val="nil"/>
            </w:tcBorders>
            <w:vAlign w:val="bottom"/>
          </w:tcPr>
          <w:p w14:paraId="096F516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R&amp;D</w:t>
            </w:r>
          </w:p>
        </w:tc>
        <w:tc>
          <w:tcPr>
            <w:tcW w:w="1197" w:type="dxa"/>
            <w:tcBorders>
              <w:top w:val="single" w:sz="4" w:space="0" w:color="auto"/>
              <w:left w:val="nil"/>
              <w:bottom w:val="nil"/>
              <w:right w:val="nil"/>
            </w:tcBorders>
            <w:vAlign w:val="bottom"/>
          </w:tcPr>
          <w:p w14:paraId="0E92E65D"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AGRIC</w:t>
            </w:r>
          </w:p>
        </w:tc>
      </w:tr>
      <w:tr w:rsidR="00F560B0" w:rsidRPr="00E74449" w14:paraId="56015E23" w14:textId="77777777">
        <w:trPr>
          <w:trHeight w:val="256"/>
          <w:jc w:val="center"/>
        </w:trPr>
        <w:tc>
          <w:tcPr>
            <w:tcW w:w="786" w:type="dxa"/>
            <w:tcBorders>
              <w:top w:val="nil"/>
              <w:left w:val="nil"/>
              <w:bottom w:val="nil"/>
              <w:right w:val="nil"/>
            </w:tcBorders>
            <w:vAlign w:val="bottom"/>
          </w:tcPr>
          <w:p w14:paraId="6967EE7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GDPgr</w:t>
            </w:r>
          </w:p>
        </w:tc>
        <w:tc>
          <w:tcPr>
            <w:tcW w:w="1197" w:type="dxa"/>
            <w:tcBorders>
              <w:top w:val="nil"/>
              <w:left w:val="nil"/>
              <w:bottom w:val="nil"/>
              <w:right w:val="nil"/>
            </w:tcBorders>
            <w:vAlign w:val="bottom"/>
          </w:tcPr>
          <w:p w14:paraId="53357D10"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6" w:type="dxa"/>
            <w:tcBorders>
              <w:top w:val="nil"/>
              <w:left w:val="nil"/>
              <w:bottom w:val="nil"/>
              <w:right w:val="nil"/>
            </w:tcBorders>
            <w:vAlign w:val="bottom"/>
          </w:tcPr>
          <w:p w14:paraId="460BC37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4C56F20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6" w:type="dxa"/>
            <w:tcBorders>
              <w:top w:val="nil"/>
              <w:left w:val="nil"/>
              <w:bottom w:val="nil"/>
              <w:right w:val="nil"/>
            </w:tcBorders>
            <w:vAlign w:val="bottom"/>
          </w:tcPr>
          <w:p w14:paraId="3E9057D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42872774"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6E1B6011" w14:textId="77777777">
        <w:trPr>
          <w:trHeight w:val="256"/>
          <w:jc w:val="center"/>
        </w:trPr>
        <w:tc>
          <w:tcPr>
            <w:tcW w:w="786" w:type="dxa"/>
            <w:tcBorders>
              <w:top w:val="nil"/>
              <w:left w:val="nil"/>
              <w:bottom w:val="nil"/>
              <w:right w:val="nil"/>
            </w:tcBorders>
            <w:vAlign w:val="bottom"/>
          </w:tcPr>
          <w:p w14:paraId="0D854C1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LITR</w:t>
            </w:r>
          </w:p>
        </w:tc>
        <w:tc>
          <w:tcPr>
            <w:tcW w:w="1197" w:type="dxa"/>
            <w:tcBorders>
              <w:top w:val="nil"/>
              <w:left w:val="nil"/>
              <w:bottom w:val="nil"/>
              <w:right w:val="nil"/>
            </w:tcBorders>
            <w:vAlign w:val="bottom"/>
          </w:tcPr>
          <w:p w14:paraId="4DC5E7D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-0.2083</w:t>
            </w:r>
          </w:p>
        </w:tc>
        <w:tc>
          <w:tcPr>
            <w:tcW w:w="1196" w:type="dxa"/>
            <w:tcBorders>
              <w:top w:val="nil"/>
              <w:left w:val="nil"/>
              <w:bottom w:val="nil"/>
              <w:right w:val="nil"/>
            </w:tcBorders>
            <w:vAlign w:val="bottom"/>
          </w:tcPr>
          <w:p w14:paraId="3C5C5E9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7" w:type="dxa"/>
            <w:tcBorders>
              <w:top w:val="nil"/>
              <w:left w:val="nil"/>
              <w:bottom w:val="nil"/>
              <w:right w:val="nil"/>
            </w:tcBorders>
            <w:vAlign w:val="bottom"/>
          </w:tcPr>
          <w:p w14:paraId="3EA51913"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6" w:type="dxa"/>
            <w:tcBorders>
              <w:top w:val="nil"/>
              <w:left w:val="nil"/>
              <w:bottom w:val="nil"/>
              <w:right w:val="nil"/>
            </w:tcBorders>
            <w:vAlign w:val="bottom"/>
          </w:tcPr>
          <w:p w14:paraId="5EBFC86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7E787487"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034F9FF3" w14:textId="77777777">
        <w:trPr>
          <w:trHeight w:val="256"/>
          <w:jc w:val="center"/>
        </w:trPr>
        <w:tc>
          <w:tcPr>
            <w:tcW w:w="786" w:type="dxa"/>
            <w:tcBorders>
              <w:top w:val="nil"/>
              <w:left w:val="nil"/>
              <w:bottom w:val="nil"/>
              <w:right w:val="nil"/>
            </w:tcBorders>
            <w:vAlign w:val="bottom"/>
          </w:tcPr>
          <w:p w14:paraId="2B41644A"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POP</w:t>
            </w:r>
          </w:p>
        </w:tc>
        <w:tc>
          <w:tcPr>
            <w:tcW w:w="1197" w:type="dxa"/>
            <w:tcBorders>
              <w:top w:val="nil"/>
              <w:left w:val="nil"/>
              <w:bottom w:val="nil"/>
              <w:right w:val="nil"/>
            </w:tcBorders>
            <w:vAlign w:val="bottom"/>
          </w:tcPr>
          <w:p w14:paraId="06B124F5"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-0.1353</w:t>
            </w:r>
          </w:p>
        </w:tc>
        <w:tc>
          <w:tcPr>
            <w:tcW w:w="1196" w:type="dxa"/>
            <w:tcBorders>
              <w:top w:val="nil"/>
              <w:left w:val="nil"/>
              <w:bottom w:val="nil"/>
              <w:right w:val="nil"/>
            </w:tcBorders>
            <w:vAlign w:val="bottom"/>
          </w:tcPr>
          <w:p w14:paraId="54E375B6"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0.6329</w:t>
            </w:r>
          </w:p>
        </w:tc>
        <w:tc>
          <w:tcPr>
            <w:tcW w:w="1197" w:type="dxa"/>
            <w:tcBorders>
              <w:top w:val="nil"/>
              <w:left w:val="nil"/>
              <w:bottom w:val="nil"/>
              <w:right w:val="nil"/>
            </w:tcBorders>
            <w:vAlign w:val="bottom"/>
          </w:tcPr>
          <w:p w14:paraId="3527B57D"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6" w:type="dxa"/>
            <w:tcBorders>
              <w:top w:val="nil"/>
              <w:left w:val="nil"/>
              <w:bottom w:val="nil"/>
              <w:right w:val="nil"/>
            </w:tcBorders>
            <w:vAlign w:val="bottom"/>
          </w:tcPr>
          <w:p w14:paraId="4F6A453D"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3AEF2448"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63FC7F4A" w14:textId="77777777">
        <w:trPr>
          <w:trHeight w:val="256"/>
          <w:jc w:val="center"/>
        </w:trPr>
        <w:tc>
          <w:tcPr>
            <w:tcW w:w="786" w:type="dxa"/>
            <w:tcBorders>
              <w:top w:val="nil"/>
              <w:left w:val="nil"/>
              <w:bottom w:val="nil"/>
              <w:right w:val="nil"/>
            </w:tcBorders>
            <w:vAlign w:val="bottom"/>
          </w:tcPr>
          <w:p w14:paraId="20B7CCD3"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R&amp;D</w:t>
            </w:r>
          </w:p>
        </w:tc>
        <w:tc>
          <w:tcPr>
            <w:tcW w:w="1197" w:type="dxa"/>
            <w:tcBorders>
              <w:top w:val="nil"/>
              <w:left w:val="nil"/>
              <w:bottom w:val="nil"/>
              <w:right w:val="nil"/>
            </w:tcBorders>
            <w:vAlign w:val="bottom"/>
          </w:tcPr>
          <w:p w14:paraId="46398030"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-0.4892</w:t>
            </w:r>
          </w:p>
        </w:tc>
        <w:tc>
          <w:tcPr>
            <w:tcW w:w="1196" w:type="dxa"/>
            <w:tcBorders>
              <w:top w:val="nil"/>
              <w:left w:val="nil"/>
              <w:bottom w:val="nil"/>
              <w:right w:val="nil"/>
            </w:tcBorders>
            <w:vAlign w:val="bottom"/>
          </w:tcPr>
          <w:p w14:paraId="26F7917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0.4723</w:t>
            </w:r>
          </w:p>
        </w:tc>
        <w:tc>
          <w:tcPr>
            <w:tcW w:w="1197" w:type="dxa"/>
            <w:tcBorders>
              <w:top w:val="nil"/>
              <w:left w:val="nil"/>
              <w:bottom w:val="nil"/>
              <w:right w:val="nil"/>
            </w:tcBorders>
            <w:vAlign w:val="bottom"/>
          </w:tcPr>
          <w:p w14:paraId="029589BC"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0.4690</w:t>
            </w:r>
          </w:p>
        </w:tc>
        <w:tc>
          <w:tcPr>
            <w:tcW w:w="1196" w:type="dxa"/>
            <w:tcBorders>
              <w:top w:val="nil"/>
              <w:left w:val="nil"/>
              <w:bottom w:val="nil"/>
              <w:right w:val="nil"/>
            </w:tcBorders>
            <w:vAlign w:val="bottom"/>
          </w:tcPr>
          <w:p w14:paraId="3DD1A78C"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7" w:type="dxa"/>
            <w:tcBorders>
              <w:top w:val="nil"/>
              <w:left w:val="nil"/>
              <w:bottom w:val="nil"/>
              <w:right w:val="nil"/>
            </w:tcBorders>
            <w:vAlign w:val="bottom"/>
          </w:tcPr>
          <w:p w14:paraId="2F156CD2"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48E44657" w14:textId="77777777">
        <w:trPr>
          <w:trHeight w:val="256"/>
          <w:jc w:val="center"/>
        </w:trPr>
        <w:tc>
          <w:tcPr>
            <w:tcW w:w="786" w:type="dxa"/>
            <w:tcBorders>
              <w:top w:val="nil"/>
              <w:left w:val="nil"/>
              <w:bottom w:val="single" w:sz="4" w:space="0" w:color="auto"/>
              <w:right w:val="nil"/>
            </w:tcBorders>
            <w:vAlign w:val="bottom"/>
          </w:tcPr>
          <w:p w14:paraId="68AC334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AGRIC</w:t>
            </w:r>
          </w:p>
        </w:tc>
        <w:tc>
          <w:tcPr>
            <w:tcW w:w="1197" w:type="dxa"/>
            <w:tcBorders>
              <w:top w:val="nil"/>
              <w:left w:val="nil"/>
              <w:bottom w:val="single" w:sz="4" w:space="0" w:color="auto"/>
              <w:right w:val="nil"/>
            </w:tcBorders>
            <w:vAlign w:val="bottom"/>
          </w:tcPr>
          <w:p w14:paraId="31379B6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0.5834</w:t>
            </w:r>
          </w:p>
        </w:tc>
        <w:tc>
          <w:tcPr>
            <w:tcW w:w="1196" w:type="dxa"/>
            <w:tcBorders>
              <w:top w:val="nil"/>
              <w:left w:val="nil"/>
              <w:bottom w:val="single" w:sz="4" w:space="0" w:color="auto"/>
              <w:right w:val="nil"/>
            </w:tcBorders>
            <w:vAlign w:val="bottom"/>
          </w:tcPr>
          <w:p w14:paraId="3D52C21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-0.1397</w:t>
            </w:r>
          </w:p>
        </w:tc>
        <w:tc>
          <w:tcPr>
            <w:tcW w:w="1197" w:type="dxa"/>
            <w:tcBorders>
              <w:top w:val="nil"/>
              <w:left w:val="nil"/>
              <w:bottom w:val="single" w:sz="4" w:space="0" w:color="auto"/>
              <w:right w:val="nil"/>
            </w:tcBorders>
            <w:vAlign w:val="bottom"/>
          </w:tcPr>
          <w:p w14:paraId="2AED0B9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-0.1443</w:t>
            </w:r>
          </w:p>
        </w:tc>
        <w:tc>
          <w:tcPr>
            <w:tcW w:w="1196" w:type="dxa"/>
            <w:tcBorders>
              <w:top w:val="nil"/>
              <w:left w:val="nil"/>
              <w:bottom w:val="single" w:sz="4" w:space="0" w:color="auto"/>
              <w:right w:val="nil"/>
            </w:tcBorders>
            <w:vAlign w:val="bottom"/>
          </w:tcPr>
          <w:p w14:paraId="62E2061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-0.1190</w:t>
            </w:r>
          </w:p>
        </w:tc>
        <w:tc>
          <w:tcPr>
            <w:tcW w:w="1197" w:type="dxa"/>
            <w:tcBorders>
              <w:top w:val="nil"/>
              <w:left w:val="nil"/>
              <w:bottom w:val="single" w:sz="4" w:space="0" w:color="auto"/>
              <w:right w:val="nil"/>
            </w:tcBorders>
            <w:vAlign w:val="bottom"/>
          </w:tcPr>
          <w:p w14:paraId="14101AE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r>
    </w:tbl>
    <w:p w14:paraId="786B4334" w14:textId="77777777" w:rsidR="00F560B0" w:rsidRPr="00E74449" w:rsidRDefault="009A472F" w:rsidP="00173CCC">
      <w:pPr>
        <w:spacing w:after="0" w:line="276" w:lineRule="auto"/>
        <w:contextualSpacing/>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 xml:space="preserve">                  Source: Authors</w:t>
      </w:r>
      <w:r w:rsidR="00984D15">
        <w:rPr>
          <w:rFonts w:ascii="Times New Roman" w:eastAsia="Calibri" w:hAnsi="Times New Roman" w:cs="Times New Roman"/>
          <w:bCs/>
          <w:sz w:val="24"/>
          <w:szCs w:val="24"/>
        </w:rPr>
        <w:t>’</w:t>
      </w:r>
      <w:r w:rsidRPr="00E74449">
        <w:rPr>
          <w:rFonts w:ascii="Times New Roman" w:eastAsia="Calibri" w:hAnsi="Times New Roman" w:cs="Times New Roman"/>
          <w:bCs/>
          <w:sz w:val="24"/>
          <w:szCs w:val="24"/>
        </w:rPr>
        <w:t xml:space="preserve"> Computation, 2025</w:t>
      </w:r>
    </w:p>
    <w:p w14:paraId="45FE2CA8" w14:textId="77777777" w:rsidR="00F560B0"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lastRenderedPageBreak/>
        <w:t>The correlation matrix in Table 4.2 provides insight into the strength and direction of relationships between GDP growth (GDPgr) and key explanatory variables. Notably, GDPgr exhibits a moderate positive correlation with agriculture's contribution to GDP (AGRIC = 0.583), suggesting that increased agricultural output is associated with higher economic growth in Nigeria. This underscores the sector’s continued relevance to national development despite ongoing efforts toward economic diversification. Conversely, R&amp;D spending is negatively correlated with GDPgr (-0.489), indicating a paradoxical relationship where increases in research investment may not immediately translate into growth. This could reflect the long gestation period of innovation outcomes or the misalignment between R&amp;D activities and productive sectors of the economy.</w:t>
      </w:r>
    </w:p>
    <w:p w14:paraId="43041228" w14:textId="77777777" w:rsidR="00B27000" w:rsidRPr="00E74449" w:rsidRDefault="00B27000" w:rsidP="00173CCC">
      <w:pPr>
        <w:autoSpaceDE w:val="0"/>
        <w:autoSpaceDN w:val="0"/>
        <w:adjustRightInd w:val="0"/>
        <w:spacing w:after="0" w:line="276" w:lineRule="auto"/>
        <w:jc w:val="both"/>
        <w:rPr>
          <w:rFonts w:ascii="Times New Roman" w:eastAsia="Calibri" w:hAnsi="Times New Roman" w:cs="Times New Roman"/>
          <w:bCs/>
          <w:sz w:val="24"/>
          <w:szCs w:val="24"/>
        </w:rPr>
      </w:pPr>
    </w:p>
    <w:p w14:paraId="0E395C4E"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Additionally, GDPgr is weakly and negatively correlated with both literacy rate (-0.208) and population growth (-0.135), suggesting that rising literacy and population levels have not been effectively harnessed to drive economic expansion. The weak negative correlation with literacy may reflect structural issues in education quality, skill mismatch, or underemployment among educated youth. Population growth, although typically a driver of labor force expansion, might exert pressure on infrastructure and social services if not matched by adequate job creation and productivity gains. These patterns highlight the need for integrated policies that transform demographic and educational advantages into tangible economic outcomes, while also realigning R&amp;D efforts to support high-impact sectors.</w:t>
      </w:r>
    </w:p>
    <w:p w14:paraId="4996D2A9"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
          <w:bCs/>
          <w:sz w:val="24"/>
          <w:szCs w:val="24"/>
        </w:rPr>
      </w:pPr>
      <w:r w:rsidRPr="00E74449">
        <w:rPr>
          <w:rFonts w:ascii="Times New Roman" w:eastAsia="Calibri" w:hAnsi="Times New Roman" w:cs="Times New Roman"/>
          <w:b/>
          <w:bCs/>
          <w:sz w:val="24"/>
          <w:szCs w:val="24"/>
        </w:rPr>
        <w:t>Stationarity Test with Structural Break</w:t>
      </w:r>
    </w:p>
    <w:p w14:paraId="3A1C6B52"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To account for potential structural changes in the series, the </w:t>
      </w:r>
      <w:proofErr w:type="spellStart"/>
      <w:r w:rsidRPr="00E74449">
        <w:rPr>
          <w:rFonts w:ascii="Times New Roman" w:eastAsia="Calibri" w:hAnsi="Times New Roman" w:cs="Times New Roman"/>
          <w:sz w:val="24"/>
          <w:szCs w:val="24"/>
        </w:rPr>
        <w:t>Zivot</w:t>
      </w:r>
      <w:proofErr w:type="spellEnd"/>
      <w:r w:rsidRPr="00E74449">
        <w:rPr>
          <w:rFonts w:ascii="Times New Roman" w:eastAsia="Calibri" w:hAnsi="Times New Roman" w:cs="Times New Roman"/>
          <w:sz w:val="24"/>
          <w:szCs w:val="24"/>
        </w:rPr>
        <w:t xml:space="preserve">-Andrews unit root test was employed with an innovative outlier break, allowing for a one-time break in the intercept. The test was conducted under the trend and intercept specification for most series, while the intercept-only specification was used where appropriate. </w:t>
      </w:r>
    </w:p>
    <w:p w14:paraId="6F4DFF07" w14:textId="77777777" w:rsidR="00F560B0" w:rsidRPr="00E74449" w:rsidRDefault="009A472F" w:rsidP="00173CCC">
      <w:pPr>
        <w:autoSpaceDE w:val="0"/>
        <w:autoSpaceDN w:val="0"/>
        <w:adjustRightInd w:val="0"/>
        <w:spacing w:after="0" w:line="276" w:lineRule="auto"/>
        <w:jc w:val="center"/>
        <w:rPr>
          <w:rFonts w:ascii="Times New Roman" w:eastAsia="Calibri" w:hAnsi="Times New Roman" w:cs="Times New Roman"/>
          <w:sz w:val="24"/>
          <w:szCs w:val="24"/>
        </w:rPr>
      </w:pPr>
      <w:r w:rsidRPr="00E74449">
        <w:rPr>
          <w:rFonts w:ascii="Times New Roman" w:eastAsia="Calibri" w:hAnsi="Times New Roman" w:cs="Times New Roman"/>
          <w:b/>
          <w:bCs/>
          <w:sz w:val="24"/>
          <w:szCs w:val="24"/>
        </w:rPr>
        <w:t xml:space="preserve">Table 4.3: </w:t>
      </w:r>
      <w:proofErr w:type="spellStart"/>
      <w:r w:rsidRPr="00E74449">
        <w:rPr>
          <w:rFonts w:ascii="Times New Roman" w:eastAsia="Calibri" w:hAnsi="Times New Roman" w:cs="Times New Roman"/>
          <w:b/>
          <w:bCs/>
          <w:sz w:val="24"/>
          <w:szCs w:val="24"/>
        </w:rPr>
        <w:t>Zivot</w:t>
      </w:r>
      <w:proofErr w:type="spellEnd"/>
      <w:r w:rsidRPr="00E74449">
        <w:rPr>
          <w:rFonts w:ascii="Times New Roman" w:eastAsia="Calibri" w:hAnsi="Times New Roman" w:cs="Times New Roman"/>
          <w:b/>
          <w:bCs/>
          <w:sz w:val="24"/>
          <w:szCs w:val="24"/>
        </w:rPr>
        <w:t>-Andrews Unit Root Test Results with Innovational Outlier Break</w:t>
      </w:r>
    </w:p>
    <w:tbl>
      <w:tblPr>
        <w:tblStyle w:val="TableGrid2"/>
        <w:tblW w:w="95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643"/>
        <w:gridCol w:w="2087"/>
        <w:gridCol w:w="2475"/>
        <w:gridCol w:w="1715"/>
      </w:tblGrid>
      <w:tr w:rsidR="00F560B0" w:rsidRPr="00E74449" w14:paraId="0F96C14C" w14:textId="77777777">
        <w:trPr>
          <w:trHeight w:val="260"/>
          <w:jc w:val="center"/>
        </w:trPr>
        <w:tc>
          <w:tcPr>
            <w:tcW w:w="0" w:type="auto"/>
            <w:tcBorders>
              <w:top w:val="single" w:sz="4" w:space="0" w:color="auto"/>
            </w:tcBorders>
          </w:tcPr>
          <w:p w14:paraId="1E3DB25F"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Variable</w:t>
            </w:r>
          </w:p>
        </w:tc>
        <w:tc>
          <w:tcPr>
            <w:tcW w:w="0" w:type="auto"/>
            <w:tcBorders>
              <w:top w:val="single" w:sz="4" w:space="0" w:color="auto"/>
            </w:tcBorders>
          </w:tcPr>
          <w:p w14:paraId="3FF09FAF"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Break Date</w:t>
            </w:r>
          </w:p>
        </w:tc>
        <w:tc>
          <w:tcPr>
            <w:tcW w:w="0" w:type="auto"/>
            <w:tcBorders>
              <w:top w:val="single" w:sz="4" w:space="0" w:color="auto"/>
            </w:tcBorders>
          </w:tcPr>
          <w:p w14:paraId="0D2AC6C2"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ADF t-Statistic</w:t>
            </w:r>
          </w:p>
        </w:tc>
        <w:tc>
          <w:tcPr>
            <w:tcW w:w="0" w:type="auto"/>
            <w:tcBorders>
              <w:top w:val="single" w:sz="4" w:space="0" w:color="auto"/>
            </w:tcBorders>
          </w:tcPr>
          <w:p w14:paraId="3D17AD36"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5% Critical Value</w:t>
            </w:r>
          </w:p>
        </w:tc>
        <w:tc>
          <w:tcPr>
            <w:tcW w:w="0" w:type="auto"/>
            <w:tcBorders>
              <w:top w:val="single" w:sz="4" w:space="0" w:color="auto"/>
            </w:tcBorders>
          </w:tcPr>
          <w:p w14:paraId="505CB4F3"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 xml:space="preserve">Stationarity </w:t>
            </w:r>
          </w:p>
        </w:tc>
      </w:tr>
      <w:tr w:rsidR="00F560B0" w:rsidRPr="00E74449" w14:paraId="64F40712" w14:textId="77777777">
        <w:trPr>
          <w:trHeight w:val="359"/>
          <w:jc w:val="center"/>
        </w:trPr>
        <w:tc>
          <w:tcPr>
            <w:tcW w:w="0" w:type="auto"/>
          </w:tcPr>
          <w:p w14:paraId="25822D1E"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D(GDPGR)</w:t>
            </w:r>
          </w:p>
        </w:tc>
        <w:tc>
          <w:tcPr>
            <w:tcW w:w="0" w:type="auto"/>
          </w:tcPr>
          <w:p w14:paraId="0E09ADB2"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2016</w:t>
            </w:r>
          </w:p>
        </w:tc>
        <w:tc>
          <w:tcPr>
            <w:tcW w:w="0" w:type="auto"/>
          </w:tcPr>
          <w:p w14:paraId="24593851"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–9.611388</w:t>
            </w:r>
          </w:p>
        </w:tc>
        <w:tc>
          <w:tcPr>
            <w:tcW w:w="0" w:type="auto"/>
          </w:tcPr>
          <w:p w14:paraId="0DD24D2D"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57E77157"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18CC1B60" w14:textId="77777777">
        <w:trPr>
          <w:trHeight w:val="369"/>
          <w:jc w:val="center"/>
        </w:trPr>
        <w:tc>
          <w:tcPr>
            <w:tcW w:w="0" w:type="auto"/>
          </w:tcPr>
          <w:p w14:paraId="00C03009"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w:t>
            </w:r>
            <w:proofErr w:type="spellStart"/>
            <w:r w:rsidRPr="00E74449">
              <w:rPr>
                <w:rFonts w:ascii="Times New Roman" w:hAnsi="Times New Roman" w:cs="Times New Roman"/>
                <w:kern w:val="0"/>
                <w:sz w:val="24"/>
                <w:szCs w:val="24"/>
                <w14:ligatures w14:val="none"/>
              </w:rPr>
              <w:t>AGR</w:t>
            </w:r>
            <w:proofErr w:type="spellEnd"/>
            <w:r w:rsidRPr="00E74449">
              <w:rPr>
                <w:rFonts w:ascii="Times New Roman" w:hAnsi="Times New Roman" w:cs="Times New Roman"/>
                <w:kern w:val="0"/>
                <w:sz w:val="24"/>
                <w:szCs w:val="24"/>
                <w14:ligatures w14:val="none"/>
              </w:rPr>
              <w:t>)</w:t>
            </w:r>
          </w:p>
        </w:tc>
        <w:tc>
          <w:tcPr>
            <w:tcW w:w="0" w:type="auto"/>
          </w:tcPr>
          <w:p w14:paraId="67FF6B5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2002</w:t>
            </w:r>
          </w:p>
        </w:tc>
        <w:tc>
          <w:tcPr>
            <w:tcW w:w="0" w:type="auto"/>
          </w:tcPr>
          <w:p w14:paraId="4CC69B10"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–19.24742</w:t>
            </w:r>
          </w:p>
        </w:tc>
        <w:tc>
          <w:tcPr>
            <w:tcW w:w="0" w:type="auto"/>
          </w:tcPr>
          <w:p w14:paraId="7A3796AA"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419C0081"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26530FD9" w14:textId="77777777">
        <w:trPr>
          <w:trHeight w:val="359"/>
          <w:jc w:val="center"/>
        </w:trPr>
        <w:tc>
          <w:tcPr>
            <w:tcW w:w="0" w:type="auto"/>
          </w:tcPr>
          <w:p w14:paraId="6942E26D"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D(LIT)</w:t>
            </w:r>
          </w:p>
        </w:tc>
        <w:tc>
          <w:tcPr>
            <w:tcW w:w="0" w:type="auto"/>
          </w:tcPr>
          <w:p w14:paraId="45F5646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2008</w:t>
            </w:r>
          </w:p>
        </w:tc>
        <w:tc>
          <w:tcPr>
            <w:tcW w:w="0" w:type="auto"/>
          </w:tcPr>
          <w:p w14:paraId="7219F0CD"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–6.898722</w:t>
            </w:r>
          </w:p>
        </w:tc>
        <w:tc>
          <w:tcPr>
            <w:tcW w:w="0" w:type="auto"/>
          </w:tcPr>
          <w:p w14:paraId="6837CE7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3FF7F3D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78B890E8" w14:textId="77777777">
        <w:trPr>
          <w:trHeight w:val="369"/>
          <w:jc w:val="center"/>
        </w:trPr>
        <w:tc>
          <w:tcPr>
            <w:tcW w:w="0" w:type="auto"/>
          </w:tcPr>
          <w:p w14:paraId="5B93B1E6"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D(POP)</w:t>
            </w:r>
          </w:p>
        </w:tc>
        <w:tc>
          <w:tcPr>
            <w:tcW w:w="0" w:type="auto"/>
          </w:tcPr>
          <w:p w14:paraId="4C1CBBFD"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2017</w:t>
            </w:r>
          </w:p>
        </w:tc>
        <w:tc>
          <w:tcPr>
            <w:tcW w:w="0" w:type="auto"/>
          </w:tcPr>
          <w:p w14:paraId="0564C74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–5.493183</w:t>
            </w:r>
          </w:p>
        </w:tc>
        <w:tc>
          <w:tcPr>
            <w:tcW w:w="0" w:type="auto"/>
          </w:tcPr>
          <w:p w14:paraId="063DDDFE"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0E79FBAB"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008D4E10" w14:textId="77777777">
        <w:trPr>
          <w:trHeight w:val="359"/>
          <w:jc w:val="center"/>
        </w:trPr>
        <w:tc>
          <w:tcPr>
            <w:tcW w:w="0" w:type="auto"/>
            <w:tcBorders>
              <w:bottom w:val="single" w:sz="4" w:space="0" w:color="auto"/>
            </w:tcBorders>
          </w:tcPr>
          <w:p w14:paraId="5B9C008D"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D(RD)</w:t>
            </w:r>
          </w:p>
        </w:tc>
        <w:tc>
          <w:tcPr>
            <w:tcW w:w="0" w:type="auto"/>
            <w:tcBorders>
              <w:bottom w:val="single" w:sz="4" w:space="0" w:color="auto"/>
            </w:tcBorders>
          </w:tcPr>
          <w:p w14:paraId="0ACE0D3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2012</w:t>
            </w:r>
          </w:p>
        </w:tc>
        <w:tc>
          <w:tcPr>
            <w:tcW w:w="0" w:type="auto"/>
            <w:tcBorders>
              <w:bottom w:val="single" w:sz="4" w:space="0" w:color="auto"/>
            </w:tcBorders>
          </w:tcPr>
          <w:p w14:paraId="1DDD0731"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–11.40640</w:t>
            </w:r>
          </w:p>
        </w:tc>
        <w:tc>
          <w:tcPr>
            <w:tcW w:w="0" w:type="auto"/>
            <w:tcBorders>
              <w:bottom w:val="single" w:sz="4" w:space="0" w:color="auto"/>
            </w:tcBorders>
          </w:tcPr>
          <w:p w14:paraId="436995FA"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–4.443649</w:t>
            </w:r>
          </w:p>
        </w:tc>
        <w:tc>
          <w:tcPr>
            <w:tcW w:w="0" w:type="auto"/>
            <w:tcBorders>
              <w:bottom w:val="single" w:sz="4" w:space="0" w:color="auto"/>
            </w:tcBorders>
          </w:tcPr>
          <w:p w14:paraId="44AB73FB"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bl>
    <w:p w14:paraId="47F8622D" w14:textId="77777777" w:rsidR="00F560B0" w:rsidRPr="00984D15" w:rsidRDefault="00984D15" w:rsidP="00173CCC">
      <w:pPr>
        <w:spacing w:after="0" w:line="276"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A472F" w:rsidRPr="00E74449">
        <w:rPr>
          <w:rFonts w:ascii="Times New Roman" w:eastAsia="Calibri" w:hAnsi="Times New Roman" w:cs="Times New Roman"/>
          <w:bCs/>
          <w:sz w:val="24"/>
          <w:szCs w:val="24"/>
        </w:rPr>
        <w:t>Source: Authors</w:t>
      </w:r>
      <w:r>
        <w:rPr>
          <w:rFonts w:ascii="Times New Roman" w:eastAsia="Calibri" w:hAnsi="Times New Roman" w:cs="Times New Roman"/>
          <w:bCs/>
          <w:sz w:val="24"/>
          <w:szCs w:val="24"/>
        </w:rPr>
        <w:t>’</w:t>
      </w:r>
      <w:r w:rsidR="009A472F" w:rsidRPr="00E74449">
        <w:rPr>
          <w:rFonts w:ascii="Times New Roman" w:eastAsia="Calibri" w:hAnsi="Times New Roman" w:cs="Times New Roman"/>
          <w:bCs/>
          <w:sz w:val="24"/>
          <w:szCs w:val="24"/>
        </w:rPr>
        <w:t xml:space="preserve"> Computation, 2025</w:t>
      </w:r>
    </w:p>
    <w:p w14:paraId="1EDB3231" w14:textId="77777777" w:rsidR="00F560B0" w:rsidRPr="00984D15"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 xml:space="preserve">The </w:t>
      </w:r>
      <w:proofErr w:type="spellStart"/>
      <w:r w:rsidRPr="00E74449">
        <w:rPr>
          <w:rFonts w:ascii="Times New Roman" w:eastAsia="Calibri" w:hAnsi="Times New Roman" w:cs="Times New Roman"/>
          <w:bCs/>
          <w:sz w:val="24"/>
          <w:szCs w:val="24"/>
        </w:rPr>
        <w:t>Zivot</w:t>
      </w:r>
      <w:proofErr w:type="spellEnd"/>
      <w:r w:rsidRPr="00E74449">
        <w:rPr>
          <w:rFonts w:ascii="Times New Roman" w:eastAsia="Calibri" w:hAnsi="Times New Roman" w:cs="Times New Roman"/>
          <w:bCs/>
          <w:sz w:val="24"/>
          <w:szCs w:val="24"/>
        </w:rPr>
        <w:t>-Andrews unit root test results presented in Table 4.3 reveal that all variables: D(GDPGR), D(</w:t>
      </w:r>
      <w:proofErr w:type="spellStart"/>
      <w:r w:rsidRPr="00E74449">
        <w:rPr>
          <w:rFonts w:ascii="Times New Roman" w:eastAsia="Calibri" w:hAnsi="Times New Roman" w:cs="Times New Roman"/>
          <w:bCs/>
          <w:sz w:val="24"/>
          <w:szCs w:val="24"/>
        </w:rPr>
        <w:t>AGR</w:t>
      </w:r>
      <w:proofErr w:type="spellEnd"/>
      <w:r w:rsidRPr="00E74449">
        <w:rPr>
          <w:rFonts w:ascii="Times New Roman" w:eastAsia="Calibri" w:hAnsi="Times New Roman" w:cs="Times New Roman"/>
          <w:bCs/>
          <w:sz w:val="24"/>
          <w:szCs w:val="24"/>
        </w:rPr>
        <w:t xml:space="preserve">), D(LIT), D(POP), and D(RD) are stationary at first difference, I(1), even after accounting for potential structural breaks through the innovational outlier framework. Each series rejects the null hypothesis of a unit root at the 5% significance level, as the ADF t-statistics are more negative than their corresponding 5% critical values. Notably, the structural break dates vary across the variables, indicating periods of significant shifts in their respective dynamics: GDPGR (2016), </w:t>
      </w:r>
      <w:proofErr w:type="spellStart"/>
      <w:r w:rsidRPr="00E74449">
        <w:rPr>
          <w:rFonts w:ascii="Times New Roman" w:eastAsia="Calibri" w:hAnsi="Times New Roman" w:cs="Times New Roman"/>
          <w:bCs/>
          <w:sz w:val="24"/>
          <w:szCs w:val="24"/>
        </w:rPr>
        <w:t>AGR</w:t>
      </w:r>
      <w:proofErr w:type="spellEnd"/>
      <w:r w:rsidRPr="00E74449">
        <w:rPr>
          <w:rFonts w:ascii="Times New Roman" w:eastAsia="Calibri" w:hAnsi="Times New Roman" w:cs="Times New Roman"/>
          <w:bCs/>
          <w:sz w:val="24"/>
          <w:szCs w:val="24"/>
        </w:rPr>
        <w:t xml:space="preserve"> (2002), LIT (2008), POP (2017), and RD (2012). These findings confirm that structural changes are present in the data.</w:t>
      </w:r>
    </w:p>
    <w:p w14:paraId="5A213892"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
          <w:sz w:val="24"/>
          <w:szCs w:val="24"/>
        </w:rPr>
      </w:pPr>
      <w:r w:rsidRPr="00E74449">
        <w:rPr>
          <w:rFonts w:ascii="Times New Roman" w:eastAsia="Calibri" w:hAnsi="Times New Roman" w:cs="Times New Roman"/>
          <w:b/>
          <w:sz w:val="24"/>
          <w:szCs w:val="24"/>
        </w:rPr>
        <w:lastRenderedPageBreak/>
        <w:t>Co-integration Test</w:t>
      </w:r>
    </w:p>
    <w:p w14:paraId="478430C6" w14:textId="77777777" w:rsidR="00F560B0" w:rsidRDefault="009A472F" w:rsidP="00173CCC">
      <w:pPr>
        <w:autoSpaceDE w:val="0"/>
        <w:autoSpaceDN w:val="0"/>
        <w:adjustRightInd w:val="0"/>
        <w:spacing w:after="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To account for possible structural breaks in the long-run relationship among the variables, the Gregory-Hansen cointegration test was employed. This test allows for a one-time structural break in the cointegrating relationship, accommodating changes in the intercept, trend, or regime shift within the series. The test was conducted using three model specifications: level shift (C), level and trend shift (C/T), and regime shift (C/S). The results, summarized in Table 4.4.</w:t>
      </w:r>
    </w:p>
    <w:p w14:paraId="1EF40F4B" w14:textId="77777777" w:rsidR="00173CCC" w:rsidRPr="00E74449" w:rsidRDefault="00173CCC" w:rsidP="00173CCC">
      <w:pPr>
        <w:autoSpaceDE w:val="0"/>
        <w:autoSpaceDN w:val="0"/>
        <w:adjustRightInd w:val="0"/>
        <w:spacing w:after="0" w:line="276" w:lineRule="auto"/>
        <w:jc w:val="both"/>
        <w:rPr>
          <w:rFonts w:ascii="Times New Roman" w:eastAsia="Calibri" w:hAnsi="Times New Roman" w:cs="Times New Roman"/>
          <w:sz w:val="24"/>
          <w:szCs w:val="24"/>
        </w:rPr>
      </w:pPr>
    </w:p>
    <w:p w14:paraId="354FFFCF" w14:textId="330601EF" w:rsidR="00F560B0" w:rsidRPr="00E74449" w:rsidRDefault="009A472F" w:rsidP="00173CCC">
      <w:pPr>
        <w:autoSpaceDE w:val="0"/>
        <w:autoSpaceDN w:val="0"/>
        <w:adjustRightInd w:val="0"/>
        <w:spacing w:after="0" w:line="276" w:lineRule="auto"/>
        <w:jc w:val="center"/>
        <w:rPr>
          <w:rFonts w:ascii="Times New Roman" w:eastAsia="TimesNewRoman" w:hAnsi="Times New Roman" w:cs="Times New Roman"/>
          <w:b/>
          <w:bCs/>
          <w:sz w:val="24"/>
          <w:szCs w:val="24"/>
        </w:rPr>
      </w:pPr>
      <w:r w:rsidRPr="00E74449">
        <w:rPr>
          <w:rFonts w:ascii="Times New Roman" w:eastAsia="Calibri" w:hAnsi="Times New Roman" w:cs="Times New Roman"/>
          <w:b/>
          <w:bCs/>
          <w:sz w:val="24"/>
          <w:szCs w:val="24"/>
        </w:rPr>
        <w:t>Table 4.</w:t>
      </w:r>
      <w:r w:rsidR="002D68ED">
        <w:rPr>
          <w:rFonts w:ascii="Times New Roman" w:eastAsia="Calibri" w:hAnsi="Times New Roman" w:cs="Times New Roman"/>
          <w:b/>
          <w:bCs/>
          <w:sz w:val="24"/>
          <w:szCs w:val="24"/>
        </w:rPr>
        <w:t>4</w:t>
      </w:r>
      <w:r w:rsidRPr="00E74449">
        <w:rPr>
          <w:rFonts w:ascii="Times New Roman" w:eastAsia="Calibri" w:hAnsi="Times New Roman" w:cs="Times New Roman"/>
          <w:b/>
          <w:bCs/>
          <w:sz w:val="24"/>
          <w:szCs w:val="24"/>
        </w:rPr>
        <w:t>:Gregory-Hansen Cointegration Test with Regime Shift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1521"/>
        <w:gridCol w:w="1445"/>
        <w:gridCol w:w="696"/>
        <w:gridCol w:w="996"/>
        <w:gridCol w:w="996"/>
        <w:gridCol w:w="996"/>
        <w:gridCol w:w="1690"/>
      </w:tblGrid>
      <w:tr w:rsidR="00F560B0" w:rsidRPr="00E74449" w14:paraId="200BA544" w14:textId="77777777">
        <w:trPr>
          <w:trHeight w:val="450"/>
        </w:trPr>
        <w:tc>
          <w:tcPr>
            <w:tcW w:w="0" w:type="auto"/>
            <w:vMerge w:val="restart"/>
            <w:tcBorders>
              <w:top w:val="single" w:sz="4" w:space="0" w:color="auto"/>
            </w:tcBorders>
          </w:tcPr>
          <w:p w14:paraId="591586E8"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bookmarkStart w:id="1" w:name="_Toc120691884"/>
          </w:p>
        </w:tc>
        <w:tc>
          <w:tcPr>
            <w:tcW w:w="0" w:type="auto"/>
            <w:vMerge w:val="restart"/>
            <w:tcBorders>
              <w:top w:val="single" w:sz="4" w:space="0" w:color="auto"/>
            </w:tcBorders>
          </w:tcPr>
          <w:p w14:paraId="29E562E6"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Test Statistic </w:t>
            </w:r>
          </w:p>
        </w:tc>
        <w:tc>
          <w:tcPr>
            <w:tcW w:w="0" w:type="auto"/>
            <w:vMerge w:val="restart"/>
            <w:tcBorders>
              <w:top w:val="single" w:sz="4" w:space="0" w:color="auto"/>
            </w:tcBorders>
          </w:tcPr>
          <w:p w14:paraId="600FEB9E"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Break Point </w:t>
            </w:r>
          </w:p>
        </w:tc>
        <w:tc>
          <w:tcPr>
            <w:tcW w:w="0" w:type="auto"/>
            <w:vMerge w:val="restart"/>
            <w:tcBorders>
              <w:top w:val="single" w:sz="4" w:space="0" w:color="auto"/>
            </w:tcBorders>
          </w:tcPr>
          <w:p w14:paraId="5DCEF2F9"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Date</w:t>
            </w:r>
          </w:p>
        </w:tc>
        <w:tc>
          <w:tcPr>
            <w:tcW w:w="0" w:type="auto"/>
            <w:gridSpan w:val="3"/>
            <w:tcBorders>
              <w:top w:val="single" w:sz="4" w:space="0" w:color="auto"/>
            </w:tcBorders>
          </w:tcPr>
          <w:p w14:paraId="674C2DD8" w14:textId="77777777" w:rsidR="00F560B0" w:rsidRPr="00E74449" w:rsidRDefault="009A472F" w:rsidP="00173CCC">
            <w:pPr>
              <w:spacing w:after="0" w:line="276" w:lineRule="auto"/>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Asymptotic Critical Values</w:t>
            </w:r>
          </w:p>
        </w:tc>
        <w:tc>
          <w:tcPr>
            <w:tcW w:w="0" w:type="auto"/>
            <w:vMerge w:val="restart"/>
            <w:tcBorders>
              <w:top w:val="single" w:sz="4" w:space="0" w:color="auto"/>
            </w:tcBorders>
          </w:tcPr>
          <w:p w14:paraId="7087AD2E"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Decision</w:t>
            </w:r>
          </w:p>
        </w:tc>
      </w:tr>
      <w:tr w:rsidR="00F560B0" w:rsidRPr="00E74449" w14:paraId="1094836E" w14:textId="77777777">
        <w:trPr>
          <w:trHeight w:val="375"/>
        </w:trPr>
        <w:tc>
          <w:tcPr>
            <w:tcW w:w="0" w:type="auto"/>
            <w:vMerge/>
          </w:tcPr>
          <w:p w14:paraId="79CFD660"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vMerge/>
          </w:tcPr>
          <w:p w14:paraId="35601551"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vMerge/>
          </w:tcPr>
          <w:p w14:paraId="421E8264"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vMerge/>
          </w:tcPr>
          <w:p w14:paraId="277D187C"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tcPr>
          <w:p w14:paraId="052124F1"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1% </w:t>
            </w:r>
          </w:p>
        </w:tc>
        <w:tc>
          <w:tcPr>
            <w:tcW w:w="0" w:type="auto"/>
          </w:tcPr>
          <w:p w14:paraId="6392E77F"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5% </w:t>
            </w:r>
          </w:p>
        </w:tc>
        <w:tc>
          <w:tcPr>
            <w:tcW w:w="0" w:type="auto"/>
          </w:tcPr>
          <w:p w14:paraId="15C7EAF3"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10% </w:t>
            </w:r>
          </w:p>
        </w:tc>
        <w:tc>
          <w:tcPr>
            <w:tcW w:w="0" w:type="auto"/>
            <w:vMerge/>
          </w:tcPr>
          <w:p w14:paraId="318D30C3"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r>
      <w:tr w:rsidR="00F560B0" w:rsidRPr="00E74449" w14:paraId="38C97064" w14:textId="77777777">
        <w:tc>
          <w:tcPr>
            <w:tcW w:w="0" w:type="auto"/>
          </w:tcPr>
          <w:p w14:paraId="2C82DD97"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ADF</w:t>
            </w:r>
          </w:p>
        </w:tc>
        <w:tc>
          <w:tcPr>
            <w:tcW w:w="0" w:type="auto"/>
          </w:tcPr>
          <w:p w14:paraId="337BC066"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–5.977</w:t>
            </w:r>
          </w:p>
        </w:tc>
        <w:tc>
          <w:tcPr>
            <w:tcW w:w="0" w:type="auto"/>
          </w:tcPr>
          <w:p w14:paraId="2D90DB07"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7</w:t>
            </w:r>
          </w:p>
        </w:tc>
        <w:tc>
          <w:tcPr>
            <w:tcW w:w="0" w:type="auto"/>
          </w:tcPr>
          <w:p w14:paraId="292F6A72"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1996</w:t>
            </w:r>
          </w:p>
        </w:tc>
        <w:tc>
          <w:tcPr>
            <w:tcW w:w="0" w:type="auto"/>
          </w:tcPr>
          <w:p w14:paraId="1B135528"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–6.360</w:t>
            </w:r>
          </w:p>
        </w:tc>
        <w:tc>
          <w:tcPr>
            <w:tcW w:w="0" w:type="auto"/>
          </w:tcPr>
          <w:p w14:paraId="4FB6ACC8"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–5.830</w:t>
            </w:r>
          </w:p>
        </w:tc>
        <w:tc>
          <w:tcPr>
            <w:tcW w:w="0" w:type="auto"/>
          </w:tcPr>
          <w:p w14:paraId="2E0F58E9"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–5.590</w:t>
            </w:r>
          </w:p>
        </w:tc>
        <w:tc>
          <w:tcPr>
            <w:tcW w:w="0" w:type="auto"/>
          </w:tcPr>
          <w:p w14:paraId="1DD2BDD6"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Not Significant</w:t>
            </w:r>
          </w:p>
        </w:tc>
      </w:tr>
      <w:tr w:rsidR="00F560B0" w:rsidRPr="00E74449" w14:paraId="389ED2B7" w14:textId="77777777">
        <w:tc>
          <w:tcPr>
            <w:tcW w:w="0" w:type="auto"/>
          </w:tcPr>
          <w:p w14:paraId="22E98844" w14:textId="77777777" w:rsidR="00F560B0" w:rsidRPr="00E74449" w:rsidRDefault="009A472F" w:rsidP="00173CCC">
            <w:pPr>
              <w:spacing w:after="0" w:line="276" w:lineRule="auto"/>
              <w:rPr>
                <w:rFonts w:ascii="Times New Roman" w:eastAsia="Times New Roman" w:hAnsi="Times New Roman" w:cs="Times New Roman"/>
                <w:sz w:val="24"/>
                <w:szCs w:val="24"/>
              </w:rPr>
            </w:pPr>
            <w:proofErr w:type="spellStart"/>
            <w:r w:rsidRPr="00E74449">
              <w:rPr>
                <w:rFonts w:ascii="Times New Roman" w:eastAsia="Times New Roman" w:hAnsi="Times New Roman" w:cs="Times New Roman"/>
                <w:sz w:val="24"/>
                <w:szCs w:val="24"/>
              </w:rPr>
              <w:t>Zt</w:t>
            </w:r>
            <w:proofErr w:type="spellEnd"/>
          </w:p>
        </w:tc>
        <w:tc>
          <w:tcPr>
            <w:tcW w:w="0" w:type="auto"/>
          </w:tcPr>
          <w:p w14:paraId="741D6DAB"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–8.336</w:t>
            </w:r>
          </w:p>
        </w:tc>
        <w:tc>
          <w:tcPr>
            <w:tcW w:w="0" w:type="auto"/>
          </w:tcPr>
          <w:p w14:paraId="28053893"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w:t>
            </w:r>
          </w:p>
        </w:tc>
        <w:tc>
          <w:tcPr>
            <w:tcW w:w="0" w:type="auto"/>
          </w:tcPr>
          <w:p w14:paraId="6B583831"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1995</w:t>
            </w:r>
          </w:p>
        </w:tc>
        <w:tc>
          <w:tcPr>
            <w:tcW w:w="0" w:type="auto"/>
          </w:tcPr>
          <w:p w14:paraId="32709302"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–6.360</w:t>
            </w:r>
          </w:p>
        </w:tc>
        <w:tc>
          <w:tcPr>
            <w:tcW w:w="0" w:type="auto"/>
          </w:tcPr>
          <w:p w14:paraId="23C47A16"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–5.830</w:t>
            </w:r>
          </w:p>
        </w:tc>
        <w:tc>
          <w:tcPr>
            <w:tcW w:w="0" w:type="auto"/>
          </w:tcPr>
          <w:p w14:paraId="438C66F9"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–5.590</w:t>
            </w:r>
          </w:p>
        </w:tc>
        <w:tc>
          <w:tcPr>
            <w:tcW w:w="0" w:type="auto"/>
          </w:tcPr>
          <w:p w14:paraId="7C573525"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Significant</w:t>
            </w:r>
          </w:p>
        </w:tc>
      </w:tr>
      <w:tr w:rsidR="00F560B0" w:rsidRPr="00E74449" w14:paraId="798FCBB1" w14:textId="77777777">
        <w:tc>
          <w:tcPr>
            <w:tcW w:w="0" w:type="auto"/>
            <w:tcBorders>
              <w:bottom w:val="single" w:sz="4" w:space="0" w:color="auto"/>
            </w:tcBorders>
          </w:tcPr>
          <w:p w14:paraId="40067D23"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Za</w:t>
            </w:r>
          </w:p>
        </w:tc>
        <w:tc>
          <w:tcPr>
            <w:tcW w:w="0" w:type="auto"/>
            <w:tcBorders>
              <w:bottom w:val="single" w:sz="4" w:space="0" w:color="auto"/>
            </w:tcBorders>
          </w:tcPr>
          <w:p w14:paraId="53FB8C91"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–42.910</w:t>
            </w:r>
          </w:p>
        </w:tc>
        <w:tc>
          <w:tcPr>
            <w:tcW w:w="0" w:type="auto"/>
            <w:tcBorders>
              <w:bottom w:val="single" w:sz="4" w:space="0" w:color="auto"/>
            </w:tcBorders>
          </w:tcPr>
          <w:p w14:paraId="744C833E"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w:t>
            </w:r>
          </w:p>
        </w:tc>
        <w:tc>
          <w:tcPr>
            <w:tcW w:w="0" w:type="auto"/>
            <w:tcBorders>
              <w:bottom w:val="single" w:sz="4" w:space="0" w:color="auto"/>
            </w:tcBorders>
          </w:tcPr>
          <w:p w14:paraId="3653E94B"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1995</w:t>
            </w:r>
          </w:p>
        </w:tc>
        <w:tc>
          <w:tcPr>
            <w:tcW w:w="0" w:type="auto"/>
            <w:tcBorders>
              <w:bottom w:val="single" w:sz="4" w:space="0" w:color="auto"/>
            </w:tcBorders>
          </w:tcPr>
          <w:p w14:paraId="4C29C12E"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–76.950</w:t>
            </w:r>
          </w:p>
        </w:tc>
        <w:tc>
          <w:tcPr>
            <w:tcW w:w="0" w:type="auto"/>
            <w:tcBorders>
              <w:bottom w:val="single" w:sz="4" w:space="0" w:color="auto"/>
            </w:tcBorders>
          </w:tcPr>
          <w:p w14:paraId="78E4E0DE"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–65.440</w:t>
            </w:r>
          </w:p>
        </w:tc>
        <w:tc>
          <w:tcPr>
            <w:tcW w:w="0" w:type="auto"/>
            <w:tcBorders>
              <w:bottom w:val="single" w:sz="4" w:space="0" w:color="auto"/>
            </w:tcBorders>
          </w:tcPr>
          <w:p w14:paraId="7F9398B5"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–60.120</w:t>
            </w:r>
          </w:p>
        </w:tc>
        <w:tc>
          <w:tcPr>
            <w:tcW w:w="0" w:type="auto"/>
            <w:tcBorders>
              <w:bottom w:val="single" w:sz="4" w:space="0" w:color="auto"/>
            </w:tcBorders>
          </w:tcPr>
          <w:p w14:paraId="5C5665E4"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Not Significant</w:t>
            </w:r>
          </w:p>
        </w:tc>
      </w:tr>
    </w:tbl>
    <w:p w14:paraId="1C864CC6" w14:textId="77777777" w:rsidR="00F560B0" w:rsidRPr="00E74449" w:rsidRDefault="00984D15" w:rsidP="00173CCC">
      <w:pPr>
        <w:spacing w:line="276" w:lineRule="auto"/>
        <w:jc w:val="both"/>
        <w:rPr>
          <w:rFonts w:ascii="Times New Roman" w:eastAsia="Aptos" w:hAnsi="Times New Roman" w:cs="Times New Roman"/>
          <w:color w:val="000000"/>
          <w:sz w:val="24"/>
          <w:szCs w:val="24"/>
          <w:lang w:val="en-GB"/>
          <w14:ligatures w14:val="standardContextual"/>
        </w:rPr>
      </w:pPr>
      <w:r w:rsidRPr="00984D15">
        <w:rPr>
          <w:rFonts w:ascii="Times New Roman" w:eastAsia="Aptos" w:hAnsi="Times New Roman" w:cs="Times New Roman"/>
          <w:bCs/>
          <w:color w:val="000000"/>
          <w:sz w:val="24"/>
          <w:szCs w:val="24"/>
          <w14:ligatures w14:val="standardContextual"/>
        </w:rPr>
        <w:t>Source: Authors’ Computation, 2025</w:t>
      </w:r>
    </w:p>
    <w:p w14:paraId="673C0AFD" w14:textId="019EF12E" w:rsidR="00F560B0" w:rsidRPr="00E74449" w:rsidRDefault="009A472F" w:rsidP="00173CCC">
      <w:pPr>
        <w:spacing w:line="276" w:lineRule="auto"/>
        <w:jc w:val="both"/>
        <w:rPr>
          <w:rFonts w:ascii="Times New Roman" w:eastAsia="Aptos" w:hAnsi="Times New Roman" w:cs="Times New Roman"/>
          <w:color w:val="000000"/>
          <w:sz w:val="24"/>
          <w:szCs w:val="24"/>
          <w:lang w:val="en-GB"/>
          <w14:ligatures w14:val="standardContextual"/>
        </w:rPr>
      </w:pPr>
      <w:r w:rsidRPr="00E74449">
        <w:rPr>
          <w:rFonts w:ascii="Times New Roman" w:eastAsia="Aptos" w:hAnsi="Times New Roman" w:cs="Times New Roman"/>
          <w:color w:val="000000"/>
          <w:sz w:val="24"/>
          <w:szCs w:val="24"/>
          <w:lang w:val="en-GB"/>
          <w14:ligatures w14:val="standardContextual"/>
        </w:rPr>
        <w:t>The Gregory-Hansen cointegration test results</w:t>
      </w:r>
      <w:r w:rsidR="002D68ED">
        <w:rPr>
          <w:rFonts w:ascii="Times New Roman" w:eastAsia="Aptos" w:hAnsi="Times New Roman" w:cs="Times New Roman"/>
          <w:color w:val="000000"/>
          <w:sz w:val="24"/>
          <w:szCs w:val="24"/>
          <w:lang w:val="en-GB"/>
          <w14:ligatures w14:val="standardContextual"/>
        </w:rPr>
        <w:t xml:space="preserve"> in Table 4.4 </w:t>
      </w:r>
      <w:r w:rsidRPr="00E74449">
        <w:rPr>
          <w:rFonts w:ascii="Times New Roman" w:eastAsia="Aptos" w:hAnsi="Times New Roman" w:cs="Times New Roman"/>
          <w:color w:val="000000"/>
          <w:sz w:val="24"/>
          <w:szCs w:val="24"/>
          <w:lang w:val="en-GB"/>
          <w14:ligatures w14:val="standardContextual"/>
        </w:rPr>
        <w:t xml:space="preserve"> indicate mixed evidence of a long-run relationship among the variables (GDPGR, </w:t>
      </w:r>
      <w:proofErr w:type="spellStart"/>
      <w:r w:rsidRPr="00E74449">
        <w:rPr>
          <w:rFonts w:ascii="Times New Roman" w:eastAsia="Aptos" w:hAnsi="Times New Roman" w:cs="Times New Roman"/>
          <w:color w:val="000000"/>
          <w:sz w:val="24"/>
          <w:szCs w:val="24"/>
          <w:lang w:val="en-GB"/>
          <w14:ligatures w14:val="standardContextual"/>
        </w:rPr>
        <w:t>AGR</w:t>
      </w:r>
      <w:proofErr w:type="spellEnd"/>
      <w:r w:rsidRPr="00E74449">
        <w:rPr>
          <w:rFonts w:ascii="Times New Roman" w:eastAsia="Aptos" w:hAnsi="Times New Roman" w:cs="Times New Roman"/>
          <w:color w:val="000000"/>
          <w:sz w:val="24"/>
          <w:szCs w:val="24"/>
          <w:lang w:val="en-GB"/>
          <w14:ligatures w14:val="standardContextual"/>
        </w:rPr>
        <w:t xml:space="preserve">, LIT, POP, and RD) while accounting for a potential regime shift. Specifically, the ADF statistic (–5.977) is not more negative than the 5% critical value (–5.830), suggesting no cointegration at that level. Similarly, the Za statistic (–42.910) does not exceed the 5% critical threshold (–65.440), further indicating a lack of cointegration. However, the </w:t>
      </w:r>
      <w:proofErr w:type="spellStart"/>
      <w:r w:rsidRPr="00E74449">
        <w:rPr>
          <w:rFonts w:ascii="Times New Roman" w:eastAsia="Aptos" w:hAnsi="Times New Roman" w:cs="Times New Roman"/>
          <w:color w:val="000000"/>
          <w:sz w:val="24"/>
          <w:szCs w:val="24"/>
          <w:lang w:val="en-GB"/>
          <w14:ligatures w14:val="standardContextual"/>
        </w:rPr>
        <w:t>Zt</w:t>
      </w:r>
      <w:proofErr w:type="spellEnd"/>
      <w:r w:rsidRPr="00E74449">
        <w:rPr>
          <w:rFonts w:ascii="Times New Roman" w:eastAsia="Aptos" w:hAnsi="Times New Roman" w:cs="Times New Roman"/>
          <w:color w:val="000000"/>
          <w:sz w:val="24"/>
          <w:szCs w:val="24"/>
          <w:lang w:val="en-GB"/>
          <w14:ligatures w14:val="standardContextual"/>
        </w:rPr>
        <w:t xml:space="preserve"> statistic (–8.336) is more negative than the 5% critical value (–5.830), providing statistical evidence of cointegration at the 5% level. The break dates for </w:t>
      </w:r>
      <w:proofErr w:type="spellStart"/>
      <w:r w:rsidRPr="00E74449">
        <w:rPr>
          <w:rFonts w:ascii="Times New Roman" w:eastAsia="Aptos" w:hAnsi="Times New Roman" w:cs="Times New Roman"/>
          <w:color w:val="000000"/>
          <w:sz w:val="24"/>
          <w:szCs w:val="24"/>
          <w:lang w:val="en-GB"/>
          <w14:ligatures w14:val="standardContextual"/>
        </w:rPr>
        <w:t>Zt</w:t>
      </w:r>
      <w:proofErr w:type="spellEnd"/>
      <w:r w:rsidRPr="00E74449">
        <w:rPr>
          <w:rFonts w:ascii="Times New Roman" w:eastAsia="Aptos" w:hAnsi="Times New Roman" w:cs="Times New Roman"/>
          <w:color w:val="000000"/>
          <w:sz w:val="24"/>
          <w:szCs w:val="24"/>
          <w:lang w:val="en-GB"/>
          <w14:ligatures w14:val="standardContextual"/>
        </w:rPr>
        <w:t xml:space="preserve"> and Za are identified around 1995–1996, implying that structural changes during that period may have influenced the long-run relationship. Overall, the significant </w:t>
      </w:r>
      <w:proofErr w:type="spellStart"/>
      <w:r w:rsidRPr="00E74449">
        <w:rPr>
          <w:rFonts w:ascii="Times New Roman" w:eastAsia="Aptos" w:hAnsi="Times New Roman" w:cs="Times New Roman"/>
          <w:color w:val="000000"/>
          <w:sz w:val="24"/>
          <w:szCs w:val="24"/>
          <w:lang w:val="en-GB"/>
          <w14:ligatures w14:val="standardContextual"/>
        </w:rPr>
        <w:t>Zt</w:t>
      </w:r>
      <w:proofErr w:type="spellEnd"/>
      <w:r w:rsidRPr="00E74449">
        <w:rPr>
          <w:rFonts w:ascii="Times New Roman" w:eastAsia="Aptos" w:hAnsi="Times New Roman" w:cs="Times New Roman"/>
          <w:color w:val="000000"/>
          <w:sz w:val="24"/>
          <w:szCs w:val="24"/>
          <w:lang w:val="en-GB"/>
          <w14:ligatures w14:val="standardContextual"/>
        </w:rPr>
        <w:t xml:space="preserve"> result supports the existence of a cointegrating relationship among the variables with a structural break.</w:t>
      </w:r>
    </w:p>
    <w:bookmarkEnd w:id="1"/>
    <w:p w14:paraId="057E7B8F" w14:textId="77777777" w:rsidR="00F560B0" w:rsidRPr="00E74449" w:rsidRDefault="009A472F" w:rsidP="00173CCC">
      <w:pPr>
        <w:tabs>
          <w:tab w:val="left" w:pos="4536"/>
        </w:tabs>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Fully Modified Ordinary Least Square (FMOLS) and Dynamic Ordinary Least Square (DOLS)</w:t>
      </w:r>
    </w:p>
    <w:p w14:paraId="0759A0C3" w14:textId="5C24AFD3" w:rsidR="00173CCC" w:rsidRDefault="009A472F" w:rsidP="00173CCC">
      <w:pPr>
        <w:tabs>
          <w:tab w:val="left" w:pos="4536"/>
        </w:tabs>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Due to the long-run relationship found in the model through the Gregory-Hansen cointegration test, Fully Modified Ordinary Least Squares (FMOLS) and Dynamic Ordinary Least Squares (DOLS) techniques were employed to estimate the long-run coefficients. Both FMOLS and DOLS effectively address potential issues of endogeneity and serial correlation that commonly arise in cointegrated regressions, ensuring consistent and efficient parameter estimates.</w:t>
      </w:r>
    </w:p>
    <w:p w14:paraId="03A947CA" w14:textId="77777777" w:rsidR="00173CCC" w:rsidRPr="00984D15" w:rsidRDefault="00173CCC" w:rsidP="00173CCC">
      <w:pPr>
        <w:tabs>
          <w:tab w:val="left" w:pos="4536"/>
        </w:tabs>
        <w:spacing w:after="0" w:line="276" w:lineRule="auto"/>
        <w:jc w:val="both"/>
        <w:rPr>
          <w:rFonts w:ascii="Times New Roman" w:eastAsia="Calibri" w:hAnsi="Times New Roman" w:cs="Times New Roman"/>
          <w:bCs/>
          <w:sz w:val="24"/>
          <w:szCs w:val="24"/>
        </w:rPr>
      </w:pPr>
    </w:p>
    <w:p w14:paraId="7B7B8ECE" w14:textId="444FAD12" w:rsidR="00F560B0" w:rsidRPr="00E74449" w:rsidRDefault="009A472F" w:rsidP="00173CCC">
      <w:pPr>
        <w:tabs>
          <w:tab w:val="left" w:pos="4536"/>
        </w:tabs>
        <w:spacing w:after="0" w:line="276" w:lineRule="auto"/>
        <w:jc w:val="center"/>
        <w:rPr>
          <w:rFonts w:ascii="Times New Roman" w:eastAsia="Calibri" w:hAnsi="Times New Roman" w:cs="Times New Roman"/>
          <w:b/>
          <w:sz w:val="24"/>
          <w:szCs w:val="24"/>
          <w:lang w:val="en-GB"/>
        </w:rPr>
      </w:pPr>
      <w:r w:rsidRPr="00E74449">
        <w:rPr>
          <w:rFonts w:ascii="Times New Roman" w:eastAsia="Calibri" w:hAnsi="Times New Roman" w:cs="Times New Roman"/>
          <w:b/>
          <w:sz w:val="24"/>
          <w:szCs w:val="24"/>
          <w:lang w:val="en-GB"/>
        </w:rPr>
        <w:t>Table 4.</w:t>
      </w:r>
      <w:r w:rsidR="002D68ED">
        <w:rPr>
          <w:rFonts w:ascii="Times New Roman" w:eastAsia="Calibri" w:hAnsi="Times New Roman" w:cs="Times New Roman"/>
          <w:b/>
          <w:sz w:val="24"/>
          <w:szCs w:val="24"/>
          <w:lang w:val="en-GB"/>
        </w:rPr>
        <w:t>5</w:t>
      </w:r>
      <w:r w:rsidRPr="00E74449">
        <w:rPr>
          <w:rFonts w:ascii="Times New Roman" w:eastAsia="Calibri" w:hAnsi="Times New Roman" w:cs="Times New Roman"/>
          <w:b/>
          <w:sz w:val="24"/>
          <w:szCs w:val="24"/>
          <w:lang w:val="en-GB"/>
        </w:rPr>
        <w:t xml:space="preserve">: Cointegrating Equation Estimate. DV: GDP Growth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2241"/>
        <w:gridCol w:w="2864"/>
      </w:tblGrid>
      <w:tr w:rsidR="00F560B0" w:rsidRPr="00E74449" w14:paraId="605FB095" w14:textId="77777777">
        <w:trPr>
          <w:trHeight w:val="243"/>
          <w:jc w:val="center"/>
        </w:trPr>
        <w:tc>
          <w:tcPr>
            <w:tcW w:w="2333" w:type="dxa"/>
            <w:tcBorders>
              <w:top w:val="single" w:sz="4" w:space="0" w:color="auto"/>
            </w:tcBorders>
            <w:vAlign w:val="center"/>
          </w:tcPr>
          <w:p w14:paraId="4E22635B"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Variable</w:t>
            </w:r>
          </w:p>
        </w:tc>
        <w:tc>
          <w:tcPr>
            <w:tcW w:w="2241" w:type="dxa"/>
            <w:tcBorders>
              <w:top w:val="single" w:sz="4" w:space="0" w:color="auto"/>
            </w:tcBorders>
            <w:vAlign w:val="center"/>
          </w:tcPr>
          <w:p w14:paraId="184A70E7"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FMOLS</w:t>
            </w:r>
          </w:p>
          <w:p w14:paraId="7ADA1565"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Model</w:t>
            </w:r>
          </w:p>
        </w:tc>
        <w:tc>
          <w:tcPr>
            <w:tcW w:w="2864" w:type="dxa"/>
            <w:tcBorders>
              <w:top w:val="single" w:sz="4" w:space="0" w:color="auto"/>
            </w:tcBorders>
            <w:vAlign w:val="center"/>
          </w:tcPr>
          <w:p w14:paraId="1B73CED6"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DOLS</w:t>
            </w:r>
          </w:p>
          <w:p w14:paraId="44D2A70E"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Model</w:t>
            </w:r>
          </w:p>
        </w:tc>
      </w:tr>
      <w:tr w:rsidR="00F560B0" w:rsidRPr="00E74449" w14:paraId="25801311" w14:textId="77777777">
        <w:trPr>
          <w:trHeight w:val="243"/>
          <w:jc w:val="center"/>
        </w:trPr>
        <w:tc>
          <w:tcPr>
            <w:tcW w:w="2333" w:type="dxa"/>
            <w:vAlign w:val="center"/>
          </w:tcPr>
          <w:p w14:paraId="52061E91"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AGRIC</w:t>
            </w:r>
          </w:p>
        </w:tc>
        <w:tc>
          <w:tcPr>
            <w:tcW w:w="2241" w:type="dxa"/>
            <w:vAlign w:val="center"/>
          </w:tcPr>
          <w:p w14:paraId="4FCF83BB"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0.2494</w:t>
            </w:r>
            <w:r w:rsidRPr="00E74449">
              <w:rPr>
                <w:rFonts w:ascii="Times New Roman" w:hAnsi="Times New Roman" w:cs="Times New Roman"/>
                <w:sz w:val="24"/>
                <w:szCs w:val="24"/>
                <w:vertAlign w:val="superscript"/>
              </w:rPr>
              <w:t>***</w:t>
            </w:r>
          </w:p>
        </w:tc>
        <w:tc>
          <w:tcPr>
            <w:tcW w:w="2864" w:type="dxa"/>
            <w:vAlign w:val="center"/>
          </w:tcPr>
          <w:p w14:paraId="66FD7BB7"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0.7881</w:t>
            </w:r>
            <w:r w:rsidRPr="00E74449">
              <w:rPr>
                <w:rFonts w:ascii="Times New Roman" w:hAnsi="Times New Roman" w:cs="Times New Roman"/>
                <w:sz w:val="24"/>
                <w:szCs w:val="24"/>
                <w:vertAlign w:val="superscript"/>
              </w:rPr>
              <w:t>***</w:t>
            </w:r>
          </w:p>
        </w:tc>
      </w:tr>
      <w:tr w:rsidR="00F560B0" w:rsidRPr="00E74449" w14:paraId="042D9223" w14:textId="77777777">
        <w:trPr>
          <w:trHeight w:val="243"/>
          <w:jc w:val="center"/>
        </w:trPr>
        <w:tc>
          <w:tcPr>
            <w:tcW w:w="2333" w:type="dxa"/>
            <w:vAlign w:val="center"/>
          </w:tcPr>
          <w:p w14:paraId="3D68491E"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LIT</w:t>
            </w:r>
          </w:p>
        </w:tc>
        <w:tc>
          <w:tcPr>
            <w:tcW w:w="2241" w:type="dxa"/>
            <w:vAlign w:val="center"/>
          </w:tcPr>
          <w:p w14:paraId="64C9EAD9"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0.0220</w:t>
            </w:r>
          </w:p>
        </w:tc>
        <w:tc>
          <w:tcPr>
            <w:tcW w:w="2864" w:type="dxa"/>
            <w:vAlign w:val="center"/>
          </w:tcPr>
          <w:p w14:paraId="314376B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-0.251782</w:t>
            </w:r>
          </w:p>
        </w:tc>
      </w:tr>
      <w:tr w:rsidR="00F560B0" w:rsidRPr="00E74449" w14:paraId="7A139ACE" w14:textId="77777777">
        <w:trPr>
          <w:trHeight w:val="243"/>
          <w:jc w:val="center"/>
        </w:trPr>
        <w:tc>
          <w:tcPr>
            <w:tcW w:w="2333" w:type="dxa"/>
            <w:vAlign w:val="center"/>
          </w:tcPr>
          <w:p w14:paraId="634C0BC6"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LPOP</w:t>
            </w:r>
          </w:p>
        </w:tc>
        <w:tc>
          <w:tcPr>
            <w:tcW w:w="2241" w:type="dxa"/>
            <w:vAlign w:val="center"/>
          </w:tcPr>
          <w:p w14:paraId="776C9A92"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3.9890</w:t>
            </w:r>
            <w:r w:rsidRPr="00E74449">
              <w:rPr>
                <w:rFonts w:ascii="Times New Roman" w:hAnsi="Times New Roman" w:cs="Times New Roman"/>
                <w:sz w:val="24"/>
                <w:szCs w:val="24"/>
                <w:vertAlign w:val="superscript"/>
              </w:rPr>
              <w:t>***</w:t>
            </w:r>
          </w:p>
        </w:tc>
        <w:tc>
          <w:tcPr>
            <w:tcW w:w="2864" w:type="dxa"/>
            <w:vAlign w:val="center"/>
          </w:tcPr>
          <w:p w14:paraId="1C72C59B"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0.640628</w:t>
            </w:r>
          </w:p>
        </w:tc>
      </w:tr>
      <w:tr w:rsidR="00F560B0" w:rsidRPr="00E74449" w14:paraId="66DC53CC" w14:textId="77777777">
        <w:trPr>
          <w:trHeight w:val="243"/>
          <w:jc w:val="center"/>
        </w:trPr>
        <w:tc>
          <w:tcPr>
            <w:tcW w:w="2333" w:type="dxa"/>
            <w:vAlign w:val="center"/>
          </w:tcPr>
          <w:p w14:paraId="5D26C652"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LR&amp;D</w:t>
            </w:r>
          </w:p>
        </w:tc>
        <w:tc>
          <w:tcPr>
            <w:tcW w:w="2241" w:type="dxa"/>
            <w:vAlign w:val="center"/>
          </w:tcPr>
          <w:p w14:paraId="339330CD"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-9.3913</w:t>
            </w:r>
            <w:r w:rsidRPr="00E74449">
              <w:rPr>
                <w:rFonts w:ascii="Times New Roman" w:hAnsi="Times New Roman" w:cs="Times New Roman"/>
                <w:sz w:val="24"/>
                <w:szCs w:val="24"/>
                <w:vertAlign w:val="superscript"/>
              </w:rPr>
              <w:t>***</w:t>
            </w:r>
          </w:p>
        </w:tc>
        <w:tc>
          <w:tcPr>
            <w:tcW w:w="2864" w:type="dxa"/>
            <w:vAlign w:val="center"/>
          </w:tcPr>
          <w:p w14:paraId="30C3E95D"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-14.69575</w:t>
            </w:r>
          </w:p>
        </w:tc>
      </w:tr>
      <w:tr w:rsidR="00F560B0" w:rsidRPr="00E74449" w14:paraId="29DFD139" w14:textId="77777777">
        <w:trPr>
          <w:trHeight w:val="243"/>
          <w:jc w:val="center"/>
        </w:trPr>
        <w:tc>
          <w:tcPr>
            <w:tcW w:w="2333" w:type="dxa"/>
            <w:vAlign w:val="center"/>
          </w:tcPr>
          <w:p w14:paraId="2D87B01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sz w:val="24"/>
                <w:szCs w:val="24"/>
              </w:rPr>
            </w:pPr>
            <w:r w:rsidRPr="00E74449">
              <w:rPr>
                <w:rFonts w:ascii="Times New Roman" w:hAnsi="Times New Roman" w:cs="Times New Roman"/>
                <w:sz w:val="24"/>
                <w:szCs w:val="24"/>
              </w:rPr>
              <w:lastRenderedPageBreak/>
              <w:t>C</w:t>
            </w:r>
          </w:p>
        </w:tc>
        <w:tc>
          <w:tcPr>
            <w:tcW w:w="2241" w:type="dxa"/>
            <w:vAlign w:val="center"/>
          </w:tcPr>
          <w:p w14:paraId="497B73A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sz w:val="24"/>
                <w:szCs w:val="24"/>
              </w:rPr>
            </w:pPr>
            <w:r w:rsidRPr="00E74449">
              <w:rPr>
                <w:rFonts w:ascii="Times New Roman" w:hAnsi="Times New Roman" w:cs="Times New Roman"/>
                <w:sz w:val="24"/>
                <w:szCs w:val="24"/>
              </w:rPr>
              <w:t>-88.750</w:t>
            </w:r>
            <w:r w:rsidRPr="00E74449">
              <w:rPr>
                <w:rFonts w:ascii="Times New Roman" w:hAnsi="Times New Roman" w:cs="Times New Roman"/>
                <w:sz w:val="24"/>
                <w:szCs w:val="24"/>
                <w:vertAlign w:val="superscript"/>
              </w:rPr>
              <w:t>***</w:t>
            </w:r>
          </w:p>
        </w:tc>
        <w:tc>
          <w:tcPr>
            <w:tcW w:w="2864" w:type="dxa"/>
            <w:vAlign w:val="center"/>
          </w:tcPr>
          <w:p w14:paraId="20103C23"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29.49270</w:t>
            </w:r>
          </w:p>
        </w:tc>
      </w:tr>
      <w:tr w:rsidR="00F560B0" w:rsidRPr="00E74449" w14:paraId="5FB9FB6D" w14:textId="77777777">
        <w:trPr>
          <w:trHeight w:val="243"/>
          <w:jc w:val="center"/>
        </w:trPr>
        <w:tc>
          <w:tcPr>
            <w:tcW w:w="2333" w:type="dxa"/>
            <w:vAlign w:val="center"/>
          </w:tcPr>
          <w:p w14:paraId="0A6A4EA1"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R-squared</w:t>
            </w:r>
          </w:p>
        </w:tc>
        <w:tc>
          <w:tcPr>
            <w:tcW w:w="2241" w:type="dxa"/>
            <w:vAlign w:val="center"/>
          </w:tcPr>
          <w:p w14:paraId="2B571E9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0.6916</w:t>
            </w:r>
          </w:p>
        </w:tc>
        <w:tc>
          <w:tcPr>
            <w:tcW w:w="2864" w:type="dxa"/>
            <w:vAlign w:val="center"/>
          </w:tcPr>
          <w:p w14:paraId="483CCE0F"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0.931647</w:t>
            </w:r>
          </w:p>
        </w:tc>
      </w:tr>
      <w:tr w:rsidR="00F560B0" w:rsidRPr="00E74449" w14:paraId="467299C3" w14:textId="77777777">
        <w:trPr>
          <w:trHeight w:val="243"/>
          <w:jc w:val="center"/>
        </w:trPr>
        <w:tc>
          <w:tcPr>
            <w:tcW w:w="2333" w:type="dxa"/>
            <w:vAlign w:val="center"/>
          </w:tcPr>
          <w:p w14:paraId="7CEF669A"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Adjusted R-squared</w:t>
            </w:r>
          </w:p>
        </w:tc>
        <w:tc>
          <w:tcPr>
            <w:tcW w:w="2241" w:type="dxa"/>
            <w:vAlign w:val="center"/>
          </w:tcPr>
          <w:p w14:paraId="0740124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0.6459</w:t>
            </w:r>
          </w:p>
        </w:tc>
        <w:tc>
          <w:tcPr>
            <w:tcW w:w="2864" w:type="dxa"/>
            <w:vAlign w:val="center"/>
          </w:tcPr>
          <w:p w14:paraId="400978F8"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0.779753</w:t>
            </w:r>
          </w:p>
        </w:tc>
      </w:tr>
      <w:tr w:rsidR="00F560B0" w:rsidRPr="00E74449" w14:paraId="5DCA601E" w14:textId="77777777">
        <w:trPr>
          <w:trHeight w:val="243"/>
          <w:jc w:val="center"/>
        </w:trPr>
        <w:tc>
          <w:tcPr>
            <w:tcW w:w="2333" w:type="dxa"/>
            <w:vAlign w:val="center"/>
          </w:tcPr>
          <w:p w14:paraId="3581953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S.E. of regression</w:t>
            </w:r>
          </w:p>
        </w:tc>
        <w:tc>
          <w:tcPr>
            <w:tcW w:w="2241" w:type="dxa"/>
            <w:vAlign w:val="center"/>
          </w:tcPr>
          <w:p w14:paraId="47476FB2"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2.2190</w:t>
            </w:r>
          </w:p>
        </w:tc>
        <w:tc>
          <w:tcPr>
            <w:tcW w:w="2864" w:type="dxa"/>
            <w:vAlign w:val="center"/>
          </w:tcPr>
          <w:p w14:paraId="1A94E96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1.805511</w:t>
            </w:r>
          </w:p>
        </w:tc>
      </w:tr>
      <w:tr w:rsidR="00F560B0" w:rsidRPr="00E74449" w14:paraId="54417598" w14:textId="77777777">
        <w:trPr>
          <w:trHeight w:val="243"/>
          <w:jc w:val="center"/>
        </w:trPr>
        <w:tc>
          <w:tcPr>
            <w:tcW w:w="2333" w:type="dxa"/>
            <w:tcBorders>
              <w:bottom w:val="single" w:sz="4" w:space="0" w:color="auto"/>
            </w:tcBorders>
            <w:vAlign w:val="center"/>
          </w:tcPr>
          <w:p w14:paraId="37D640FB"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Long-run variance</w:t>
            </w:r>
          </w:p>
        </w:tc>
        <w:tc>
          <w:tcPr>
            <w:tcW w:w="2241" w:type="dxa"/>
            <w:tcBorders>
              <w:bottom w:val="single" w:sz="4" w:space="0" w:color="auto"/>
            </w:tcBorders>
            <w:vAlign w:val="center"/>
          </w:tcPr>
          <w:p w14:paraId="3187AE1B"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2.5728</w:t>
            </w:r>
          </w:p>
        </w:tc>
        <w:tc>
          <w:tcPr>
            <w:tcW w:w="2864" w:type="dxa"/>
            <w:tcBorders>
              <w:bottom w:val="single" w:sz="4" w:space="0" w:color="auto"/>
            </w:tcBorders>
            <w:vAlign w:val="center"/>
          </w:tcPr>
          <w:p w14:paraId="3D2F223E"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2.562474</w:t>
            </w:r>
          </w:p>
        </w:tc>
      </w:tr>
    </w:tbl>
    <w:p w14:paraId="6E493696" w14:textId="77777777" w:rsidR="00F560B0" w:rsidRPr="00E74449" w:rsidRDefault="009A472F" w:rsidP="00173CCC">
      <w:pPr>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                </w:t>
      </w:r>
      <w:r w:rsidR="00984D15">
        <w:rPr>
          <w:rFonts w:ascii="Times New Roman" w:eastAsia="Calibri" w:hAnsi="Times New Roman" w:cs="Times New Roman"/>
          <w:sz w:val="24"/>
          <w:szCs w:val="24"/>
        </w:rPr>
        <w:t xml:space="preserve">                 Source: Author</w:t>
      </w:r>
      <w:r w:rsidRPr="00E74449">
        <w:rPr>
          <w:rFonts w:ascii="Times New Roman" w:eastAsia="Calibri" w:hAnsi="Times New Roman" w:cs="Times New Roman"/>
          <w:sz w:val="24"/>
          <w:szCs w:val="24"/>
        </w:rPr>
        <w:t>s</w:t>
      </w:r>
      <w:r w:rsidR="00984D15">
        <w:rPr>
          <w:rFonts w:ascii="Times New Roman" w:eastAsia="Calibri" w:hAnsi="Times New Roman" w:cs="Times New Roman"/>
          <w:sz w:val="24"/>
          <w:szCs w:val="24"/>
        </w:rPr>
        <w:t>’</w:t>
      </w:r>
      <w:r w:rsidRPr="00E74449">
        <w:rPr>
          <w:rFonts w:ascii="Times New Roman" w:eastAsia="Calibri" w:hAnsi="Times New Roman" w:cs="Times New Roman"/>
          <w:sz w:val="24"/>
          <w:szCs w:val="24"/>
        </w:rPr>
        <w:t xml:space="preserve"> computation, 2025</w:t>
      </w:r>
    </w:p>
    <w:p w14:paraId="09C007B0" w14:textId="46EDCA9E"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 cointegrating estimates in Table 4.</w:t>
      </w:r>
      <w:r w:rsidR="002D68ED">
        <w:rPr>
          <w:rFonts w:ascii="Times New Roman" w:eastAsia="Calibri" w:hAnsi="Times New Roman" w:cs="Times New Roman"/>
          <w:sz w:val="24"/>
          <w:szCs w:val="24"/>
        </w:rPr>
        <w:t>5</w:t>
      </w:r>
      <w:r w:rsidRPr="00E74449">
        <w:rPr>
          <w:rFonts w:ascii="Times New Roman" w:eastAsia="Calibri" w:hAnsi="Times New Roman" w:cs="Times New Roman"/>
          <w:sz w:val="24"/>
          <w:szCs w:val="24"/>
        </w:rPr>
        <w:t xml:space="preserve"> reveal important long-run determinants of economic growth in Nigeria, measured by GDP growth. The results are derived from both the Fully Modified Ordinary Least Squares (FMOLS) and Dynamic Ordinary Least Squares (DOLS) models. These models jointly establish the presence of a stable long-run relationship among agricultural output, literacy, population growth, and research and development (R&amp;D) with respect to GDP growth in Nigeria. Also, the relatively high R-squared values, particularly for the DOLS model (0.9316), indicate a good model fit, suggesting that the explanatory variables account for over 93% of the variation in GDP growth in the long run. </w:t>
      </w:r>
    </w:p>
    <w:p w14:paraId="26F3B3B2" w14:textId="77777777"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From the finding, Agricultural output (AGRIC) shows a positive and statistically significant relationship with economic growth in both models. Specifically, in the FMOLS model, a 1% increase in agricultural output is associated with a 0.2494% increase in GDP growth (p &lt; 0.01), while in the DOLS model, the effect is much stronger with a 0.7881% increase in GDP growth (p &lt; 0.01). This finding confirms the central role of the agricultural sector in Nigeria’s economy, where </w:t>
      </w:r>
      <w:proofErr w:type="gramStart"/>
      <w:r w:rsidRPr="00E74449">
        <w:rPr>
          <w:rFonts w:ascii="Times New Roman" w:eastAsia="Calibri" w:hAnsi="Times New Roman" w:cs="Times New Roman"/>
          <w:sz w:val="24"/>
          <w:szCs w:val="24"/>
        </w:rPr>
        <w:t>the majority of</w:t>
      </w:r>
      <w:proofErr w:type="gramEnd"/>
      <w:r w:rsidRPr="00E74449">
        <w:rPr>
          <w:rFonts w:ascii="Times New Roman" w:eastAsia="Calibri" w:hAnsi="Times New Roman" w:cs="Times New Roman"/>
          <w:sz w:val="24"/>
          <w:szCs w:val="24"/>
        </w:rPr>
        <w:t xml:space="preserve"> the rural population depends on agriculture for livelihood. It aligns with the empirical findings of Udoh and Akpan (2014), who showed that increased agricultural productivity drives sustainable growth in sub-Saharan Africa. Thus, sustained public and private investments in mechanization, irrigation, </w:t>
      </w:r>
      <w:proofErr w:type="spellStart"/>
      <w:r w:rsidRPr="00E74449">
        <w:rPr>
          <w:rFonts w:ascii="Times New Roman" w:eastAsia="Calibri" w:hAnsi="Times New Roman" w:cs="Times New Roman"/>
          <w:sz w:val="24"/>
          <w:szCs w:val="24"/>
        </w:rPr>
        <w:t>agro</w:t>
      </w:r>
      <w:proofErr w:type="spellEnd"/>
      <w:r w:rsidRPr="00E74449">
        <w:rPr>
          <w:rFonts w:ascii="Times New Roman" w:eastAsia="Calibri" w:hAnsi="Times New Roman" w:cs="Times New Roman"/>
          <w:sz w:val="24"/>
          <w:szCs w:val="24"/>
        </w:rPr>
        <w:t>-processing, and rural infrastructure could serve as catalysts for inclusive economic transformation in Nigeria.</w:t>
      </w:r>
    </w:p>
    <w:p w14:paraId="6E417573" w14:textId="77777777"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Furthermore, the coefficient on literacy rate (LIT), however, is statistically insignificant in both models (FMOLS: β = 0.0220, p &gt; 0.1; DOLS: β = -0.2518, p &gt; 0.1). While the FMOLS result suggests a weak positive relationship, the DOLS model reveals a negative effect. This mixed result suggests that increases in basic literacy, on their own, may not be sufficient to drive economic growth unless accompanied by quality improvements and skill-based education. The result is consistent with the work of Okonkwo and Obasi (2018), who argued that Nigeria's education system suffers from skill mismatches, where increasing literacy has not necessarily translated into increased labor productivity. Thus, reforms should prioritize vocational, technical, and STEM education to improve human capital outcomes and economic growth.</w:t>
      </w:r>
    </w:p>
    <w:p w14:paraId="6043A90C" w14:textId="77777777" w:rsidR="00F560B0" w:rsidRPr="00E74449" w:rsidRDefault="00984D15"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Meanwhile</w:t>
      </w:r>
      <w:r w:rsidR="009A472F" w:rsidRPr="00E74449">
        <w:rPr>
          <w:rFonts w:ascii="Times New Roman" w:eastAsia="Calibri" w:hAnsi="Times New Roman" w:cs="Times New Roman"/>
          <w:sz w:val="24"/>
          <w:szCs w:val="24"/>
        </w:rPr>
        <w:t xml:space="preserve">, the logged population variable (LPOP) is positively and significantly related to GDP growth in the FMOLS model (β = 3.9890, p &lt; 0.01), indicating that a 1% increase in population size leads to approximately 3.99% increase in economic growth in the long run. This effect, however, is reduced and statistically insignificant in the DOLS model (β = 0.6406, p &gt; 0.1). The strong FMOLS result suggests that Nigeria’s large and growing population, if well-managed, can </w:t>
      </w:r>
      <w:r w:rsidR="009A472F" w:rsidRPr="00E74449">
        <w:rPr>
          <w:rFonts w:ascii="Times New Roman" w:eastAsia="Calibri" w:hAnsi="Times New Roman" w:cs="Times New Roman"/>
          <w:sz w:val="24"/>
          <w:szCs w:val="24"/>
        </w:rPr>
        <w:lastRenderedPageBreak/>
        <w:t xml:space="preserve">serve as a demographic dividend. This supports the demographic transition theory and the findings of </w:t>
      </w:r>
      <w:proofErr w:type="spellStart"/>
      <w:r w:rsidR="009A472F" w:rsidRPr="00E74449">
        <w:rPr>
          <w:rFonts w:ascii="Times New Roman" w:eastAsia="Calibri" w:hAnsi="Times New Roman" w:cs="Times New Roman"/>
          <w:sz w:val="24"/>
          <w:szCs w:val="24"/>
        </w:rPr>
        <w:t>Ajakaiye</w:t>
      </w:r>
      <w:proofErr w:type="spellEnd"/>
      <w:r w:rsidR="009A472F" w:rsidRPr="00E74449">
        <w:rPr>
          <w:rFonts w:ascii="Times New Roman" w:eastAsia="Calibri" w:hAnsi="Times New Roman" w:cs="Times New Roman"/>
          <w:sz w:val="24"/>
          <w:szCs w:val="24"/>
        </w:rPr>
        <w:t xml:space="preserve"> et al. (2016), who argue that youth-driven population growth in Africa can be a source of long-run growth when supported by policies that create employment, improve health, and provide education.</w:t>
      </w:r>
    </w:p>
    <w:p w14:paraId="1EB91D55" w14:textId="77777777"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Conversely, research and development expenditure (LR&amp;D) shows a negative and statistically significant impact on economic growth in both models (FMOLS: β = -9.3913, p &lt; 0.01; DOLS: β = -14.6958, p &lt; 0.01). This means that, on average, a 1% increase in R&amp;D spending leads to a 9.39% and 14.70% decline in GDP growth in the FMOLS and DOLS models, respectively. These findings may appear paradoxical but are consistent with the notion that the productivity of R&amp;D in Nigeria is undermined by weak institutional frameworks, lack of commercialization of research outputs, and misalignment between research activities and industrial needs. This corroborates the argument of Onyenekenwa (2018), who emphasized that R&amp;D investments in Nigeria lack coherence and do not translate into economic innovations. Therefore, strengthening the R&amp;D ecosystem through university-industry linkages, accountability mechanisms, and funding for applied research is imperative for converting R&amp;D investments into long-run growth outcomes.</w:t>
      </w:r>
    </w:p>
    <w:p w14:paraId="3EA715E7" w14:textId="77777777" w:rsidR="00F560B0" w:rsidRPr="00E74449" w:rsidRDefault="00FB19E5" w:rsidP="00173CCC">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E74449">
        <w:rPr>
          <w:rFonts w:ascii="Times New Roman" w:eastAsia="Calibri" w:hAnsi="Times New Roman" w:cs="Times New Roman"/>
          <w:b/>
          <w:color w:val="000000"/>
          <w:sz w:val="24"/>
          <w:szCs w:val="24"/>
        </w:rPr>
        <w:t>Post Estimation</w:t>
      </w:r>
      <w:r w:rsidR="009A472F" w:rsidRPr="00E74449">
        <w:rPr>
          <w:rFonts w:ascii="Times New Roman" w:eastAsia="Calibri" w:hAnsi="Times New Roman" w:cs="Times New Roman"/>
          <w:b/>
          <w:color w:val="000000"/>
          <w:sz w:val="24"/>
          <w:szCs w:val="24"/>
        </w:rPr>
        <w:t xml:space="preserve"> Test </w:t>
      </w:r>
    </w:p>
    <w:p w14:paraId="5B34EAF4" w14:textId="0CBF21EA" w:rsidR="00173CCC" w:rsidRDefault="009A472F" w:rsidP="00173CCC">
      <w:pPr>
        <w:spacing w:after="0" w:line="276" w:lineRule="auto"/>
        <w:jc w:val="both"/>
        <w:rPr>
          <w:rFonts w:ascii="Times New Roman" w:eastAsia="SimSun" w:hAnsi="Times New Roman" w:cs="Times New Roman"/>
          <w:sz w:val="24"/>
          <w:szCs w:val="24"/>
          <w:lang w:eastAsia="zh-CN"/>
        </w:rPr>
      </w:pPr>
      <w:r w:rsidRPr="00E74449">
        <w:rPr>
          <w:rFonts w:ascii="Times New Roman" w:eastAsia="SimSun" w:hAnsi="Times New Roman" w:cs="Times New Roman"/>
          <w:sz w:val="24"/>
          <w:szCs w:val="24"/>
          <w:lang w:eastAsia="zh-CN"/>
        </w:rPr>
        <w:t xml:space="preserve">To determine the suitability of the estimated model and to be sure of its overall significance and stability, a post-estimation evaluation was conducted. The Variance Inflation </w:t>
      </w:r>
      <w:r w:rsidR="00FB19E5" w:rsidRPr="00E74449">
        <w:rPr>
          <w:rFonts w:ascii="Times New Roman" w:eastAsia="SimSun" w:hAnsi="Times New Roman" w:cs="Times New Roman"/>
          <w:sz w:val="24"/>
          <w:szCs w:val="24"/>
          <w:lang w:eastAsia="zh-CN"/>
        </w:rPr>
        <w:t>Test was</w:t>
      </w:r>
      <w:r w:rsidRPr="00E74449">
        <w:rPr>
          <w:rFonts w:ascii="Times New Roman" w:eastAsia="SimSun" w:hAnsi="Times New Roman" w:cs="Times New Roman"/>
          <w:sz w:val="24"/>
          <w:szCs w:val="24"/>
          <w:lang w:eastAsia="zh-CN"/>
        </w:rPr>
        <w:t xml:space="preserve"> evaluated. The re</w:t>
      </w:r>
      <w:r w:rsidR="00FB19E5" w:rsidRPr="00E74449">
        <w:rPr>
          <w:rFonts w:ascii="Times New Roman" w:eastAsia="SimSun" w:hAnsi="Times New Roman" w:cs="Times New Roman"/>
          <w:sz w:val="24"/>
          <w:szCs w:val="24"/>
          <w:lang w:eastAsia="zh-CN"/>
        </w:rPr>
        <w:t>sults are presented in table 4.</w:t>
      </w:r>
      <w:r w:rsidR="002D68ED">
        <w:rPr>
          <w:rFonts w:ascii="Times New Roman" w:eastAsia="SimSun" w:hAnsi="Times New Roman" w:cs="Times New Roman"/>
          <w:sz w:val="24"/>
          <w:szCs w:val="24"/>
          <w:lang w:eastAsia="zh-CN"/>
        </w:rPr>
        <w:t>6</w:t>
      </w:r>
      <w:r w:rsidRPr="00E74449">
        <w:rPr>
          <w:rFonts w:ascii="Times New Roman" w:eastAsia="SimSun" w:hAnsi="Times New Roman" w:cs="Times New Roman"/>
          <w:sz w:val="24"/>
          <w:szCs w:val="24"/>
          <w:lang w:eastAsia="zh-CN"/>
        </w:rPr>
        <w:t xml:space="preserve"> and figure </w:t>
      </w:r>
      <w:r w:rsidR="00B27000">
        <w:rPr>
          <w:rFonts w:ascii="Times New Roman" w:eastAsia="SimSun" w:hAnsi="Times New Roman" w:cs="Times New Roman"/>
          <w:sz w:val="24"/>
          <w:szCs w:val="24"/>
          <w:lang w:eastAsia="zh-CN"/>
        </w:rPr>
        <w:t>4.</w:t>
      </w:r>
      <w:r w:rsidRPr="00E74449">
        <w:rPr>
          <w:rFonts w:ascii="Times New Roman" w:eastAsia="SimSun" w:hAnsi="Times New Roman" w:cs="Times New Roman"/>
          <w:sz w:val="24"/>
          <w:szCs w:val="24"/>
          <w:lang w:eastAsia="zh-CN"/>
        </w:rPr>
        <w:t>1.</w:t>
      </w:r>
      <w:bookmarkStart w:id="2" w:name="_Hlk191414494"/>
    </w:p>
    <w:p w14:paraId="2F30C746" w14:textId="77777777" w:rsidR="00173CCC" w:rsidRPr="00E74449" w:rsidRDefault="00173CCC" w:rsidP="00173CCC">
      <w:pPr>
        <w:spacing w:after="0" w:line="276" w:lineRule="auto"/>
        <w:jc w:val="both"/>
        <w:rPr>
          <w:rFonts w:ascii="Times New Roman" w:eastAsia="SimSun" w:hAnsi="Times New Roman" w:cs="Times New Roman"/>
          <w:sz w:val="24"/>
          <w:szCs w:val="24"/>
          <w:lang w:eastAsia="zh-CN"/>
        </w:rPr>
      </w:pPr>
    </w:p>
    <w:bookmarkEnd w:id="2"/>
    <w:p w14:paraId="34D38FA2" w14:textId="57BC2085" w:rsidR="00F560B0" w:rsidRPr="00E74449" w:rsidRDefault="009A472F" w:rsidP="00173CCC">
      <w:pPr>
        <w:spacing w:after="0" w:line="276" w:lineRule="auto"/>
        <w:jc w:val="center"/>
        <w:rPr>
          <w:rFonts w:ascii="Times New Roman" w:eastAsia="Times New Roman" w:hAnsi="Times New Roman" w:cs="Times New Roman"/>
          <w:sz w:val="24"/>
          <w:szCs w:val="24"/>
        </w:rPr>
      </w:pPr>
      <w:r w:rsidRPr="00E74449">
        <w:rPr>
          <w:rFonts w:ascii="Times New Roman" w:eastAsia="Times New Roman" w:hAnsi="Times New Roman" w:cs="Times New Roman"/>
          <w:b/>
          <w:bCs/>
          <w:sz w:val="24"/>
          <w:szCs w:val="24"/>
        </w:rPr>
        <w:t>Table 4.</w:t>
      </w:r>
      <w:r w:rsidR="002D68ED">
        <w:rPr>
          <w:rFonts w:ascii="Times New Roman" w:eastAsia="Times New Roman" w:hAnsi="Times New Roman" w:cs="Times New Roman"/>
          <w:b/>
          <w:bCs/>
          <w:sz w:val="24"/>
          <w:szCs w:val="24"/>
        </w:rPr>
        <w:t>6</w:t>
      </w:r>
      <w:r w:rsidRPr="00E74449">
        <w:rPr>
          <w:rFonts w:ascii="Times New Roman" w:eastAsia="Times New Roman" w:hAnsi="Times New Roman" w:cs="Times New Roman"/>
          <w:b/>
          <w:bCs/>
          <w:sz w:val="24"/>
          <w:szCs w:val="24"/>
        </w:rPr>
        <w:t>: Variance Inflation Factors for FMOLS and DOLS Models</w:t>
      </w:r>
    </w:p>
    <w:tbl>
      <w:tblPr>
        <w:tblStyle w:val="TableGrid3"/>
        <w:tblW w:w="81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777"/>
        <w:gridCol w:w="1547"/>
        <w:gridCol w:w="1777"/>
        <w:gridCol w:w="1547"/>
      </w:tblGrid>
      <w:tr w:rsidR="00F560B0" w:rsidRPr="00E74449" w14:paraId="7B6A1292" w14:textId="77777777">
        <w:trPr>
          <w:trHeight w:val="226"/>
          <w:jc w:val="center"/>
        </w:trPr>
        <w:tc>
          <w:tcPr>
            <w:tcW w:w="0" w:type="auto"/>
            <w:tcBorders>
              <w:top w:val="single" w:sz="4" w:space="0" w:color="auto"/>
            </w:tcBorders>
          </w:tcPr>
          <w:p w14:paraId="333A0694"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Variable</w:t>
            </w:r>
          </w:p>
        </w:tc>
        <w:tc>
          <w:tcPr>
            <w:tcW w:w="0" w:type="auto"/>
            <w:gridSpan w:val="2"/>
            <w:tcBorders>
              <w:top w:val="single" w:sz="4" w:space="0" w:color="auto"/>
            </w:tcBorders>
          </w:tcPr>
          <w:p w14:paraId="541B359B"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Fully Modified OLS</w:t>
            </w:r>
          </w:p>
        </w:tc>
        <w:tc>
          <w:tcPr>
            <w:tcW w:w="0" w:type="auto"/>
            <w:gridSpan w:val="2"/>
            <w:tcBorders>
              <w:top w:val="single" w:sz="4" w:space="0" w:color="auto"/>
            </w:tcBorders>
          </w:tcPr>
          <w:p w14:paraId="32E44CFB" w14:textId="77777777" w:rsidR="00F560B0" w:rsidRPr="00E74449" w:rsidRDefault="009A472F" w:rsidP="00173CCC">
            <w:pPr>
              <w:tabs>
                <w:tab w:val="left" w:pos="420"/>
              </w:tabs>
              <w:spacing w:after="0" w:line="276" w:lineRule="auto"/>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ab/>
              <w:t>Dynamic OLS</w:t>
            </w:r>
          </w:p>
        </w:tc>
      </w:tr>
      <w:tr w:rsidR="00F560B0" w:rsidRPr="00E74449" w14:paraId="4E341AFA" w14:textId="77777777">
        <w:trPr>
          <w:trHeight w:val="465"/>
          <w:jc w:val="center"/>
        </w:trPr>
        <w:tc>
          <w:tcPr>
            <w:tcW w:w="0" w:type="auto"/>
          </w:tcPr>
          <w:p w14:paraId="2F575FA1" w14:textId="77777777" w:rsidR="00F560B0" w:rsidRPr="00E74449" w:rsidRDefault="00F560B0" w:rsidP="00173CCC">
            <w:pPr>
              <w:spacing w:after="0" w:line="276" w:lineRule="auto"/>
              <w:jc w:val="center"/>
              <w:rPr>
                <w:rFonts w:ascii="Times New Roman" w:hAnsi="Times New Roman" w:cs="Times New Roman"/>
                <w:b/>
                <w:bCs/>
                <w:kern w:val="0"/>
                <w:sz w:val="24"/>
                <w:szCs w:val="24"/>
                <w14:ligatures w14:val="none"/>
              </w:rPr>
            </w:pPr>
          </w:p>
        </w:tc>
        <w:tc>
          <w:tcPr>
            <w:tcW w:w="0" w:type="auto"/>
          </w:tcPr>
          <w:p w14:paraId="45FC6F3E"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Coefficient</w:t>
            </w:r>
          </w:p>
          <w:p w14:paraId="00446981"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Variance</w:t>
            </w:r>
          </w:p>
        </w:tc>
        <w:tc>
          <w:tcPr>
            <w:tcW w:w="0" w:type="auto"/>
          </w:tcPr>
          <w:p w14:paraId="5B903462"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Centered</w:t>
            </w:r>
          </w:p>
          <w:p w14:paraId="4636681F"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VIF</w:t>
            </w:r>
          </w:p>
        </w:tc>
        <w:tc>
          <w:tcPr>
            <w:tcW w:w="0" w:type="auto"/>
          </w:tcPr>
          <w:p w14:paraId="3045514B"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Coefficient</w:t>
            </w:r>
          </w:p>
          <w:p w14:paraId="6E4C7087"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Variance</w:t>
            </w:r>
          </w:p>
        </w:tc>
        <w:tc>
          <w:tcPr>
            <w:tcW w:w="0" w:type="auto"/>
          </w:tcPr>
          <w:p w14:paraId="0585D36C"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Centered</w:t>
            </w:r>
          </w:p>
          <w:p w14:paraId="7A0C8AC2"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VIF</w:t>
            </w:r>
          </w:p>
        </w:tc>
      </w:tr>
      <w:tr w:rsidR="00F560B0" w:rsidRPr="00E74449" w14:paraId="57521842" w14:textId="77777777">
        <w:trPr>
          <w:trHeight w:val="226"/>
          <w:jc w:val="center"/>
        </w:trPr>
        <w:tc>
          <w:tcPr>
            <w:tcW w:w="0" w:type="auto"/>
          </w:tcPr>
          <w:p w14:paraId="3FFBD53E"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proofErr w:type="spellStart"/>
            <w:r w:rsidRPr="00E74449">
              <w:rPr>
                <w:rFonts w:ascii="Times New Roman" w:hAnsi="Times New Roman" w:cs="Times New Roman"/>
                <w:kern w:val="0"/>
                <w:sz w:val="24"/>
                <w:szCs w:val="24"/>
                <w14:ligatures w14:val="none"/>
              </w:rPr>
              <w:t>AGR</w:t>
            </w:r>
            <w:proofErr w:type="spellEnd"/>
          </w:p>
        </w:tc>
        <w:tc>
          <w:tcPr>
            <w:tcW w:w="0" w:type="auto"/>
          </w:tcPr>
          <w:p w14:paraId="3B307EFF"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0.009156</w:t>
            </w:r>
          </w:p>
        </w:tc>
        <w:tc>
          <w:tcPr>
            <w:tcW w:w="0" w:type="auto"/>
          </w:tcPr>
          <w:p w14:paraId="4E84BD7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1.3463</w:t>
            </w:r>
          </w:p>
        </w:tc>
        <w:tc>
          <w:tcPr>
            <w:tcW w:w="0" w:type="auto"/>
          </w:tcPr>
          <w:p w14:paraId="5564C330"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0.001496</w:t>
            </w:r>
          </w:p>
        </w:tc>
        <w:tc>
          <w:tcPr>
            <w:tcW w:w="0" w:type="auto"/>
          </w:tcPr>
          <w:p w14:paraId="15A0DD2F"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1.0267</w:t>
            </w:r>
          </w:p>
        </w:tc>
      </w:tr>
      <w:tr w:rsidR="00F560B0" w:rsidRPr="00E74449" w14:paraId="584CB775" w14:textId="77777777">
        <w:trPr>
          <w:trHeight w:val="226"/>
          <w:jc w:val="center"/>
        </w:trPr>
        <w:tc>
          <w:tcPr>
            <w:tcW w:w="0" w:type="auto"/>
          </w:tcPr>
          <w:p w14:paraId="0379810F"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LIT</w:t>
            </w:r>
          </w:p>
        </w:tc>
        <w:tc>
          <w:tcPr>
            <w:tcW w:w="0" w:type="auto"/>
          </w:tcPr>
          <w:p w14:paraId="6758D132"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0.043487</w:t>
            </w:r>
          </w:p>
        </w:tc>
        <w:tc>
          <w:tcPr>
            <w:tcW w:w="0" w:type="auto"/>
          </w:tcPr>
          <w:p w14:paraId="555E6692"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2.7370</w:t>
            </w:r>
          </w:p>
        </w:tc>
        <w:tc>
          <w:tcPr>
            <w:tcW w:w="0" w:type="auto"/>
          </w:tcPr>
          <w:p w14:paraId="2191CF1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0.005932</w:t>
            </w:r>
          </w:p>
        </w:tc>
        <w:tc>
          <w:tcPr>
            <w:tcW w:w="0" w:type="auto"/>
          </w:tcPr>
          <w:p w14:paraId="71C2C6A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1.7029</w:t>
            </w:r>
          </w:p>
        </w:tc>
      </w:tr>
      <w:tr w:rsidR="00F560B0" w:rsidRPr="00E74449" w14:paraId="75D5DD09" w14:textId="77777777">
        <w:trPr>
          <w:trHeight w:val="226"/>
          <w:jc w:val="center"/>
        </w:trPr>
        <w:tc>
          <w:tcPr>
            <w:tcW w:w="0" w:type="auto"/>
          </w:tcPr>
          <w:p w14:paraId="1226F0D4"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LPOP</w:t>
            </w:r>
          </w:p>
        </w:tc>
        <w:tc>
          <w:tcPr>
            <w:tcW w:w="0" w:type="auto"/>
          </w:tcPr>
          <w:p w14:paraId="7AF1A90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18.07335</w:t>
            </w:r>
          </w:p>
        </w:tc>
        <w:tc>
          <w:tcPr>
            <w:tcW w:w="0" w:type="auto"/>
          </w:tcPr>
          <w:p w14:paraId="23EDDA8B"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4.6654</w:t>
            </w:r>
          </w:p>
        </w:tc>
        <w:tc>
          <w:tcPr>
            <w:tcW w:w="0" w:type="auto"/>
          </w:tcPr>
          <w:p w14:paraId="76E5C31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2.916692</w:t>
            </w:r>
          </w:p>
        </w:tc>
        <w:tc>
          <w:tcPr>
            <w:tcW w:w="0" w:type="auto"/>
          </w:tcPr>
          <w:p w14:paraId="677B075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1.5700</w:t>
            </w:r>
          </w:p>
        </w:tc>
      </w:tr>
      <w:tr w:rsidR="00F560B0" w:rsidRPr="00E74449" w14:paraId="01870419" w14:textId="77777777">
        <w:trPr>
          <w:trHeight w:val="213"/>
          <w:jc w:val="center"/>
        </w:trPr>
        <w:tc>
          <w:tcPr>
            <w:tcW w:w="0" w:type="auto"/>
            <w:tcBorders>
              <w:bottom w:val="single" w:sz="4" w:space="0" w:color="auto"/>
            </w:tcBorders>
          </w:tcPr>
          <w:p w14:paraId="288D9E34"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LR&amp;D</w:t>
            </w:r>
          </w:p>
        </w:tc>
        <w:tc>
          <w:tcPr>
            <w:tcW w:w="0" w:type="auto"/>
            <w:tcBorders>
              <w:bottom w:val="single" w:sz="4" w:space="0" w:color="auto"/>
            </w:tcBorders>
          </w:tcPr>
          <w:p w14:paraId="5BFAF526"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2453.046</w:t>
            </w:r>
          </w:p>
        </w:tc>
        <w:tc>
          <w:tcPr>
            <w:tcW w:w="0" w:type="auto"/>
            <w:tcBorders>
              <w:bottom w:val="single" w:sz="4" w:space="0" w:color="auto"/>
            </w:tcBorders>
          </w:tcPr>
          <w:p w14:paraId="459B9EDA"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6.7749</w:t>
            </w:r>
          </w:p>
        </w:tc>
        <w:tc>
          <w:tcPr>
            <w:tcW w:w="0" w:type="auto"/>
            <w:tcBorders>
              <w:bottom w:val="single" w:sz="4" w:space="0" w:color="auto"/>
            </w:tcBorders>
          </w:tcPr>
          <w:p w14:paraId="7E29E82F"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65.86692</w:t>
            </w:r>
          </w:p>
        </w:tc>
        <w:tc>
          <w:tcPr>
            <w:tcW w:w="0" w:type="auto"/>
            <w:tcBorders>
              <w:bottom w:val="single" w:sz="4" w:space="0" w:color="auto"/>
            </w:tcBorders>
          </w:tcPr>
          <w:p w14:paraId="28BD4ED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1.3593</w:t>
            </w:r>
          </w:p>
        </w:tc>
      </w:tr>
    </w:tbl>
    <w:p w14:paraId="33B4F312" w14:textId="77777777" w:rsidR="00F560B0" w:rsidRPr="00E74449" w:rsidRDefault="00984D15" w:rsidP="00173CCC">
      <w:pPr>
        <w:spacing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Author</w:t>
      </w:r>
      <w:r w:rsidR="009A472F" w:rsidRPr="00E7444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9A472F" w:rsidRPr="00E74449">
        <w:rPr>
          <w:rFonts w:ascii="Times New Roman" w:eastAsia="Times New Roman" w:hAnsi="Times New Roman" w:cs="Times New Roman"/>
          <w:sz w:val="24"/>
          <w:szCs w:val="24"/>
        </w:rPr>
        <w:t xml:space="preserve"> computation, 2025</w:t>
      </w:r>
    </w:p>
    <w:p w14:paraId="3FDDD806" w14:textId="518C065C" w:rsidR="00F560B0" w:rsidRPr="00E74449" w:rsidRDefault="009A472F" w:rsidP="00173CCC">
      <w:pPr>
        <w:spacing w:line="276" w:lineRule="auto"/>
        <w:jc w:val="both"/>
        <w:rPr>
          <w:rFonts w:ascii="Times New Roman" w:eastAsia="Aptos" w:hAnsi="Times New Roman" w:cs="Times New Roman"/>
          <w:kern w:val="2"/>
          <w:sz w:val="24"/>
          <w:szCs w:val="24"/>
          <w14:ligatures w14:val="standardContextual"/>
        </w:rPr>
      </w:pPr>
      <w:r w:rsidRPr="00E74449">
        <w:rPr>
          <w:rFonts w:ascii="Times New Roman" w:eastAsia="Aptos" w:hAnsi="Times New Roman" w:cs="Times New Roman"/>
          <w:kern w:val="2"/>
          <w:sz w:val="24"/>
          <w:szCs w:val="24"/>
          <w14:ligatures w14:val="standardContextual"/>
        </w:rPr>
        <w:t>The finding from Table 4.</w:t>
      </w:r>
      <w:r w:rsidR="002D68ED">
        <w:rPr>
          <w:rFonts w:ascii="Times New Roman" w:eastAsia="Aptos" w:hAnsi="Times New Roman" w:cs="Times New Roman"/>
          <w:kern w:val="2"/>
          <w:sz w:val="24"/>
          <w:szCs w:val="24"/>
          <w14:ligatures w14:val="standardContextual"/>
        </w:rPr>
        <w:t>6</w:t>
      </w:r>
      <w:r w:rsidRPr="00E74449">
        <w:rPr>
          <w:rFonts w:ascii="Times New Roman" w:eastAsia="Aptos" w:hAnsi="Times New Roman" w:cs="Times New Roman"/>
          <w:kern w:val="2"/>
          <w:sz w:val="24"/>
          <w:szCs w:val="24"/>
          <w14:ligatures w14:val="standardContextual"/>
        </w:rPr>
        <w:t xml:space="preserve"> shows that the centered VIF values for all explanatory variables in both models are below the commonly accepted thresholds for multicollinearity concerns. Specifically, in the FMOLS model, the highest centered VIF is 6.7749 for RD, while in the DOLS model, all centered </w:t>
      </w:r>
      <w:proofErr w:type="spellStart"/>
      <w:r w:rsidRPr="00E74449">
        <w:rPr>
          <w:rFonts w:ascii="Times New Roman" w:eastAsia="Aptos" w:hAnsi="Times New Roman" w:cs="Times New Roman"/>
          <w:kern w:val="2"/>
          <w:sz w:val="24"/>
          <w:szCs w:val="24"/>
          <w14:ligatures w14:val="standardContextual"/>
        </w:rPr>
        <w:t>VIFs</w:t>
      </w:r>
      <w:proofErr w:type="spellEnd"/>
      <w:r w:rsidRPr="00E74449">
        <w:rPr>
          <w:rFonts w:ascii="Times New Roman" w:eastAsia="Aptos" w:hAnsi="Times New Roman" w:cs="Times New Roman"/>
          <w:kern w:val="2"/>
          <w:sz w:val="24"/>
          <w:szCs w:val="24"/>
          <w14:ligatures w14:val="standardContextual"/>
        </w:rPr>
        <w:t xml:space="preserve"> are below 2.7370. These values suggest that multicollinearity is not a significant issue in the estimated models, and the coefficient estimates are reliable.</w:t>
      </w:r>
    </w:p>
    <w:p w14:paraId="3CB54565" w14:textId="77777777" w:rsidR="00F560B0" w:rsidRPr="00E74449" w:rsidRDefault="009A472F" w:rsidP="00173CCC">
      <w:pPr>
        <w:spacing w:line="276" w:lineRule="auto"/>
        <w:jc w:val="both"/>
        <w:rPr>
          <w:rFonts w:ascii="Times New Roman" w:eastAsia="Times New Roman" w:hAnsi="Times New Roman" w:cs="Times New Roman"/>
          <w:b/>
          <w:bCs/>
          <w:sz w:val="24"/>
          <w:szCs w:val="24"/>
          <w:lang w:eastAsia="zh-CN"/>
        </w:rPr>
      </w:pPr>
      <w:r w:rsidRPr="00E74449">
        <w:rPr>
          <w:rFonts w:ascii="Times New Roman" w:eastAsia="Aptos" w:hAnsi="Times New Roman" w:cs="Times New Roman"/>
          <w:kern w:val="2"/>
          <w:sz w:val="24"/>
          <w:szCs w:val="24"/>
          <w14:ligatures w14:val="standardContextual"/>
        </w:rPr>
        <w:t xml:space="preserve">This finding aligns with previous studies that have assessed multicollinearity in economic growth models using </w:t>
      </w:r>
      <w:proofErr w:type="spellStart"/>
      <w:r w:rsidRPr="00E74449">
        <w:rPr>
          <w:rFonts w:ascii="Times New Roman" w:eastAsia="Aptos" w:hAnsi="Times New Roman" w:cs="Times New Roman"/>
          <w:kern w:val="2"/>
          <w:sz w:val="24"/>
          <w:szCs w:val="24"/>
          <w14:ligatures w14:val="standardContextual"/>
        </w:rPr>
        <w:t>VIFs</w:t>
      </w:r>
      <w:proofErr w:type="spellEnd"/>
      <w:r w:rsidRPr="00E74449">
        <w:rPr>
          <w:rFonts w:ascii="Times New Roman" w:eastAsia="Aptos" w:hAnsi="Times New Roman" w:cs="Times New Roman"/>
          <w:kern w:val="2"/>
          <w:sz w:val="24"/>
          <w:szCs w:val="24"/>
          <w14:ligatures w14:val="standardContextual"/>
        </w:rPr>
        <w:t xml:space="preserve">. For instance, a study by </w:t>
      </w:r>
      <w:proofErr w:type="spellStart"/>
      <w:r w:rsidRPr="00E74449">
        <w:rPr>
          <w:rFonts w:ascii="Times New Roman" w:eastAsia="Aptos" w:hAnsi="Times New Roman" w:cs="Times New Roman"/>
          <w:kern w:val="2"/>
          <w:sz w:val="24"/>
          <w:szCs w:val="24"/>
          <w14:ligatures w14:val="standardContextual"/>
        </w:rPr>
        <w:t>Naluba</w:t>
      </w:r>
      <w:proofErr w:type="spellEnd"/>
      <w:r w:rsidRPr="00E74449">
        <w:rPr>
          <w:rFonts w:ascii="Times New Roman" w:eastAsia="Aptos" w:hAnsi="Times New Roman" w:cs="Times New Roman"/>
          <w:kern w:val="2"/>
          <w:sz w:val="24"/>
          <w:szCs w:val="24"/>
          <w14:ligatures w14:val="standardContextual"/>
        </w:rPr>
        <w:t xml:space="preserve"> et al. (2023) utilized </w:t>
      </w:r>
      <w:proofErr w:type="spellStart"/>
      <w:r w:rsidRPr="00E74449">
        <w:rPr>
          <w:rFonts w:ascii="Times New Roman" w:eastAsia="Aptos" w:hAnsi="Times New Roman" w:cs="Times New Roman"/>
          <w:kern w:val="2"/>
          <w:sz w:val="24"/>
          <w:szCs w:val="24"/>
          <w14:ligatures w14:val="standardContextual"/>
        </w:rPr>
        <w:t>VIFs</w:t>
      </w:r>
      <w:proofErr w:type="spellEnd"/>
      <w:r w:rsidRPr="00E74449">
        <w:rPr>
          <w:rFonts w:ascii="Times New Roman" w:eastAsia="Aptos" w:hAnsi="Times New Roman" w:cs="Times New Roman"/>
          <w:kern w:val="2"/>
          <w:sz w:val="24"/>
          <w:szCs w:val="24"/>
          <w14:ligatures w14:val="standardContextual"/>
        </w:rPr>
        <w:t xml:space="preserve"> to detect multicollinearity in Nigerian GDP models and found that centered </w:t>
      </w:r>
      <w:proofErr w:type="spellStart"/>
      <w:r w:rsidRPr="00E74449">
        <w:rPr>
          <w:rFonts w:ascii="Times New Roman" w:eastAsia="Aptos" w:hAnsi="Times New Roman" w:cs="Times New Roman"/>
          <w:kern w:val="2"/>
          <w:sz w:val="24"/>
          <w:szCs w:val="24"/>
          <w14:ligatures w14:val="standardContextual"/>
        </w:rPr>
        <w:t>VIFs</w:t>
      </w:r>
      <w:proofErr w:type="spellEnd"/>
      <w:r w:rsidRPr="00E74449">
        <w:rPr>
          <w:rFonts w:ascii="Times New Roman" w:eastAsia="Aptos" w:hAnsi="Times New Roman" w:cs="Times New Roman"/>
          <w:kern w:val="2"/>
          <w:sz w:val="24"/>
          <w:szCs w:val="24"/>
          <w14:ligatures w14:val="standardContextual"/>
        </w:rPr>
        <w:t xml:space="preserve"> below 10 indicate acceptable levels of multicollinearity.</w:t>
      </w:r>
    </w:p>
    <w:p w14:paraId="1134025F" w14:textId="77777777" w:rsidR="00F560B0" w:rsidRPr="00B27000" w:rsidRDefault="009A472F" w:rsidP="00173CCC">
      <w:pPr>
        <w:spacing w:after="200" w:line="276" w:lineRule="auto"/>
        <w:jc w:val="both"/>
        <w:rPr>
          <w:rFonts w:ascii="Times New Roman" w:eastAsia="Calibri" w:hAnsi="Times New Roman" w:cs="Times New Roman"/>
          <w:b/>
          <w:bCs/>
          <w:iCs/>
          <w:sz w:val="24"/>
          <w:szCs w:val="24"/>
        </w:rPr>
      </w:pPr>
      <w:r w:rsidRPr="00E74449">
        <w:rPr>
          <w:rFonts w:ascii="Times New Roman" w:eastAsia="Calibri" w:hAnsi="Times New Roman" w:cs="Times New Roman"/>
          <w:b/>
          <w:bCs/>
          <w:sz w:val="24"/>
          <w:szCs w:val="24"/>
        </w:rPr>
        <w:lastRenderedPageBreak/>
        <w:t xml:space="preserve">Normality Test </w:t>
      </w:r>
    </w:p>
    <w:p w14:paraId="134B9F5A" w14:textId="77777777" w:rsidR="00B27000" w:rsidRDefault="00B27000" w:rsidP="00173CCC">
      <w:pPr>
        <w:spacing w:line="276" w:lineRule="auto"/>
        <w:jc w:val="both"/>
        <w:rPr>
          <w:rFonts w:ascii="Times New Roman" w:hAnsi="Times New Roman" w:cs="Times New Roman"/>
          <w:bCs/>
          <w:sz w:val="24"/>
          <w:szCs w:val="24"/>
        </w:rPr>
      </w:pPr>
    </w:p>
    <w:p w14:paraId="572CF2F2" w14:textId="77777777" w:rsidR="00F560B0" w:rsidRPr="00E74449" w:rsidRDefault="009A472F" w:rsidP="00173CCC">
      <w:pPr>
        <w:spacing w:after="0" w:line="276" w:lineRule="auto"/>
        <w:jc w:val="both"/>
        <w:rPr>
          <w:rFonts w:ascii="Times New Roman" w:hAnsi="Times New Roman" w:cs="Times New Roman"/>
          <w:bCs/>
          <w:sz w:val="24"/>
          <w:szCs w:val="24"/>
        </w:rPr>
      </w:pPr>
      <w:r w:rsidRPr="00E74449">
        <w:rPr>
          <w:rFonts w:ascii="Times New Roman" w:hAnsi="Times New Roman" w:cs="Times New Roman"/>
          <w:bCs/>
          <w:noProof/>
          <w:sz w:val="24"/>
          <w:szCs w:val="24"/>
        </w:rPr>
        <w:drawing>
          <wp:inline distT="0" distB="0" distL="0" distR="0" wp14:anchorId="46EDD9C7" wp14:editId="2DC88D7F">
            <wp:extent cx="5952490" cy="2790190"/>
            <wp:effectExtent l="0" t="0" r="0" b="0"/>
            <wp:docPr id="70934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44722"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52490" cy="2790190"/>
                    </a:xfrm>
                    <a:prstGeom prst="rect">
                      <a:avLst/>
                    </a:prstGeom>
                    <a:noFill/>
                  </pic:spPr>
                </pic:pic>
              </a:graphicData>
            </a:graphic>
          </wp:inline>
        </w:drawing>
      </w:r>
    </w:p>
    <w:p w14:paraId="7271110B" w14:textId="77777777" w:rsidR="00B27000" w:rsidRDefault="00B27000" w:rsidP="00173CCC">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Figure 4.1. The histogram of residuals</w:t>
      </w:r>
    </w:p>
    <w:p w14:paraId="6980C354" w14:textId="0EC759FB" w:rsidR="00B27000" w:rsidRPr="00B27000" w:rsidRDefault="009A472F" w:rsidP="00173CCC">
      <w:pPr>
        <w:spacing w:line="276" w:lineRule="auto"/>
        <w:jc w:val="both"/>
        <w:rPr>
          <w:rFonts w:ascii="Times New Roman" w:hAnsi="Times New Roman" w:cs="Times New Roman"/>
          <w:bCs/>
          <w:sz w:val="24"/>
          <w:szCs w:val="24"/>
        </w:rPr>
      </w:pPr>
      <w:r w:rsidRPr="00E74449">
        <w:rPr>
          <w:rFonts w:ascii="Times New Roman" w:hAnsi="Times New Roman" w:cs="Times New Roman"/>
          <w:bCs/>
          <w:sz w:val="24"/>
          <w:szCs w:val="24"/>
        </w:rPr>
        <w:t xml:space="preserve">The results of the Jarque-Bera normality test indicate that the null hypothesis of normally distributed residuals cannot be rejected, since the test statistic is 0.771890 and the p-value is 0.679808, which is well above the 0.05 significance level. This suggests that the residuals in the model are normally distributed. </w:t>
      </w:r>
    </w:p>
    <w:p w14:paraId="0BD24FAD" w14:textId="77777777" w:rsidR="00F560B0" w:rsidRPr="00E74449" w:rsidRDefault="009A472F" w:rsidP="00173CCC">
      <w:pPr>
        <w:spacing w:line="276" w:lineRule="auto"/>
        <w:jc w:val="both"/>
        <w:rPr>
          <w:rFonts w:ascii="Times New Roman" w:eastAsia="Calibri" w:hAnsi="Times New Roman" w:cs="Times New Roman"/>
          <w:b/>
          <w:sz w:val="24"/>
          <w:szCs w:val="24"/>
        </w:rPr>
      </w:pPr>
      <w:r w:rsidRPr="00E74449">
        <w:rPr>
          <w:rFonts w:ascii="Times New Roman" w:eastAsia="Calibri" w:hAnsi="Times New Roman" w:cs="Times New Roman"/>
          <w:b/>
          <w:sz w:val="24"/>
          <w:szCs w:val="24"/>
        </w:rPr>
        <w:t xml:space="preserve">V. Discussion </w:t>
      </w:r>
      <w:r w:rsidR="00E22626" w:rsidRPr="00E74449">
        <w:rPr>
          <w:rFonts w:ascii="Times New Roman" w:eastAsia="Calibri" w:hAnsi="Times New Roman" w:cs="Times New Roman"/>
          <w:b/>
          <w:sz w:val="24"/>
          <w:szCs w:val="24"/>
        </w:rPr>
        <w:t>of</w:t>
      </w:r>
      <w:r w:rsidRPr="00E74449">
        <w:rPr>
          <w:rFonts w:ascii="Times New Roman" w:eastAsia="Calibri" w:hAnsi="Times New Roman" w:cs="Times New Roman"/>
          <w:b/>
          <w:sz w:val="24"/>
          <w:szCs w:val="24"/>
        </w:rPr>
        <w:t xml:space="preserve"> Findings</w:t>
      </w:r>
    </w:p>
    <w:p w14:paraId="1E475161"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 study examined Agriculture and Technology: The Restoration of Nigeria’s Economic Growth. Pre-estimation diagnostics were conducted to ensure the robustness and reliability of the results. The parameter estimates were derived using Fully Modified Ordinary Least Squares (FMOLS) and Dynamic Ordinary Least Squares (DOLS) methods, both of which confirmed the stability and statistical significance of the models.</w:t>
      </w:r>
    </w:p>
    <w:p w14:paraId="3109AC30"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The empirical findings reveal that agricultural output (AGRIC) has a positive and statistically significant impact on Nigeria’s economic growth. Specifically, the FMOLS results indicate that a 1% increase in agricultural output leads to a 0.25% increase in GDP growth, while the DOLS results show a stronger effect of 0.79%. These findings affirm the pivotal role of the agricultural sector in Nigeria’s economy, supporting the livelihoods of the rural population and driving sustainable economic expansion. This aligns with the work of Udoh and Akpan (2014), who emphasized the importance of agricultural productivity for growth in sub-Saharan Africa. Consequently, sustained investments in mechanization, irrigation, </w:t>
      </w:r>
      <w:proofErr w:type="spellStart"/>
      <w:r w:rsidRPr="00E74449">
        <w:rPr>
          <w:rFonts w:ascii="Times New Roman" w:eastAsia="Calibri" w:hAnsi="Times New Roman" w:cs="Times New Roman"/>
          <w:sz w:val="24"/>
          <w:szCs w:val="24"/>
        </w:rPr>
        <w:t>agro</w:t>
      </w:r>
      <w:proofErr w:type="spellEnd"/>
      <w:r w:rsidRPr="00E74449">
        <w:rPr>
          <w:rFonts w:ascii="Times New Roman" w:eastAsia="Calibri" w:hAnsi="Times New Roman" w:cs="Times New Roman"/>
          <w:sz w:val="24"/>
          <w:szCs w:val="24"/>
        </w:rPr>
        <w:t>-processing, and rural infrastructure are essential policy levers for inclusive economic transformation.</w:t>
      </w:r>
    </w:p>
    <w:p w14:paraId="5B1F7EE2"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lastRenderedPageBreak/>
        <w:t>Contrary to expectations, the literacy rate (LIT) variable did not exhibit a statistically significant relationship with GDP growth in both FMOLS models. This mixed and insignificant effect suggests that improvements in basic literacy alone may not suffice to stimulate economic growth. The quality of education and acquisition of relevant skills appear to be more crucial factors. This is consistent with Okonkwo and Obasi’s (2018) findings, which highlight the prevalence of skill mismatches in Nigeria’s education system, where higher literacy rates do not necessarily translate into increased labor productivity. Therefore, education reforms focusing on vocational, technical, and STEM fields are imperative for boosting human capital and fostering growth.</w:t>
      </w:r>
    </w:p>
    <w:p w14:paraId="62538EF3"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The population size (LPOP) was found to have a significant and positive effect on economic growth in the FMOLS model (β = 3.9890, p &lt; 0.01), indicating that a 1% increase in population is associated with a 3.9% increase in GDP growth. This underscores the potential demographic dividend that Nigeria’s large and growing population can offer. However, this effect loses statistical significance in the DOLS model, pointing to the necessity of effective policy measures to harness this demographic potential. Supporting this view, </w:t>
      </w:r>
      <w:proofErr w:type="spellStart"/>
      <w:r w:rsidRPr="00E74449">
        <w:rPr>
          <w:rFonts w:ascii="Times New Roman" w:eastAsia="Calibri" w:hAnsi="Times New Roman" w:cs="Times New Roman"/>
          <w:sz w:val="24"/>
          <w:szCs w:val="24"/>
        </w:rPr>
        <w:t>Ajakaiye</w:t>
      </w:r>
      <w:proofErr w:type="spellEnd"/>
      <w:r w:rsidRPr="00E74449">
        <w:rPr>
          <w:rFonts w:ascii="Times New Roman" w:eastAsia="Calibri" w:hAnsi="Times New Roman" w:cs="Times New Roman"/>
          <w:sz w:val="24"/>
          <w:szCs w:val="24"/>
        </w:rPr>
        <w:t xml:space="preserve"> et al. (2016) argued that youth-driven population growth can be beneficial if coupled with policies promoting employment, education, and health improvements.</w:t>
      </w:r>
    </w:p>
    <w:p w14:paraId="700711A0" w14:textId="77777777" w:rsidR="00676D6B" w:rsidRPr="00676D6B" w:rsidRDefault="00676D6B" w:rsidP="00676D6B">
      <w:pPr>
        <w:spacing w:after="0" w:line="240" w:lineRule="auto"/>
        <w:jc w:val="both"/>
        <w:rPr>
          <w:rFonts w:ascii="Times New Roman" w:eastAsia="Times New Roman" w:hAnsi="Times New Roman" w:cs="Times New Roman"/>
          <w:sz w:val="24"/>
          <w:szCs w:val="24"/>
          <w:lang w:val="en-GB" w:eastAsia="en-GB"/>
        </w:rPr>
      </w:pPr>
      <w:r w:rsidRPr="00676D6B">
        <w:rPr>
          <w:rFonts w:ascii="Times New Roman" w:eastAsia="Times New Roman" w:hAnsi="Times New Roman" w:cs="Times New Roman"/>
          <w:sz w:val="24"/>
          <w:szCs w:val="24"/>
          <w:lang w:val="en-GB" w:eastAsia="en-GB"/>
        </w:rPr>
        <w:t>Interestingly, research and development expenditure (LR&amp;D) exhibits a negative and statistically significant relationship with economic growth in both models. This paradoxical outcome may reflect structural inefficiencies within Nigeria’s R&amp;D ecosystem, including weak institutional frameworks, poor commercialization of research outputs, and misalignment between research efforts and industrial needs. Onyenekenwa (2018) argues that despite increasing R&amp;D budgets, Nigerian research institutions often fail to translate scientific findings into practical technologies that can stimulate industrial productivity or agricultural innovation. This is compounded by limited private sector engagement, inadequate infrastructure, and a low level of technical skills among researchers, which collectively undermine the potential of R&amp;D to drive economic transformation.</w:t>
      </w:r>
    </w:p>
    <w:p w14:paraId="5A3C0E9A" w14:textId="77777777" w:rsidR="00676D6B" w:rsidRPr="00676D6B" w:rsidRDefault="00676D6B" w:rsidP="00676D6B">
      <w:pPr>
        <w:spacing w:after="0" w:line="240" w:lineRule="auto"/>
        <w:jc w:val="both"/>
        <w:rPr>
          <w:rFonts w:ascii="Times New Roman" w:eastAsia="Times New Roman" w:hAnsi="Times New Roman" w:cs="Times New Roman"/>
          <w:sz w:val="24"/>
          <w:szCs w:val="24"/>
          <w:lang w:val="en-GB" w:eastAsia="en-GB"/>
        </w:rPr>
      </w:pPr>
    </w:p>
    <w:p w14:paraId="3A9FDADE" w14:textId="47304BE7" w:rsidR="00F560B0" w:rsidRDefault="00676D6B" w:rsidP="00676D6B">
      <w:pPr>
        <w:spacing w:after="0" w:line="240" w:lineRule="auto"/>
        <w:jc w:val="both"/>
        <w:rPr>
          <w:rFonts w:ascii="Times New Roman" w:eastAsia="Calibri" w:hAnsi="Times New Roman" w:cs="Times New Roman"/>
          <w:sz w:val="24"/>
          <w:szCs w:val="24"/>
        </w:rPr>
      </w:pPr>
      <w:r w:rsidRPr="00676D6B">
        <w:rPr>
          <w:rFonts w:ascii="Times New Roman" w:eastAsia="Times New Roman" w:hAnsi="Times New Roman" w:cs="Times New Roman"/>
          <w:sz w:val="24"/>
          <w:szCs w:val="24"/>
          <w:lang w:val="en-GB" w:eastAsia="en-GB"/>
        </w:rPr>
        <w:t>Furthermore, empirical evidence from Nigeria shows that a significant portion of R&amp;D expenditure is allocated to theoretical or basic research with minimal linkage to priority sectors such as agriculture, manufacturing, and energy (Okeke &amp; Amaechi, 2021; Udoh &amp; Akpan, 2014). The misalignment between research focus and market needs reduces the effectiveness of investments, as innovations rarely reach commercialization or adoption at scale. Additionally, corruption, bureaucratic bottlenecks, and limited monitoring mechanisms exacerbate inefficiencies, further weakening the R&amp;D-growth nexus. These challenges underscore the urgent need to revamp Nigeria’s R&amp;D system through stronger university-industry collaborations, targeted applied research funding, and institutional reforms that prioritize commercialization and technological diffusion. Strengthening intellectual property rights, promoting technology incubators, and incentivizing private sector participation could transform R&amp;D expenditure from a fiscal outlay into a tangible engine of economic growth</w:t>
      </w:r>
      <w:r w:rsidR="009A472F" w:rsidRPr="00E74449">
        <w:rPr>
          <w:rFonts w:ascii="Times New Roman" w:eastAsia="Calibri" w:hAnsi="Times New Roman" w:cs="Times New Roman"/>
          <w:sz w:val="24"/>
          <w:szCs w:val="24"/>
        </w:rPr>
        <w:t>.</w:t>
      </w:r>
    </w:p>
    <w:p w14:paraId="6CA6E032" w14:textId="77777777" w:rsidR="00CF04FD" w:rsidRPr="00676D6B" w:rsidRDefault="00CF04FD" w:rsidP="00676D6B">
      <w:pPr>
        <w:spacing w:after="0" w:line="240" w:lineRule="auto"/>
        <w:jc w:val="both"/>
        <w:rPr>
          <w:rFonts w:ascii="Times New Roman" w:eastAsia="Times New Roman" w:hAnsi="Times New Roman" w:cs="Times New Roman"/>
          <w:sz w:val="24"/>
          <w:szCs w:val="24"/>
          <w:lang w:val="en-GB" w:eastAsia="en-GB"/>
        </w:rPr>
      </w:pPr>
    </w:p>
    <w:p w14:paraId="219C4147" w14:textId="77777777" w:rsidR="00F560B0" w:rsidRPr="00E74449" w:rsidRDefault="009A472F" w:rsidP="00173CCC">
      <w:pPr>
        <w:spacing w:line="276" w:lineRule="auto"/>
        <w:jc w:val="both"/>
        <w:rPr>
          <w:rFonts w:ascii="Times New Roman" w:eastAsia="Calibri" w:hAnsi="Times New Roman" w:cs="Times New Roman"/>
          <w:b/>
          <w:bCs/>
          <w:sz w:val="24"/>
          <w:szCs w:val="24"/>
        </w:rPr>
      </w:pPr>
      <w:r w:rsidRPr="00E74449">
        <w:rPr>
          <w:rFonts w:ascii="Times New Roman" w:eastAsia="Calibri" w:hAnsi="Times New Roman" w:cs="Times New Roman"/>
          <w:b/>
          <w:bCs/>
          <w:sz w:val="24"/>
          <w:szCs w:val="24"/>
        </w:rPr>
        <w:t>Policy Implications</w:t>
      </w:r>
    </w:p>
    <w:p w14:paraId="02811757"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These findings have several implications for Nigeria's long-term economic policy. First, agriculture should remain at the center of Nigeria’s growth strategy through sustained investments </w:t>
      </w:r>
      <w:r w:rsidRPr="00E74449">
        <w:rPr>
          <w:rFonts w:ascii="Times New Roman" w:eastAsia="Calibri" w:hAnsi="Times New Roman" w:cs="Times New Roman"/>
          <w:sz w:val="24"/>
          <w:szCs w:val="24"/>
        </w:rPr>
        <w:lastRenderedPageBreak/>
        <w:t>in value addition and rural development. Second, while basic literacy is important, greater emphasis should be placed on education quality and employability to achieve human capital-led growth. Third, Nigeria’s growing population must be seen as an economic asset, and appropriate social investments are needed to harness this potential. Finally, the negative impact of R&amp;D underscores the urgency of institutional reform and better alignment of research efforts with Nigeria’s developmental priorities.</w:t>
      </w:r>
    </w:p>
    <w:p w14:paraId="2D691037" w14:textId="77777777" w:rsidR="00F560B0" w:rsidRPr="00E74449" w:rsidRDefault="009A472F" w:rsidP="00173CCC">
      <w:pPr>
        <w:spacing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 xml:space="preserve"> Conclusion </w:t>
      </w:r>
    </w:p>
    <w:p w14:paraId="329FDCE2"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In conclusion, the study reflecting on the importance of agriculture and technology to the restoration of Nigeria's Economic Growth provides empirical evidence on the multifaceted factors influencing Nigeria's economic trajectory. The positive and significant relationship between agricultural output and GDP growth underscores the sector's pivotal role in the nation's economy. This finding aligns with previous research emphasizing agriculture's contribution to economic development in Nigeria. However, the negative impact of R&amp;D expenditure on economic growth highlights the need for effective institutional frameworks and alignment between research activities and industrial needs to harness the potential benefits of R&amp;D investments.</w:t>
      </w:r>
    </w:p>
    <w:p w14:paraId="39E99ED9"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 study also reveals that literacy rates do not have a statistically significant impact on economic growth, suggesting that basic literacy alone may not suffice to drive economic development. This underscores the importance of enhancing the quality of education and aligning it with labor market demands to improve human capital outcomes. Furthermore, while population growth shows a positive relationship with GDP growth in the FMOLS model, the insignificance in the DOLS model indicates the complexity of leveraging demographic changes for economic benefits. This finding resonates with concerns about "jobless growth" in Nigeria, where economic expansion does not translate into proportional employment opportunities.</w:t>
      </w:r>
    </w:p>
    <w:p w14:paraId="527FAF04"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Overall, the study emphasizes the necessity for a comprehensive policy approach that integrates agricultural development, educational reforms, effective R&amp;D strategies, and demographic management to foster sustainable economic growth in Nigeria. By addressing these interconnected factors, policymakers can create an enabling environment that promotes inclusive development and long-term economic stability.</w:t>
      </w:r>
    </w:p>
    <w:p w14:paraId="076A1189" w14:textId="77777777" w:rsidR="00984D15" w:rsidRDefault="009A472F" w:rsidP="00173CCC">
      <w:pPr>
        <w:spacing w:after="0" w:line="276" w:lineRule="auto"/>
        <w:rPr>
          <w:rFonts w:ascii="Times New Roman" w:eastAsia="Times New Roman" w:hAnsi="Times New Roman" w:cs="Times New Roman"/>
          <w:b/>
          <w:bCs/>
          <w:color w:val="000000"/>
          <w:kern w:val="2"/>
          <w:sz w:val="24"/>
          <w:szCs w:val="24"/>
          <w14:ligatures w14:val="standardContextual"/>
        </w:rPr>
      </w:pPr>
      <w:r w:rsidRPr="00E74449">
        <w:rPr>
          <w:rFonts w:ascii="Times New Roman" w:eastAsia="Times New Roman" w:hAnsi="Times New Roman" w:cs="Times New Roman"/>
          <w:b/>
          <w:bCs/>
          <w:color w:val="000000"/>
          <w:kern w:val="2"/>
          <w:sz w:val="24"/>
          <w:szCs w:val="24"/>
          <w14:ligatures w14:val="standardContextual"/>
        </w:rPr>
        <w:t>Recommendations</w:t>
      </w:r>
    </w:p>
    <w:p w14:paraId="0B2F6986" w14:textId="77777777" w:rsidR="00F560B0" w:rsidRDefault="009A472F" w:rsidP="00173CCC">
      <w:pPr>
        <w:spacing w:after="0" w:line="276" w:lineRule="auto"/>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Based on the findings, it is recommended that to revitalize Nigeria's economic growth through agriculture and technology, a multifaceted approach is essential. Investing in agricultural mechanization and irrigation infrastructure can significantly enhance productivity. The International Food Policy Research Institute (</w:t>
      </w:r>
      <w:proofErr w:type="spellStart"/>
      <w:r w:rsidRPr="00E74449">
        <w:rPr>
          <w:rFonts w:ascii="Times New Roman" w:eastAsia="Times New Roman" w:hAnsi="Times New Roman" w:cs="Times New Roman"/>
          <w:color w:val="000000"/>
          <w:kern w:val="2"/>
          <w:sz w:val="24"/>
          <w:szCs w:val="24"/>
          <w14:ligatures w14:val="standardContextual"/>
        </w:rPr>
        <w:t>IFPRI</w:t>
      </w:r>
      <w:proofErr w:type="spellEnd"/>
      <w:r w:rsidRPr="00E74449">
        <w:rPr>
          <w:rFonts w:ascii="Times New Roman" w:eastAsia="Times New Roman" w:hAnsi="Times New Roman" w:cs="Times New Roman"/>
          <w:color w:val="000000"/>
          <w:kern w:val="2"/>
          <w:sz w:val="24"/>
          <w:szCs w:val="24"/>
          <w14:ligatures w14:val="standardContextual"/>
        </w:rPr>
        <w:t xml:space="preserve">) emphasizes the importance of overcoming policy, financial, and technological constraints to support small-scale irrigation, which is crucial for smallholder farmers who constitute a significant portion of Nigeria's agricultural sector. Additionally, the African Development Bank's initiative to mobilize $2.2 billion for establishing </w:t>
      </w:r>
      <w:proofErr w:type="spellStart"/>
      <w:r w:rsidRPr="00E74449">
        <w:rPr>
          <w:rFonts w:ascii="Times New Roman" w:eastAsia="Times New Roman" w:hAnsi="Times New Roman" w:cs="Times New Roman"/>
          <w:color w:val="000000"/>
          <w:kern w:val="2"/>
          <w:sz w:val="24"/>
          <w:szCs w:val="24"/>
          <w14:ligatures w14:val="standardContextual"/>
        </w:rPr>
        <w:t>agro</w:t>
      </w:r>
      <w:proofErr w:type="spellEnd"/>
      <w:r w:rsidRPr="00E74449">
        <w:rPr>
          <w:rFonts w:ascii="Times New Roman" w:eastAsia="Times New Roman" w:hAnsi="Times New Roman" w:cs="Times New Roman"/>
          <w:color w:val="000000"/>
          <w:kern w:val="2"/>
          <w:sz w:val="24"/>
          <w:szCs w:val="24"/>
          <w14:ligatures w14:val="standardContextual"/>
        </w:rPr>
        <w:t xml:space="preserve">-processing zones across 28 Nigerian states aims to reduce post-harvest losses and strengthen </w:t>
      </w:r>
      <w:r w:rsidRPr="00E74449">
        <w:rPr>
          <w:rFonts w:ascii="Times New Roman" w:eastAsia="Times New Roman" w:hAnsi="Times New Roman" w:cs="Times New Roman"/>
          <w:color w:val="000000"/>
          <w:kern w:val="2"/>
          <w:sz w:val="24"/>
          <w:szCs w:val="24"/>
          <w14:ligatures w14:val="standardContextual"/>
        </w:rPr>
        <w:lastRenderedPageBreak/>
        <w:t xml:space="preserve">agricultural value </w:t>
      </w:r>
      <w:r w:rsidR="00984D15" w:rsidRPr="00E74449">
        <w:rPr>
          <w:rFonts w:ascii="Times New Roman" w:eastAsia="Times New Roman" w:hAnsi="Times New Roman" w:cs="Times New Roman"/>
          <w:color w:val="000000"/>
          <w:kern w:val="2"/>
          <w:sz w:val="24"/>
          <w:szCs w:val="24"/>
          <w14:ligatures w14:val="standardContextual"/>
        </w:rPr>
        <w:t xml:space="preserve">chains. </w:t>
      </w:r>
      <w:r w:rsidRPr="00E74449">
        <w:rPr>
          <w:rFonts w:ascii="Times New Roman" w:eastAsia="Times New Roman" w:hAnsi="Times New Roman" w:cs="Times New Roman"/>
          <w:color w:val="000000"/>
          <w:kern w:val="2"/>
          <w:sz w:val="24"/>
          <w:szCs w:val="24"/>
          <w14:ligatures w14:val="standardContextual"/>
        </w:rPr>
        <w:t>Adopting climate-smart agricultural practices, such as drip irrigation, is also vital to address the challenges posed by</w:t>
      </w:r>
      <w:r w:rsidR="00984D15">
        <w:rPr>
          <w:rFonts w:ascii="Times New Roman" w:eastAsia="Times New Roman" w:hAnsi="Times New Roman" w:cs="Times New Roman"/>
          <w:color w:val="000000"/>
          <w:kern w:val="2"/>
          <w:sz w:val="24"/>
          <w:szCs w:val="24"/>
          <w14:ligatures w14:val="standardContextual"/>
        </w:rPr>
        <w:t xml:space="preserve"> climate change and ensure food </w:t>
      </w:r>
      <w:r w:rsidR="00984D15" w:rsidRPr="00E74449">
        <w:rPr>
          <w:rFonts w:ascii="Times New Roman" w:eastAsia="Times New Roman" w:hAnsi="Times New Roman" w:cs="Times New Roman"/>
          <w:color w:val="000000"/>
          <w:kern w:val="2"/>
          <w:sz w:val="24"/>
          <w:szCs w:val="24"/>
          <w14:ligatures w14:val="standardContextual"/>
        </w:rPr>
        <w:t>security.</w:t>
      </w:r>
    </w:p>
    <w:p w14:paraId="5CFD62FF" w14:textId="77777777" w:rsidR="00173CCC" w:rsidRPr="00984D15" w:rsidRDefault="00173CCC" w:rsidP="00173CCC">
      <w:pPr>
        <w:spacing w:after="0" w:line="276" w:lineRule="auto"/>
        <w:jc w:val="both"/>
        <w:rPr>
          <w:rFonts w:ascii="Times New Roman" w:eastAsia="Times New Roman" w:hAnsi="Times New Roman" w:cs="Times New Roman"/>
          <w:b/>
          <w:bCs/>
          <w:color w:val="000000"/>
          <w:kern w:val="2"/>
          <w:sz w:val="24"/>
          <w:szCs w:val="24"/>
          <w14:ligatures w14:val="standardContextual"/>
        </w:rPr>
      </w:pPr>
    </w:p>
    <w:p w14:paraId="34EFE85C" w14:textId="77777777" w:rsidR="00F560B0" w:rsidRPr="00E74449" w:rsidRDefault="009A472F"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 xml:space="preserve">In the same vein, </w:t>
      </w:r>
      <w:r w:rsidR="00984D15" w:rsidRPr="00E74449">
        <w:rPr>
          <w:rFonts w:ascii="Times New Roman" w:eastAsia="Times New Roman" w:hAnsi="Times New Roman" w:cs="Times New Roman"/>
          <w:color w:val="000000"/>
          <w:kern w:val="2"/>
          <w:sz w:val="24"/>
          <w:szCs w:val="24"/>
          <w14:ligatures w14:val="standardContextual"/>
        </w:rPr>
        <w:t>simultaneously</w:t>
      </w:r>
      <w:r w:rsidRPr="00E74449">
        <w:rPr>
          <w:rFonts w:ascii="Times New Roman" w:eastAsia="Times New Roman" w:hAnsi="Times New Roman" w:cs="Times New Roman"/>
          <w:color w:val="000000"/>
          <w:kern w:val="2"/>
          <w:sz w:val="24"/>
          <w:szCs w:val="24"/>
          <w14:ligatures w14:val="standardContextual"/>
        </w:rPr>
        <w:t xml:space="preserve">, enhancing the quality and relevance of education is critical. Prioritizing vocational and STEM education can bridge the skills gap and prepare the workforce for a technology-driven economy. Initiatives like Stem-A-School are making strides in this direction by integrating digital skills into the </w:t>
      </w:r>
      <w:r w:rsidR="00984D15" w:rsidRPr="00E74449">
        <w:rPr>
          <w:rFonts w:ascii="Times New Roman" w:eastAsia="Times New Roman" w:hAnsi="Times New Roman" w:cs="Times New Roman"/>
          <w:color w:val="000000"/>
          <w:kern w:val="2"/>
          <w:sz w:val="24"/>
          <w:szCs w:val="24"/>
          <w14:ligatures w14:val="standardContextual"/>
        </w:rPr>
        <w:t xml:space="preserve">curriculum. </w:t>
      </w:r>
      <w:r w:rsidRPr="00E74449">
        <w:rPr>
          <w:rFonts w:ascii="Times New Roman" w:eastAsia="Times New Roman" w:hAnsi="Times New Roman" w:cs="Times New Roman"/>
          <w:color w:val="000000"/>
          <w:kern w:val="2"/>
          <w:sz w:val="24"/>
          <w:szCs w:val="24"/>
          <w14:ligatures w14:val="standardContextual"/>
        </w:rPr>
        <w:t xml:space="preserve">Moreover, improving teacher training and providing adequate resources are necessary steps to elevate educational </w:t>
      </w:r>
      <w:r w:rsidR="00984D15" w:rsidRPr="00E74449">
        <w:rPr>
          <w:rFonts w:ascii="Times New Roman" w:eastAsia="Times New Roman" w:hAnsi="Times New Roman" w:cs="Times New Roman"/>
          <w:color w:val="000000"/>
          <w:kern w:val="2"/>
          <w:sz w:val="24"/>
          <w:szCs w:val="24"/>
          <w14:ligatures w14:val="standardContextual"/>
        </w:rPr>
        <w:t xml:space="preserve">outcomes. </w:t>
      </w:r>
      <w:r w:rsidRPr="00E74449">
        <w:rPr>
          <w:rFonts w:ascii="Times New Roman" w:eastAsia="Times New Roman" w:hAnsi="Times New Roman" w:cs="Times New Roman"/>
          <w:color w:val="000000"/>
          <w:kern w:val="2"/>
          <w:sz w:val="24"/>
          <w:szCs w:val="24"/>
          <w14:ligatures w14:val="standardContextual"/>
        </w:rPr>
        <w:t xml:space="preserve">Addressing the digital divide by expanding access to ICT infrastructure will further empower students and educators, fostering a more inclusive and innovative educational </w:t>
      </w:r>
      <w:r w:rsidR="00984D15">
        <w:rPr>
          <w:rFonts w:ascii="Times New Roman" w:eastAsia="Times New Roman" w:hAnsi="Times New Roman" w:cs="Times New Roman"/>
          <w:color w:val="000000"/>
          <w:kern w:val="2"/>
          <w:sz w:val="24"/>
          <w:szCs w:val="24"/>
          <w14:ligatures w14:val="standardContextual"/>
        </w:rPr>
        <w:t>environment.</w:t>
      </w:r>
    </w:p>
    <w:p w14:paraId="72B1F17A" w14:textId="77777777" w:rsidR="00F560B0" w:rsidRDefault="009A472F"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This study contributes to the existing body of knowledge by providing empirical evidence on the distinct impacts of agricultural output, literacy rates, population growth, and research and development (R&amp;D) expenditure on Nigeria's economic growth. By employing both Fully Modified Ordinary Least Squares (FMOLS) and Dynamic Ordinary Least Squares (DOLS) models, the research offers understanding of these variables' roles in economic development. The findings highlight the positive influence of agricultural output and population growth on GDP, while revealing the counterintuitive negative effect of R&amp;D expenditure, suggesting inefficiencies in current R&amp;D investments. Additionally, the study underscores the limited impact of basic literacy on economic growth, pointing to the need for more targeted educational reforms. These insights not only fill existing gaps in the literature but also provide a foundation for policymakers to formulate strategies that leverage agriculture and technology for sustainable economic development in Nigeria.</w:t>
      </w:r>
    </w:p>
    <w:p w14:paraId="6E39AE5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A3697F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418FAF1C"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699ECCF"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6E7476C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66A42D6E"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302CCDA7"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6E839A99"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D94B49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9823B59" w14:textId="49CECCD4" w:rsidR="004E6202" w:rsidRPr="004E6202" w:rsidRDefault="004E6202" w:rsidP="004E6202">
      <w:pPr>
        <w:spacing w:before="180" w:after="180" w:line="480" w:lineRule="auto"/>
        <w:ind w:left="720" w:hanging="720"/>
        <w:jc w:val="both"/>
        <w:rPr>
          <w:rFonts w:ascii="Times New Roman" w:eastAsia="Aptos" w:hAnsi="Times New Roman" w:cs="Times New Roman"/>
          <w:b/>
          <w:bCs/>
          <w:sz w:val="24"/>
          <w:szCs w:val="24"/>
        </w:rPr>
      </w:pPr>
      <w:r w:rsidRPr="004E6202">
        <w:rPr>
          <w:rFonts w:ascii="Times New Roman" w:eastAsia="Aptos" w:hAnsi="Times New Roman" w:cs="Times New Roman"/>
          <w:b/>
          <w:bCs/>
          <w:sz w:val="24"/>
          <w:szCs w:val="24"/>
        </w:rPr>
        <w:t>References</w:t>
      </w:r>
    </w:p>
    <w:p w14:paraId="342B894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Adesoye</w:t>
      </w:r>
      <w:proofErr w:type="spellEnd"/>
      <w:r w:rsidRPr="004E6202">
        <w:rPr>
          <w:rFonts w:ascii="Times New Roman" w:eastAsia="Aptos" w:hAnsi="Times New Roman" w:cs="Times New Roman"/>
          <w:sz w:val="24"/>
          <w:szCs w:val="24"/>
        </w:rPr>
        <w:t>, O., Bello, T., &amp; Ogunleye, A. (2024). Enhancing the agricultural value chain and economic diversification in Nigeria: An ARDL approach. Journal of Agricultural Economics and Development, 15(2), 45–63.</w:t>
      </w:r>
    </w:p>
    <w:p w14:paraId="053ED26C"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Ajakaiye</w:t>
      </w:r>
      <w:proofErr w:type="spellEnd"/>
      <w:r w:rsidRPr="004E6202">
        <w:rPr>
          <w:rFonts w:ascii="Times New Roman" w:eastAsia="Aptos" w:hAnsi="Times New Roman" w:cs="Times New Roman"/>
          <w:sz w:val="24"/>
          <w:szCs w:val="24"/>
        </w:rPr>
        <w:t xml:space="preserve">, O., Jerome, A. T., </w:t>
      </w:r>
      <w:proofErr w:type="spellStart"/>
      <w:r w:rsidRPr="004E6202">
        <w:rPr>
          <w:rFonts w:ascii="Times New Roman" w:eastAsia="Aptos" w:hAnsi="Times New Roman" w:cs="Times New Roman"/>
          <w:sz w:val="24"/>
          <w:szCs w:val="24"/>
        </w:rPr>
        <w:t>Nabena</w:t>
      </w:r>
      <w:proofErr w:type="spellEnd"/>
      <w:r w:rsidRPr="004E6202">
        <w:rPr>
          <w:rFonts w:ascii="Times New Roman" w:eastAsia="Aptos" w:hAnsi="Times New Roman" w:cs="Times New Roman"/>
          <w:sz w:val="24"/>
          <w:szCs w:val="24"/>
        </w:rPr>
        <w:t>, D., &amp; Alaba, O. A. (2016). Understanding the relationship between growth and employment in Nigeria. Brookings Institution. https://www.brookings.edu/wp-content/uploads/2016/07/growth-employment-nigeria-ajakaiye-jerome-nabena-alaba.pdf</w:t>
      </w:r>
    </w:p>
    <w:p w14:paraId="561B3A59"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 xml:space="preserve">Aminu, U., &amp; </w:t>
      </w:r>
      <w:proofErr w:type="spellStart"/>
      <w:r w:rsidRPr="004E6202">
        <w:rPr>
          <w:rFonts w:ascii="Times New Roman" w:eastAsia="Aptos" w:hAnsi="Times New Roman" w:cs="Times New Roman"/>
          <w:sz w:val="24"/>
          <w:szCs w:val="24"/>
        </w:rPr>
        <w:t>Anono</w:t>
      </w:r>
      <w:proofErr w:type="spellEnd"/>
      <w:r w:rsidRPr="004E6202">
        <w:rPr>
          <w:rFonts w:ascii="Times New Roman" w:eastAsia="Aptos" w:hAnsi="Times New Roman" w:cs="Times New Roman"/>
          <w:sz w:val="24"/>
          <w:szCs w:val="24"/>
        </w:rPr>
        <w:t>, A. Z. (2012). An empirical analysis of the contribution of agriculture and petroleum sector to the growth and development of the Nigerian economy. International Journal of Social Sciences and Entrepreneurship, 2(4), 1–15. https://ijsse.com/sites/default/files/issues/2012/Volume%202%20Issue%204%2C%202012/paper%2022/Paper-22.pdf</w:t>
      </w:r>
    </w:p>
    <w:p w14:paraId="6D9A3C40"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Anugwom</w:t>
      </w:r>
      <w:proofErr w:type="spellEnd"/>
      <w:r w:rsidRPr="004E6202">
        <w:rPr>
          <w:rFonts w:ascii="Times New Roman" w:eastAsia="Aptos" w:hAnsi="Times New Roman" w:cs="Times New Roman"/>
          <w:sz w:val="24"/>
          <w:szCs w:val="24"/>
        </w:rPr>
        <w:t>, E. (2024). Impact of agricultural sector output on economic growth sustainability in Nigeria. Nigerian Journal of Economic Studies, 12(1), 23–39.</w:t>
      </w:r>
    </w:p>
    <w:p w14:paraId="51064DDF"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Barro, R. J. (2013). Education and economic growth. Annals of Economics and Finance, 14(2), 301–328.</w:t>
      </w:r>
    </w:p>
    <w:p w14:paraId="79E65021"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Benin, S. (2023). Agricultural productivity and economic transformation in developing countries. International Food Policy Research Institute.</w:t>
      </w:r>
    </w:p>
    <w:p w14:paraId="139D0651"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lastRenderedPageBreak/>
        <w:t>Chukwu, P. (2023). Impact of agricultural sub sectors on economic growth in Nigeria (1981–2020). African Journal of Development Economics, 10(3), 101–120.</w:t>
      </w:r>
    </w:p>
    <w:p w14:paraId="0A07FC83"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CIA.gov. (2020). Debt – External. Central Intelligence Agency. Archived from the original on October 16, 2020.</w:t>
      </w:r>
    </w:p>
    <w:p w14:paraId="6F6EF212"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Duntoye</w:t>
      </w:r>
      <w:proofErr w:type="spellEnd"/>
      <w:r w:rsidRPr="004E6202">
        <w:rPr>
          <w:rFonts w:ascii="Times New Roman" w:eastAsia="Aptos" w:hAnsi="Times New Roman" w:cs="Times New Roman"/>
          <w:sz w:val="24"/>
          <w:szCs w:val="24"/>
        </w:rPr>
        <w:t>, S. J. (2020, October 8). With lived poverty on the rise, Nigerians rate government performance as poor. Africa Portal. Archived from the original on November 11, 2022. https://www.africaportal.org</w:t>
      </w:r>
    </w:p>
    <w:p w14:paraId="0E499D7E"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Food and Agriculture Organization. (2022). The state of food and agriculture 2022: Leveraging automation in agriculture for transforming agrifood systems. FAO. https://www.fao.org/publications</w:t>
      </w:r>
    </w:p>
    <w:p w14:paraId="392BB57A"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Healthcare, Expatriate. (2017, December 9). How much does it cost to live in Nigeria? Expatriate healthcare. Archived from the original on November 11, 2022. https://www.expatriatehealthcare.com</w:t>
      </w:r>
    </w:p>
    <w:p w14:paraId="5CDDE6D4"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International Food Policy Research Institute. (2024). Global food policy report 2024. https://www.ifpri.org/publication/global-food-policy-report-2024</w:t>
      </w:r>
    </w:p>
    <w:p w14:paraId="47ED473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Johnston, B. F., &amp; Mellor, J. W. (1961). The role of agriculture in economic development. American Economic Review, 51(4), 566–593.</w:t>
      </w:r>
    </w:p>
    <w:p w14:paraId="74D271B4"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Malthus, T. R. (1798). An essay on the principle of population. J. Johnson.</w:t>
      </w:r>
    </w:p>
    <w:p w14:paraId="48610D56"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Muo</w:t>
      </w:r>
      <w:proofErr w:type="spellEnd"/>
      <w:r w:rsidRPr="004E6202">
        <w:rPr>
          <w:rFonts w:ascii="Times New Roman" w:eastAsia="Aptos" w:hAnsi="Times New Roman" w:cs="Times New Roman"/>
          <w:sz w:val="24"/>
          <w:szCs w:val="24"/>
        </w:rPr>
        <w:t xml:space="preserve">, I. (2016). Skill mismatch and employability in Nigeria: A review of literature. Journal of Advances in Humanities, 4(5), 575–582. </w:t>
      </w:r>
      <w:r w:rsidRPr="004E6202">
        <w:rPr>
          <w:rFonts w:ascii="Times New Roman" w:eastAsia="Aptos" w:hAnsi="Times New Roman" w:cs="Times New Roman"/>
          <w:sz w:val="24"/>
          <w:szCs w:val="24"/>
        </w:rPr>
        <w:lastRenderedPageBreak/>
        <w:t>https://www.researchgate.net/publication/326975547_Skill_Mismatch_and_Employability_in_Nigeria_A_review_of_Literature</w:t>
      </w:r>
    </w:p>
    <w:p w14:paraId="4E497B53"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Naluba</w:t>
      </w:r>
      <w:proofErr w:type="spellEnd"/>
      <w:r w:rsidRPr="004E6202">
        <w:rPr>
          <w:rFonts w:ascii="Times New Roman" w:eastAsia="Aptos" w:hAnsi="Times New Roman" w:cs="Times New Roman"/>
          <w:sz w:val="24"/>
          <w:szCs w:val="24"/>
        </w:rPr>
        <w:t>, R. Z., et al. (2023). Modelling and detecting multicollinearity of some economic variables on the GDP. International Journal of Mathematics Trends and Technology, 69(2), 61–69. https://ijmttjournal.org/public/assets/volume-69/issue-2/IJMTT-V69I2P508.pdf</w:t>
      </w:r>
    </w:p>
    <w:p w14:paraId="740D0C3F"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Nigeria-Consulate-</w:t>
      </w:r>
      <w:proofErr w:type="spellStart"/>
      <w:r w:rsidRPr="004E6202">
        <w:rPr>
          <w:rFonts w:ascii="Times New Roman" w:eastAsia="Aptos" w:hAnsi="Times New Roman" w:cs="Times New Roman"/>
          <w:sz w:val="24"/>
          <w:szCs w:val="24"/>
        </w:rPr>
        <w:t>Frankfurt.De</w:t>
      </w:r>
      <w:proofErr w:type="spellEnd"/>
      <w:r w:rsidRPr="004E6202">
        <w:rPr>
          <w:rFonts w:ascii="Times New Roman" w:eastAsia="Aptos" w:hAnsi="Times New Roman" w:cs="Times New Roman"/>
          <w:sz w:val="24"/>
          <w:szCs w:val="24"/>
        </w:rPr>
        <w:t>. (2020). Nigeria economy. Archived from the original on July 30, 2020.</w:t>
      </w:r>
    </w:p>
    <w:p w14:paraId="339BB8B6"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Ogunjimi, J., &amp; Oladipupo, D. (2018). Dynamics of demographic structure and economic growth in Nigeria. MPRA Paper No. 94988. https://mpra.ub.uni-muenchen.de/94988/</w:t>
      </w:r>
    </w:p>
    <w:p w14:paraId="7809E047"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Okeke, I., &amp; Amaechi, F. (2021). Agricultural development, food security, and economic performance in Nigeria: An ARDL approach. Journal of Food Security and Economic Policy, 8(4), 55–74.</w:t>
      </w:r>
    </w:p>
    <w:p w14:paraId="2DEDEC8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Okonkwo, E., &amp; Obasi, R. (2018). Education and the challenges of skills mismatch in Nigeria: Implications for development. African Journal of Educational Research and Development, 10(1), 1–12.</w:t>
      </w:r>
    </w:p>
    <w:p w14:paraId="1B9867F1"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Onyenekenwa, C. E. (2018). Innovation and research &amp; development as drivers of economic development in Nigeria. Nigerian Journal of Technological Development, 15(1), 33–45. https://doi.org/10.4314/njtd.v15i1.5</w:t>
      </w:r>
    </w:p>
    <w:p w14:paraId="40D83B0D"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Osuagwu, E. (2020). Empirical evidence of a long-run relationship between agriculture and manufacturing industry output in Nigeria. SAGE Open, 10(1), 1–13. https://doi.org/10.1177/2158244019899045</w:t>
      </w:r>
    </w:p>
    <w:p w14:paraId="425E4BE5"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lastRenderedPageBreak/>
        <w:t>Oyinbo</w:t>
      </w:r>
      <w:proofErr w:type="spellEnd"/>
      <w:r w:rsidRPr="004E6202">
        <w:rPr>
          <w:rFonts w:ascii="Times New Roman" w:eastAsia="Aptos" w:hAnsi="Times New Roman" w:cs="Times New Roman"/>
          <w:sz w:val="24"/>
          <w:szCs w:val="24"/>
        </w:rPr>
        <w:t xml:space="preserve">, O., &amp; </w:t>
      </w:r>
      <w:proofErr w:type="spellStart"/>
      <w:r w:rsidRPr="004E6202">
        <w:rPr>
          <w:rFonts w:ascii="Times New Roman" w:eastAsia="Aptos" w:hAnsi="Times New Roman" w:cs="Times New Roman"/>
          <w:sz w:val="24"/>
          <w:szCs w:val="24"/>
        </w:rPr>
        <w:t>Rekwot</w:t>
      </w:r>
      <w:proofErr w:type="spellEnd"/>
      <w:r w:rsidRPr="004E6202">
        <w:rPr>
          <w:rFonts w:ascii="Times New Roman" w:eastAsia="Aptos" w:hAnsi="Times New Roman" w:cs="Times New Roman"/>
          <w:sz w:val="24"/>
          <w:szCs w:val="24"/>
        </w:rPr>
        <w:t>, G. Z. (2014). The relationships of inflationary trend, agricultural productivity and economic growth in Nigeria. CBN Journal of Applied Statistics, 5(1), 35–50. https://www.cbn.gov.ng/out/2014/sd/the%20relationships%20of%20inflationary%20trend%2C%20agricultural%20productivity%20and%20economic%20growth%20in%20nigeria.pdf</w:t>
      </w:r>
    </w:p>
    <w:p w14:paraId="369278C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Raufu</w:t>
      </w:r>
      <w:proofErr w:type="spellEnd"/>
      <w:r w:rsidRPr="004E6202">
        <w:rPr>
          <w:rFonts w:ascii="Times New Roman" w:eastAsia="Aptos" w:hAnsi="Times New Roman" w:cs="Times New Roman"/>
          <w:sz w:val="24"/>
          <w:szCs w:val="24"/>
        </w:rPr>
        <w:t>, M., Abdullahi, S., &amp; Usman, H. (2025). Contribution of agricultural sub sectors to Nigeria’s economic development. Nigerian Journal of Applied Economics, 14(1), 77–95.</w:t>
      </w:r>
    </w:p>
    <w:p w14:paraId="2C30CD1A"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Rogers, S., &amp; Sedghi, A. (2011, April 15). How Fitch, Moody’s, and S&amp;P rate each country’s credit rating. The Guardian. https://www.theguardian.com</w:t>
      </w:r>
    </w:p>
    <w:p w14:paraId="6739319D"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Romer, P. M. (1990). Endogenous technological change. Journal of Political Economy, 98(5), S71–S102.</w:t>
      </w:r>
    </w:p>
    <w:p w14:paraId="183145B4"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Organisation for Economic Co-operation and Development. (2022). Main science and technology indicators 2022. OECD Publishing. https://www.oecd.org/sti/msti.htm</w:t>
      </w:r>
    </w:p>
    <w:p w14:paraId="354BD2EC"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Udoh, E. J., &amp; Akpan, S. B. (2014). Agricultural sub sectors’ outputs and economic growth in Nigeria: Implication for agricultural production intensification. Journal of Agricultural Science, 6(2), 1–10. https://www.researchgate.net/publication/353417593_Agricultural_Sub_Sectors%27_Outputs_and_Economic_Growth_in_Nigeria_Implication_for_Agricultural_Production_Intensification</w:t>
      </w:r>
    </w:p>
    <w:p w14:paraId="38E77AF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lastRenderedPageBreak/>
        <w:t>Udoh, E., &amp; Akpan, U. F. (2014). Public infrastructure spending and economic growth in Nigeria: An autoregressive time series approach. Journal of Infrastructure Development, 6(2), 111–124. https://doi.org/10.1177/0974930614562211</w:t>
      </w:r>
    </w:p>
    <w:p w14:paraId="2365C175"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United Nations. (2023). World economic situation and prospects 2023. https://www.un.org/development/desa/dpad/publication/world-economic-situation-and-prospects-2023/</w:t>
      </w:r>
    </w:p>
    <w:p w14:paraId="11BB69E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World Bank. (2023). World development report 2023. https://www.worldbank.org</w:t>
      </w:r>
    </w:p>
    <w:p w14:paraId="5DDB09A0"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World Economic Forum. (Various Reports). Global Competitiveness Report; Africa Competitiveness Report. https://www.weforum.org</w:t>
      </w:r>
    </w:p>
    <w:p w14:paraId="11CA5096" w14:textId="77777777" w:rsidR="004E6202" w:rsidRPr="00B27000" w:rsidRDefault="004E6202"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p>
    <w:sectPr w:rsidR="004E6202" w:rsidRPr="00B27000" w:rsidSect="002D104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BD36" w14:textId="77777777" w:rsidR="005E5D4C" w:rsidRDefault="005E5D4C">
      <w:pPr>
        <w:spacing w:line="240" w:lineRule="auto"/>
      </w:pPr>
      <w:r>
        <w:separator/>
      </w:r>
    </w:p>
  </w:endnote>
  <w:endnote w:type="continuationSeparator" w:id="0">
    <w:p w14:paraId="6825FB40" w14:textId="77777777" w:rsidR="005E5D4C" w:rsidRDefault="005E5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charset w:val="80"/>
    <w:family w:val="auto"/>
    <w:pitch w:val="default"/>
    <w:sig w:usb0="00000000" w:usb1="00000000" w:usb2="00000010" w:usb3="00000000" w:csb0="0002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79397"/>
      <w:docPartObj>
        <w:docPartGallery w:val="Page Numbers (Bottom of Page)"/>
        <w:docPartUnique/>
      </w:docPartObj>
    </w:sdtPr>
    <w:sdtContent>
      <w:p w14:paraId="7558CAFE" w14:textId="3B62E40B" w:rsidR="0031554E" w:rsidRDefault="0031554E">
        <w:pPr>
          <w:pStyle w:val="Footer"/>
          <w:jc w:val="center"/>
        </w:pPr>
        <w:r>
          <w:fldChar w:fldCharType="begin"/>
        </w:r>
        <w:r>
          <w:instrText>PAGE   \* MERGEFORMAT</w:instrText>
        </w:r>
        <w:r>
          <w:fldChar w:fldCharType="separate"/>
        </w:r>
        <w:r>
          <w:rPr>
            <w:lang w:val="en-GB"/>
          </w:rPr>
          <w:t>2</w:t>
        </w:r>
        <w:r>
          <w:fldChar w:fldCharType="end"/>
        </w:r>
      </w:p>
    </w:sdtContent>
  </w:sdt>
  <w:p w14:paraId="2B37EC15" w14:textId="375FE81F" w:rsidR="00E74449" w:rsidRDefault="00E7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6F79" w14:textId="77777777" w:rsidR="005E5D4C" w:rsidRDefault="005E5D4C">
      <w:pPr>
        <w:spacing w:after="0"/>
      </w:pPr>
      <w:r>
        <w:separator/>
      </w:r>
    </w:p>
  </w:footnote>
  <w:footnote w:type="continuationSeparator" w:id="0">
    <w:p w14:paraId="608F8831" w14:textId="77777777" w:rsidR="005E5D4C" w:rsidRDefault="005E5D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66F6E"/>
    <w:multiLevelType w:val="hybridMultilevel"/>
    <w:tmpl w:val="84F6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15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EF"/>
    <w:rsid w:val="00001EC0"/>
    <w:rsid w:val="00005990"/>
    <w:rsid w:val="00006F00"/>
    <w:rsid w:val="000450DC"/>
    <w:rsid w:val="00063CBC"/>
    <w:rsid w:val="00073BDA"/>
    <w:rsid w:val="000871EF"/>
    <w:rsid w:val="0009728D"/>
    <w:rsid w:val="000B518F"/>
    <w:rsid w:val="000E5002"/>
    <w:rsid w:val="000E5521"/>
    <w:rsid w:val="00112DCF"/>
    <w:rsid w:val="00126477"/>
    <w:rsid w:val="0014371F"/>
    <w:rsid w:val="0014698E"/>
    <w:rsid w:val="001475F3"/>
    <w:rsid w:val="00152840"/>
    <w:rsid w:val="0016680B"/>
    <w:rsid w:val="00170766"/>
    <w:rsid w:val="0017390F"/>
    <w:rsid w:val="00173CCC"/>
    <w:rsid w:val="00177F8C"/>
    <w:rsid w:val="00180795"/>
    <w:rsid w:val="001A5629"/>
    <w:rsid w:val="001C73F4"/>
    <w:rsid w:val="001D1150"/>
    <w:rsid w:val="001D2246"/>
    <w:rsid w:val="001D4FF4"/>
    <w:rsid w:val="001D7702"/>
    <w:rsid w:val="001E38F0"/>
    <w:rsid w:val="001E727F"/>
    <w:rsid w:val="001F1D6B"/>
    <w:rsid w:val="00204AE9"/>
    <w:rsid w:val="002072E3"/>
    <w:rsid w:val="0021553A"/>
    <w:rsid w:val="002209C9"/>
    <w:rsid w:val="0023392C"/>
    <w:rsid w:val="002651E3"/>
    <w:rsid w:val="0027604A"/>
    <w:rsid w:val="00291502"/>
    <w:rsid w:val="002A0446"/>
    <w:rsid w:val="002A4600"/>
    <w:rsid w:val="002C129D"/>
    <w:rsid w:val="002C3B03"/>
    <w:rsid w:val="002D0ACB"/>
    <w:rsid w:val="002D1040"/>
    <w:rsid w:val="002D464F"/>
    <w:rsid w:val="002D68ED"/>
    <w:rsid w:val="002D6EEE"/>
    <w:rsid w:val="002E2FD5"/>
    <w:rsid w:val="003051E5"/>
    <w:rsid w:val="0031554E"/>
    <w:rsid w:val="0032116C"/>
    <w:rsid w:val="00327E5D"/>
    <w:rsid w:val="00331B7A"/>
    <w:rsid w:val="00336BA4"/>
    <w:rsid w:val="003641E8"/>
    <w:rsid w:val="003648F3"/>
    <w:rsid w:val="00366048"/>
    <w:rsid w:val="00383DC3"/>
    <w:rsid w:val="003A0B22"/>
    <w:rsid w:val="003C25D8"/>
    <w:rsid w:val="003C3F40"/>
    <w:rsid w:val="003C45ED"/>
    <w:rsid w:val="003D1CAA"/>
    <w:rsid w:val="003D5117"/>
    <w:rsid w:val="003D5C9D"/>
    <w:rsid w:val="003E6B3E"/>
    <w:rsid w:val="003E6F48"/>
    <w:rsid w:val="003F1CE1"/>
    <w:rsid w:val="004122EF"/>
    <w:rsid w:val="004204C0"/>
    <w:rsid w:val="00453620"/>
    <w:rsid w:val="0045731A"/>
    <w:rsid w:val="00457961"/>
    <w:rsid w:val="004636BF"/>
    <w:rsid w:val="004820C7"/>
    <w:rsid w:val="00483BAA"/>
    <w:rsid w:val="00492E0F"/>
    <w:rsid w:val="00494446"/>
    <w:rsid w:val="004A0F9F"/>
    <w:rsid w:val="004A711E"/>
    <w:rsid w:val="004A7ABC"/>
    <w:rsid w:val="004B0E90"/>
    <w:rsid w:val="004B2D2E"/>
    <w:rsid w:val="004B59DF"/>
    <w:rsid w:val="004E1DF4"/>
    <w:rsid w:val="004E6202"/>
    <w:rsid w:val="004F0D85"/>
    <w:rsid w:val="0050231D"/>
    <w:rsid w:val="00533859"/>
    <w:rsid w:val="00534788"/>
    <w:rsid w:val="005659E7"/>
    <w:rsid w:val="005846BB"/>
    <w:rsid w:val="00586AEA"/>
    <w:rsid w:val="00590A21"/>
    <w:rsid w:val="005A6B7E"/>
    <w:rsid w:val="005C1CCA"/>
    <w:rsid w:val="005C7E18"/>
    <w:rsid w:val="005D2D78"/>
    <w:rsid w:val="005D5890"/>
    <w:rsid w:val="005E3C26"/>
    <w:rsid w:val="005E4A8D"/>
    <w:rsid w:val="005E551F"/>
    <w:rsid w:val="005E5D4C"/>
    <w:rsid w:val="005E6F0C"/>
    <w:rsid w:val="005F0205"/>
    <w:rsid w:val="005F0AFD"/>
    <w:rsid w:val="005F237E"/>
    <w:rsid w:val="005F35C3"/>
    <w:rsid w:val="006077D9"/>
    <w:rsid w:val="00621E80"/>
    <w:rsid w:val="00627E4B"/>
    <w:rsid w:val="006308A0"/>
    <w:rsid w:val="006308CA"/>
    <w:rsid w:val="00641418"/>
    <w:rsid w:val="00676D6B"/>
    <w:rsid w:val="00677130"/>
    <w:rsid w:val="006848B2"/>
    <w:rsid w:val="00687E61"/>
    <w:rsid w:val="006A0E18"/>
    <w:rsid w:val="006A44E5"/>
    <w:rsid w:val="006C6786"/>
    <w:rsid w:val="006D27D6"/>
    <w:rsid w:val="006D43DE"/>
    <w:rsid w:val="006D7995"/>
    <w:rsid w:val="006F0F69"/>
    <w:rsid w:val="006F6045"/>
    <w:rsid w:val="006F6673"/>
    <w:rsid w:val="0070606B"/>
    <w:rsid w:val="00712FE2"/>
    <w:rsid w:val="00713909"/>
    <w:rsid w:val="007148F5"/>
    <w:rsid w:val="007325C4"/>
    <w:rsid w:val="007424AE"/>
    <w:rsid w:val="00742E8A"/>
    <w:rsid w:val="00743B5B"/>
    <w:rsid w:val="00751B53"/>
    <w:rsid w:val="00754724"/>
    <w:rsid w:val="00754C5B"/>
    <w:rsid w:val="007574E0"/>
    <w:rsid w:val="007679C6"/>
    <w:rsid w:val="00774E49"/>
    <w:rsid w:val="00794EB3"/>
    <w:rsid w:val="00797FFE"/>
    <w:rsid w:val="007A27C1"/>
    <w:rsid w:val="007B1788"/>
    <w:rsid w:val="007B673E"/>
    <w:rsid w:val="007C016D"/>
    <w:rsid w:val="007D5867"/>
    <w:rsid w:val="00800B7E"/>
    <w:rsid w:val="00806030"/>
    <w:rsid w:val="00807861"/>
    <w:rsid w:val="0081082E"/>
    <w:rsid w:val="00816270"/>
    <w:rsid w:val="00827DC1"/>
    <w:rsid w:val="008415C2"/>
    <w:rsid w:val="00850722"/>
    <w:rsid w:val="00860EC0"/>
    <w:rsid w:val="00875B70"/>
    <w:rsid w:val="00880B32"/>
    <w:rsid w:val="00883C83"/>
    <w:rsid w:val="00894AB8"/>
    <w:rsid w:val="00895839"/>
    <w:rsid w:val="008A1FEC"/>
    <w:rsid w:val="008A65D3"/>
    <w:rsid w:val="008B55E1"/>
    <w:rsid w:val="008B6341"/>
    <w:rsid w:val="008B68CA"/>
    <w:rsid w:val="008B74ED"/>
    <w:rsid w:val="008C4C07"/>
    <w:rsid w:val="008D1779"/>
    <w:rsid w:val="008E0087"/>
    <w:rsid w:val="008E3C44"/>
    <w:rsid w:val="009154C1"/>
    <w:rsid w:val="009251E6"/>
    <w:rsid w:val="00927DA9"/>
    <w:rsid w:val="00936409"/>
    <w:rsid w:val="00936AA5"/>
    <w:rsid w:val="00962847"/>
    <w:rsid w:val="0097565C"/>
    <w:rsid w:val="009834EC"/>
    <w:rsid w:val="009836CE"/>
    <w:rsid w:val="00984D15"/>
    <w:rsid w:val="0098684A"/>
    <w:rsid w:val="00991768"/>
    <w:rsid w:val="00995D1B"/>
    <w:rsid w:val="009A472F"/>
    <w:rsid w:val="009B0BE6"/>
    <w:rsid w:val="009B0EE6"/>
    <w:rsid w:val="009C4AEA"/>
    <w:rsid w:val="009C5966"/>
    <w:rsid w:val="009D4E2B"/>
    <w:rsid w:val="009E4E75"/>
    <w:rsid w:val="00A03614"/>
    <w:rsid w:val="00A04CEF"/>
    <w:rsid w:val="00A04ED4"/>
    <w:rsid w:val="00A06BA5"/>
    <w:rsid w:val="00A22EBE"/>
    <w:rsid w:val="00A3138D"/>
    <w:rsid w:val="00A3289F"/>
    <w:rsid w:val="00A47ADD"/>
    <w:rsid w:val="00A54D94"/>
    <w:rsid w:val="00A558A2"/>
    <w:rsid w:val="00A741F2"/>
    <w:rsid w:val="00A809C2"/>
    <w:rsid w:val="00A90BEB"/>
    <w:rsid w:val="00A950D4"/>
    <w:rsid w:val="00AA13A8"/>
    <w:rsid w:val="00AE4571"/>
    <w:rsid w:val="00AF3518"/>
    <w:rsid w:val="00B03B7D"/>
    <w:rsid w:val="00B13A84"/>
    <w:rsid w:val="00B17621"/>
    <w:rsid w:val="00B25AAC"/>
    <w:rsid w:val="00B27000"/>
    <w:rsid w:val="00B27676"/>
    <w:rsid w:val="00B32A4F"/>
    <w:rsid w:val="00B33CCA"/>
    <w:rsid w:val="00B45E48"/>
    <w:rsid w:val="00B46797"/>
    <w:rsid w:val="00B512B3"/>
    <w:rsid w:val="00B51675"/>
    <w:rsid w:val="00B6244B"/>
    <w:rsid w:val="00B62AD4"/>
    <w:rsid w:val="00B707AC"/>
    <w:rsid w:val="00B77D93"/>
    <w:rsid w:val="00B85315"/>
    <w:rsid w:val="00B90D86"/>
    <w:rsid w:val="00B92257"/>
    <w:rsid w:val="00B9383C"/>
    <w:rsid w:val="00B9396F"/>
    <w:rsid w:val="00B971B8"/>
    <w:rsid w:val="00B972F5"/>
    <w:rsid w:val="00BC0E2B"/>
    <w:rsid w:val="00BC3B1D"/>
    <w:rsid w:val="00BC40A5"/>
    <w:rsid w:val="00BC61CC"/>
    <w:rsid w:val="00BD241D"/>
    <w:rsid w:val="00BE2866"/>
    <w:rsid w:val="00BE6490"/>
    <w:rsid w:val="00BE767F"/>
    <w:rsid w:val="00BF19DA"/>
    <w:rsid w:val="00BF795E"/>
    <w:rsid w:val="00C167B9"/>
    <w:rsid w:val="00C169EB"/>
    <w:rsid w:val="00C2542E"/>
    <w:rsid w:val="00C500FE"/>
    <w:rsid w:val="00C70365"/>
    <w:rsid w:val="00C8268F"/>
    <w:rsid w:val="00C94854"/>
    <w:rsid w:val="00CC43BB"/>
    <w:rsid w:val="00CC572B"/>
    <w:rsid w:val="00CD603F"/>
    <w:rsid w:val="00CE487C"/>
    <w:rsid w:val="00CF04FD"/>
    <w:rsid w:val="00D0567E"/>
    <w:rsid w:val="00D15254"/>
    <w:rsid w:val="00D4035D"/>
    <w:rsid w:val="00D43BBD"/>
    <w:rsid w:val="00D453A2"/>
    <w:rsid w:val="00D53976"/>
    <w:rsid w:val="00D5799C"/>
    <w:rsid w:val="00D66D42"/>
    <w:rsid w:val="00D75559"/>
    <w:rsid w:val="00D85291"/>
    <w:rsid w:val="00DB0A96"/>
    <w:rsid w:val="00DB1695"/>
    <w:rsid w:val="00DB3660"/>
    <w:rsid w:val="00DC1419"/>
    <w:rsid w:val="00DD1916"/>
    <w:rsid w:val="00DD30C9"/>
    <w:rsid w:val="00DE088A"/>
    <w:rsid w:val="00DF029A"/>
    <w:rsid w:val="00DF29CF"/>
    <w:rsid w:val="00DF3E79"/>
    <w:rsid w:val="00E12807"/>
    <w:rsid w:val="00E22626"/>
    <w:rsid w:val="00E32968"/>
    <w:rsid w:val="00E42CCB"/>
    <w:rsid w:val="00E511CE"/>
    <w:rsid w:val="00E57AF4"/>
    <w:rsid w:val="00E74449"/>
    <w:rsid w:val="00EA4BE8"/>
    <w:rsid w:val="00EA6C3F"/>
    <w:rsid w:val="00EC0273"/>
    <w:rsid w:val="00ED2EB1"/>
    <w:rsid w:val="00ED7136"/>
    <w:rsid w:val="00EE059D"/>
    <w:rsid w:val="00EE1FC9"/>
    <w:rsid w:val="00EE38D6"/>
    <w:rsid w:val="00F03B5B"/>
    <w:rsid w:val="00F22636"/>
    <w:rsid w:val="00F237DB"/>
    <w:rsid w:val="00F2492E"/>
    <w:rsid w:val="00F26456"/>
    <w:rsid w:val="00F41F19"/>
    <w:rsid w:val="00F504CA"/>
    <w:rsid w:val="00F52CA0"/>
    <w:rsid w:val="00F560B0"/>
    <w:rsid w:val="00F57CC6"/>
    <w:rsid w:val="00F76880"/>
    <w:rsid w:val="00F86AE8"/>
    <w:rsid w:val="00FA0C0B"/>
    <w:rsid w:val="00FB1310"/>
    <w:rsid w:val="00FB19E5"/>
    <w:rsid w:val="00FC4E00"/>
    <w:rsid w:val="00FE4B1B"/>
    <w:rsid w:val="00FF4109"/>
    <w:rsid w:val="00FF5EC9"/>
    <w:rsid w:val="00FF74B9"/>
    <w:rsid w:val="06EE7FEB"/>
    <w:rsid w:val="0C870FB4"/>
    <w:rsid w:val="149C26F7"/>
    <w:rsid w:val="39CD3854"/>
    <w:rsid w:val="4E30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EB6A"/>
  <w15:docId w15:val="{54600E49-F89E-4DFA-BB3C-8A87D3F5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pPr>
      <w:keepNext/>
      <w:keepLines/>
      <w:spacing w:after="264" w:line="259" w:lineRule="auto"/>
      <w:ind w:left="10" w:hanging="10"/>
      <w:outlineLvl w:val="0"/>
    </w:pPr>
    <w:rPr>
      <w:rFonts w:ascii="Calibri" w:eastAsia="Calibri" w:hAnsi="Calibri" w:cs="Calibri"/>
      <w:color w:val="0F4761"/>
      <w:kern w:val="2"/>
      <w:sz w:val="28"/>
      <w:szCs w:val="22"/>
      <w14:ligatures w14:val="standardContextual"/>
    </w:rPr>
  </w:style>
  <w:style w:type="paragraph" w:styleId="Heading2">
    <w:name w:val="heading 2"/>
    <w:next w:val="Normal"/>
    <w:link w:val="Heading2Char"/>
    <w:uiPriority w:val="9"/>
    <w:unhideWhenUsed/>
    <w:qFormat/>
    <w:pPr>
      <w:keepNext/>
      <w:keepLines/>
      <w:spacing w:after="303" w:line="259" w:lineRule="auto"/>
      <w:ind w:left="10" w:hanging="10"/>
      <w:outlineLvl w:val="1"/>
    </w:pPr>
    <w:rPr>
      <w:rFonts w:ascii="Calibri" w:eastAsia="Calibri" w:hAnsi="Calibri" w:cs="Calibri"/>
      <w:i/>
      <w:color w:val="0F4761"/>
      <w:kern w:val="2"/>
      <w:sz w:val="24"/>
      <w:szCs w:val="22"/>
      <w14:ligatures w14:val="standardContextual"/>
    </w:rPr>
  </w:style>
  <w:style w:type="paragraph" w:styleId="Heading3">
    <w:name w:val="heading 3"/>
    <w:basedOn w:val="Normal"/>
    <w:next w:val="Normal"/>
    <w:link w:val="Heading3Char"/>
    <w:uiPriority w:val="9"/>
    <w:semiHidden/>
    <w:unhideWhenUsed/>
    <w:qFormat/>
    <w:pPr>
      <w:keepNext/>
      <w:keepLines/>
      <w:spacing w:before="40" w:after="0"/>
      <w:outlineLvl w:val="2"/>
    </w:pPr>
    <w:rPr>
      <w:rFonts w:eastAsia="Times New Roman" w:cs="Times New Roman"/>
      <w:color w:val="2F5496"/>
      <w:sz w:val="28"/>
      <w:szCs w:val="28"/>
      <w:lang w:val="en-GB"/>
    </w:rPr>
  </w:style>
  <w:style w:type="paragraph" w:styleId="Heading4">
    <w:name w:val="heading 4"/>
    <w:basedOn w:val="Normal"/>
    <w:next w:val="Normal"/>
    <w:link w:val="Heading4Char"/>
    <w:uiPriority w:val="9"/>
    <w:semiHidden/>
    <w:unhideWhenUsed/>
    <w:qFormat/>
    <w:pPr>
      <w:keepNext/>
      <w:keepLines/>
      <w:spacing w:before="40" w:after="0"/>
      <w:outlineLvl w:val="3"/>
    </w:pPr>
    <w:rPr>
      <w:rFonts w:eastAsia="Times New Roman" w:cs="Times New Roman"/>
      <w:i/>
      <w:iCs/>
      <w:color w:val="2F5496"/>
      <w:sz w:val="24"/>
      <w:szCs w:val="24"/>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eastAsia="Times New Roman" w:cs="Times New Roman"/>
      <w:color w:val="2F5496"/>
      <w:sz w:val="24"/>
      <w:szCs w:val="24"/>
      <w:lang w:val="en-GB"/>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imes New Roman" w:cs="Times New Roman"/>
      <w:i/>
      <w:iCs/>
      <w:color w:val="595959"/>
      <w:sz w:val="24"/>
      <w:szCs w:val="24"/>
      <w:lang w:val="en-GB"/>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imes New Roman" w:cs="Times New Roman"/>
      <w:color w:val="595959"/>
      <w:sz w:val="24"/>
      <w:szCs w:val="24"/>
      <w:lang w:val="en-GB"/>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imes New Roman" w:cs="Times New Roman"/>
      <w:i/>
      <w:iCs/>
      <w:color w:val="272727"/>
      <w:sz w:val="24"/>
      <w:szCs w:val="24"/>
      <w:lang w:val="en-GB"/>
    </w:rPr>
  </w:style>
  <w:style w:type="paragraph" w:styleId="Heading9">
    <w:name w:val="heading 9"/>
    <w:basedOn w:val="Normal"/>
    <w:next w:val="Normal"/>
    <w:link w:val="Heading9Char"/>
    <w:uiPriority w:val="9"/>
    <w:semiHidden/>
    <w:unhideWhenUsed/>
    <w:qFormat/>
    <w:pPr>
      <w:keepNext/>
      <w:keepLines/>
      <w:spacing w:before="40" w:after="0"/>
      <w:outlineLvl w:val="8"/>
    </w:pPr>
    <w:rPr>
      <w:rFonts w:eastAsia="Times New Roman" w:cs="Times New Roman"/>
      <w:color w:val="272727"/>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imes New Roman" w:cs="Times New Roman"/>
      <w:color w:val="595959"/>
      <w:spacing w:val="15"/>
      <w:sz w:val="28"/>
      <w:szCs w:val="28"/>
      <w:lang w:val="en-GB"/>
    </w:rPr>
  </w:style>
  <w:style w:type="table" w:styleId="TableGrid">
    <w:name w:val="Table Grid"/>
    <w:basedOn w:val="TableNormal"/>
    <w:uiPriority w:val="39"/>
    <w:qFormat/>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cs="Times New Roman"/>
      <w:spacing w:val="-10"/>
      <w:kern w:val="28"/>
      <w:sz w:val="56"/>
      <w:szCs w:val="56"/>
      <w:lang w:val="en-GB"/>
    </w:rPr>
  </w:style>
  <w:style w:type="paragraph" w:styleId="ListParagraph">
    <w:name w:val="List Paragraph"/>
    <w:basedOn w:val="Normal"/>
    <w:uiPriority w:val="34"/>
    <w:qFormat/>
    <w:pPr>
      <w:spacing w:after="0"/>
      <w:ind w:left="720"/>
      <w:contextualSpacing/>
    </w:pPr>
    <w:rPr>
      <w:rFonts w:ascii="Calibri" w:eastAsia="Calibri" w:hAnsi="Calibri" w:cs="Calibri"/>
    </w:rPr>
  </w:style>
  <w:style w:type="paragraph" w:customStyle="1" w:styleId="comp">
    <w:name w:val="com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w:eastAsia="Calibri" w:hAnsi="Calibri" w:cs="Calibri"/>
      <w:color w:val="0F4761"/>
      <w:kern w:val="2"/>
      <w:sz w:val="28"/>
      <w14:ligatures w14:val="standardContextual"/>
    </w:rPr>
  </w:style>
  <w:style w:type="character" w:customStyle="1" w:styleId="Heading2Char">
    <w:name w:val="Heading 2 Char"/>
    <w:basedOn w:val="DefaultParagraphFont"/>
    <w:link w:val="Heading2"/>
    <w:uiPriority w:val="9"/>
    <w:qFormat/>
    <w:rPr>
      <w:rFonts w:ascii="Calibri" w:eastAsia="Calibri" w:hAnsi="Calibri" w:cs="Calibri"/>
      <w:i/>
      <w:color w:val="0F4761"/>
      <w:kern w:val="2"/>
      <w:sz w:val="24"/>
      <w14:ligatures w14:val="standardContextual"/>
    </w:rPr>
  </w:style>
  <w:style w:type="character" w:customStyle="1" w:styleId="Heading3Char">
    <w:name w:val="Heading 3 Char"/>
    <w:basedOn w:val="DefaultParagraphFont"/>
    <w:link w:val="Heading3"/>
    <w:uiPriority w:val="9"/>
    <w:semiHidden/>
    <w:qFormat/>
    <w:rPr>
      <w:rFonts w:eastAsia="Times New Roman" w:cs="Times New Roman"/>
      <w:color w:val="2F5496"/>
      <w:sz w:val="28"/>
      <w:szCs w:val="28"/>
      <w:lang w:val="en-GB"/>
    </w:rPr>
  </w:style>
  <w:style w:type="character" w:customStyle="1" w:styleId="Heading4Char">
    <w:name w:val="Heading 4 Char"/>
    <w:basedOn w:val="DefaultParagraphFont"/>
    <w:link w:val="Heading4"/>
    <w:uiPriority w:val="9"/>
    <w:semiHidden/>
    <w:qFormat/>
    <w:rPr>
      <w:rFonts w:eastAsia="Times New Roman" w:cs="Times New Roman"/>
      <w:i/>
      <w:iCs/>
      <w:color w:val="2F5496"/>
      <w:sz w:val="24"/>
      <w:szCs w:val="24"/>
      <w:lang w:val="en-GB"/>
    </w:rPr>
  </w:style>
  <w:style w:type="character" w:customStyle="1" w:styleId="Heading5Char">
    <w:name w:val="Heading 5 Char"/>
    <w:basedOn w:val="DefaultParagraphFont"/>
    <w:link w:val="Heading5"/>
    <w:uiPriority w:val="9"/>
    <w:semiHidden/>
    <w:qFormat/>
    <w:rPr>
      <w:rFonts w:eastAsia="Times New Roman" w:cs="Times New Roman"/>
      <w:color w:val="2F5496"/>
      <w:sz w:val="24"/>
      <w:szCs w:val="24"/>
      <w:lang w:val="en-GB"/>
    </w:rPr>
  </w:style>
  <w:style w:type="character" w:customStyle="1" w:styleId="Heading6Char">
    <w:name w:val="Heading 6 Char"/>
    <w:basedOn w:val="DefaultParagraphFont"/>
    <w:link w:val="Heading6"/>
    <w:uiPriority w:val="9"/>
    <w:semiHidden/>
    <w:qFormat/>
    <w:rPr>
      <w:rFonts w:eastAsia="Times New Roman" w:cs="Times New Roman"/>
      <w:i/>
      <w:iCs/>
      <w:color w:val="595959"/>
      <w:sz w:val="24"/>
      <w:szCs w:val="24"/>
      <w:lang w:val="en-GB"/>
    </w:rPr>
  </w:style>
  <w:style w:type="character" w:customStyle="1" w:styleId="Heading7Char">
    <w:name w:val="Heading 7 Char"/>
    <w:basedOn w:val="DefaultParagraphFont"/>
    <w:link w:val="Heading7"/>
    <w:uiPriority w:val="9"/>
    <w:semiHidden/>
    <w:qFormat/>
    <w:rPr>
      <w:rFonts w:eastAsia="Times New Roman" w:cs="Times New Roman"/>
      <w:color w:val="595959"/>
      <w:sz w:val="24"/>
      <w:szCs w:val="24"/>
      <w:lang w:val="en-GB"/>
    </w:rPr>
  </w:style>
  <w:style w:type="character" w:customStyle="1" w:styleId="Heading8Char">
    <w:name w:val="Heading 8 Char"/>
    <w:basedOn w:val="DefaultParagraphFont"/>
    <w:link w:val="Heading8"/>
    <w:uiPriority w:val="9"/>
    <w:semiHidden/>
    <w:qFormat/>
    <w:rPr>
      <w:rFonts w:eastAsia="Times New Roman" w:cs="Times New Roman"/>
      <w:i/>
      <w:iCs/>
      <w:color w:val="272727"/>
      <w:sz w:val="24"/>
      <w:szCs w:val="24"/>
      <w:lang w:val="en-GB"/>
    </w:rPr>
  </w:style>
  <w:style w:type="character" w:customStyle="1" w:styleId="Heading9Char">
    <w:name w:val="Heading 9 Char"/>
    <w:basedOn w:val="DefaultParagraphFont"/>
    <w:link w:val="Heading9"/>
    <w:uiPriority w:val="9"/>
    <w:semiHidden/>
    <w:qFormat/>
    <w:rPr>
      <w:rFonts w:eastAsia="Times New Roman" w:cs="Times New Roman"/>
      <w:color w:val="272727"/>
      <w:sz w:val="24"/>
      <w:szCs w:val="24"/>
      <w:lang w:val="en-GB"/>
    </w:rPr>
  </w:style>
  <w:style w:type="paragraph" w:styleId="NoSpacing">
    <w:name w:val="No Spacing"/>
    <w:uiPriority w:val="1"/>
    <w:qFormat/>
    <w:rPr>
      <w:sz w:val="22"/>
      <w:szCs w:val="22"/>
    </w:rPr>
  </w:style>
  <w:style w:type="paragraph" w:customStyle="1" w:styleId="Heading31">
    <w:name w:val="Heading 31"/>
    <w:basedOn w:val="Normal"/>
    <w:next w:val="Normal"/>
    <w:uiPriority w:val="9"/>
    <w:semiHidden/>
    <w:unhideWhenUsed/>
    <w:qFormat/>
    <w:pPr>
      <w:keepNext/>
      <w:keepLines/>
      <w:spacing w:before="160" w:after="80" w:line="278" w:lineRule="auto"/>
      <w:outlineLvl w:val="2"/>
    </w:pPr>
    <w:rPr>
      <w:rFonts w:eastAsia="Times New Roman" w:cs="Times New Roman"/>
      <w:color w:val="2F5496"/>
      <w:kern w:val="2"/>
      <w:sz w:val="28"/>
      <w:szCs w:val="28"/>
      <w:lang w:val="en-GB"/>
      <w14:ligatures w14:val="standardContextual"/>
    </w:rPr>
  </w:style>
  <w:style w:type="paragraph" w:customStyle="1" w:styleId="Heading41">
    <w:name w:val="Heading 41"/>
    <w:basedOn w:val="Normal"/>
    <w:next w:val="Normal"/>
    <w:uiPriority w:val="9"/>
    <w:semiHidden/>
    <w:unhideWhenUsed/>
    <w:qFormat/>
    <w:pPr>
      <w:keepNext/>
      <w:keepLines/>
      <w:spacing w:before="80" w:after="40" w:line="278" w:lineRule="auto"/>
      <w:outlineLvl w:val="3"/>
    </w:pPr>
    <w:rPr>
      <w:rFonts w:eastAsia="Times New Roman" w:cs="Times New Roman"/>
      <w:i/>
      <w:iCs/>
      <w:color w:val="2F5496"/>
      <w:kern w:val="2"/>
      <w:sz w:val="24"/>
      <w:szCs w:val="24"/>
      <w:lang w:val="en-GB"/>
      <w14:ligatures w14:val="standardContextual"/>
    </w:rPr>
  </w:style>
  <w:style w:type="paragraph" w:customStyle="1" w:styleId="Heading51">
    <w:name w:val="Heading 51"/>
    <w:basedOn w:val="Normal"/>
    <w:next w:val="Normal"/>
    <w:uiPriority w:val="9"/>
    <w:semiHidden/>
    <w:unhideWhenUsed/>
    <w:qFormat/>
    <w:pPr>
      <w:keepNext/>
      <w:keepLines/>
      <w:spacing w:before="80" w:after="40" w:line="278" w:lineRule="auto"/>
      <w:outlineLvl w:val="4"/>
    </w:pPr>
    <w:rPr>
      <w:rFonts w:eastAsia="Times New Roman" w:cs="Times New Roman"/>
      <w:color w:val="2F5496"/>
      <w:kern w:val="2"/>
      <w:sz w:val="24"/>
      <w:szCs w:val="24"/>
      <w:lang w:val="en-GB"/>
      <w14:ligatures w14:val="standardContextual"/>
    </w:rPr>
  </w:style>
  <w:style w:type="paragraph" w:customStyle="1" w:styleId="Heading61">
    <w:name w:val="Heading 61"/>
    <w:basedOn w:val="Normal"/>
    <w:next w:val="Normal"/>
    <w:uiPriority w:val="9"/>
    <w:semiHidden/>
    <w:unhideWhenUsed/>
    <w:qFormat/>
    <w:pPr>
      <w:keepNext/>
      <w:keepLines/>
      <w:spacing w:before="40" w:after="0" w:line="278" w:lineRule="auto"/>
      <w:outlineLvl w:val="5"/>
    </w:pPr>
    <w:rPr>
      <w:rFonts w:eastAsia="Times New Roman" w:cs="Times New Roman"/>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pPr>
      <w:keepNext/>
      <w:keepLines/>
      <w:spacing w:before="40" w:after="0" w:line="278" w:lineRule="auto"/>
      <w:outlineLvl w:val="6"/>
    </w:pPr>
    <w:rPr>
      <w:rFonts w:eastAsia="Times New Roman" w:cs="Times New Roman"/>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pPr>
      <w:keepNext/>
      <w:keepLines/>
      <w:spacing w:after="0" w:line="278" w:lineRule="auto"/>
      <w:outlineLvl w:val="7"/>
    </w:pPr>
    <w:rPr>
      <w:rFonts w:eastAsia="Times New Roman" w:cs="Times New Roman"/>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pPr>
      <w:keepNext/>
      <w:keepLines/>
      <w:spacing w:after="0" w:line="278" w:lineRule="auto"/>
      <w:outlineLvl w:val="8"/>
    </w:pPr>
    <w:rPr>
      <w:rFonts w:eastAsia="Times New Roman" w:cs="Times New Roman"/>
      <w:color w:val="272727"/>
      <w:kern w:val="2"/>
      <w:sz w:val="24"/>
      <w:szCs w:val="24"/>
      <w:lang w:val="en-GB"/>
      <w14:ligatures w14:val="standardContextual"/>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51">
    <w:name w:val="Plain Table 51"/>
    <w:basedOn w:val="TableNormal"/>
    <w:uiPriority w:val="45"/>
    <w:qFormat/>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1">
    <w:name w:val="Plain Table 521"/>
    <w:basedOn w:val="TableNormal"/>
    <w:uiPriority w:val="45"/>
    <w:qFormat/>
    <w:rPr>
      <w:rFonts w:ascii="Calibri" w:eastAsia="Calibri" w:hAnsi="Calibri" w:cs="Times New Roman"/>
      <w:kern w:val="2"/>
      <w:lang w:val="en-GB"/>
      <w14:ligatures w14:val="standardContextual"/>
    </w:rP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qFormat/>
    <w:rPr>
      <w:rFonts w:eastAsia="Times New Roman"/>
      <w:kern w:val="2"/>
      <w14:ligatures w14:val="standardContextual"/>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
    <w:name w:val="Plain Table 52"/>
    <w:basedOn w:val="TableNormal"/>
    <w:uiPriority w:val="45"/>
    <w:qFormat/>
    <w:rPr>
      <w:rFonts w:eastAsia="Aptos"/>
    </w:rP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
    <w:name w:val="Plain Table 511"/>
    <w:basedOn w:val="TableNormal"/>
    <w:uiPriority w:val="45"/>
    <w:qFormat/>
    <w:rPr>
      <w:rFonts w:eastAsia="Aptos"/>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2">
    <w:name w:val="Plain Table 522"/>
    <w:basedOn w:val="TableNormal"/>
    <w:uiPriority w:val="45"/>
    <w:qFormat/>
    <w:rPr>
      <w:rFonts w:eastAsia="Aptos"/>
    </w:rP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rPr>
      <w:rFonts w:eastAsia="Times New Roman"/>
      <w:kern w:val="2"/>
      <w14:ligatures w14:val="standardContextual"/>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23">
    <w:name w:val="Plain Table 523"/>
    <w:basedOn w:val="TableNormal"/>
    <w:uiPriority w:val="45"/>
    <w:qFormat/>
    <w:rPr>
      <w:rFonts w:eastAsia="Aptos"/>
    </w:rP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itle1">
    <w:name w:val="Title1"/>
    <w:basedOn w:val="Normal"/>
    <w:next w:val="Normal"/>
    <w:uiPriority w:val="10"/>
    <w:qFormat/>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lang w:val="en-GB"/>
    </w:rPr>
  </w:style>
  <w:style w:type="paragraph" w:customStyle="1" w:styleId="Subtitle1">
    <w:name w:val="Subtitle1"/>
    <w:basedOn w:val="Normal"/>
    <w:next w:val="Normal"/>
    <w:uiPriority w:val="11"/>
    <w:qFormat/>
    <w:pPr>
      <w:spacing w:line="278" w:lineRule="auto"/>
      <w:ind w:left="10" w:hanging="10"/>
    </w:pPr>
    <w:rPr>
      <w:rFonts w:eastAsia="Times New Roman" w:cs="Times New Roman"/>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qFormat/>
    <w:rPr>
      <w:rFonts w:eastAsia="Times New Roman" w:cs="Times New Roman"/>
      <w:color w:val="595959"/>
      <w:spacing w:val="15"/>
      <w:sz w:val="28"/>
      <w:szCs w:val="28"/>
      <w:lang w:val="en-GB"/>
    </w:rPr>
  </w:style>
  <w:style w:type="paragraph" w:customStyle="1" w:styleId="Quote1">
    <w:name w:val="Quote1"/>
    <w:basedOn w:val="Normal"/>
    <w:next w:val="Normal"/>
    <w:uiPriority w:val="29"/>
    <w:qFormat/>
    <w:pPr>
      <w:spacing w:before="160" w:line="278" w:lineRule="auto"/>
      <w:jc w:val="center"/>
    </w:pPr>
    <w:rPr>
      <w:i/>
      <w:iCs/>
      <w:color w:val="404040"/>
      <w:kern w:val="2"/>
      <w:sz w:val="24"/>
      <w:szCs w:val="24"/>
      <w:lang w:val="en-GB"/>
      <w14:ligatures w14:val="standardContextual"/>
    </w:rPr>
  </w:style>
  <w:style w:type="character" w:customStyle="1" w:styleId="QuoteChar">
    <w:name w:val="Quote Char"/>
    <w:basedOn w:val="DefaultParagraphFont"/>
    <w:link w:val="Quote"/>
    <w:uiPriority w:val="29"/>
    <w:qFormat/>
    <w:rPr>
      <w:rFonts w:eastAsia="Calibri"/>
      <w:i/>
      <w:iCs/>
      <w:color w:val="404040"/>
      <w:sz w:val="24"/>
      <w:szCs w:val="24"/>
      <w:lang w:val="en-GB"/>
    </w:rPr>
  </w:style>
  <w:style w:type="paragraph" w:styleId="Quote">
    <w:name w:val="Quote"/>
    <w:basedOn w:val="Normal"/>
    <w:next w:val="Normal"/>
    <w:link w:val="QuoteChar"/>
    <w:uiPriority w:val="29"/>
    <w:qFormat/>
    <w:pPr>
      <w:spacing w:before="200"/>
      <w:ind w:left="864" w:right="864"/>
      <w:jc w:val="center"/>
    </w:pPr>
    <w:rPr>
      <w:rFonts w:eastAsia="Calibri"/>
      <w:i/>
      <w:iCs/>
      <w:color w:val="404040"/>
      <w:sz w:val="24"/>
      <w:szCs w:val="24"/>
      <w:lang w:val="en-GB"/>
    </w:rPr>
  </w:style>
  <w:style w:type="character" w:customStyle="1" w:styleId="IntenseEmphasis1">
    <w:name w:val="Intense Emphasis1"/>
    <w:basedOn w:val="DefaultParagraphFont"/>
    <w:uiPriority w:val="21"/>
    <w:qFormat/>
    <w:rPr>
      <w:i/>
      <w:iCs/>
      <w:color w:val="2F5496"/>
    </w:rPr>
  </w:style>
  <w:style w:type="paragraph" w:customStyle="1" w:styleId="IntenseQuote1">
    <w:name w:val="Intense Quote1"/>
    <w:basedOn w:val="Normal"/>
    <w:next w:val="Normal"/>
    <w:uiPriority w:val="30"/>
    <w:qFormat/>
    <w:pPr>
      <w:pBdr>
        <w:top w:val="single" w:sz="4" w:space="10" w:color="2F5496"/>
        <w:bottom w:val="single" w:sz="4" w:space="10" w:color="2F5496"/>
      </w:pBdr>
      <w:spacing w:before="360" w:after="360" w:line="278" w:lineRule="auto"/>
      <w:ind w:left="864" w:right="864"/>
      <w:jc w:val="center"/>
    </w:pPr>
    <w:rPr>
      <w:i/>
      <w:iCs/>
      <w:color w:val="2F5496"/>
      <w:kern w:val="2"/>
      <w:sz w:val="24"/>
      <w:szCs w:val="24"/>
      <w:lang w:val="en-GB"/>
      <w14:ligatures w14:val="standardContextual"/>
    </w:rPr>
  </w:style>
  <w:style w:type="character" w:customStyle="1" w:styleId="IntenseQuoteChar">
    <w:name w:val="Intense Quote Char"/>
    <w:basedOn w:val="DefaultParagraphFont"/>
    <w:link w:val="IntenseQuote"/>
    <w:uiPriority w:val="30"/>
    <w:qFormat/>
    <w:rPr>
      <w:rFonts w:eastAsia="Calibri"/>
      <w:i/>
      <w:iCs/>
      <w:color w:val="2F5496"/>
      <w:sz w:val="24"/>
      <w:szCs w:val="24"/>
      <w:lang w:val="en-GB"/>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eastAsia="Calibri"/>
      <w:i/>
      <w:iCs/>
      <w:color w:val="2F5496"/>
      <w:sz w:val="24"/>
      <w:szCs w:val="24"/>
      <w:lang w:val="en-GB"/>
    </w:rPr>
  </w:style>
  <w:style w:type="character" w:customStyle="1" w:styleId="IntenseReference1">
    <w:name w:val="Intense Reference1"/>
    <w:basedOn w:val="DefaultParagraphFont"/>
    <w:uiPriority w:val="32"/>
    <w:qFormat/>
    <w:rPr>
      <w:b/>
      <w:bCs/>
      <w:smallCaps/>
      <w:color w:val="2F5496"/>
      <w:spacing w:val="5"/>
    </w:rPr>
  </w:style>
  <w:style w:type="table" w:customStyle="1" w:styleId="PlainTable53">
    <w:name w:val="Plain Table 53"/>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uiPriority w:val="9"/>
    <w:semiHidden/>
    <w:qFormat/>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1F4E79"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1F4E79" w:themeColor="accent1" w:themeShade="80"/>
    </w:rPr>
  </w:style>
  <w:style w:type="character" w:customStyle="1" w:styleId="Heading8Char1">
    <w:name w:val="Heading 8 Char1"/>
    <w:basedOn w:val="DefaultParagraphFont"/>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qFormat/>
    <w:rPr>
      <w:rFonts w:eastAsiaTheme="minorEastAsia"/>
      <w:color w:val="595959" w:themeColor="text1" w:themeTint="A6"/>
      <w:spacing w:val="15"/>
    </w:rPr>
  </w:style>
  <w:style w:type="character" w:customStyle="1" w:styleId="QuoteChar1">
    <w:name w:val="Quote Char1"/>
    <w:basedOn w:val="DefaultParagraphFont"/>
    <w:uiPriority w:val="29"/>
    <w:qFormat/>
    <w:rPr>
      <w:i/>
      <w:iCs/>
      <w:color w:val="404040" w:themeColor="text1" w:themeTint="BF"/>
    </w:rPr>
  </w:style>
  <w:style w:type="character" w:customStyle="1" w:styleId="IntenseEmphasis2">
    <w:name w:val="Intense Emphasis2"/>
    <w:basedOn w:val="DefaultParagraphFont"/>
    <w:uiPriority w:val="21"/>
    <w:qFormat/>
    <w:rPr>
      <w:i/>
      <w:iCs/>
      <w:color w:val="5B9BD5" w:themeColor="accent1"/>
    </w:rPr>
  </w:style>
  <w:style w:type="character" w:customStyle="1" w:styleId="IntenseQuoteChar1">
    <w:name w:val="Intense Quote Char1"/>
    <w:basedOn w:val="DefaultParagraphFont"/>
    <w:uiPriority w:val="30"/>
    <w:qFormat/>
    <w:rPr>
      <w:i/>
      <w:iCs/>
      <w:color w:val="5B9BD5" w:themeColor="accent1"/>
    </w:rPr>
  </w:style>
  <w:style w:type="character" w:customStyle="1" w:styleId="IntenseReference2">
    <w:name w:val="Intense Reference2"/>
    <w:basedOn w:val="DefaultParagraphFont"/>
    <w:uiPriority w:val="32"/>
    <w:qFormat/>
    <w:rPr>
      <w:b/>
      <w:bCs/>
      <w:smallCaps/>
      <w:color w:val="5B9BD5" w:themeColor="accent1"/>
      <w:spacing w:val="5"/>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qFormat/>
    <w:rPr>
      <w:color w:val="666666"/>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39"/>
    <w:qFormat/>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5315"/>
    <w:rPr>
      <w:sz w:val="16"/>
      <w:szCs w:val="16"/>
    </w:rPr>
  </w:style>
  <w:style w:type="paragraph" w:styleId="CommentText">
    <w:name w:val="annotation text"/>
    <w:basedOn w:val="Normal"/>
    <w:link w:val="CommentTextChar"/>
    <w:uiPriority w:val="99"/>
    <w:semiHidden/>
    <w:unhideWhenUsed/>
    <w:rsid w:val="00B85315"/>
    <w:pPr>
      <w:spacing w:line="240" w:lineRule="auto"/>
    </w:pPr>
    <w:rPr>
      <w:sz w:val="20"/>
      <w:szCs w:val="20"/>
    </w:rPr>
  </w:style>
  <w:style w:type="character" w:customStyle="1" w:styleId="CommentTextChar">
    <w:name w:val="Comment Text Char"/>
    <w:basedOn w:val="DefaultParagraphFont"/>
    <w:link w:val="CommentText"/>
    <w:uiPriority w:val="99"/>
    <w:semiHidden/>
    <w:rsid w:val="00B85315"/>
  </w:style>
  <w:style w:type="paragraph" w:styleId="CommentSubject">
    <w:name w:val="annotation subject"/>
    <w:basedOn w:val="CommentText"/>
    <w:next w:val="CommentText"/>
    <w:link w:val="CommentSubjectChar"/>
    <w:uiPriority w:val="99"/>
    <w:semiHidden/>
    <w:unhideWhenUsed/>
    <w:rsid w:val="00B85315"/>
    <w:rPr>
      <w:b/>
      <w:bCs/>
    </w:rPr>
  </w:style>
  <w:style w:type="character" w:customStyle="1" w:styleId="CommentSubjectChar">
    <w:name w:val="Comment Subject Char"/>
    <w:basedOn w:val="CommentTextChar"/>
    <w:link w:val="CommentSubject"/>
    <w:uiPriority w:val="99"/>
    <w:semiHidden/>
    <w:rsid w:val="00B85315"/>
    <w:rPr>
      <w:b/>
      <w:bCs/>
    </w:rPr>
  </w:style>
  <w:style w:type="paragraph" w:styleId="BalloonText">
    <w:name w:val="Balloon Text"/>
    <w:basedOn w:val="Normal"/>
    <w:link w:val="BalloonTextChar"/>
    <w:uiPriority w:val="99"/>
    <w:semiHidden/>
    <w:unhideWhenUsed/>
    <w:rsid w:val="00B85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70C3-811D-470F-A024-77BAECD5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8906</Words>
  <Characters>50770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Julius Edekin</cp:lastModifiedBy>
  <cp:revision>2</cp:revision>
  <dcterms:created xsi:type="dcterms:W3CDTF">2026-03-09T13:11:00Z</dcterms:created>
  <dcterms:modified xsi:type="dcterms:W3CDTF">2026-03-09T13:11:00Z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2CBCE16208684666B060C7C7954BF7A2_13</vt:lpwstr>
  </property>
</Properties>
</file>